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bookmarkStart w:id="0" w:name="_Toc21427"/>
      <w:r>
        <w:t>一、建设项目基本情况</w:t>
      </w:r>
      <w:bookmarkEnd w:id="0"/>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46"/>
        <w:gridCol w:w="2911"/>
        <w:gridCol w:w="1698"/>
        <w:gridCol w:w="29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46"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建设项目名称</w:t>
            </w:r>
          </w:p>
        </w:tc>
        <w:tc>
          <w:tcPr>
            <w:tcW w:w="7524" w:type="dxa"/>
            <w:gridSpan w:val="3"/>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eastAsia="宋体"/>
                <w:szCs w:val="21"/>
                <w:lang w:val="en-US" w:eastAsia="zh-CN"/>
              </w:rPr>
            </w:pPr>
            <w:r>
              <w:rPr>
                <w:rFonts w:hint="eastAsia"/>
                <w:szCs w:val="21"/>
                <w:lang w:eastAsia="zh-CN"/>
              </w:rPr>
              <w:t>若羌县恒峰水泥制品厂建设项目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346"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项目代码</w:t>
            </w:r>
          </w:p>
        </w:tc>
        <w:tc>
          <w:tcPr>
            <w:tcW w:w="7524" w:type="dxa"/>
            <w:gridSpan w:val="3"/>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default" w:eastAsia="宋体"/>
                <w:szCs w:val="21"/>
                <w:lang w:val="en-US" w:eastAsia="zh-CN"/>
              </w:rPr>
            </w:pPr>
            <w:r>
              <w:rPr>
                <w:rFonts w:hint="eastAsia"/>
                <w:szCs w:val="21"/>
                <w:lang w:val="en-US" w:eastAsia="zh-CN"/>
              </w:rPr>
              <w:t>2404-652824-04-01-412274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46"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建设单位联系人</w:t>
            </w:r>
          </w:p>
        </w:tc>
        <w:tc>
          <w:tcPr>
            <w:tcW w:w="2911"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default" w:eastAsia="宋体"/>
                <w:szCs w:val="21"/>
                <w:lang w:val="en-US" w:eastAsia="zh-CN"/>
              </w:rPr>
            </w:pPr>
          </w:p>
        </w:tc>
        <w:tc>
          <w:tcPr>
            <w:tcW w:w="1698"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联系方式</w:t>
            </w:r>
          </w:p>
        </w:tc>
        <w:tc>
          <w:tcPr>
            <w:tcW w:w="2915"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default"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46"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建设地点</w:t>
            </w:r>
          </w:p>
        </w:tc>
        <w:tc>
          <w:tcPr>
            <w:tcW w:w="7524" w:type="dxa"/>
            <w:gridSpan w:val="3"/>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default" w:eastAsia="宋体"/>
                <w:szCs w:val="21"/>
                <w:lang w:val="en-US" w:eastAsia="zh-CN"/>
              </w:rPr>
            </w:pPr>
            <w:r>
              <w:rPr>
                <w:rFonts w:hint="eastAsia" w:cs="Times New Roman"/>
                <w:kern w:val="2"/>
                <w:szCs w:val="24"/>
                <w:lang w:val="en-US" w:eastAsia="zh-CN"/>
              </w:rPr>
              <w:t>新疆维吾尔自治区巴音郭楞蒙古自治州</w:t>
            </w:r>
            <w:r>
              <w:rPr>
                <w:rFonts w:hint="eastAsia"/>
                <w:szCs w:val="21"/>
                <w:lang w:val="en-US" w:eastAsia="zh-CN"/>
              </w:rPr>
              <w:t>若羌县城南</w:t>
            </w:r>
            <w:r>
              <w:rPr>
                <w:rFonts w:hint="eastAsia"/>
                <w:color w:val="auto"/>
                <w:szCs w:val="21"/>
                <w:lang w:val="en-US" w:eastAsia="zh-CN"/>
              </w:rPr>
              <w:t>建材产业园区</w:t>
            </w:r>
            <w:r>
              <w:rPr>
                <w:rFonts w:hint="eastAsia"/>
                <w:szCs w:val="21"/>
                <w:lang w:val="en-US" w:eastAsia="zh-CN"/>
              </w:rPr>
              <w:t>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46"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地理坐标</w:t>
            </w:r>
          </w:p>
        </w:tc>
        <w:tc>
          <w:tcPr>
            <w:tcW w:w="7524" w:type="dxa"/>
            <w:gridSpan w:val="3"/>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bookmarkStart w:id="22" w:name="_GoBack"/>
            <w:bookmarkEnd w:id="2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46"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国民经济</w:t>
            </w:r>
          </w:p>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行业类别</w:t>
            </w:r>
          </w:p>
        </w:tc>
        <w:tc>
          <w:tcPr>
            <w:tcW w:w="2911"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lang w:val="en-US" w:eastAsia="zh-CN"/>
              </w:rPr>
              <w:t>C</w:t>
            </w:r>
            <w:r>
              <w:rPr>
                <w:rFonts w:hint="eastAsia"/>
                <w:szCs w:val="21"/>
                <w:lang w:val="en-US" w:eastAsia="zh-CN"/>
              </w:rPr>
              <w:t>3021水泥制品制造</w:t>
            </w:r>
          </w:p>
        </w:tc>
        <w:tc>
          <w:tcPr>
            <w:tcW w:w="1698"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bookmarkStart w:id="1" w:name="_Hlk49843745"/>
            <w:r>
              <w:rPr>
                <w:szCs w:val="21"/>
              </w:rPr>
              <w:t>建设项目</w:t>
            </w:r>
          </w:p>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行业类别</w:t>
            </w:r>
            <w:bookmarkEnd w:id="1"/>
          </w:p>
        </w:tc>
        <w:tc>
          <w:tcPr>
            <w:tcW w:w="2915"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szCs w:val="21"/>
              </w:rPr>
            </w:pPr>
            <w:r>
              <w:rPr>
                <w:rFonts w:hint="eastAsia"/>
                <w:szCs w:val="21"/>
                <w:lang w:val="en-US" w:eastAsia="zh-CN"/>
              </w:rPr>
              <w:t>二十七、非金属矿物制品业</w:t>
            </w:r>
          </w:p>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default"/>
                <w:szCs w:val="21"/>
                <w:lang w:val="en-US"/>
              </w:rPr>
            </w:pPr>
            <w:r>
              <w:rPr>
                <w:rFonts w:hint="eastAsia"/>
                <w:szCs w:val="21"/>
                <w:lang w:val="en-US" w:eastAsia="zh-CN"/>
              </w:rPr>
              <w:t>-55-石膏、水泥制品及类似制品制造-商品混凝土；砼结构构件制造；水泥制品制造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46"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建设性质</w:t>
            </w:r>
          </w:p>
        </w:tc>
        <w:tc>
          <w:tcPr>
            <w:tcW w:w="2911"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rPr>
                <w:szCs w:val="21"/>
              </w:rPr>
            </w:pPr>
            <w:r>
              <w:rPr>
                <w:szCs w:val="21"/>
              </w:rPr>
              <w:sym w:font="Wingdings" w:char="00FE"/>
            </w:r>
            <w:r>
              <w:rPr>
                <w:szCs w:val="21"/>
              </w:rPr>
              <w:t>新建</w:t>
            </w:r>
          </w:p>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rPr>
                <w:szCs w:val="21"/>
              </w:rPr>
            </w:pPr>
            <w:r>
              <w:rPr>
                <w:szCs w:val="21"/>
              </w:rPr>
              <w:sym w:font="Wingdings" w:char="00A8"/>
            </w:r>
            <w:r>
              <w:rPr>
                <w:szCs w:val="21"/>
              </w:rPr>
              <w:t>改建</w:t>
            </w:r>
          </w:p>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rPr>
                <w:szCs w:val="21"/>
              </w:rPr>
            </w:pPr>
            <w:r>
              <w:rPr>
                <w:szCs w:val="21"/>
              </w:rPr>
              <w:sym w:font="Wingdings" w:char="00A8"/>
            </w:r>
            <w:r>
              <w:rPr>
                <w:szCs w:val="21"/>
              </w:rPr>
              <w:t>扩建</w:t>
            </w:r>
          </w:p>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rPr>
                <w:szCs w:val="21"/>
              </w:rPr>
            </w:pPr>
            <w:r>
              <w:rPr>
                <w:szCs w:val="21"/>
              </w:rPr>
              <w:sym w:font="Wingdings" w:char="00A8"/>
            </w:r>
            <w:r>
              <w:rPr>
                <w:szCs w:val="21"/>
              </w:rPr>
              <w:t>技术改造</w:t>
            </w:r>
          </w:p>
        </w:tc>
        <w:tc>
          <w:tcPr>
            <w:tcW w:w="1698"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建设项目</w:t>
            </w:r>
          </w:p>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申报情形</w:t>
            </w:r>
          </w:p>
        </w:tc>
        <w:tc>
          <w:tcPr>
            <w:tcW w:w="2915"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rPr>
                <w:szCs w:val="21"/>
              </w:rPr>
            </w:pPr>
            <w:r>
              <w:rPr>
                <w:szCs w:val="21"/>
              </w:rPr>
              <w:sym w:font="Wingdings" w:char="00FE"/>
            </w:r>
            <w:r>
              <w:rPr>
                <w:szCs w:val="21"/>
              </w:rPr>
              <w:t xml:space="preserve">首次申报项目             </w:t>
            </w:r>
          </w:p>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rPr>
                <w:szCs w:val="21"/>
              </w:rPr>
            </w:pPr>
            <w:r>
              <w:rPr>
                <w:szCs w:val="21"/>
              </w:rPr>
              <w:sym w:font="Wingdings" w:char="00A8"/>
            </w:r>
            <w:r>
              <w:rPr>
                <w:szCs w:val="21"/>
              </w:rPr>
              <w:t>不予批准后再次申报项目</w:t>
            </w:r>
          </w:p>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rPr>
                <w:szCs w:val="21"/>
              </w:rPr>
            </w:pPr>
            <w:r>
              <w:rPr>
                <w:szCs w:val="21"/>
              </w:rPr>
              <w:sym w:font="Wingdings" w:char="00A8"/>
            </w:r>
            <w:r>
              <w:rPr>
                <w:szCs w:val="21"/>
              </w:rPr>
              <w:t xml:space="preserve">超五年重新审核项目     </w:t>
            </w:r>
          </w:p>
          <w:p>
            <w:pPr>
              <w:keepNext w:val="0"/>
              <w:keepLines w:val="0"/>
              <w:pageBreakBefore w:val="0"/>
              <w:kinsoku/>
              <w:wordWrap/>
              <w:overflowPunct/>
              <w:topLinePunct w:val="0"/>
              <w:bidi w:val="0"/>
              <w:adjustRightInd w:val="0"/>
              <w:snapToGrid w:val="0"/>
              <w:spacing w:line="240" w:lineRule="auto"/>
              <w:ind w:left="0" w:leftChars="0" w:firstLine="0" w:firstLineChars="0"/>
              <w:jc w:val="left"/>
              <w:textAlignment w:val="auto"/>
              <w:rPr>
                <w:szCs w:val="21"/>
              </w:rPr>
            </w:pPr>
            <w:r>
              <w:rPr>
                <w:szCs w:val="21"/>
              </w:rPr>
              <w:sym w:font="Wingdings" w:char="00A8"/>
            </w:r>
            <w:r>
              <w:rPr>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46"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项目审批部门</w:t>
            </w:r>
          </w:p>
        </w:tc>
        <w:tc>
          <w:tcPr>
            <w:tcW w:w="2911"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rFonts w:hint="eastAsia"/>
                <w:szCs w:val="21"/>
              </w:rPr>
              <w:t>新疆若羌县发展和改革委员会</w:t>
            </w:r>
          </w:p>
        </w:tc>
        <w:tc>
          <w:tcPr>
            <w:tcW w:w="1698"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项目审批文号</w:t>
            </w:r>
          </w:p>
        </w:tc>
        <w:tc>
          <w:tcPr>
            <w:tcW w:w="2915"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rFonts w:hint="eastAsia"/>
              </w:rPr>
              <w:t>2404181212652800000195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46"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总投资（万元）</w:t>
            </w:r>
          </w:p>
        </w:tc>
        <w:tc>
          <w:tcPr>
            <w:tcW w:w="2911"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default" w:eastAsia="宋体"/>
                <w:szCs w:val="21"/>
                <w:lang w:val="en-US" w:eastAsia="zh-CN"/>
              </w:rPr>
            </w:pPr>
            <w:r>
              <w:rPr>
                <w:rFonts w:hint="eastAsia"/>
                <w:szCs w:val="21"/>
                <w:lang w:val="en-US" w:eastAsia="zh-CN"/>
              </w:rPr>
              <w:t>1700</w:t>
            </w:r>
          </w:p>
        </w:tc>
        <w:tc>
          <w:tcPr>
            <w:tcW w:w="1698"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环保投资（万元）</w:t>
            </w:r>
          </w:p>
        </w:tc>
        <w:tc>
          <w:tcPr>
            <w:tcW w:w="2915"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default" w:eastAsia="宋体"/>
                <w:szCs w:val="21"/>
                <w:lang w:val="en-US" w:eastAsia="zh-CN"/>
              </w:rPr>
            </w:pPr>
            <w:r>
              <w:rPr>
                <w:rFonts w:hint="eastAsia"/>
                <w:szCs w:val="21"/>
                <w:lang w:val="en-US" w:eastAsia="zh-CN"/>
              </w:rPr>
              <w:t>50.5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46"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环保投资占比（%）</w:t>
            </w:r>
          </w:p>
        </w:tc>
        <w:tc>
          <w:tcPr>
            <w:tcW w:w="2911"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default" w:eastAsia="宋体"/>
                <w:szCs w:val="21"/>
                <w:lang w:val="en-US" w:eastAsia="zh-CN"/>
              </w:rPr>
            </w:pPr>
            <w:r>
              <w:rPr>
                <w:rFonts w:hint="eastAsia"/>
                <w:szCs w:val="21"/>
                <w:lang w:val="en-US" w:eastAsia="zh-CN"/>
              </w:rPr>
              <w:t>2.97</w:t>
            </w:r>
          </w:p>
        </w:tc>
        <w:tc>
          <w:tcPr>
            <w:tcW w:w="1698"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施工工期</w:t>
            </w:r>
          </w:p>
        </w:tc>
        <w:tc>
          <w:tcPr>
            <w:tcW w:w="2915"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rFonts w:hint="eastAsia"/>
                <w:szCs w:val="21"/>
                <w:lang w:val="en-US" w:eastAsia="zh-CN"/>
              </w:rPr>
              <w:t>8</w:t>
            </w:r>
            <w:r>
              <w:rPr>
                <w:rFonts w:hint="eastAsia"/>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46"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zCs w:val="21"/>
              </w:rPr>
              <w:t>是否开工建设</w:t>
            </w:r>
          </w:p>
        </w:tc>
        <w:tc>
          <w:tcPr>
            <w:tcW w:w="2911"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rPr>
                <w:szCs w:val="21"/>
              </w:rPr>
            </w:pPr>
            <w:r>
              <w:rPr>
                <w:szCs w:val="21"/>
              </w:rPr>
              <w:sym w:font="Wingdings" w:char="00FE"/>
            </w:r>
            <w:r>
              <w:rPr>
                <w:szCs w:val="21"/>
              </w:rPr>
              <w:t>否</w:t>
            </w: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rPr>
                <w:szCs w:val="21"/>
              </w:rPr>
            </w:pPr>
            <w:r>
              <w:rPr>
                <w:szCs w:val="21"/>
              </w:rPr>
              <w:sym w:font="Wingdings" w:char="00A8"/>
            </w:r>
            <w:r>
              <w:rPr>
                <w:szCs w:val="21"/>
              </w:rPr>
              <w:t>是：</w:t>
            </w:r>
            <w:r>
              <w:rPr>
                <w:rFonts w:hint="eastAsia"/>
                <w:szCs w:val="21"/>
                <w:u w:val="single"/>
                <w:lang w:val="en-US" w:eastAsia="zh-CN"/>
              </w:rPr>
              <w:t xml:space="preserve">        </w:t>
            </w:r>
          </w:p>
        </w:tc>
        <w:tc>
          <w:tcPr>
            <w:tcW w:w="1698" w:type="dxa"/>
            <w:noWrap w:val="0"/>
            <w:tcMar>
              <w:top w:w="16" w:type="dxa"/>
              <w:left w:w="16" w:type="dxa"/>
              <w:right w:w="16" w:type="dxa"/>
            </w:tcMar>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pacing w:val="-6"/>
                <w:szCs w:val="21"/>
              </w:rPr>
            </w:pPr>
            <w:r>
              <w:rPr>
                <w:spacing w:val="-6"/>
                <w:szCs w:val="21"/>
              </w:rPr>
              <w:t>用地（用海）</w:t>
            </w:r>
          </w:p>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szCs w:val="21"/>
              </w:rPr>
            </w:pPr>
            <w:r>
              <w:rPr>
                <w:spacing w:val="-6"/>
                <w:szCs w:val="21"/>
              </w:rPr>
              <w:t>面积（m</w:t>
            </w:r>
            <w:r>
              <w:rPr>
                <w:spacing w:val="-6"/>
                <w:szCs w:val="21"/>
                <w:vertAlign w:val="superscript"/>
              </w:rPr>
              <w:t>2</w:t>
            </w:r>
            <w:r>
              <w:rPr>
                <w:spacing w:val="-6"/>
                <w:szCs w:val="21"/>
              </w:rPr>
              <w:t>）</w:t>
            </w:r>
          </w:p>
        </w:tc>
        <w:tc>
          <w:tcPr>
            <w:tcW w:w="2915"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default" w:eastAsia="宋体"/>
                <w:szCs w:val="21"/>
                <w:lang w:val="en-US" w:eastAsia="zh-CN"/>
              </w:rPr>
            </w:pPr>
            <w:r>
              <w:rPr>
                <w:rFonts w:hint="eastAsia"/>
                <w:szCs w:val="21"/>
                <w:lang w:val="en-US" w:eastAsia="zh-CN"/>
              </w:rPr>
              <w:t>28500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46"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kern w:val="0"/>
                <w:szCs w:val="21"/>
              </w:rPr>
            </w:pPr>
            <w:r>
              <w:rPr>
                <w:kern w:val="0"/>
                <w:szCs w:val="21"/>
              </w:rPr>
              <w:t>专项评价设置情况</w:t>
            </w:r>
          </w:p>
        </w:tc>
        <w:tc>
          <w:tcPr>
            <w:tcW w:w="7524"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eastAsia="宋体"/>
                <w:kern w:val="0"/>
                <w:lang w:val="en-US" w:eastAsia="zh-CN"/>
              </w:rPr>
            </w:pPr>
            <w:r>
              <w:rPr>
                <w:rFonts w:hint="eastAsia"/>
                <w:kern w:val="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kern w:val="0"/>
              </w:rPr>
            </w:pPr>
            <w:r>
              <w:rPr>
                <w:kern w:val="0"/>
              </w:rPr>
              <w:t>规划情况</w:t>
            </w:r>
          </w:p>
        </w:tc>
        <w:tc>
          <w:tcPr>
            <w:tcW w:w="7524" w:type="dxa"/>
            <w:gridSpan w:val="3"/>
            <w:noWrap w:val="0"/>
            <w:vAlign w:val="center"/>
          </w:tcPr>
          <w:p>
            <w:pPr>
              <w:bidi w:val="0"/>
              <w:rPr>
                <w:rFonts w:hint="eastAsia"/>
              </w:rPr>
            </w:pPr>
            <w:r>
              <w:rPr>
                <w:rFonts w:hint="eastAsia"/>
                <w:lang w:val="en-US" w:eastAsia="zh-CN"/>
              </w:rPr>
              <w:t>规划名称：</w:t>
            </w:r>
            <w:r>
              <w:rPr>
                <w:rFonts w:hint="eastAsia"/>
              </w:rPr>
              <w:t>《若羌县国土空间总体规划（2021—2035年）》</w:t>
            </w:r>
          </w:p>
          <w:p>
            <w:pPr>
              <w:bidi w:val="0"/>
              <w:rPr>
                <w:rFonts w:hint="eastAsia"/>
              </w:rPr>
            </w:pPr>
            <w:r>
              <w:rPr>
                <w:rFonts w:hint="eastAsia"/>
                <w:lang w:val="en-US" w:eastAsia="zh-CN"/>
              </w:rPr>
              <w:t>审批机关：</w:t>
            </w:r>
            <w:r>
              <w:rPr>
                <w:rFonts w:hint="eastAsia"/>
              </w:rPr>
              <w:t>巴州人民政府</w:t>
            </w:r>
          </w:p>
          <w:p>
            <w:pPr>
              <w:bidi w:val="0"/>
              <w:rPr>
                <w:rFonts w:hint="default"/>
                <w:kern w:val="0"/>
                <w:lang w:val="en-US" w:eastAsia="zh-CN"/>
              </w:rPr>
            </w:pPr>
            <w:r>
              <w:rPr>
                <w:rFonts w:hint="eastAsia"/>
              </w:rPr>
              <w:t>审查文件名称及文号：关于《若羌县国土空间总体规划（2021—2035年）》的批复</w:t>
            </w:r>
            <w:r>
              <w:rPr>
                <w:rFonts w:hint="eastAsia"/>
                <w:lang w:eastAsia="zh-CN"/>
              </w:rPr>
              <w:t>，</w:t>
            </w:r>
            <w:r>
              <w:rPr>
                <w:rFonts w:hint="eastAsia"/>
              </w:rPr>
              <w:t>巴政函〔2024〕116号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noWrap w:val="0"/>
            <w:vAlign w:val="center"/>
          </w:tcPr>
          <w:p>
            <w:pPr>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kern w:val="0"/>
                <w:szCs w:val="21"/>
              </w:rPr>
            </w:pPr>
            <w:r>
              <w:rPr>
                <w:szCs w:val="21"/>
              </w:rPr>
              <w:t>规划环境影响评价情况</w:t>
            </w:r>
          </w:p>
        </w:tc>
        <w:tc>
          <w:tcPr>
            <w:tcW w:w="7524"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kern w:val="0"/>
                <w:lang w:val="en-US" w:eastAsia="zh-CN"/>
              </w:rPr>
            </w:pPr>
            <w:r>
              <w:rPr>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kern w:val="0"/>
                <w:szCs w:val="21"/>
              </w:rPr>
            </w:pPr>
            <w:r>
              <w:rPr>
                <w:kern w:val="0"/>
                <w:szCs w:val="21"/>
              </w:rPr>
              <w:t>规划及规划环境影响评价符合性分析</w:t>
            </w:r>
          </w:p>
        </w:tc>
        <w:tc>
          <w:tcPr>
            <w:tcW w:w="7524" w:type="dxa"/>
            <w:gridSpan w:val="3"/>
            <w:noWrap w:val="0"/>
            <w:vAlign w:val="center"/>
          </w:tcPr>
          <w:p>
            <w:pPr>
              <w:pStyle w:val="4"/>
              <w:bidi w:val="0"/>
              <w:rPr>
                <w:rFonts w:hint="eastAsia"/>
                <w:kern w:val="0"/>
                <w:lang w:val="en-US" w:eastAsia="zh-CN"/>
              </w:rPr>
            </w:pPr>
            <w:r>
              <w:rPr>
                <w:rFonts w:hint="eastAsia"/>
                <w:kern w:val="0"/>
                <w:lang w:val="en-US" w:eastAsia="zh-CN"/>
              </w:rPr>
              <w:t>1、与</w:t>
            </w:r>
            <w:r>
              <w:rPr>
                <w:rFonts w:hint="eastAsia"/>
              </w:rPr>
              <w:t>《若羌县国土空间总体规划（2021—2035年）》</w:t>
            </w:r>
            <w:r>
              <w:rPr>
                <w:rFonts w:hint="eastAsia"/>
                <w:kern w:val="0"/>
                <w:lang w:val="en-US" w:eastAsia="zh-CN"/>
              </w:rPr>
              <w:t>的符合性分析</w:t>
            </w:r>
          </w:p>
          <w:p>
            <w:pPr>
              <w:rPr>
                <w:rFonts w:hint="default"/>
                <w:kern w:val="0"/>
                <w:lang w:val="en-US" w:eastAsia="zh-CN"/>
              </w:rPr>
            </w:pPr>
            <w:r>
              <w:rPr>
                <w:rFonts w:hint="eastAsia"/>
              </w:rPr>
              <w:t>《若羌县国土空间总体规划（2021—2035年）》</w:t>
            </w:r>
            <w:r>
              <w:rPr>
                <w:rFonts w:hint="eastAsia"/>
                <w:lang w:val="en-US" w:eastAsia="zh-CN"/>
              </w:rPr>
              <w:t>构建了“一心、四园、两区”产业空间格局。四园包括：现代工贸物流园、新材料产业园、罗布泊盐化工产业园、建材产业园，为若羌未来产业发展核心空间载体。</w:t>
            </w:r>
            <w:r>
              <w:rPr>
                <w:rFonts w:hint="eastAsia" w:ascii="宋体" w:hAnsi="宋体" w:eastAsia="宋体" w:cs="宋体"/>
                <w:sz w:val="24"/>
                <w:szCs w:val="24"/>
                <w:lang w:val="en-US" w:eastAsia="zh-CN"/>
              </w:rPr>
              <w:t>本项目位于</w:t>
            </w:r>
            <w:r>
              <w:rPr>
                <w:rFonts w:ascii="宋体" w:hAnsi="宋体" w:eastAsia="宋体" w:cs="宋体"/>
                <w:sz w:val="24"/>
                <w:szCs w:val="24"/>
              </w:rPr>
              <w:t>若羌县吾塔木乡</w:t>
            </w:r>
            <w:r>
              <w:rPr>
                <w:rFonts w:hint="eastAsia"/>
                <w:lang w:val="en-US" w:eastAsia="zh-CN"/>
              </w:rPr>
              <w:t>建材产业园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用地性质为工业用地，符合</w:t>
            </w:r>
            <w:r>
              <w:rPr>
                <w:rFonts w:hint="eastAsia"/>
                <w:kern w:val="0"/>
                <w:lang w:eastAsia="zh-CN"/>
              </w:rPr>
              <w:t>《</w:t>
            </w:r>
            <w:r>
              <w:rPr>
                <w:rFonts w:hint="eastAsia"/>
              </w:rPr>
              <w:t>若羌县国土空间总体规划（2021—2035年）</w:t>
            </w:r>
            <w:r>
              <w:rPr>
                <w:rFonts w:hint="eastAsia"/>
                <w:kern w:val="0"/>
                <w:lang w:eastAsia="zh-CN"/>
              </w:rPr>
              <w:t>》</w:t>
            </w:r>
            <w:r>
              <w:rPr>
                <w:rFonts w:hint="eastAsia"/>
                <w:kern w:val="0"/>
                <w:lang w:val="en-US" w:eastAsia="zh-CN"/>
              </w:rPr>
              <w:t>的空间规划。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kern w:val="0"/>
                <w:szCs w:val="21"/>
              </w:rPr>
            </w:pPr>
            <w:r>
              <w:rPr>
                <w:kern w:val="0"/>
                <w:szCs w:val="21"/>
              </w:rPr>
              <w:t>其他符合性分析</w:t>
            </w:r>
          </w:p>
        </w:tc>
        <w:tc>
          <w:tcPr>
            <w:tcW w:w="7524" w:type="dxa"/>
            <w:gridSpan w:val="3"/>
            <w:noWrap w:val="0"/>
            <w:vAlign w:val="center"/>
          </w:tcPr>
          <w:p>
            <w:pPr>
              <w:pStyle w:val="4"/>
              <w:bidi w:val="0"/>
            </w:pPr>
            <w:r>
              <w:rPr>
                <w:rFonts w:hint="eastAsia"/>
              </w:rPr>
              <w:t>1、</w:t>
            </w:r>
            <w:r>
              <w:t>产业政策符合性</w:t>
            </w:r>
          </w:p>
          <w:p>
            <w:pPr>
              <w:bidi w:val="0"/>
            </w:pPr>
            <w:r>
              <w:t>根据《产业结构调整指导目录（20</w:t>
            </w:r>
            <w:r>
              <w:rPr>
                <w:rFonts w:hint="eastAsia"/>
                <w:lang w:val="en-US" w:eastAsia="zh-CN"/>
              </w:rPr>
              <w:t>24</w:t>
            </w:r>
            <w:r>
              <w:t>年本）》，本项目属于鼓励</w:t>
            </w:r>
            <w:r>
              <w:rPr>
                <w:rFonts w:hint="eastAsia"/>
                <w:lang w:val="en-US" w:eastAsia="zh-CN"/>
              </w:rPr>
              <w:t>类中十二、建材-3．适用于</w:t>
            </w:r>
            <w:r>
              <w:rPr>
                <w:rFonts w:hint="eastAsia"/>
                <w:b/>
                <w:bCs/>
                <w:lang w:val="en-US" w:eastAsia="zh-CN"/>
              </w:rPr>
              <w:t>装配式建筑</w:t>
            </w:r>
            <w:r>
              <w:rPr>
                <w:rFonts w:hint="eastAsia"/>
                <w:lang w:val="en-US" w:eastAsia="zh-CN"/>
              </w:rPr>
              <w:t>、折叠式建筑、海绵城市、地下管廊、生态修复的部品化建材产品及生产设备；低成本相变储能墙体材料及墙体部件；光伏建筑一体化部品部件；全电熔法制备岩（矿）棉；B1级柔性泡沫橡塑绝热制品；气凝胶材料；</w:t>
            </w:r>
            <w:r>
              <w:rPr>
                <w:rFonts w:hint="eastAsia"/>
                <w:b w:val="0"/>
                <w:bCs w:val="0"/>
                <w:lang w:val="en-US" w:eastAsia="zh-CN"/>
              </w:rPr>
              <w:t>A级阻燃保温材料制品</w:t>
            </w:r>
            <w:r>
              <w:rPr>
                <w:rFonts w:hint="eastAsia"/>
                <w:lang w:val="en-US" w:eastAsia="zh-CN"/>
              </w:rPr>
              <w:t>，复合真空绝热保温材料，聚酯纤维类吸音板材，保温、装饰等功能一体化复合板材；长寿命防水防腐阻燃复合材料；高性能、高耐久、高可靠性改性沥青防水卷材、高分子防水卷材、水性或高固含量防水涂料等新型建筑防水材料</w:t>
            </w:r>
            <w:r>
              <w:rPr>
                <w:rFonts w:hint="eastAsia"/>
                <w:b w:val="0"/>
                <w:bCs w:val="0"/>
                <w:lang w:val="en-US" w:eastAsia="zh-CN"/>
              </w:rPr>
              <w:t>；蒸压加气混凝土板、</w:t>
            </w:r>
            <w:r>
              <w:rPr>
                <w:rFonts w:hint="eastAsia"/>
                <w:lang w:val="en-US" w:eastAsia="zh-CN"/>
              </w:rPr>
              <w:t>秸秆生物质墙板（砖）、生物质建材；功能型、集成化装饰装修材料及制品，超薄陶瓷板、绿色无醛人造板，路面砖（板）、透水砖（板）、装饰砖（砌块）、仿古砖瓦、水工及护坡生态砖（砌块）等产品及绿色低碳建材产品技术开发与生产应用</w:t>
            </w:r>
            <w:r>
              <w:t>。</w:t>
            </w:r>
          </w:p>
          <w:p>
            <w:pPr>
              <w:bidi w:val="0"/>
              <w:rPr>
                <w:rFonts w:hint="default"/>
                <w:color w:val="000000" w:themeColor="text1"/>
                <w:kern w:val="0"/>
                <w:lang w:val="en-US" w:eastAsia="zh-CN"/>
                <w14:textFill>
                  <w14:solidFill>
                    <w14:schemeClr w14:val="tx1"/>
                  </w14:solidFill>
                </w14:textFill>
              </w:rPr>
            </w:pPr>
            <w:r>
              <w:rPr>
                <w:rFonts w:hint="eastAsia"/>
                <w:lang w:val="en-US" w:eastAsia="zh-CN"/>
              </w:rPr>
              <w:t>本项目不属于《产业结构调整指导目录》（</w:t>
            </w:r>
            <w:r>
              <w:rPr>
                <w:rFonts w:hint="default"/>
                <w:lang w:val="en-US" w:eastAsia="zh-CN"/>
              </w:rPr>
              <w:t>2024</w:t>
            </w:r>
            <w:r>
              <w:rPr>
                <w:rFonts w:hint="eastAsia"/>
                <w:lang w:val="en-US" w:eastAsia="zh-CN"/>
              </w:rPr>
              <w:t>年本）中第二类限制类“</w:t>
            </w:r>
            <w:r>
              <w:rPr>
                <w:rFonts w:hint="default"/>
                <w:lang w:val="en-US" w:eastAsia="zh-CN"/>
              </w:rPr>
              <w:t>6</w:t>
            </w:r>
            <w:r>
              <w:rPr>
                <w:rFonts w:hint="eastAsia"/>
                <w:lang w:val="en-US" w:eastAsia="zh-CN"/>
              </w:rPr>
              <w:t>．</w:t>
            </w:r>
            <w:r>
              <w:rPr>
                <w:rFonts w:hint="default"/>
                <w:lang w:val="en-US" w:eastAsia="zh-CN"/>
              </w:rPr>
              <w:t>15</w:t>
            </w:r>
            <w:r>
              <w:rPr>
                <w:rFonts w:hint="eastAsia"/>
                <w:lang w:val="en-US" w:eastAsia="zh-CN"/>
              </w:rPr>
              <w:t>万平方米</w:t>
            </w:r>
            <w:r>
              <w:rPr>
                <w:rFonts w:hint="default"/>
                <w:lang w:val="en-US" w:eastAsia="zh-CN"/>
              </w:rPr>
              <w:t>/</w:t>
            </w:r>
            <w:r>
              <w:rPr>
                <w:rFonts w:hint="eastAsia"/>
                <w:lang w:val="en-US" w:eastAsia="zh-CN"/>
              </w:rPr>
              <w:t>年（不含）以下的石膏（空心）砌块生产线、单班</w:t>
            </w:r>
            <w:r>
              <w:rPr>
                <w:rFonts w:hint="default"/>
                <w:lang w:val="en-US" w:eastAsia="zh-CN"/>
              </w:rPr>
              <w:t>5</w:t>
            </w:r>
            <w:r>
              <w:rPr>
                <w:rFonts w:hint="eastAsia"/>
                <w:lang w:val="en-US" w:eastAsia="zh-CN"/>
              </w:rPr>
              <w:t>万立方米</w:t>
            </w:r>
            <w:r>
              <w:rPr>
                <w:rFonts w:hint="default"/>
                <w:lang w:val="en-US" w:eastAsia="zh-CN"/>
              </w:rPr>
              <w:t>/</w:t>
            </w:r>
            <w:r>
              <w:rPr>
                <w:rFonts w:hint="eastAsia"/>
                <w:lang w:val="en-US" w:eastAsia="zh-CN"/>
              </w:rPr>
              <w:t>年（不含）以下的混凝土小型空心砌块以及单班</w:t>
            </w:r>
            <w:r>
              <w:rPr>
                <w:rFonts w:hint="default"/>
                <w:lang w:val="en-US" w:eastAsia="zh-CN"/>
              </w:rPr>
              <w:t>15</w:t>
            </w:r>
            <w:r>
              <w:rPr>
                <w:rFonts w:hint="eastAsia"/>
                <w:lang w:val="en-US" w:eastAsia="zh-CN"/>
              </w:rPr>
              <w:t>万平方米</w:t>
            </w:r>
            <w:r>
              <w:rPr>
                <w:rFonts w:hint="default"/>
                <w:lang w:val="en-US" w:eastAsia="zh-CN"/>
              </w:rPr>
              <w:t>/</w:t>
            </w:r>
            <w:r>
              <w:rPr>
                <w:rFonts w:hint="eastAsia"/>
                <w:lang w:val="en-US" w:eastAsia="zh-CN"/>
              </w:rPr>
              <w:t>年（不含）以下的混凝土路面砖（含透水砖）固定式生产线；</w:t>
            </w:r>
            <w:r>
              <w:rPr>
                <w:rFonts w:hint="default"/>
                <w:lang w:val="en-US" w:eastAsia="zh-CN"/>
              </w:rPr>
              <w:t>7.15</w:t>
            </w:r>
            <w:r>
              <w:rPr>
                <w:rFonts w:hint="eastAsia"/>
                <w:lang w:val="en-US" w:eastAsia="zh-CN"/>
              </w:rPr>
              <w:t>万立方米</w:t>
            </w:r>
            <w:r>
              <w:rPr>
                <w:rFonts w:hint="default"/>
                <w:lang w:val="en-US" w:eastAsia="zh-CN"/>
              </w:rPr>
              <w:t>/</w:t>
            </w:r>
            <w:r>
              <w:rPr>
                <w:rFonts w:hint="eastAsia"/>
                <w:lang w:val="en-US" w:eastAsia="zh-CN"/>
              </w:rPr>
              <w:t>年（不含）以下的加气混凝土生产线；</w:t>
            </w:r>
            <w:r>
              <w:rPr>
                <w:rFonts w:hint="default"/>
                <w:lang w:val="en-US" w:eastAsia="zh-CN"/>
              </w:rPr>
              <w:t>8.6000</w:t>
            </w:r>
            <w:r>
              <w:rPr>
                <w:rFonts w:hint="eastAsia"/>
                <w:lang w:val="en-US" w:eastAsia="zh-CN"/>
              </w:rPr>
              <w:t>万标砖</w:t>
            </w:r>
            <w:r>
              <w:rPr>
                <w:rFonts w:hint="default"/>
                <w:lang w:val="en-US" w:eastAsia="zh-CN"/>
              </w:rPr>
              <w:t>/</w:t>
            </w:r>
            <w:r>
              <w:rPr>
                <w:rFonts w:hint="eastAsia"/>
                <w:lang w:val="en-US" w:eastAsia="zh-CN"/>
              </w:rPr>
              <w:t>年（不含）以下的烧结砖及烧结空心砌块生产线”以及第三类淘汰类“</w:t>
            </w:r>
            <w:r>
              <w:rPr>
                <w:rFonts w:hint="default"/>
                <w:lang w:val="en-US" w:eastAsia="zh-CN"/>
              </w:rPr>
              <w:t>11</w:t>
            </w:r>
            <w:r>
              <w:rPr>
                <w:rFonts w:hint="eastAsia"/>
                <w:lang w:val="en-US" w:eastAsia="zh-CN"/>
              </w:rPr>
              <w:t>．单班</w:t>
            </w:r>
            <w:r>
              <w:rPr>
                <w:rFonts w:hint="default"/>
                <w:lang w:val="en-US" w:eastAsia="zh-CN"/>
              </w:rPr>
              <w:t>1</w:t>
            </w:r>
            <w:r>
              <w:rPr>
                <w:rFonts w:hint="eastAsia"/>
                <w:lang w:val="en-US" w:eastAsia="zh-CN"/>
              </w:rPr>
              <w:t>万立方米</w:t>
            </w:r>
            <w:r>
              <w:rPr>
                <w:rFonts w:hint="default"/>
                <w:lang w:val="en-US" w:eastAsia="zh-CN"/>
              </w:rPr>
              <w:t>/</w:t>
            </w:r>
            <w:r>
              <w:rPr>
                <w:rFonts w:hint="eastAsia"/>
                <w:lang w:val="en-US" w:eastAsia="zh-CN"/>
              </w:rPr>
              <w:t>年以下的混凝土砌块固定式成型机、单班</w:t>
            </w:r>
            <w:r>
              <w:rPr>
                <w:rFonts w:hint="default"/>
                <w:lang w:val="en-US" w:eastAsia="zh-CN"/>
              </w:rPr>
              <w:t>10</w:t>
            </w:r>
            <w:r>
              <w:rPr>
                <w:rFonts w:hint="eastAsia"/>
                <w:lang w:val="en-US" w:eastAsia="zh-CN"/>
              </w:rPr>
              <w:t>万平方米</w:t>
            </w:r>
            <w:r>
              <w:rPr>
                <w:rFonts w:hint="default"/>
                <w:lang w:val="en-US" w:eastAsia="zh-CN"/>
              </w:rPr>
              <w:t>/</w:t>
            </w:r>
            <w:r>
              <w:rPr>
                <w:rFonts w:hint="eastAsia"/>
                <w:lang w:val="en-US" w:eastAsia="zh-CN"/>
              </w:rPr>
              <w:t>年以下的混凝土路面砖（含透水砖）固定式成型机”。本项目年产</w:t>
            </w:r>
            <w:r>
              <w:rPr>
                <w:rFonts w:hint="eastAsia"/>
                <w:color w:val="000000" w:themeColor="text1"/>
                <w:kern w:val="0"/>
                <w:lang w:val="en-US" w:eastAsia="zh-CN"/>
                <w14:textFill>
                  <w14:solidFill>
                    <w14:schemeClr w14:val="tx1"/>
                  </w14:solidFill>
                </w14:textFill>
              </w:rPr>
              <w:t>标砖300万块、年产</w:t>
            </w:r>
            <w:r>
              <w:rPr>
                <w:rFonts w:hint="eastAsia"/>
                <w:lang w:val="en-US" w:eastAsia="zh-CN"/>
              </w:rPr>
              <w:t>路面砖</w:t>
            </w:r>
            <w:r>
              <w:rPr>
                <w:rFonts w:hint="eastAsia"/>
                <w:color w:val="000000" w:themeColor="text1"/>
                <w:kern w:val="0"/>
                <w:lang w:val="en-US" w:eastAsia="zh-CN"/>
                <w14:textFill>
                  <w14:solidFill>
                    <w14:schemeClr w14:val="tx1"/>
                  </w14:solidFill>
                </w14:textFill>
              </w:rPr>
              <w:t>100万块、年产</w:t>
            </w:r>
            <w:r>
              <w:rPr>
                <w:rFonts w:hint="eastAsia"/>
                <w:lang w:val="en-US" w:eastAsia="zh-CN"/>
              </w:rPr>
              <w:t>路沿石10万块，仅一条</w:t>
            </w:r>
            <w:r>
              <w:rPr>
                <w:rFonts w:hint="eastAsia"/>
                <w:color w:val="000000" w:themeColor="text1"/>
                <w:kern w:val="0"/>
                <w:lang w:val="en-US" w:eastAsia="zh-CN"/>
                <w14:textFill>
                  <w14:solidFill>
                    <w14:schemeClr w14:val="tx1"/>
                  </w14:solidFill>
                </w14:textFill>
              </w:rPr>
              <w:t>水泥砖生产线，不属于</w:t>
            </w:r>
            <w:r>
              <w:rPr>
                <w:rFonts w:hint="eastAsia"/>
                <w:lang w:val="en-US" w:eastAsia="zh-CN"/>
              </w:rPr>
              <w:t>固定式成型机。</w:t>
            </w:r>
          </w:p>
          <w:p>
            <w:pPr>
              <w:bidi w:val="0"/>
              <w:rPr>
                <w:rFonts w:hint="eastAsia" w:ascii="Times New Roman" w:hAnsi="Times New Roman" w:eastAsia="宋体" w:cs="Times New Roman"/>
              </w:rPr>
            </w:pPr>
            <w:r>
              <w:rPr>
                <w:rFonts w:hint="eastAsia"/>
              </w:rPr>
              <w:t>本项目</w:t>
            </w:r>
            <w:r>
              <w:rPr>
                <w:rFonts w:hint="eastAsia"/>
                <w:lang w:val="en-US" w:eastAsia="zh-CN"/>
              </w:rPr>
              <w:t>已取得</w:t>
            </w:r>
            <w:r>
              <w:rPr>
                <w:rFonts w:hint="eastAsia"/>
              </w:rPr>
              <w:t>备案证，备案</w:t>
            </w:r>
            <w:r>
              <w:rPr>
                <w:rFonts w:hint="eastAsia"/>
                <w:lang w:val="en-US" w:eastAsia="zh-CN"/>
              </w:rPr>
              <w:t>证编号</w:t>
            </w:r>
            <w:r>
              <w:rPr>
                <w:rFonts w:hint="eastAsia"/>
              </w:rPr>
              <w:t>：2404181212652800000195，项目代码：2404-652824-04-01-412274。</w:t>
            </w:r>
            <w:r>
              <w:rPr>
                <w:rFonts w:hint="eastAsia"/>
                <w:lang w:val="en-US" w:eastAsia="zh-CN"/>
              </w:rPr>
              <w:t>综上所述，本项目</w:t>
            </w:r>
            <w:r>
              <w:rPr>
                <w:rFonts w:hint="eastAsia"/>
              </w:rPr>
              <w:t>符合国家</w:t>
            </w:r>
            <w:r>
              <w:rPr>
                <w:rFonts w:hint="eastAsia"/>
                <w:lang w:val="en-US" w:eastAsia="zh-CN"/>
              </w:rPr>
              <w:t>相关</w:t>
            </w:r>
            <w:r>
              <w:rPr>
                <w:rFonts w:hint="eastAsia"/>
              </w:rPr>
              <w:t>产业政策</w:t>
            </w:r>
            <w:r>
              <w:rPr>
                <w:rFonts w:hint="eastAsia" w:ascii="Times New Roman" w:hAnsi="Times New Roman" w:eastAsia="宋体" w:cs="Times New Roman"/>
              </w:rPr>
              <w:t>。</w:t>
            </w:r>
          </w:p>
          <w:p>
            <w:pPr>
              <w:pStyle w:val="4"/>
              <w:bidi w:val="0"/>
              <w:rPr>
                <w:rFonts w:hint="eastAsia"/>
                <w:lang w:val="en-US" w:eastAsia="zh-CN"/>
              </w:rPr>
            </w:pPr>
            <w:r>
              <w:rPr>
                <w:rFonts w:hint="eastAsia"/>
                <w:lang w:val="en-US" w:eastAsia="zh-CN"/>
              </w:rPr>
              <w:t>2、与新疆维吾尔自治区分区管控方案的符合性分析</w:t>
            </w:r>
          </w:p>
          <w:p>
            <w:pPr>
              <w:bidi w:val="0"/>
              <w:rPr>
                <w:rFonts w:hint="eastAsia"/>
                <w:lang w:val="en-US" w:eastAsia="zh-CN"/>
              </w:rPr>
            </w:pPr>
            <w:r>
              <w:rPr>
                <w:rFonts w:hint="default"/>
                <w:lang w:val="en-US" w:eastAsia="zh-CN"/>
              </w:rPr>
              <w:t>2021年2月新疆维吾尔自治区人民政府发布了《新疆维吾尔自治区“三线一单”生态环境分区管控方案》（新政发﹝2021﹞18号）。为落实其管控要求，2021年7月新疆维吾尔自治区生态环境厅发布了《新疆维吾尔自治区七大片区“三线一单”生态环境分区管控要求》（新环环评发﹝2021﹞162号），2024年11月新疆维吾尔自治区生态环境厅发布了关于印发《新疆维吾尔自治区生态环境分区管控动态更新成果》的通知（新环环评发﹝2024﹞157号）</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表1</w:t>
            </w:r>
            <w:r>
              <w:rPr>
                <w:rFonts w:hint="eastAsia" w:ascii="Times New Roman" w:hAnsi="Times New Roman" w:cs="Times New Roman"/>
                <w:b/>
                <w:bCs/>
                <w:sz w:val="21"/>
                <w:szCs w:val="21"/>
                <w:lang w:val="en-US" w:eastAsia="zh-CN"/>
              </w:rPr>
              <w:t>-</w:t>
            </w:r>
            <w:r>
              <w:rPr>
                <w:rFonts w:hint="eastAsia" w:cs="Times New Roman"/>
                <w:b/>
                <w:bCs/>
                <w:sz w:val="21"/>
                <w:szCs w:val="21"/>
                <w:lang w:val="en-US" w:eastAsia="zh-CN"/>
              </w:rPr>
              <w:t>1</w:t>
            </w:r>
            <w:r>
              <w:rPr>
                <w:rFonts w:hint="eastAsia" w:ascii="Times New Roman" w:hAnsi="Times New Roman" w:eastAsia="宋体" w:cs="Times New Roman"/>
                <w:b/>
                <w:bCs/>
                <w:sz w:val="21"/>
                <w:szCs w:val="21"/>
                <w:lang w:val="en-US" w:eastAsia="zh-CN"/>
              </w:rPr>
              <w:t>与《关于印发</w:t>
            </w:r>
            <w:r>
              <w:rPr>
                <w:rFonts w:hint="eastAsia" w:cs="Times New Roman"/>
                <w:b/>
                <w:bCs/>
                <w:sz w:val="21"/>
                <w:szCs w:val="21"/>
                <w:lang w:val="en-US" w:eastAsia="zh-CN"/>
              </w:rPr>
              <w:t>〈</w:t>
            </w:r>
            <w:r>
              <w:rPr>
                <w:rFonts w:hint="eastAsia" w:ascii="Times New Roman" w:hAnsi="Times New Roman" w:eastAsia="宋体" w:cs="Times New Roman"/>
                <w:b/>
                <w:bCs/>
                <w:sz w:val="21"/>
                <w:szCs w:val="21"/>
                <w:lang w:val="en-US" w:eastAsia="zh-CN"/>
              </w:rPr>
              <w:t>新疆维吾尔自治区生态环境分区管控动态更新成果</w:t>
            </w:r>
            <w:r>
              <w:rPr>
                <w:rFonts w:hint="eastAsia" w:cs="Times New Roman"/>
                <w:b/>
                <w:bCs/>
                <w:sz w:val="21"/>
                <w:szCs w:val="21"/>
                <w:lang w:val="en-US" w:eastAsia="zh-CN"/>
              </w:rPr>
              <w:t>〉</w:t>
            </w:r>
            <w:r>
              <w:rPr>
                <w:rFonts w:hint="eastAsia" w:ascii="Times New Roman" w:hAnsi="Times New Roman" w:eastAsia="宋体" w:cs="Times New Roman"/>
                <w:b/>
                <w:bCs/>
                <w:sz w:val="21"/>
                <w:szCs w:val="21"/>
                <w:lang w:val="en-US" w:eastAsia="zh-CN"/>
              </w:rPr>
              <w:t>的通知》（新政发〔2024〕157号）的符合性表</w:t>
            </w:r>
          </w:p>
          <w:tbl>
            <w:tblPr>
              <w:tblStyle w:val="84"/>
              <w:tblW w:w="4997"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7"/>
              <w:gridCol w:w="741"/>
              <w:gridCol w:w="3366"/>
              <w:gridCol w:w="2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004" w:type="dxa"/>
                  <w:gridSpan w:val="2"/>
                  <w:tcBorders>
                    <w:tl2br w:val="nil"/>
                    <w:tr2bl w:val="nil"/>
                  </w:tcBorders>
                  <w:noWrap w:val="0"/>
                  <w:vAlign w:val="center"/>
                </w:tcPr>
                <w:p>
                  <w:pPr>
                    <w:pStyle w:val="6"/>
                    <w:bidi w:val="0"/>
                    <w:rPr>
                      <w:rFonts w:hint="default"/>
                      <w:lang w:val="en-US" w:eastAsia="zh-CN"/>
                    </w:rPr>
                  </w:pPr>
                  <w:r>
                    <w:rPr>
                      <w:rFonts w:hint="default"/>
                      <w:lang w:val="en-US" w:eastAsia="zh-CN"/>
                    </w:rPr>
                    <w:t>管控维度</w:t>
                  </w: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管控要求</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符合性分析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restart"/>
                  <w:tcBorders>
                    <w:tl2br w:val="nil"/>
                    <w:tr2bl w:val="nil"/>
                  </w:tcBorders>
                  <w:noWrap w:val="0"/>
                  <w:vAlign w:val="center"/>
                </w:tcPr>
                <w:p>
                  <w:pPr>
                    <w:pStyle w:val="6"/>
                    <w:bidi w:val="0"/>
                    <w:rPr>
                      <w:rFonts w:hint="default"/>
                      <w:lang w:val="en-US" w:eastAsia="zh-CN"/>
                    </w:rPr>
                  </w:pPr>
                  <w:r>
                    <w:rPr>
                      <w:rFonts w:hint="default"/>
                      <w:lang w:val="en-US" w:eastAsia="zh-CN"/>
                    </w:rPr>
                    <w:t>A1空间布局约束</w:t>
                  </w:r>
                </w:p>
              </w:tc>
              <w:tc>
                <w:tcPr>
                  <w:tcW w:w="742" w:type="dxa"/>
                  <w:tcBorders>
                    <w:tl2br w:val="nil"/>
                    <w:tr2bl w:val="nil"/>
                  </w:tcBorders>
                  <w:noWrap w:val="0"/>
                  <w:vAlign w:val="center"/>
                </w:tcPr>
                <w:p>
                  <w:pPr>
                    <w:pStyle w:val="6"/>
                    <w:bidi w:val="0"/>
                    <w:rPr>
                      <w:rFonts w:hint="default"/>
                      <w:lang w:val="en-US" w:eastAsia="zh-CN"/>
                    </w:rPr>
                  </w:pPr>
                  <w:r>
                    <w:rPr>
                      <w:rFonts w:hint="default"/>
                      <w:lang w:val="en-US" w:eastAsia="zh-CN"/>
                    </w:rPr>
                    <w:t>A1.1禁止开发建设的活动</w:t>
                  </w: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〔A1.1-1〕禁止新建、扩建《产业结构调整指导目录（2024年本）》中淘汰类项目。禁止引入《市场准入负面清单（2022年版）》禁止准入类事项。</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符合，本项目属于《产业结构调整指导目录》（2024 年本）鼓励类项目，不属于《市场准入负面清单（202</w:t>
                  </w:r>
                  <w:r>
                    <w:rPr>
                      <w:rFonts w:hint="eastAsia"/>
                      <w:lang w:val="en-US" w:eastAsia="zh-CN"/>
                    </w:rPr>
                    <w:t>5</w:t>
                  </w:r>
                  <w:r>
                    <w:rPr>
                      <w:rFonts w:hint="default"/>
                      <w:lang w:val="en-US" w:eastAsia="zh-CN"/>
                    </w:rPr>
                    <w:t>年版）》禁止准入事项。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continue"/>
                  <w:tcBorders>
                    <w:tl2br w:val="nil"/>
                    <w:tr2bl w:val="nil"/>
                  </w:tcBorders>
                  <w:noWrap w:val="0"/>
                  <w:vAlign w:val="center"/>
                </w:tcPr>
                <w:p>
                  <w:pPr>
                    <w:pStyle w:val="6"/>
                    <w:bidi w:val="0"/>
                    <w:rPr>
                      <w:rFonts w:hint="default"/>
                      <w:lang w:val="en-US" w:eastAsia="zh-CN"/>
                    </w:rPr>
                  </w:pPr>
                </w:p>
              </w:tc>
              <w:tc>
                <w:tcPr>
                  <w:tcW w:w="742" w:type="dxa"/>
                  <w:vMerge w:val="restart"/>
                  <w:tcBorders>
                    <w:tl2br w:val="nil"/>
                    <w:tr2bl w:val="nil"/>
                  </w:tcBorders>
                  <w:noWrap w:val="0"/>
                  <w:vAlign w:val="center"/>
                </w:tcPr>
                <w:p>
                  <w:pPr>
                    <w:pStyle w:val="6"/>
                    <w:bidi w:val="0"/>
                    <w:rPr>
                      <w:rFonts w:hint="default"/>
                      <w:lang w:val="en-US" w:eastAsia="zh-CN"/>
                    </w:rPr>
                  </w:pPr>
                  <w:r>
                    <w:rPr>
                      <w:rFonts w:hint="default"/>
                      <w:lang w:val="en-US" w:eastAsia="zh-CN"/>
                    </w:rPr>
                    <w:t>A1.2限制开发建设的活动</w:t>
                  </w: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符合，本项目用地为</w:t>
                  </w:r>
                  <w:r>
                    <w:rPr>
                      <w:rFonts w:hint="eastAsia"/>
                      <w:lang w:val="en-US" w:eastAsia="zh-CN"/>
                    </w:rPr>
                    <w:t>工业用地</w:t>
                  </w:r>
                  <w:r>
                    <w:rPr>
                      <w:rFonts w:hint="default"/>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continue"/>
                  <w:tcBorders>
                    <w:tl2br w:val="nil"/>
                    <w:tr2bl w:val="nil"/>
                  </w:tcBorders>
                  <w:noWrap w:val="0"/>
                  <w:vAlign w:val="center"/>
                </w:tcPr>
                <w:p>
                  <w:pPr>
                    <w:pStyle w:val="6"/>
                    <w:bidi w:val="0"/>
                    <w:rPr>
                      <w:rFonts w:hint="default"/>
                      <w:lang w:val="en-US" w:eastAsia="zh-CN"/>
                    </w:rPr>
                  </w:pPr>
                </w:p>
              </w:tc>
              <w:tc>
                <w:tcPr>
                  <w:tcW w:w="742" w:type="dxa"/>
                  <w:vMerge w:val="continue"/>
                  <w:tcBorders>
                    <w:tl2br w:val="nil"/>
                    <w:tr2bl w:val="nil"/>
                  </w:tcBorders>
                  <w:noWrap w:val="0"/>
                  <w:vAlign w:val="center"/>
                </w:tcPr>
                <w:p>
                  <w:pPr>
                    <w:pStyle w:val="6"/>
                    <w:bidi w:val="0"/>
                    <w:rPr>
                      <w:rFonts w:hint="default"/>
                      <w:lang w:val="en-US" w:eastAsia="zh-CN"/>
                    </w:rPr>
                  </w:pP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〔A1.2-3〕以用途变更为住宅、公共管理与公共服务用地的地块为重点，严格建设用地准入管理和风险管控，未依法完成土壤污染状况调查或风险评估的地块，不得开工建设与风险管控和修复无关的项目。</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符合，本项目用地为</w:t>
                  </w:r>
                  <w:r>
                    <w:rPr>
                      <w:rFonts w:hint="eastAsia"/>
                      <w:lang w:val="en-US" w:eastAsia="zh-CN"/>
                    </w:rPr>
                    <w:t>工业用地</w:t>
                  </w:r>
                  <w:r>
                    <w:rPr>
                      <w:rFonts w:hint="default"/>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continue"/>
                  <w:tcBorders>
                    <w:tl2br w:val="nil"/>
                    <w:tr2bl w:val="nil"/>
                  </w:tcBorders>
                  <w:noWrap w:val="0"/>
                  <w:vAlign w:val="center"/>
                </w:tcPr>
                <w:p>
                  <w:pPr>
                    <w:pStyle w:val="6"/>
                    <w:bidi w:val="0"/>
                    <w:rPr>
                      <w:rFonts w:hint="default"/>
                      <w:lang w:val="en-US" w:eastAsia="zh-CN"/>
                    </w:rPr>
                  </w:pPr>
                </w:p>
              </w:tc>
              <w:tc>
                <w:tcPr>
                  <w:tcW w:w="742" w:type="dxa"/>
                  <w:tcBorders>
                    <w:tl2br w:val="nil"/>
                    <w:tr2bl w:val="nil"/>
                  </w:tcBorders>
                  <w:noWrap w:val="0"/>
                  <w:vAlign w:val="center"/>
                </w:tcPr>
                <w:p>
                  <w:pPr>
                    <w:pStyle w:val="6"/>
                    <w:bidi w:val="0"/>
                    <w:rPr>
                      <w:rFonts w:hint="default"/>
                      <w:lang w:val="en-US" w:eastAsia="zh-CN"/>
                    </w:rPr>
                  </w:pPr>
                  <w:r>
                    <w:rPr>
                      <w:rFonts w:hint="default"/>
                      <w:lang w:val="en-US" w:eastAsia="zh-CN"/>
                    </w:rPr>
                    <w:t>A1.3不符合空间布局要求活动的退出要求</w:t>
                  </w: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〔A1.3-1〕任何单位和个人不得在水源涵养区、饮用水水源保护区内和河流、湖泊、水库周围建设重化工、涉重金属等工业污染项目；对已建成的工业污染项目，当地人民政府应当组织限期搬迁。</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w:t>
                  </w:r>
                  <w:r>
                    <w:rPr>
                      <w:rFonts w:hint="eastAsia"/>
                      <w:lang w:val="en-US" w:eastAsia="zh-CN"/>
                    </w:rPr>
                    <w:t>不属于重化工、涉重金属等工业污染项目</w:t>
                  </w:r>
                  <w:r>
                    <w:rPr>
                      <w:rFonts w:hint="default"/>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continue"/>
                  <w:tcBorders>
                    <w:tl2br w:val="nil"/>
                    <w:tr2bl w:val="nil"/>
                  </w:tcBorders>
                  <w:noWrap w:val="0"/>
                  <w:vAlign w:val="center"/>
                </w:tcPr>
                <w:p>
                  <w:pPr>
                    <w:pStyle w:val="6"/>
                    <w:bidi w:val="0"/>
                    <w:rPr>
                      <w:rFonts w:hint="default"/>
                      <w:lang w:val="en-US" w:eastAsia="zh-CN"/>
                    </w:rPr>
                  </w:pPr>
                </w:p>
              </w:tc>
              <w:tc>
                <w:tcPr>
                  <w:tcW w:w="742" w:type="dxa"/>
                  <w:tcBorders>
                    <w:tl2br w:val="nil"/>
                    <w:tr2bl w:val="nil"/>
                  </w:tcBorders>
                  <w:noWrap w:val="0"/>
                  <w:vAlign w:val="center"/>
                </w:tcPr>
                <w:p>
                  <w:pPr>
                    <w:pStyle w:val="6"/>
                    <w:bidi w:val="0"/>
                    <w:rPr>
                      <w:rFonts w:hint="default"/>
                      <w:lang w:val="en-US" w:eastAsia="zh-CN"/>
                    </w:rPr>
                  </w:pPr>
                  <w:r>
                    <w:rPr>
                      <w:rFonts w:hint="default"/>
                      <w:lang w:val="en-US" w:eastAsia="zh-CN"/>
                    </w:rPr>
                    <w:t>A1.4其它布局要求</w:t>
                  </w: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1.4-1〕一切开发建设活动应符合国家、自治区主体功能区规划、自治区和各地颁布实施的生态环境功能区划、国民经济发展规划、产业发展规划、国土空间规划等相关规划及重点生态功能区负面清单要求，符合区域或产业规划环评要求。</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符合，项目位于</w:t>
                  </w:r>
                  <w:r>
                    <w:rPr>
                      <w:rFonts w:hint="eastAsia"/>
                      <w:lang w:val="en-US" w:eastAsia="zh-CN"/>
                    </w:rPr>
                    <w:t>若羌县城南建材产业园区，</w:t>
                  </w:r>
                  <w:r>
                    <w:rPr>
                      <w:rFonts w:hint="default"/>
                      <w:lang w:val="en-US" w:eastAsia="zh-CN"/>
                    </w:rPr>
                    <w:t>本项目符合</w:t>
                  </w:r>
                  <w:r>
                    <w:rPr>
                      <w:rFonts w:hint="eastAsia"/>
                      <w:lang w:val="en-US" w:eastAsia="zh-CN"/>
                    </w:rPr>
                    <w:t>若羌县国土空间规划</w:t>
                  </w:r>
                  <w:r>
                    <w:rPr>
                      <w:rFonts w:hint="default"/>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restart"/>
                  <w:tcBorders>
                    <w:tl2br w:val="nil"/>
                    <w:tr2bl w:val="nil"/>
                  </w:tcBorders>
                  <w:noWrap w:val="0"/>
                  <w:vAlign w:val="center"/>
                </w:tcPr>
                <w:p>
                  <w:pPr>
                    <w:pStyle w:val="6"/>
                    <w:bidi w:val="0"/>
                    <w:rPr>
                      <w:rFonts w:hint="default"/>
                      <w:lang w:val="en-US" w:eastAsia="zh-CN"/>
                    </w:rPr>
                  </w:pPr>
                  <w:r>
                    <w:rPr>
                      <w:rFonts w:hint="default"/>
                      <w:lang w:val="en-US" w:eastAsia="zh-CN"/>
                    </w:rPr>
                    <w:t>A2污染物排放管控</w:t>
                  </w:r>
                </w:p>
              </w:tc>
              <w:tc>
                <w:tcPr>
                  <w:tcW w:w="742" w:type="dxa"/>
                  <w:vMerge w:val="restart"/>
                  <w:tcBorders>
                    <w:tl2br w:val="nil"/>
                    <w:tr2bl w:val="nil"/>
                  </w:tcBorders>
                  <w:noWrap w:val="0"/>
                  <w:vAlign w:val="center"/>
                </w:tcPr>
                <w:p>
                  <w:pPr>
                    <w:pStyle w:val="6"/>
                    <w:bidi w:val="0"/>
                    <w:rPr>
                      <w:rFonts w:hint="default"/>
                      <w:lang w:val="en-US" w:eastAsia="zh-CN"/>
                    </w:rPr>
                  </w:pPr>
                  <w:r>
                    <w:rPr>
                      <w:rFonts w:hint="default"/>
                      <w:lang w:val="en-US" w:eastAsia="zh-CN"/>
                    </w:rPr>
                    <w:t>A2.1污染物削减/替代要求</w:t>
                  </w: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2.1-1〕新、改、扩建重点行业建设项目应符合“三线一单”、产业政策、区域环评、规划环评和行业环境准入管控要求。重点区域的新、改、扩建重点行业建设项目应遵循重点重金属污染物排放“减量替代”原则。</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符合，本项目位于</w:t>
                  </w:r>
                  <w:r>
                    <w:rPr>
                      <w:rFonts w:hint="eastAsia"/>
                      <w:lang w:val="en-US" w:eastAsia="zh-CN"/>
                    </w:rPr>
                    <w:t>若羌县城南建材产业园区，本项目不排放重金属污染物</w:t>
                  </w:r>
                  <w:r>
                    <w:rPr>
                      <w:rFonts w:hint="default"/>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continue"/>
                  <w:tcBorders>
                    <w:tl2br w:val="nil"/>
                    <w:tr2bl w:val="nil"/>
                  </w:tcBorders>
                  <w:noWrap w:val="0"/>
                  <w:vAlign w:val="center"/>
                </w:tcPr>
                <w:p>
                  <w:pPr>
                    <w:pStyle w:val="6"/>
                    <w:bidi w:val="0"/>
                    <w:rPr>
                      <w:rFonts w:hint="default"/>
                      <w:lang w:val="en-US" w:eastAsia="zh-CN"/>
                    </w:rPr>
                  </w:pPr>
                </w:p>
              </w:tc>
              <w:tc>
                <w:tcPr>
                  <w:tcW w:w="742" w:type="dxa"/>
                  <w:vMerge w:val="continue"/>
                  <w:tcBorders>
                    <w:tl2br w:val="nil"/>
                    <w:tr2bl w:val="nil"/>
                  </w:tcBorders>
                  <w:noWrap w:val="0"/>
                  <w:vAlign w:val="center"/>
                </w:tcPr>
                <w:p>
                  <w:pPr>
                    <w:pStyle w:val="6"/>
                    <w:bidi w:val="0"/>
                    <w:rPr>
                      <w:rFonts w:hint="default"/>
                      <w:lang w:val="en-US" w:eastAsia="zh-CN"/>
                    </w:rPr>
                  </w:pP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2.1-3〕促进大气污染物与温室气体协同控制。实施污染物和温室气体协同控制，实现减污降碳协同效应。开展工业、农业温室气体和污染减排协同控制研究，减少温室气体和污染物排放。强化污水、垃圾等集中处置设施环境管理，协同控制氢氟碳化物、甲烷、氧化亚氮等温室气体。加强节约能源与大气污染防治协同有效衔接，促进大气污染防治协同增效。</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w:t>
                  </w:r>
                  <w:r>
                    <w:rPr>
                      <w:rFonts w:hint="eastAsia"/>
                      <w:lang w:val="en-US" w:eastAsia="zh-CN"/>
                    </w:rPr>
                    <w:t>废气颗粒物经袋式除尘处理后经15m高排气筒排放</w:t>
                  </w:r>
                  <w:r>
                    <w:rPr>
                      <w:rFonts w:hint="default"/>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continue"/>
                  <w:tcBorders>
                    <w:tl2br w:val="nil"/>
                    <w:tr2bl w:val="nil"/>
                  </w:tcBorders>
                  <w:noWrap w:val="0"/>
                  <w:vAlign w:val="center"/>
                </w:tcPr>
                <w:p>
                  <w:pPr>
                    <w:pStyle w:val="6"/>
                    <w:bidi w:val="0"/>
                    <w:rPr>
                      <w:rFonts w:hint="default"/>
                      <w:lang w:val="en-US" w:eastAsia="zh-CN"/>
                    </w:rPr>
                  </w:pPr>
                </w:p>
              </w:tc>
              <w:tc>
                <w:tcPr>
                  <w:tcW w:w="742" w:type="dxa"/>
                  <w:vMerge w:val="restart"/>
                  <w:tcBorders>
                    <w:tl2br w:val="nil"/>
                    <w:tr2bl w:val="nil"/>
                  </w:tcBorders>
                  <w:noWrap w:val="0"/>
                  <w:vAlign w:val="center"/>
                </w:tcPr>
                <w:p>
                  <w:pPr>
                    <w:pStyle w:val="6"/>
                    <w:bidi w:val="0"/>
                    <w:rPr>
                      <w:rFonts w:hint="default"/>
                      <w:lang w:val="en-US" w:eastAsia="zh-CN"/>
                    </w:rPr>
                  </w:pPr>
                  <w:r>
                    <w:rPr>
                      <w:rFonts w:hint="default"/>
                      <w:lang w:val="en-US" w:eastAsia="zh-CN"/>
                    </w:rPr>
                    <w:t>A2.2污染控制措施要求</w:t>
                  </w: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2.2-1〕推动能源、钢铁、建材、有色、电力、化工等重点领域技术升级，控制工业过程温室气体排放，推动工业领域绿色低碳发展。积极鼓励发展二氧化碳捕集利用与封存等低碳技术。促进大气污染物与温室气体协同控制。实施污染物和温室气体协同控制，实现减污降碳协同效应。强化污水、垃圾等集中处置设施环境管理，协同控制氢氟碳化物、甲烷、氧化亚氮等温室气体。加强节约能源与大气污染防治协同有效衔接，促进大气污染防治协同增效。</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w:t>
                  </w:r>
                  <w:r>
                    <w:rPr>
                      <w:rFonts w:hint="eastAsia"/>
                      <w:lang w:val="en-US" w:eastAsia="zh-CN"/>
                    </w:rPr>
                    <w:t>废气颗粒物经袋式除尘处理后经15m高排气筒排放</w:t>
                  </w:r>
                  <w:r>
                    <w:rPr>
                      <w:rFonts w:hint="default"/>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continue"/>
                  <w:tcBorders>
                    <w:tl2br w:val="nil"/>
                    <w:tr2bl w:val="nil"/>
                  </w:tcBorders>
                  <w:noWrap w:val="0"/>
                  <w:vAlign w:val="center"/>
                </w:tcPr>
                <w:p>
                  <w:pPr>
                    <w:pStyle w:val="6"/>
                    <w:bidi w:val="0"/>
                    <w:rPr>
                      <w:rFonts w:hint="default"/>
                      <w:lang w:val="en-US" w:eastAsia="zh-CN"/>
                    </w:rPr>
                  </w:pPr>
                </w:p>
              </w:tc>
              <w:tc>
                <w:tcPr>
                  <w:tcW w:w="742" w:type="dxa"/>
                  <w:vMerge w:val="continue"/>
                  <w:tcBorders>
                    <w:tl2br w:val="nil"/>
                    <w:tr2bl w:val="nil"/>
                  </w:tcBorders>
                  <w:noWrap w:val="0"/>
                  <w:vAlign w:val="center"/>
                </w:tcPr>
                <w:p>
                  <w:pPr>
                    <w:pStyle w:val="6"/>
                    <w:bidi w:val="0"/>
                    <w:rPr>
                      <w:rFonts w:hint="default"/>
                      <w:lang w:val="en-US" w:eastAsia="zh-CN"/>
                    </w:rPr>
                  </w:pP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2.2-3〕强化重点区域大气污染联防联控，合理确定产业布局，推动区域内统一产业准入和排放标准。实施水泥行业错峰生产，推进散煤整治、挥发性有机污染物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w:t>
                  </w:r>
                  <w:r>
                    <w:rPr>
                      <w:rFonts w:hint="eastAsia"/>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restart"/>
                  <w:tcBorders>
                    <w:tl2br w:val="nil"/>
                    <w:tr2bl w:val="nil"/>
                  </w:tcBorders>
                  <w:noWrap w:val="0"/>
                  <w:vAlign w:val="center"/>
                </w:tcPr>
                <w:p>
                  <w:pPr>
                    <w:pStyle w:val="6"/>
                    <w:bidi w:val="0"/>
                    <w:rPr>
                      <w:rFonts w:hint="default"/>
                      <w:lang w:val="en-US" w:eastAsia="zh-CN"/>
                    </w:rPr>
                  </w:pPr>
                  <w:r>
                    <w:rPr>
                      <w:rFonts w:hint="default"/>
                      <w:lang w:val="en-US" w:eastAsia="zh-CN"/>
                    </w:rPr>
                    <w:t>A3环境风险防控</w:t>
                  </w:r>
                </w:p>
              </w:tc>
              <w:tc>
                <w:tcPr>
                  <w:tcW w:w="742" w:type="dxa"/>
                  <w:tcBorders>
                    <w:tl2br w:val="nil"/>
                    <w:tr2bl w:val="nil"/>
                  </w:tcBorders>
                  <w:noWrap w:val="0"/>
                  <w:vAlign w:val="center"/>
                </w:tcPr>
                <w:p>
                  <w:pPr>
                    <w:pStyle w:val="6"/>
                    <w:bidi w:val="0"/>
                    <w:rPr>
                      <w:rFonts w:hint="default"/>
                      <w:lang w:val="en-US" w:eastAsia="zh-CN"/>
                    </w:rPr>
                  </w:pPr>
                  <w:r>
                    <w:rPr>
                      <w:rFonts w:hint="default"/>
                      <w:lang w:val="en-US" w:eastAsia="zh-CN"/>
                    </w:rPr>
                    <w:t>A3.1人居环境要求</w:t>
                  </w: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〔A3.1-1〕建立和完善重污染天气兵地联合应急预案、预报预警应急机制和会商联动机制。“乌一昌一石”区域内可能影响相邻行政区域大气环境的项目，兵地间、城市间必须相互征求意见。</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符合，本项目积极响应重污染天气应急预案。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continue"/>
                  <w:tcBorders>
                    <w:tl2br w:val="nil"/>
                    <w:tr2bl w:val="nil"/>
                  </w:tcBorders>
                  <w:noWrap w:val="0"/>
                  <w:vAlign w:val="center"/>
                </w:tcPr>
                <w:p>
                  <w:pPr>
                    <w:pStyle w:val="6"/>
                    <w:bidi w:val="0"/>
                    <w:rPr>
                      <w:rFonts w:hint="default"/>
                      <w:lang w:val="en-US" w:eastAsia="zh-CN"/>
                    </w:rPr>
                  </w:pPr>
                </w:p>
              </w:tc>
              <w:tc>
                <w:tcPr>
                  <w:tcW w:w="742" w:type="dxa"/>
                  <w:vMerge w:val="restart"/>
                  <w:tcBorders>
                    <w:tl2br w:val="nil"/>
                    <w:tr2bl w:val="nil"/>
                  </w:tcBorders>
                  <w:noWrap w:val="0"/>
                  <w:vAlign w:val="center"/>
                </w:tcPr>
                <w:p>
                  <w:pPr>
                    <w:pStyle w:val="6"/>
                    <w:bidi w:val="0"/>
                    <w:rPr>
                      <w:rFonts w:hint="default"/>
                      <w:lang w:val="en-US" w:eastAsia="zh-CN"/>
                    </w:rPr>
                  </w:pP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污）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w:t>
                  </w:r>
                  <w:r>
                    <w:rPr>
                      <w:rFonts w:hint="eastAsia"/>
                      <w:lang w:val="en-US" w:eastAsia="zh-CN"/>
                    </w:rPr>
                    <w:t>为水泥制品制造，按照</w:t>
                  </w:r>
                  <w:r>
                    <w:rPr>
                      <w:rFonts w:hint="default"/>
                      <w:lang w:val="en-US" w:eastAsia="zh-CN"/>
                    </w:rPr>
                    <w:t>排污许可管理有关要求</w:t>
                  </w:r>
                  <w:r>
                    <w:rPr>
                      <w:rFonts w:hint="eastAsia"/>
                      <w:lang w:val="en-US" w:eastAsia="zh-CN"/>
                    </w:rPr>
                    <w:t>，本项目应进行登记管理</w:t>
                  </w:r>
                  <w:r>
                    <w:rPr>
                      <w:rFonts w:hint="default"/>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continue"/>
                  <w:tcBorders>
                    <w:tl2br w:val="nil"/>
                    <w:tr2bl w:val="nil"/>
                  </w:tcBorders>
                  <w:noWrap w:val="0"/>
                  <w:vAlign w:val="center"/>
                </w:tcPr>
                <w:p>
                  <w:pPr>
                    <w:pStyle w:val="6"/>
                    <w:bidi w:val="0"/>
                    <w:rPr>
                      <w:rFonts w:hint="default"/>
                      <w:lang w:val="en-US" w:eastAsia="zh-CN"/>
                    </w:rPr>
                  </w:pPr>
                </w:p>
              </w:tc>
              <w:tc>
                <w:tcPr>
                  <w:tcW w:w="742" w:type="dxa"/>
                  <w:vMerge w:val="continue"/>
                  <w:tcBorders>
                    <w:tl2br w:val="nil"/>
                    <w:tr2bl w:val="nil"/>
                  </w:tcBorders>
                  <w:noWrap w:val="0"/>
                  <w:vAlign w:val="center"/>
                </w:tcPr>
                <w:p>
                  <w:pPr>
                    <w:pStyle w:val="6"/>
                    <w:bidi w:val="0"/>
                    <w:rPr>
                      <w:rFonts w:hint="default"/>
                      <w:lang w:val="en-US" w:eastAsia="zh-CN"/>
                    </w:rPr>
                  </w:pP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w:t>
                  </w:r>
                  <w:r>
                    <w:rPr>
                      <w:rFonts w:hint="eastAsia"/>
                      <w:lang w:val="en-US" w:eastAsia="zh-CN"/>
                    </w:rPr>
                    <w:t>环评中要求建设单位</w:t>
                  </w:r>
                  <w:r>
                    <w:rPr>
                      <w:rFonts w:hint="default"/>
                      <w:lang w:val="en-US" w:eastAsia="zh-CN"/>
                    </w:rPr>
                    <w:t>编制突发环境事件应急预案。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continue"/>
                  <w:tcBorders>
                    <w:tl2br w:val="nil"/>
                    <w:tr2bl w:val="nil"/>
                  </w:tcBorders>
                  <w:noWrap w:val="0"/>
                  <w:vAlign w:val="center"/>
                </w:tcPr>
                <w:p>
                  <w:pPr>
                    <w:pStyle w:val="6"/>
                    <w:bidi w:val="0"/>
                    <w:rPr>
                      <w:rFonts w:hint="default"/>
                      <w:lang w:val="en-US" w:eastAsia="zh-CN"/>
                    </w:rPr>
                  </w:pPr>
                </w:p>
              </w:tc>
              <w:tc>
                <w:tcPr>
                  <w:tcW w:w="742" w:type="dxa"/>
                  <w:vMerge w:val="continue"/>
                  <w:tcBorders>
                    <w:tl2br w:val="nil"/>
                    <w:tr2bl w:val="nil"/>
                  </w:tcBorders>
                  <w:noWrap w:val="0"/>
                  <w:vAlign w:val="center"/>
                </w:tcPr>
                <w:p>
                  <w:pPr>
                    <w:pStyle w:val="6"/>
                    <w:bidi w:val="0"/>
                    <w:rPr>
                      <w:rFonts w:hint="default"/>
                      <w:lang w:val="en-US" w:eastAsia="zh-CN"/>
                    </w:rPr>
                  </w:pP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3.2-6〕强化兵地联防联控联治，落实兵地统一规划、统一政策、统一标准、统一要求、统一推进的防治管理措施，完善重大项目环境影响评价区域会商、重污染天气兵地联合应急联动机制。建立兵地生态环境联合执法和联合监测长效机制。</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符合，本项目积极响应重污染天气应急预案。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restart"/>
                  <w:tcBorders>
                    <w:tl2br w:val="nil"/>
                    <w:tr2bl w:val="nil"/>
                  </w:tcBorders>
                  <w:noWrap w:val="0"/>
                  <w:vAlign w:val="center"/>
                </w:tcPr>
                <w:p>
                  <w:pPr>
                    <w:pStyle w:val="6"/>
                    <w:bidi w:val="0"/>
                    <w:rPr>
                      <w:rFonts w:hint="default"/>
                      <w:lang w:val="en-US" w:eastAsia="zh-CN"/>
                    </w:rPr>
                  </w:pPr>
                  <w:r>
                    <w:rPr>
                      <w:rFonts w:hint="default"/>
                      <w:lang w:val="en-US" w:eastAsia="zh-CN"/>
                    </w:rPr>
                    <w:t>A4资源利用要求</w:t>
                  </w:r>
                </w:p>
              </w:tc>
              <w:tc>
                <w:tcPr>
                  <w:tcW w:w="742" w:type="dxa"/>
                  <w:tcBorders>
                    <w:tl2br w:val="nil"/>
                    <w:tr2bl w:val="nil"/>
                  </w:tcBorders>
                  <w:noWrap w:val="0"/>
                  <w:vAlign w:val="center"/>
                </w:tcPr>
                <w:p>
                  <w:pPr>
                    <w:pStyle w:val="6"/>
                    <w:bidi w:val="0"/>
                    <w:rPr>
                      <w:rFonts w:hint="default"/>
                      <w:lang w:val="en-US" w:eastAsia="zh-CN"/>
                    </w:rPr>
                  </w:pPr>
                  <w:r>
                    <w:rPr>
                      <w:rFonts w:hint="default"/>
                      <w:lang w:val="en-US" w:eastAsia="zh-CN"/>
                    </w:rPr>
                    <w:t>A4.1水资源</w:t>
                  </w: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4.1-2〕加大城镇污水再生利用工程建设力度，推进区域再生水循环利用，到2025年，城市生活污水再生利用率力争达到60%。〔A4.1-3〕加强农村水利基础设施建设，推进农村供水保障工程，农村自来水普及率、集中供水率分别达到99.3%、99.7%。</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符合，本项目污水主要为生活污水，</w:t>
                  </w:r>
                  <w:r>
                    <w:rPr>
                      <w:rFonts w:hint="eastAsia"/>
                      <w:lang w:val="en-US" w:eastAsia="zh-CN"/>
                    </w:rPr>
                    <w:t>定期拉运至若羌县污水处理厂处理</w:t>
                  </w:r>
                  <w:r>
                    <w:rPr>
                      <w:rFonts w:hint="default"/>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continue"/>
                  <w:tcBorders>
                    <w:tl2br w:val="nil"/>
                    <w:tr2bl w:val="nil"/>
                  </w:tcBorders>
                  <w:noWrap w:val="0"/>
                  <w:vAlign w:val="center"/>
                </w:tcPr>
                <w:p>
                  <w:pPr>
                    <w:pStyle w:val="6"/>
                    <w:bidi w:val="0"/>
                    <w:rPr>
                      <w:rFonts w:hint="default"/>
                      <w:lang w:val="en-US" w:eastAsia="zh-CN"/>
                    </w:rPr>
                  </w:pPr>
                </w:p>
              </w:tc>
              <w:tc>
                <w:tcPr>
                  <w:tcW w:w="742" w:type="dxa"/>
                  <w:tcBorders>
                    <w:tl2br w:val="nil"/>
                    <w:tr2bl w:val="nil"/>
                  </w:tcBorders>
                  <w:noWrap w:val="0"/>
                  <w:vAlign w:val="center"/>
                </w:tcPr>
                <w:p>
                  <w:pPr>
                    <w:pStyle w:val="6"/>
                    <w:bidi w:val="0"/>
                    <w:rPr>
                      <w:rFonts w:hint="default"/>
                      <w:lang w:val="en-US" w:eastAsia="zh-CN"/>
                    </w:rPr>
                  </w:pPr>
                  <w:r>
                    <w:rPr>
                      <w:rFonts w:hint="default"/>
                      <w:lang w:val="en-US" w:eastAsia="zh-CN"/>
                    </w:rPr>
                    <w:t>A4.2土地资源</w:t>
                  </w: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〔A4.2-1〕土地资源上线指标控制在最终批复的国土空间规划控制指标内。</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符合，本项目已取得</w:t>
                  </w:r>
                  <w:r>
                    <w:rPr>
                      <w:rFonts w:hint="eastAsia"/>
                      <w:lang w:val="en-US" w:eastAsia="zh-CN"/>
                    </w:rPr>
                    <w:t>用地手续</w:t>
                  </w:r>
                  <w:r>
                    <w:rPr>
                      <w:rFonts w:hint="default"/>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continue"/>
                  <w:tcBorders>
                    <w:tl2br w:val="nil"/>
                    <w:tr2bl w:val="nil"/>
                  </w:tcBorders>
                  <w:noWrap w:val="0"/>
                  <w:vAlign w:val="center"/>
                </w:tcPr>
                <w:p>
                  <w:pPr>
                    <w:pStyle w:val="6"/>
                    <w:bidi w:val="0"/>
                    <w:rPr>
                      <w:rFonts w:hint="default"/>
                      <w:lang w:val="en-US" w:eastAsia="zh-CN"/>
                    </w:rPr>
                  </w:pPr>
                </w:p>
              </w:tc>
              <w:tc>
                <w:tcPr>
                  <w:tcW w:w="742" w:type="dxa"/>
                  <w:tcBorders>
                    <w:tl2br w:val="nil"/>
                    <w:tr2bl w:val="nil"/>
                  </w:tcBorders>
                  <w:noWrap w:val="0"/>
                  <w:vAlign w:val="center"/>
                </w:tcPr>
                <w:p>
                  <w:pPr>
                    <w:pStyle w:val="6"/>
                    <w:bidi w:val="0"/>
                    <w:rPr>
                      <w:rFonts w:hint="default"/>
                      <w:lang w:val="en-US" w:eastAsia="zh-CN"/>
                    </w:rPr>
                  </w:pPr>
                  <w:r>
                    <w:rPr>
                      <w:rFonts w:hint="default"/>
                      <w:lang w:val="en-US" w:eastAsia="zh-CN"/>
                    </w:rPr>
                    <w:t>A4.4禁燃区要求</w:t>
                  </w: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〔A4.4-1〕在禁燃区内，禁止销售、燃用高污染燃料；禁止新建、扩建燃用高污染燃料的设施。已建成的，应当在规定期限内改用清洁能源。</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62" w:type="dxa"/>
                  <w:vMerge w:val="continue"/>
                  <w:tcBorders>
                    <w:tl2br w:val="nil"/>
                    <w:tr2bl w:val="nil"/>
                  </w:tcBorders>
                  <w:noWrap w:val="0"/>
                  <w:vAlign w:val="center"/>
                </w:tcPr>
                <w:p>
                  <w:pPr>
                    <w:pStyle w:val="6"/>
                    <w:bidi w:val="0"/>
                    <w:rPr>
                      <w:rFonts w:hint="default"/>
                      <w:lang w:val="en-US" w:eastAsia="zh-CN"/>
                    </w:rPr>
                  </w:pPr>
                </w:p>
              </w:tc>
              <w:tc>
                <w:tcPr>
                  <w:tcW w:w="742" w:type="dxa"/>
                  <w:tcBorders>
                    <w:tl2br w:val="nil"/>
                    <w:tr2bl w:val="nil"/>
                  </w:tcBorders>
                  <w:noWrap w:val="0"/>
                  <w:vAlign w:val="center"/>
                </w:tcPr>
                <w:p>
                  <w:pPr>
                    <w:pStyle w:val="6"/>
                    <w:bidi w:val="0"/>
                    <w:rPr>
                      <w:rFonts w:hint="default"/>
                      <w:lang w:val="en-US" w:eastAsia="zh-CN"/>
                    </w:rPr>
                  </w:pPr>
                  <w:r>
                    <w:rPr>
                      <w:rFonts w:hint="default"/>
                      <w:lang w:val="en-US" w:eastAsia="zh-CN"/>
                    </w:rPr>
                    <w:t>A4.5资源综合利用</w:t>
                  </w:r>
                </w:p>
              </w:tc>
              <w:tc>
                <w:tcPr>
                  <w:tcW w:w="3374" w:type="dxa"/>
                  <w:tcBorders>
                    <w:tl2br w:val="nil"/>
                    <w:tr2bl w:val="nil"/>
                  </w:tcBorders>
                  <w:noWrap w:val="0"/>
                  <w:vAlign w:val="center"/>
                </w:tcPr>
                <w:p>
                  <w:pPr>
                    <w:pStyle w:val="6"/>
                    <w:bidi w:val="0"/>
                    <w:rPr>
                      <w:rFonts w:hint="default"/>
                      <w:lang w:val="en-US" w:eastAsia="zh-CN"/>
                    </w:rPr>
                  </w:pPr>
                  <w:r>
                    <w:rPr>
                      <w:rFonts w:hint="default"/>
                      <w:lang w:val="en-US" w:eastAsia="zh-CN"/>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市）生活垃圾处理设施，到2025年，全疆城市生活垃圾无害化处理率达到99%以上。</w:t>
                  </w:r>
                </w:p>
              </w:tc>
              <w:tc>
                <w:tcPr>
                  <w:tcW w:w="2927" w:type="dxa"/>
                  <w:tcBorders>
                    <w:tl2br w:val="nil"/>
                    <w:tr2bl w:val="nil"/>
                  </w:tcBorders>
                  <w:noWrap w:val="0"/>
                  <w:vAlign w:val="center"/>
                </w:tcPr>
                <w:p>
                  <w:pPr>
                    <w:pStyle w:val="6"/>
                    <w:bidi w:val="0"/>
                    <w:rPr>
                      <w:rFonts w:hint="default"/>
                      <w:lang w:val="en-US" w:eastAsia="zh-CN"/>
                    </w:rPr>
                  </w:pPr>
                  <w:r>
                    <w:rPr>
                      <w:rFonts w:hint="default"/>
                      <w:lang w:val="en-US" w:eastAsia="zh-CN"/>
                    </w:rPr>
                    <w:t>符合，本项目产生的</w:t>
                  </w:r>
                  <w:r>
                    <w:rPr>
                      <w:rFonts w:hint="eastAsia"/>
                      <w:lang w:val="en-US" w:eastAsia="zh-CN"/>
                    </w:rPr>
                    <w:t>固体废物</w:t>
                  </w:r>
                  <w:r>
                    <w:rPr>
                      <w:rFonts w:hint="default"/>
                      <w:lang w:val="en-US" w:eastAsia="zh-CN"/>
                    </w:rPr>
                    <w:t>除尘灰、沉降粉尘及沉淀池沉渣收集后定期清理后回用于生产；废布袋、不合格产品及边角料经集中收集处理后定期清运至一般固废填埋场填埋；生活垃圾由厂区设置的垃圾桶收集后，定期交由园区环卫部门处置；</w:t>
                  </w:r>
                  <w:r>
                    <w:rPr>
                      <w:rFonts w:hint="eastAsia" w:ascii="Times New Roman" w:hAnsi="Times New Roman" w:eastAsia="宋体" w:cs="Times New Roman"/>
                      <w:color w:val="auto"/>
                      <w:kern w:val="0"/>
                      <w:highlight w:val="none"/>
                    </w:rPr>
                    <w:t>含油抹布、劳保用品</w:t>
                  </w:r>
                  <w:r>
                    <w:rPr>
                      <w:rFonts w:hint="eastAsia" w:ascii="Times New Roman" w:hAnsi="Times New Roman" w:eastAsia="宋体" w:cs="Times New Roman"/>
                      <w:color w:val="auto"/>
                      <w:kern w:val="0"/>
                      <w:highlight w:val="none"/>
                      <w:lang w:eastAsia="zh-CN"/>
                    </w:rPr>
                    <w:t>、</w:t>
                  </w:r>
                  <w:r>
                    <w:rPr>
                      <w:rFonts w:hint="default"/>
                      <w:lang w:val="en-US" w:eastAsia="zh-CN"/>
                    </w:rPr>
                    <w:t>废润滑油和废油桶收集暂存于危废暂存间，定期交由有资质的单位处理</w:t>
                  </w:r>
                  <w:r>
                    <w:rPr>
                      <w:rFonts w:hint="eastAsia"/>
                      <w:lang w:val="en-US" w:eastAsia="zh-CN"/>
                    </w:rPr>
                    <w:t>。</w:t>
                  </w:r>
                </w:p>
              </w:tc>
            </w:tr>
          </w:tbl>
          <w:p>
            <w:pPr>
              <w:pStyle w:val="10"/>
              <w:bidi w:val="0"/>
              <w:rPr>
                <w:rFonts w:hint="eastAsia"/>
                <w:lang w:val="en-US" w:eastAsia="zh-CN"/>
              </w:rPr>
            </w:pPr>
            <w:r>
              <w:rPr>
                <w:rFonts w:hint="eastAsia"/>
                <w:lang w:val="en-US" w:eastAsia="zh-CN"/>
              </w:rPr>
              <w:t>表1-2《自治区生态环境分区管控方案和七大片区管控要求》的符合性分析</w:t>
            </w:r>
          </w:p>
          <w:tbl>
            <w:tblPr>
              <w:tblStyle w:val="41"/>
              <w:tblW w:w="491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0"/>
              <w:gridCol w:w="703"/>
              <w:gridCol w:w="3418"/>
              <w:gridCol w:w="2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88" w:type="pct"/>
                  <w:tcBorders>
                    <w:tl2br w:val="nil"/>
                    <w:tr2bl w:val="nil"/>
                  </w:tcBorders>
                  <w:noWrap w:val="0"/>
                  <w:vAlign w:val="center"/>
                </w:tcPr>
                <w:p>
                  <w:pPr>
                    <w:pStyle w:val="6"/>
                    <w:bidi w:val="0"/>
                    <w:rPr>
                      <w:rFonts w:hint="default"/>
                      <w:lang w:val="en-US" w:eastAsia="zh-CN"/>
                    </w:rPr>
                  </w:pPr>
                </w:p>
              </w:tc>
              <w:tc>
                <w:tcPr>
                  <w:tcW w:w="489" w:type="pct"/>
                  <w:tcBorders>
                    <w:tl2br w:val="nil"/>
                    <w:tr2bl w:val="nil"/>
                  </w:tcBorders>
                  <w:noWrap w:val="0"/>
                  <w:vAlign w:val="center"/>
                </w:tcPr>
                <w:p>
                  <w:pPr>
                    <w:pStyle w:val="6"/>
                    <w:bidi w:val="0"/>
                    <w:rPr>
                      <w:rFonts w:hint="default"/>
                      <w:lang w:val="en-US" w:eastAsia="zh-CN"/>
                    </w:rPr>
                  </w:pPr>
                  <w:r>
                    <w:rPr>
                      <w:rFonts w:hint="default"/>
                      <w:lang w:val="en-US" w:eastAsia="zh-CN"/>
                    </w:rPr>
                    <w:t>管控类别</w:t>
                  </w:r>
                </w:p>
              </w:tc>
              <w:tc>
                <w:tcPr>
                  <w:tcW w:w="2383" w:type="pct"/>
                  <w:tcBorders>
                    <w:tl2br w:val="nil"/>
                    <w:tr2bl w:val="nil"/>
                  </w:tcBorders>
                  <w:noWrap w:val="0"/>
                  <w:vAlign w:val="center"/>
                </w:tcPr>
                <w:p>
                  <w:pPr>
                    <w:pStyle w:val="6"/>
                    <w:bidi w:val="0"/>
                    <w:rPr>
                      <w:rFonts w:hint="default"/>
                      <w:lang w:val="en-US" w:eastAsia="zh-CN"/>
                    </w:rPr>
                  </w:pPr>
                  <w:r>
                    <w:rPr>
                      <w:rFonts w:hint="default"/>
                      <w:lang w:val="en-US" w:eastAsia="zh-CN"/>
                    </w:rPr>
                    <w:t>管控要求</w:t>
                  </w:r>
                </w:p>
              </w:tc>
              <w:tc>
                <w:tcPr>
                  <w:tcW w:w="1638" w:type="pct"/>
                  <w:tcBorders>
                    <w:tl2br w:val="nil"/>
                    <w:tr2bl w:val="nil"/>
                  </w:tcBorders>
                  <w:noWrap w:val="0"/>
                  <w:vAlign w:val="center"/>
                </w:tcPr>
                <w:p>
                  <w:pPr>
                    <w:pStyle w:val="6"/>
                    <w:bidi w:val="0"/>
                    <w:rPr>
                      <w:rFonts w:hint="default"/>
                      <w:lang w:val="en-US" w:eastAsia="zh-CN"/>
                    </w:rPr>
                  </w:pPr>
                  <w:r>
                    <w:rPr>
                      <w:rFonts w:hint="default"/>
                      <w:lang w:val="en-US" w:eastAsia="zh-CN"/>
                    </w:rPr>
                    <w:t>符合性分析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88" w:type="pct"/>
                  <w:vMerge w:val="restart"/>
                  <w:tcBorders>
                    <w:tl2br w:val="nil"/>
                    <w:tr2bl w:val="nil"/>
                  </w:tcBorders>
                  <w:noWrap w:val="0"/>
                  <w:vAlign w:val="center"/>
                </w:tcPr>
                <w:p>
                  <w:pPr>
                    <w:pStyle w:val="6"/>
                    <w:bidi w:val="0"/>
                    <w:rPr>
                      <w:rFonts w:hint="default"/>
                      <w:lang w:val="en-US" w:eastAsia="zh-CN"/>
                    </w:rPr>
                  </w:pPr>
                  <w:r>
                    <w:rPr>
                      <w:rFonts w:hint="eastAsia"/>
                      <w:lang w:val="en-US" w:eastAsia="zh-CN"/>
                    </w:rPr>
                    <w:t>生态环境分区管控</w:t>
                  </w:r>
                </w:p>
              </w:tc>
              <w:tc>
                <w:tcPr>
                  <w:tcW w:w="489" w:type="pct"/>
                  <w:vMerge w:val="restart"/>
                  <w:tcBorders>
                    <w:tl2br w:val="nil"/>
                    <w:tr2bl w:val="nil"/>
                  </w:tcBorders>
                  <w:noWrap w:val="0"/>
                  <w:vAlign w:val="center"/>
                </w:tcPr>
                <w:p>
                  <w:pPr>
                    <w:pStyle w:val="6"/>
                    <w:bidi w:val="0"/>
                    <w:rPr>
                      <w:rFonts w:hint="default"/>
                      <w:lang w:val="en-US" w:eastAsia="zh-CN"/>
                    </w:rPr>
                  </w:pPr>
                  <w:r>
                    <w:rPr>
                      <w:rFonts w:hint="eastAsia"/>
                      <w:lang w:val="en-US" w:eastAsia="zh-CN"/>
                    </w:rPr>
                    <w:t>空间布局约束</w:t>
                  </w:r>
                </w:p>
              </w:tc>
              <w:tc>
                <w:tcPr>
                  <w:tcW w:w="2383" w:type="pct"/>
                  <w:tcBorders>
                    <w:tl2br w:val="nil"/>
                    <w:tr2bl w:val="nil"/>
                  </w:tcBorders>
                  <w:noWrap w:val="0"/>
                  <w:vAlign w:val="center"/>
                </w:tcPr>
                <w:p>
                  <w:pPr>
                    <w:pStyle w:val="6"/>
                    <w:bidi w:val="0"/>
                    <w:rPr>
                      <w:rFonts w:hint="eastAsia"/>
                      <w:lang w:val="en-US" w:eastAsia="zh-CN"/>
                    </w:rPr>
                  </w:pPr>
                  <w:r>
                    <w:rPr>
                      <w:rFonts w:hint="default"/>
                      <w:lang w:val="en-US" w:eastAsia="zh-CN"/>
                    </w:rPr>
                    <w:t>严格执行国家、自治区产业政策和环境准入要求，严禁</w:t>
                  </w:r>
                  <w:r>
                    <w:rPr>
                      <w:rFonts w:hint="eastAsia"/>
                      <w:lang w:val="en-US" w:eastAsia="zh-CN"/>
                    </w:rPr>
                    <w:t>“</w:t>
                  </w:r>
                  <w:r>
                    <w:rPr>
                      <w:rFonts w:hint="default"/>
                      <w:lang w:val="en-US" w:eastAsia="zh-CN"/>
                    </w:rPr>
                    <w:t>三高</w:t>
                  </w:r>
                  <w:r>
                    <w:rPr>
                      <w:rFonts w:hint="eastAsia"/>
                      <w:lang w:val="en-US" w:eastAsia="zh-CN"/>
                    </w:rPr>
                    <w:t>”</w:t>
                  </w:r>
                  <w:r>
                    <w:rPr>
                      <w:rFonts w:hint="default"/>
                      <w:lang w:val="en-US" w:eastAsia="zh-CN"/>
                    </w:rPr>
                    <w:t>项目进新疆，坚决遏制</w:t>
                  </w:r>
                  <w:r>
                    <w:rPr>
                      <w:rFonts w:hint="eastAsia"/>
                      <w:lang w:val="en-US" w:eastAsia="zh-CN"/>
                    </w:rPr>
                    <w:t>“</w:t>
                  </w:r>
                  <w:r>
                    <w:rPr>
                      <w:rFonts w:hint="default"/>
                      <w:lang w:val="en-US" w:eastAsia="zh-CN"/>
                    </w:rPr>
                    <w:t>两高</w:t>
                  </w:r>
                  <w:r>
                    <w:rPr>
                      <w:rFonts w:hint="eastAsia"/>
                      <w:lang w:val="en-US" w:eastAsia="zh-CN"/>
                    </w:rPr>
                    <w:t>”</w:t>
                  </w:r>
                  <w:r>
                    <w:rPr>
                      <w:rFonts w:hint="default"/>
                      <w:lang w:val="en-US" w:eastAsia="zh-CN"/>
                    </w:rPr>
                    <w:t>项目盲目发展。</w:t>
                  </w:r>
                </w:p>
              </w:tc>
              <w:tc>
                <w:tcPr>
                  <w:tcW w:w="1638" w:type="pct"/>
                  <w:tcBorders>
                    <w:tl2br w:val="nil"/>
                    <w:tr2bl w:val="nil"/>
                  </w:tcBorders>
                  <w:noWrap w:val="0"/>
                  <w:vAlign w:val="center"/>
                </w:tcPr>
                <w:p>
                  <w:pPr>
                    <w:pStyle w:val="6"/>
                    <w:bidi w:val="0"/>
                    <w:rPr>
                      <w:rFonts w:hint="default"/>
                      <w:lang w:val="en-US" w:eastAsia="zh-CN"/>
                    </w:rPr>
                  </w:pPr>
                  <w:r>
                    <w:rPr>
                      <w:rFonts w:hint="default"/>
                      <w:lang w:val="en-US" w:eastAsia="zh-CN"/>
                    </w:rPr>
                    <w:t>符合，本项目属于《产业结构调整指导目录（2024年本）》</w:t>
                  </w:r>
                  <w:r>
                    <w:rPr>
                      <w:rFonts w:hint="eastAsia"/>
                      <w:lang w:val="en-US" w:eastAsia="zh-CN"/>
                    </w:rPr>
                    <w:t>鼓励类</w:t>
                  </w:r>
                  <w:r>
                    <w:rPr>
                      <w:rFonts w:hint="default"/>
                      <w:lang w:val="en-US" w:eastAsia="zh-CN"/>
                    </w:rPr>
                    <w:t>项目，不属于《市场准入负面清单（202</w:t>
                  </w:r>
                  <w:r>
                    <w:rPr>
                      <w:rFonts w:hint="eastAsia"/>
                      <w:lang w:val="en-US" w:eastAsia="zh-CN"/>
                    </w:rPr>
                    <w:t>5</w:t>
                  </w:r>
                  <w:r>
                    <w:rPr>
                      <w:rFonts w:hint="default"/>
                      <w:lang w:val="en-US" w:eastAsia="zh-CN"/>
                    </w:rPr>
                    <w:t>年版）》禁止准入事项，不属于“三高”项目</w:t>
                  </w:r>
                  <w:r>
                    <w:rPr>
                      <w:rFonts w:hint="eastAsia"/>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88" w:type="pct"/>
                  <w:vMerge w:val="continue"/>
                  <w:tcBorders>
                    <w:tl2br w:val="nil"/>
                    <w:tr2bl w:val="nil"/>
                  </w:tcBorders>
                  <w:noWrap w:val="0"/>
                  <w:vAlign w:val="center"/>
                </w:tcPr>
                <w:p>
                  <w:pPr>
                    <w:pStyle w:val="6"/>
                    <w:bidi w:val="0"/>
                    <w:rPr>
                      <w:rFonts w:hint="default"/>
                      <w:lang w:val="en-US" w:eastAsia="zh-CN"/>
                    </w:rPr>
                  </w:pPr>
                </w:p>
              </w:tc>
              <w:tc>
                <w:tcPr>
                  <w:tcW w:w="489" w:type="pct"/>
                  <w:vMerge w:val="continue"/>
                  <w:tcBorders>
                    <w:tl2br w:val="nil"/>
                    <w:tr2bl w:val="nil"/>
                  </w:tcBorders>
                  <w:noWrap w:val="0"/>
                  <w:vAlign w:val="center"/>
                </w:tcPr>
                <w:p>
                  <w:pPr>
                    <w:pStyle w:val="6"/>
                    <w:bidi w:val="0"/>
                    <w:rPr>
                      <w:rFonts w:hint="default"/>
                      <w:lang w:val="en-US" w:eastAsia="zh-CN"/>
                    </w:rPr>
                  </w:pPr>
                </w:p>
              </w:tc>
              <w:tc>
                <w:tcPr>
                  <w:tcW w:w="2383" w:type="pct"/>
                  <w:tcBorders>
                    <w:tl2br w:val="nil"/>
                    <w:tr2bl w:val="nil"/>
                  </w:tcBorders>
                  <w:noWrap w:val="0"/>
                  <w:vAlign w:val="center"/>
                </w:tcPr>
                <w:p>
                  <w:pPr>
                    <w:pStyle w:val="6"/>
                    <w:bidi w:val="0"/>
                    <w:rPr>
                      <w:rFonts w:hint="default"/>
                      <w:lang w:val="en-US" w:eastAsia="zh-CN"/>
                    </w:rPr>
                  </w:pPr>
                  <w:r>
                    <w:rPr>
                      <w:rFonts w:hint="default"/>
                      <w:lang w:val="en-US" w:eastAsia="zh-CN"/>
                    </w:rPr>
                    <w:t>不得在水源涵养区、饮用水水源保护区内和河流、湖泊、水库周围建设重化工、涉重金属等工业污染项目。</w:t>
                  </w:r>
                </w:p>
              </w:tc>
              <w:tc>
                <w:tcPr>
                  <w:tcW w:w="1638" w:type="pct"/>
                  <w:tcBorders>
                    <w:tl2br w:val="nil"/>
                    <w:tr2bl w:val="nil"/>
                  </w:tcBorders>
                  <w:noWrap w:val="0"/>
                  <w:vAlign w:val="center"/>
                </w:tcPr>
                <w:p>
                  <w:pPr>
                    <w:pStyle w:val="6"/>
                    <w:bidi w:val="0"/>
                    <w:rPr>
                      <w:rFonts w:hint="default"/>
                      <w:lang w:val="en-US" w:eastAsia="zh-CN"/>
                    </w:rPr>
                  </w:pPr>
                  <w:r>
                    <w:rPr>
                      <w:rFonts w:hint="eastAsia"/>
                      <w:lang w:val="en-US" w:eastAsia="zh-CN"/>
                    </w:rPr>
                    <w:t>符合，本项目不属于</w:t>
                  </w:r>
                  <w:r>
                    <w:rPr>
                      <w:rFonts w:hint="default"/>
                      <w:lang w:val="en-US" w:eastAsia="zh-CN"/>
                    </w:rPr>
                    <w:t>重化工、涉重金属等工业污染项目</w:t>
                  </w:r>
                  <w:r>
                    <w:rPr>
                      <w:rFonts w:hint="eastAsia"/>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88" w:type="pct"/>
                  <w:vMerge w:val="continue"/>
                  <w:tcBorders>
                    <w:tl2br w:val="nil"/>
                    <w:tr2bl w:val="nil"/>
                  </w:tcBorders>
                  <w:noWrap w:val="0"/>
                  <w:vAlign w:val="center"/>
                </w:tcPr>
                <w:p>
                  <w:pPr>
                    <w:pStyle w:val="6"/>
                    <w:bidi w:val="0"/>
                    <w:rPr>
                      <w:rFonts w:hint="default"/>
                      <w:lang w:val="en-US" w:eastAsia="zh-CN"/>
                    </w:rPr>
                  </w:pPr>
                </w:p>
              </w:tc>
              <w:tc>
                <w:tcPr>
                  <w:tcW w:w="489" w:type="pct"/>
                  <w:vMerge w:val="continue"/>
                  <w:tcBorders>
                    <w:tl2br w:val="nil"/>
                    <w:tr2bl w:val="nil"/>
                  </w:tcBorders>
                  <w:noWrap w:val="0"/>
                  <w:vAlign w:val="center"/>
                </w:tcPr>
                <w:p>
                  <w:pPr>
                    <w:pStyle w:val="6"/>
                    <w:bidi w:val="0"/>
                    <w:rPr>
                      <w:rFonts w:hint="default"/>
                      <w:lang w:val="en-US" w:eastAsia="zh-CN"/>
                    </w:rPr>
                  </w:pPr>
                </w:p>
              </w:tc>
              <w:tc>
                <w:tcPr>
                  <w:tcW w:w="2383" w:type="pct"/>
                  <w:tcBorders>
                    <w:tl2br w:val="nil"/>
                    <w:tr2bl w:val="nil"/>
                  </w:tcBorders>
                  <w:noWrap w:val="0"/>
                  <w:vAlign w:val="center"/>
                </w:tcPr>
                <w:p>
                  <w:pPr>
                    <w:pStyle w:val="6"/>
                    <w:bidi w:val="0"/>
                    <w:rPr>
                      <w:rFonts w:hint="eastAsia"/>
                      <w:lang w:val="en-US" w:eastAsia="zh-CN"/>
                    </w:rPr>
                  </w:pPr>
                  <w:r>
                    <w:rPr>
                      <w:rFonts w:hint="default"/>
                      <w:lang w:val="en-US" w:eastAsia="zh-CN"/>
                    </w:rPr>
                    <w:t>推动项目集聚发展，新建、改建、扩建工业项目原则上应布置由县级及以上人民政府批准建立、环境保护基础设施完善的产业园区、工业聚集区或规划矿区，并且符合相关规划和规划环评要求</w:t>
                  </w:r>
                  <w:r>
                    <w:rPr>
                      <w:rFonts w:hint="eastAsia"/>
                      <w:lang w:val="en-US" w:eastAsia="zh-CN"/>
                    </w:rPr>
                    <w:t>。</w:t>
                  </w:r>
                </w:p>
              </w:tc>
              <w:tc>
                <w:tcPr>
                  <w:tcW w:w="1638" w:type="pct"/>
                  <w:tcBorders>
                    <w:tl2br w:val="nil"/>
                    <w:tr2bl w:val="nil"/>
                  </w:tcBorders>
                  <w:noWrap w:val="0"/>
                  <w:vAlign w:val="center"/>
                </w:tcPr>
                <w:p>
                  <w:pPr>
                    <w:pStyle w:val="6"/>
                    <w:bidi w:val="0"/>
                    <w:rPr>
                      <w:rFonts w:hint="default"/>
                      <w:lang w:val="en-US" w:eastAsia="zh-CN"/>
                    </w:rPr>
                  </w:pPr>
                  <w:r>
                    <w:rPr>
                      <w:rFonts w:hint="eastAsia"/>
                      <w:lang w:val="en-US" w:eastAsia="zh-CN"/>
                    </w:rPr>
                    <w:t>符合，本项目为新建项目，占地为工业用地，符合若羌县国土空间规划。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88" w:type="pct"/>
                  <w:vMerge w:val="continue"/>
                  <w:tcBorders>
                    <w:tl2br w:val="nil"/>
                    <w:tr2bl w:val="nil"/>
                  </w:tcBorders>
                  <w:noWrap w:val="0"/>
                  <w:vAlign w:val="center"/>
                </w:tcPr>
                <w:p>
                  <w:pPr>
                    <w:pStyle w:val="6"/>
                    <w:bidi w:val="0"/>
                    <w:rPr>
                      <w:rFonts w:hint="eastAsia"/>
                      <w:lang w:val="en-US" w:eastAsia="zh-CN"/>
                    </w:rPr>
                  </w:pPr>
                </w:p>
              </w:tc>
              <w:tc>
                <w:tcPr>
                  <w:tcW w:w="489" w:type="pct"/>
                  <w:tcBorders>
                    <w:tl2br w:val="nil"/>
                    <w:tr2bl w:val="nil"/>
                  </w:tcBorders>
                  <w:noWrap w:val="0"/>
                  <w:vAlign w:val="center"/>
                </w:tcPr>
                <w:p>
                  <w:pPr>
                    <w:pStyle w:val="6"/>
                    <w:bidi w:val="0"/>
                    <w:rPr>
                      <w:rFonts w:hint="default"/>
                      <w:lang w:val="en-US" w:eastAsia="zh-CN"/>
                    </w:rPr>
                  </w:pPr>
                  <w:r>
                    <w:rPr>
                      <w:rFonts w:hint="eastAsia"/>
                      <w:lang w:val="en-US" w:eastAsia="zh-CN"/>
                    </w:rPr>
                    <w:t>污染物排放管控</w:t>
                  </w:r>
                </w:p>
              </w:tc>
              <w:tc>
                <w:tcPr>
                  <w:tcW w:w="2383" w:type="pct"/>
                  <w:tcBorders>
                    <w:tl2br w:val="nil"/>
                    <w:tr2bl w:val="nil"/>
                  </w:tcBorders>
                  <w:noWrap w:val="0"/>
                  <w:vAlign w:val="center"/>
                </w:tcPr>
                <w:p>
                  <w:pPr>
                    <w:pStyle w:val="6"/>
                    <w:bidi w:val="0"/>
                    <w:rPr>
                      <w:rFonts w:hint="default"/>
                      <w:lang w:val="en-US" w:eastAsia="zh-CN"/>
                    </w:rPr>
                  </w:pPr>
                  <w:r>
                    <w:rPr>
                      <w:rFonts w:hint="default"/>
                      <w:lang w:val="en-US" w:eastAsia="zh-CN"/>
                    </w:rPr>
                    <w:t>以改善流域水环境质量为核心，强化源头控制</w:t>
                  </w:r>
                  <w:r>
                    <w:rPr>
                      <w:rFonts w:hint="eastAsia"/>
                      <w:lang w:val="en-US" w:eastAsia="zh-CN"/>
                    </w:rPr>
                    <w:t>，“</w:t>
                  </w:r>
                  <w:r>
                    <w:rPr>
                      <w:rFonts w:hint="default"/>
                      <w:lang w:val="en-US" w:eastAsia="zh-CN"/>
                    </w:rPr>
                    <w:t>一河（湖）一策</w:t>
                  </w:r>
                  <w:r>
                    <w:rPr>
                      <w:rFonts w:hint="eastAsia"/>
                      <w:lang w:val="en-US" w:eastAsia="zh-CN"/>
                    </w:rPr>
                    <w:t>”</w:t>
                  </w:r>
                  <w:r>
                    <w:rPr>
                      <w:rFonts w:hint="default"/>
                      <w:lang w:val="en-US" w:eastAsia="zh-CN"/>
                    </w:rPr>
                    <w:t>精准施治，减少水污染物排放，持续改善水环境质量。强化园区（工业集聚区</w:t>
                  </w:r>
                  <w:r>
                    <w:rPr>
                      <w:rFonts w:hint="eastAsia"/>
                      <w:lang w:val="en-US" w:eastAsia="zh-CN"/>
                    </w:rPr>
                    <w:t>）“</w:t>
                  </w:r>
                  <w:r>
                    <w:rPr>
                      <w:rFonts w:hint="default"/>
                      <w:lang w:val="en-US" w:eastAsia="zh-CN"/>
                    </w:rPr>
                    <w:t>水污染防治，不断提高工业用水重复利用率。加快实施城镇污水处理设施提质增效，补齐生活污水收集和处理设施短板，提高再生水回用比例。持续推进农业农村污染防治。</w:t>
                  </w:r>
                </w:p>
              </w:tc>
              <w:tc>
                <w:tcPr>
                  <w:tcW w:w="1638" w:type="pct"/>
                  <w:tcBorders>
                    <w:tl2br w:val="nil"/>
                    <w:tr2bl w:val="nil"/>
                  </w:tcBorders>
                  <w:noWrap w:val="0"/>
                  <w:vAlign w:val="center"/>
                </w:tcPr>
                <w:p>
                  <w:pPr>
                    <w:pStyle w:val="6"/>
                    <w:bidi w:val="0"/>
                    <w:rPr>
                      <w:rFonts w:hint="default"/>
                      <w:lang w:val="en-US" w:eastAsia="zh-CN"/>
                    </w:rPr>
                  </w:pPr>
                  <w:r>
                    <w:rPr>
                      <w:rFonts w:hint="eastAsia"/>
                      <w:lang w:val="en-US" w:eastAsia="zh-CN"/>
                    </w:rPr>
                    <w:t>符合，本项目生产废水循环使用，不外排，</w:t>
                  </w:r>
                  <w:r>
                    <w:rPr>
                      <w:rFonts w:hint="default"/>
                      <w:lang w:val="en-US" w:eastAsia="zh-CN"/>
                    </w:rPr>
                    <w:t>生活污水达到《污水综合排放标准》（GB8978-1996）中的三级标准后进入防渗化粪池，</w:t>
                  </w:r>
                  <w:r>
                    <w:rPr>
                      <w:rFonts w:hint="eastAsia"/>
                      <w:lang w:val="en-US" w:eastAsia="zh-CN"/>
                    </w:rPr>
                    <w:t>定期拉运至</w:t>
                  </w:r>
                  <w:r>
                    <w:rPr>
                      <w:rFonts w:hint="default"/>
                      <w:lang w:val="en-US" w:eastAsia="zh-CN"/>
                    </w:rPr>
                    <w:t>若羌县污水处理厂深度处理。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88" w:type="pct"/>
                  <w:vMerge w:val="continue"/>
                  <w:tcBorders>
                    <w:tl2br w:val="nil"/>
                    <w:tr2bl w:val="nil"/>
                  </w:tcBorders>
                  <w:noWrap w:val="0"/>
                  <w:vAlign w:val="center"/>
                </w:tcPr>
                <w:p>
                  <w:pPr>
                    <w:pStyle w:val="6"/>
                    <w:bidi w:val="0"/>
                    <w:rPr>
                      <w:rFonts w:hint="eastAsia"/>
                      <w:lang w:val="en-US" w:eastAsia="zh-CN"/>
                    </w:rPr>
                  </w:pPr>
                </w:p>
              </w:tc>
              <w:tc>
                <w:tcPr>
                  <w:tcW w:w="489" w:type="pct"/>
                  <w:tcBorders>
                    <w:tl2br w:val="nil"/>
                    <w:tr2bl w:val="nil"/>
                  </w:tcBorders>
                  <w:noWrap w:val="0"/>
                  <w:vAlign w:val="center"/>
                </w:tcPr>
                <w:p>
                  <w:pPr>
                    <w:pStyle w:val="6"/>
                    <w:bidi w:val="0"/>
                    <w:rPr>
                      <w:rFonts w:hint="default"/>
                      <w:lang w:val="en-US" w:eastAsia="zh-CN"/>
                    </w:rPr>
                  </w:pPr>
                  <w:r>
                    <w:rPr>
                      <w:rFonts w:hint="eastAsia"/>
                      <w:lang w:val="en-US" w:eastAsia="zh-CN"/>
                    </w:rPr>
                    <w:t>环境风险防控</w:t>
                  </w:r>
                </w:p>
              </w:tc>
              <w:tc>
                <w:tcPr>
                  <w:tcW w:w="2383" w:type="pct"/>
                  <w:tcBorders>
                    <w:tl2br w:val="nil"/>
                    <w:tr2bl w:val="nil"/>
                  </w:tcBorders>
                  <w:noWrap w:val="0"/>
                  <w:vAlign w:val="center"/>
                </w:tcPr>
                <w:p>
                  <w:pPr>
                    <w:pStyle w:val="6"/>
                    <w:bidi w:val="0"/>
                    <w:rPr>
                      <w:rFonts w:hint="default"/>
                      <w:lang w:val="en-US" w:eastAsia="zh-CN"/>
                    </w:rPr>
                  </w:pPr>
                  <w:r>
                    <w:rPr>
                      <w:rFonts w:hint="eastAsia"/>
                      <w:lang w:val="en-US" w:eastAsia="zh-CN"/>
                    </w:rPr>
                    <w:t>禁止在化工园区外新建、扩建危险化学品生产项目。严格落实危险废物处置相关要求。加强重点流域水环境风险管控，保障水环境安全。</w:t>
                  </w:r>
                </w:p>
              </w:tc>
              <w:tc>
                <w:tcPr>
                  <w:tcW w:w="1638" w:type="pct"/>
                  <w:tcBorders>
                    <w:tl2br w:val="nil"/>
                    <w:tr2bl w:val="nil"/>
                  </w:tcBorders>
                  <w:noWrap w:val="0"/>
                  <w:vAlign w:val="center"/>
                </w:tcPr>
                <w:p>
                  <w:pPr>
                    <w:pStyle w:val="6"/>
                    <w:bidi w:val="0"/>
                    <w:rPr>
                      <w:rFonts w:hint="default"/>
                      <w:lang w:val="en-US" w:eastAsia="zh-CN"/>
                    </w:rPr>
                  </w:pPr>
                  <w:r>
                    <w:rPr>
                      <w:rFonts w:hint="eastAsia"/>
                      <w:lang w:val="en-US" w:eastAsia="zh-CN"/>
                    </w:rPr>
                    <w:t>符合，本项目不属于危险化学品生产项目。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88" w:type="pct"/>
                  <w:vMerge w:val="continue"/>
                  <w:tcBorders>
                    <w:tl2br w:val="nil"/>
                    <w:tr2bl w:val="nil"/>
                  </w:tcBorders>
                  <w:noWrap w:val="0"/>
                  <w:vAlign w:val="center"/>
                </w:tcPr>
                <w:p>
                  <w:pPr>
                    <w:pStyle w:val="6"/>
                    <w:bidi w:val="0"/>
                    <w:rPr>
                      <w:rFonts w:hint="eastAsia"/>
                      <w:lang w:val="en-US" w:eastAsia="zh-CN"/>
                    </w:rPr>
                  </w:pPr>
                </w:p>
              </w:tc>
              <w:tc>
                <w:tcPr>
                  <w:tcW w:w="489" w:type="pct"/>
                  <w:tcBorders>
                    <w:tl2br w:val="nil"/>
                    <w:tr2bl w:val="nil"/>
                  </w:tcBorders>
                  <w:noWrap w:val="0"/>
                  <w:vAlign w:val="center"/>
                </w:tcPr>
                <w:p>
                  <w:pPr>
                    <w:pStyle w:val="6"/>
                    <w:bidi w:val="0"/>
                    <w:rPr>
                      <w:rFonts w:hint="default"/>
                      <w:lang w:val="en-US" w:eastAsia="zh-CN"/>
                    </w:rPr>
                  </w:pPr>
                  <w:r>
                    <w:rPr>
                      <w:rFonts w:hint="eastAsia"/>
                      <w:lang w:val="en-US" w:eastAsia="zh-CN"/>
                    </w:rPr>
                    <w:t>资源利用效率</w:t>
                  </w:r>
                </w:p>
              </w:tc>
              <w:tc>
                <w:tcPr>
                  <w:tcW w:w="2383" w:type="pct"/>
                  <w:tcBorders>
                    <w:tl2br w:val="nil"/>
                    <w:tr2bl w:val="nil"/>
                  </w:tcBorders>
                  <w:noWrap w:val="0"/>
                  <w:vAlign w:val="center"/>
                </w:tcPr>
                <w:p>
                  <w:pPr>
                    <w:pStyle w:val="6"/>
                    <w:bidi w:val="0"/>
                    <w:rPr>
                      <w:rFonts w:hint="default"/>
                      <w:lang w:val="en-US" w:eastAsia="zh-CN"/>
                    </w:rPr>
                  </w:pPr>
                  <w:r>
                    <w:rPr>
                      <w:rFonts w:hint="default"/>
                      <w:lang w:val="en-US" w:eastAsia="zh-CN"/>
                    </w:rPr>
                    <w:t>优化能源结构，控制煤炭等化石能源使用量，鼓励使用清洁能源，协同推进减污降碳。全面实施节水工程，合理开发利用水资源，提升水资源利用效率，保障生态用水，严防地下水超采。</w:t>
                  </w:r>
                </w:p>
              </w:tc>
              <w:tc>
                <w:tcPr>
                  <w:tcW w:w="1638" w:type="pct"/>
                  <w:tcBorders>
                    <w:tl2br w:val="nil"/>
                    <w:tr2bl w:val="nil"/>
                  </w:tcBorders>
                  <w:noWrap w:val="0"/>
                  <w:vAlign w:val="center"/>
                </w:tcPr>
                <w:p>
                  <w:pPr>
                    <w:pStyle w:val="6"/>
                    <w:bidi w:val="0"/>
                    <w:rPr>
                      <w:rFonts w:hint="default"/>
                      <w:lang w:val="en-US" w:eastAsia="zh-CN"/>
                    </w:rPr>
                  </w:pPr>
                  <w:r>
                    <w:rPr>
                      <w:rFonts w:hint="eastAsia"/>
                      <w:lang w:val="en-US" w:eastAsia="zh-CN"/>
                    </w:rPr>
                    <w:t>符合，本项目无</w:t>
                  </w:r>
                  <w:r>
                    <w:rPr>
                      <w:rFonts w:hint="default"/>
                      <w:lang w:val="en-US" w:eastAsia="zh-CN"/>
                    </w:rPr>
                    <w:t>炭等化石能源</w:t>
                  </w:r>
                  <w:r>
                    <w:rPr>
                      <w:rFonts w:hint="eastAsia"/>
                      <w:lang w:val="en-US" w:eastAsia="zh-CN"/>
                    </w:rPr>
                    <w:t>，用水来自供水管网，供电来源于国家电网。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78" w:type="pct"/>
                  <w:gridSpan w:val="2"/>
                  <w:tcBorders>
                    <w:tl2br w:val="nil"/>
                    <w:tr2bl w:val="nil"/>
                  </w:tcBorders>
                  <w:noWrap w:val="0"/>
                  <w:vAlign w:val="center"/>
                </w:tcPr>
                <w:p>
                  <w:pPr>
                    <w:pStyle w:val="6"/>
                    <w:bidi w:val="0"/>
                    <w:rPr>
                      <w:rFonts w:hint="default"/>
                      <w:lang w:val="en-US" w:eastAsia="zh-CN"/>
                    </w:rPr>
                  </w:pPr>
                  <w:r>
                    <w:rPr>
                      <w:rFonts w:hint="eastAsia"/>
                      <w:lang w:val="en-US" w:eastAsia="zh-CN"/>
                    </w:rPr>
                    <w:t>天山南坡片区</w:t>
                  </w:r>
                </w:p>
              </w:tc>
              <w:tc>
                <w:tcPr>
                  <w:tcW w:w="2383" w:type="pct"/>
                  <w:tcBorders>
                    <w:tl2br w:val="nil"/>
                    <w:tr2bl w:val="nil"/>
                  </w:tcBorders>
                  <w:noWrap w:val="0"/>
                  <w:vAlign w:val="center"/>
                </w:tcPr>
                <w:p>
                  <w:pPr>
                    <w:pStyle w:val="6"/>
                    <w:bidi w:val="0"/>
                    <w:rPr>
                      <w:rFonts w:hint="default"/>
                      <w:lang w:val="en-US" w:eastAsia="zh-CN"/>
                    </w:rPr>
                  </w:pPr>
                  <w:r>
                    <w:rPr>
                      <w:rFonts w:hint="default"/>
                      <w:lang w:val="en-US" w:eastAsia="zh-CN"/>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1638" w:type="pct"/>
                  <w:tcBorders>
                    <w:tl2br w:val="nil"/>
                    <w:tr2bl w:val="nil"/>
                  </w:tcBorders>
                  <w:noWrap w:val="0"/>
                  <w:vAlign w:val="center"/>
                </w:tcPr>
                <w:p>
                  <w:pPr>
                    <w:pStyle w:val="6"/>
                    <w:bidi w:val="0"/>
                    <w:rPr>
                      <w:rFonts w:hint="default"/>
                      <w:lang w:val="en-US" w:eastAsia="zh-CN"/>
                    </w:rPr>
                  </w:pPr>
                  <w:r>
                    <w:rPr>
                      <w:rFonts w:hint="eastAsia"/>
                      <w:lang w:val="en-US" w:eastAsia="zh-CN"/>
                    </w:rPr>
                    <w:t>符合，不涉及生态保护区、天然草地。</w:t>
                  </w:r>
                </w:p>
              </w:tc>
            </w:tr>
          </w:tbl>
          <w:p>
            <w:pPr>
              <w:bidi w:val="0"/>
            </w:pPr>
            <w:r>
              <w:rPr>
                <w:rFonts w:hint="eastAsia"/>
              </w:rPr>
              <w:t>综上可知，本项目建设符合</w:t>
            </w:r>
            <w:r>
              <w:rPr>
                <w:rFonts w:hint="eastAsia"/>
                <w:lang w:val="en-US" w:eastAsia="zh-CN"/>
              </w:rPr>
              <w:t>《新疆维吾尔自治区“三线一单”分区管控方案》（</w:t>
            </w:r>
            <w:r>
              <w:rPr>
                <w:rFonts w:hint="default"/>
                <w:lang w:val="en-US" w:eastAsia="zh-CN"/>
              </w:rPr>
              <w:t>新政发﹝</w:t>
            </w:r>
            <w:r>
              <w:rPr>
                <w:rFonts w:hint="eastAsia"/>
                <w:lang w:val="en-US" w:eastAsia="zh-CN"/>
              </w:rPr>
              <w:t>2021</w:t>
            </w:r>
            <w:r>
              <w:rPr>
                <w:rFonts w:hint="default"/>
                <w:lang w:val="en-US" w:eastAsia="zh-CN"/>
              </w:rPr>
              <w:t>﹞18号</w:t>
            </w:r>
            <w:r>
              <w:rPr>
                <w:rFonts w:hint="eastAsia"/>
                <w:lang w:val="en-US" w:eastAsia="zh-CN"/>
              </w:rPr>
              <w:t>）和《自治区生态环境分区管控方案和七大片区管控要求》</w:t>
            </w:r>
            <w:r>
              <w:rPr>
                <w:rFonts w:hint="eastAsia"/>
              </w:rPr>
              <w:t>中</w:t>
            </w:r>
            <w:r>
              <w:rPr>
                <w:rFonts w:hint="eastAsia"/>
                <w:lang w:eastAsia="zh-CN"/>
              </w:rPr>
              <w:t>的</w:t>
            </w:r>
            <w:r>
              <w:rPr>
                <w:rFonts w:hint="eastAsia"/>
              </w:rPr>
              <w:t>相关要求。</w:t>
            </w:r>
          </w:p>
          <w:p>
            <w:pPr>
              <w:pStyle w:val="4"/>
              <w:bidi w:val="0"/>
              <w:rPr>
                <w:rFonts w:hint="default"/>
              </w:rPr>
            </w:pPr>
            <w:r>
              <w:rPr>
                <w:rFonts w:hint="eastAsia"/>
                <w:lang w:val="en-US" w:eastAsia="zh-CN"/>
              </w:rPr>
              <w:t>3、与</w:t>
            </w:r>
            <w:r>
              <w:rPr>
                <w:rFonts w:hint="eastAsia"/>
                <w:lang w:eastAsia="zh-CN"/>
              </w:rPr>
              <w:t>《</w:t>
            </w:r>
            <w:r>
              <w:rPr>
                <w:rFonts w:hint="eastAsia" w:ascii="Times New Roman" w:hAnsi="Times New Roman" w:cs="Times New Roman"/>
                <w:b/>
                <w:bCs w:val="0"/>
                <w:color w:val="000000"/>
                <w:sz w:val="24"/>
                <w:lang w:val="en-US" w:eastAsia="zh-CN"/>
              </w:rPr>
              <w:t>关于印发巴音郭楞蒙古自治州“三线一单”生态环境分区管控动态更新成果（2023年）的通知</w:t>
            </w:r>
            <w:r>
              <w:rPr>
                <w:rFonts w:hint="eastAsia"/>
                <w:lang w:eastAsia="zh-CN"/>
              </w:rPr>
              <w:t>》</w:t>
            </w:r>
            <w:r>
              <w:rPr>
                <w:rFonts w:hint="eastAsia" w:ascii="Times New Roman" w:hAnsi="Times New Roman" w:cs="Times New Roman"/>
                <w:b/>
                <w:bCs w:val="0"/>
                <w:color w:val="000000"/>
                <w:sz w:val="24"/>
                <w:lang w:val="en-US" w:eastAsia="zh-CN"/>
              </w:rPr>
              <w:t>（巴政办发〔2024〕32号）</w:t>
            </w:r>
            <w:r>
              <w:rPr>
                <w:rFonts w:hint="eastAsia"/>
                <w:lang w:val="en-US" w:eastAsia="zh-CN"/>
              </w:rPr>
              <w:t>的</w:t>
            </w:r>
            <w:r>
              <w:rPr>
                <w:rFonts w:hint="default"/>
              </w:rPr>
              <w:t>符合性</w:t>
            </w:r>
          </w:p>
          <w:p>
            <w:pPr>
              <w:bidi w:val="0"/>
              <w:rPr>
                <w:rFonts w:hint="eastAsia"/>
                <w:lang w:eastAsia="zh-CN"/>
              </w:rPr>
            </w:pPr>
            <w:r>
              <w:rPr>
                <w:rFonts w:hint="default"/>
              </w:rPr>
              <w:t>通过对比</w:t>
            </w:r>
            <w:r>
              <w:rPr>
                <w:rFonts w:hint="default"/>
                <w:lang w:val="en-US" w:eastAsia="zh-CN"/>
              </w:rPr>
              <w:t>巴音郭楞蒙古自治州</w:t>
            </w:r>
            <w:r>
              <w:rPr>
                <w:rFonts w:hint="default"/>
              </w:rPr>
              <w:t>环境管控单元发布图及</w:t>
            </w:r>
            <w:r>
              <w:rPr>
                <w:rFonts w:hint="default"/>
                <w:lang w:val="en-US" w:eastAsia="zh-CN"/>
              </w:rPr>
              <w:t>巴音郭楞蒙古自治州</w:t>
            </w:r>
            <w:r>
              <w:rPr>
                <w:rFonts w:hint="default"/>
              </w:rPr>
              <w:t>生态环境准入清单，项目</w:t>
            </w:r>
            <w:r>
              <w:rPr>
                <w:rFonts w:hint="eastAsia"/>
              </w:rPr>
              <w:t>在“</w:t>
            </w:r>
            <w:r>
              <w:rPr>
                <w:rFonts w:hint="eastAsia"/>
                <w:lang w:val="en-US" w:eastAsia="zh-CN"/>
              </w:rPr>
              <w:t>若羌县一般管控区</w:t>
            </w:r>
            <w:r>
              <w:rPr>
                <w:rFonts w:hint="eastAsia"/>
              </w:rPr>
              <w:t>”</w:t>
            </w:r>
            <w:r>
              <w:rPr>
                <w:rFonts w:hint="default"/>
              </w:rPr>
              <w:t>管控单元编码</w:t>
            </w:r>
            <w:r>
              <w:rPr>
                <w:rFonts w:hint="eastAsia"/>
                <w:lang w:eastAsia="zh-CN"/>
              </w:rPr>
              <w:t>：</w:t>
            </w:r>
            <w:r>
              <w:rPr>
                <w:rFonts w:hint="default"/>
                <w:lang w:val="en-US" w:eastAsia="zh-CN"/>
              </w:rPr>
              <w:t>ZH65282430001</w:t>
            </w:r>
            <w:r>
              <w:rPr>
                <w:rFonts w:hint="default"/>
              </w:rPr>
              <w:t>，管控单元类别：</w:t>
            </w:r>
            <w:r>
              <w:rPr>
                <w:rFonts w:hint="eastAsia"/>
                <w:lang w:val="en-US" w:eastAsia="zh-CN"/>
              </w:rPr>
              <w:t>一般</w:t>
            </w:r>
            <w:r>
              <w:rPr>
                <w:rFonts w:hint="default"/>
                <w:lang w:val="en-US" w:eastAsia="zh-CN"/>
              </w:rPr>
              <w:t>管控单元</w:t>
            </w:r>
            <w:r>
              <w:rPr>
                <w:rFonts w:hint="eastAsia"/>
                <w:lang w:eastAsia="zh-CN"/>
              </w:rPr>
              <w:t>。</w:t>
            </w:r>
          </w:p>
          <w:p>
            <w:pPr>
              <w:pStyle w:val="10"/>
              <w:bidi w:val="0"/>
              <w:rPr>
                <w:rFonts w:hint="default"/>
              </w:rPr>
            </w:pPr>
            <w:r>
              <w:rPr>
                <w:rFonts w:hint="default"/>
              </w:rPr>
              <w:t>表</w:t>
            </w:r>
            <w:r>
              <w:rPr>
                <w:rFonts w:hint="eastAsia"/>
                <w:lang w:val="en-US" w:eastAsia="zh-CN"/>
              </w:rPr>
              <w:t>1-3</w:t>
            </w:r>
            <w:r>
              <w:rPr>
                <w:rFonts w:hint="eastAsia"/>
              </w:rPr>
              <w:t xml:space="preserve"> </w:t>
            </w:r>
            <w:r>
              <w:rPr>
                <w:rFonts w:hint="default"/>
              </w:rPr>
              <w:t>与《巴音郭楞蒙古自治州生态环境准入清单》的符合性分析</w:t>
            </w:r>
          </w:p>
          <w:tbl>
            <w:tblPr>
              <w:tblStyle w:val="41"/>
              <w:tblW w:w="493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1"/>
              <w:gridCol w:w="466"/>
              <w:gridCol w:w="3909"/>
              <w:gridCol w:w="1889"/>
              <w:gridCol w:w="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43" w:type="pct"/>
                  <w:gridSpan w:val="2"/>
                  <w:tcBorders>
                    <w:tl2br w:val="nil"/>
                    <w:tr2bl w:val="nil"/>
                  </w:tcBorders>
                  <w:noWrap w:val="0"/>
                  <w:vAlign w:val="center"/>
                </w:tcPr>
                <w:p>
                  <w:pPr>
                    <w:pStyle w:val="6"/>
                    <w:bidi w:val="0"/>
                    <w:rPr>
                      <w:rFonts w:hint="default"/>
                      <w:lang w:val="en-US" w:eastAsia="zh-CN"/>
                    </w:rPr>
                  </w:pPr>
                  <w:r>
                    <w:rPr>
                      <w:rFonts w:hint="default"/>
                      <w:lang w:val="en-US" w:eastAsia="zh-CN"/>
                    </w:rPr>
                    <w:t>环境管控单元类别</w:t>
                  </w:r>
                </w:p>
              </w:tc>
              <w:tc>
                <w:tcPr>
                  <w:tcW w:w="2711" w:type="pct"/>
                  <w:tcBorders>
                    <w:tl2br w:val="nil"/>
                    <w:tr2bl w:val="nil"/>
                  </w:tcBorders>
                  <w:noWrap w:val="0"/>
                  <w:vAlign w:val="center"/>
                </w:tcPr>
                <w:p>
                  <w:pPr>
                    <w:pStyle w:val="6"/>
                    <w:bidi w:val="0"/>
                    <w:rPr>
                      <w:rFonts w:hint="default"/>
                      <w:lang w:val="en-US" w:eastAsia="zh-CN"/>
                    </w:rPr>
                  </w:pPr>
                  <w:r>
                    <w:rPr>
                      <w:rFonts w:hint="eastAsia"/>
                      <w:lang w:val="en-US" w:eastAsia="zh-CN"/>
                    </w:rPr>
                    <w:t>管控要求</w:t>
                  </w:r>
                </w:p>
              </w:tc>
              <w:tc>
                <w:tcPr>
                  <w:tcW w:w="1310" w:type="pct"/>
                  <w:tcBorders>
                    <w:tl2br w:val="nil"/>
                    <w:tr2bl w:val="nil"/>
                  </w:tcBorders>
                  <w:noWrap w:val="0"/>
                  <w:vAlign w:val="center"/>
                </w:tcPr>
                <w:p>
                  <w:pPr>
                    <w:pStyle w:val="6"/>
                    <w:bidi w:val="0"/>
                    <w:rPr>
                      <w:rFonts w:hint="default"/>
                      <w:lang w:val="en-US" w:eastAsia="zh-CN"/>
                    </w:rPr>
                  </w:pPr>
                  <w:r>
                    <w:rPr>
                      <w:rFonts w:hint="default"/>
                      <w:lang w:val="en-US" w:eastAsia="zh-CN"/>
                    </w:rPr>
                    <w:t>该项目具体情况</w:t>
                  </w:r>
                </w:p>
              </w:tc>
              <w:tc>
                <w:tcPr>
                  <w:tcW w:w="333" w:type="pct"/>
                  <w:tcBorders>
                    <w:tl2br w:val="nil"/>
                    <w:tr2bl w:val="nil"/>
                  </w:tcBorders>
                  <w:noWrap w:val="0"/>
                  <w:vAlign w:val="center"/>
                </w:tcPr>
                <w:p>
                  <w:pPr>
                    <w:pStyle w:val="6"/>
                    <w:bidi w:val="0"/>
                    <w:rPr>
                      <w:rFonts w:hint="default"/>
                      <w:lang w:val="en-US" w:eastAsia="zh-CN"/>
                    </w:rPr>
                  </w:pPr>
                  <w:r>
                    <w:rPr>
                      <w:rFonts w:hint="default"/>
                      <w:lang w:val="en-US" w:eastAsia="zh-CN"/>
                    </w:rPr>
                    <w:t>判定结果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 w:type="pct"/>
                  <w:vMerge w:val="restart"/>
                  <w:tcBorders>
                    <w:tl2br w:val="nil"/>
                    <w:tr2bl w:val="nil"/>
                  </w:tcBorders>
                  <w:noWrap w:val="0"/>
                  <w:vAlign w:val="center"/>
                </w:tcPr>
                <w:p>
                  <w:pPr>
                    <w:pStyle w:val="6"/>
                    <w:bidi w:val="0"/>
                    <w:rPr>
                      <w:rFonts w:hint="default"/>
                      <w:lang w:val="en-US" w:eastAsia="zh-CN"/>
                    </w:rPr>
                  </w:pPr>
                  <w:r>
                    <w:rPr>
                      <w:rFonts w:hint="eastAsia"/>
                      <w:lang w:val="en-US" w:eastAsia="zh-CN"/>
                    </w:rPr>
                    <w:t>一般</w:t>
                  </w:r>
                  <w:r>
                    <w:rPr>
                      <w:rFonts w:hint="default"/>
                      <w:lang w:val="en-US" w:eastAsia="zh-CN"/>
                    </w:rPr>
                    <w:t>管控单元</w:t>
                  </w:r>
                </w:p>
              </w:tc>
              <w:tc>
                <w:tcPr>
                  <w:tcW w:w="322" w:type="pct"/>
                  <w:tcBorders>
                    <w:tl2br w:val="nil"/>
                    <w:tr2bl w:val="nil"/>
                  </w:tcBorders>
                  <w:noWrap w:val="0"/>
                  <w:vAlign w:val="center"/>
                </w:tcPr>
                <w:p>
                  <w:pPr>
                    <w:pStyle w:val="6"/>
                    <w:bidi w:val="0"/>
                    <w:rPr>
                      <w:rFonts w:hint="default"/>
                      <w:lang w:val="en-US" w:eastAsia="zh-CN"/>
                    </w:rPr>
                  </w:pPr>
                  <w:r>
                    <w:rPr>
                      <w:rFonts w:hint="default"/>
                      <w:lang w:val="en-US" w:eastAsia="zh-CN"/>
                    </w:rPr>
                    <w:t>空间布局约束</w:t>
                  </w:r>
                </w:p>
              </w:tc>
              <w:tc>
                <w:tcPr>
                  <w:tcW w:w="2711" w:type="pct"/>
                  <w:tcBorders>
                    <w:tl2br w:val="nil"/>
                    <w:tr2bl w:val="nil"/>
                  </w:tcBorders>
                  <w:noWrap w:val="0"/>
                  <w:vAlign w:val="center"/>
                </w:tcPr>
                <w:p>
                  <w:pPr>
                    <w:pStyle w:val="6"/>
                    <w:bidi w:val="0"/>
                  </w:pPr>
                  <w:r>
                    <w:rPr>
                      <w:rFonts w:hint="default"/>
                      <w:lang w:val="en-US" w:eastAsia="zh-CN"/>
                    </w:rPr>
                    <w:t>1.</w:t>
                  </w:r>
                  <w:r>
                    <w:rPr>
                      <w:rFonts w:hint="eastAsia"/>
                      <w:lang w:val="en-US" w:eastAsia="zh-CN"/>
                    </w:rPr>
                    <w:t>建设项目用地原则上不得占用基本农田，确需占用基本农田的建设项目须符合《中华人民共和国基本农田保护条例》中相关要求，占用耕地、林地或草地的建设项目须按照国家、自治区相关补偿要求进行补偿。</w:t>
                  </w:r>
                </w:p>
                <w:p>
                  <w:pPr>
                    <w:pStyle w:val="6"/>
                    <w:bidi w:val="0"/>
                  </w:pPr>
                  <w:r>
                    <w:rPr>
                      <w:rFonts w:hint="default"/>
                      <w:lang w:val="en-US" w:eastAsia="zh-CN"/>
                    </w:rPr>
                    <w:t>2.</w:t>
                  </w:r>
                  <w:r>
                    <w:rPr>
                      <w:rFonts w:hint="eastAsia"/>
                      <w:lang w:val="en-US" w:eastAsia="zh-CN"/>
                    </w:rPr>
                    <w:t>对违反资源环境法律法规、规划，污染环境、破坏生态、乱采滥挖的露天矿山，依法整治；对污染治理不规范的露天矿山，依法责令停产整治，对拒不停产或擅自恢复生产的依法强制关闭；对责任主体灭失的露天矿山，要加强修复绿化、减尘抑尘。</w:t>
                  </w:r>
                </w:p>
                <w:p>
                  <w:pPr>
                    <w:pStyle w:val="6"/>
                    <w:bidi w:val="0"/>
                  </w:pPr>
                  <w:r>
                    <w:rPr>
                      <w:rFonts w:hint="default"/>
                      <w:lang w:val="en-US" w:eastAsia="zh-CN"/>
                    </w:rPr>
                    <w:t>3.</w:t>
                  </w:r>
                  <w:r>
                    <w:rPr>
                      <w:rFonts w:hint="eastAsia"/>
                      <w:lang w:val="en-US" w:eastAsia="zh-CN"/>
                    </w:rPr>
                    <w:t>永久基本农田集中区域禁止规划新建可能造成土壤污染的建设项目。涉及有毒有害物质可能造成土壤污染的新</w:t>
                  </w:r>
                  <w:r>
                    <w:rPr>
                      <w:rFonts w:hint="default"/>
                      <w:lang w:val="en-US" w:eastAsia="zh-CN"/>
                    </w:rPr>
                    <w:t>(</w:t>
                  </w:r>
                  <w:r>
                    <w:rPr>
                      <w:rFonts w:hint="eastAsia"/>
                      <w:lang w:val="en-US" w:eastAsia="zh-CN"/>
                    </w:rPr>
                    <w:t>改、扩</w:t>
                  </w:r>
                  <w:r>
                    <w:rPr>
                      <w:rFonts w:hint="default"/>
                      <w:lang w:val="en-US" w:eastAsia="zh-CN"/>
                    </w:rPr>
                    <w:t>)</w:t>
                  </w:r>
                  <w:r>
                    <w:rPr>
                      <w:rFonts w:hint="eastAsia"/>
                      <w:lang w:val="en-US" w:eastAsia="zh-CN"/>
                    </w:rPr>
                    <w:t>建项目，提出并落实土壤和地下水污染防治要求。</w:t>
                  </w:r>
                </w:p>
                <w:p>
                  <w:pPr>
                    <w:pStyle w:val="6"/>
                    <w:bidi w:val="0"/>
                  </w:pPr>
                  <w:r>
                    <w:rPr>
                      <w:rFonts w:hint="default"/>
                      <w:lang w:val="en-US" w:eastAsia="zh-CN"/>
                    </w:rPr>
                    <w:t>4.</w:t>
                  </w:r>
                  <w:r>
                    <w:rPr>
                      <w:rFonts w:hint="eastAsia"/>
                      <w:lang w:val="en-US" w:eastAsia="zh-CN"/>
                    </w:rPr>
                    <w:t>严格执行畜禽养殖禁养区规定，根据区域用地和消纳水平，合理确定养殖规模。</w:t>
                  </w:r>
                </w:p>
                <w:p>
                  <w:pPr>
                    <w:pStyle w:val="6"/>
                    <w:bidi w:val="0"/>
                  </w:pPr>
                  <w:r>
                    <w:rPr>
                      <w:rFonts w:hint="default"/>
                      <w:lang w:val="en-US" w:eastAsia="zh-CN"/>
                    </w:rPr>
                    <w:t>5.</w:t>
                  </w:r>
                  <w:r>
                    <w:rPr>
                      <w:rFonts w:hint="eastAsia"/>
                      <w:lang w:val="en-US" w:eastAsia="zh-CN"/>
                    </w:rPr>
                    <w:t>禁止向沙漠、滩涂、盐碱地、沼泽地等非法排污、倾倒有毒有害物质。</w:t>
                  </w:r>
                </w:p>
                <w:p>
                  <w:pPr>
                    <w:pStyle w:val="6"/>
                    <w:bidi w:val="0"/>
                  </w:pPr>
                  <w:r>
                    <w:rPr>
                      <w:rFonts w:hint="default"/>
                      <w:lang w:val="en-US" w:eastAsia="zh-CN"/>
                    </w:rPr>
                    <w:t>6.</w:t>
                  </w:r>
                  <w:r>
                    <w:rPr>
                      <w:rFonts w:hint="eastAsia"/>
                      <w:lang w:val="en-US" w:eastAsia="zh-CN"/>
                    </w:rPr>
                    <w:t>禁止利用渗坑、裂隙、溶洞或者采用稀释等方法处置危险废物。</w:t>
                  </w:r>
                </w:p>
                <w:p>
                  <w:pPr>
                    <w:pStyle w:val="6"/>
                    <w:bidi w:val="0"/>
                    <w:rPr>
                      <w:rFonts w:hint="default"/>
                      <w:lang w:val="en-US" w:eastAsia="zh-CN"/>
                    </w:rPr>
                  </w:pPr>
                  <w:r>
                    <w:rPr>
                      <w:rFonts w:hint="default"/>
                      <w:lang w:val="en-US" w:eastAsia="zh-CN"/>
                    </w:rPr>
                    <w:t>7.</w:t>
                  </w:r>
                  <w:r>
                    <w:rPr>
                      <w:rFonts w:hint="eastAsia"/>
                      <w:lang w:val="en-US" w:eastAsia="zh-CN"/>
                    </w:rPr>
                    <w:t>金属和非金属矿山采选企业新建、改建、扩建执行《新疆维吾尔自治区重点行业环境准入条件（修订）》相关要求。</w:t>
                  </w:r>
                </w:p>
              </w:tc>
              <w:tc>
                <w:tcPr>
                  <w:tcW w:w="1310" w:type="pct"/>
                  <w:tcBorders>
                    <w:tl2br w:val="nil"/>
                    <w:tr2bl w:val="nil"/>
                  </w:tcBorders>
                  <w:noWrap w:val="0"/>
                  <w:vAlign w:val="center"/>
                </w:tcPr>
                <w:p>
                  <w:pPr>
                    <w:pStyle w:val="6"/>
                    <w:bidi w:val="0"/>
                    <w:rPr>
                      <w:rFonts w:hint="eastAsia"/>
                      <w:lang w:val="en-US" w:eastAsia="zh-CN"/>
                    </w:rPr>
                  </w:pPr>
                  <w:r>
                    <w:rPr>
                      <w:rFonts w:hint="eastAsia"/>
                      <w:lang w:val="en-US" w:eastAsia="zh-CN"/>
                    </w:rPr>
                    <w:t>1.本项目位于若羌县城南建材产业园区，用地性质为工业用地；</w:t>
                  </w:r>
                </w:p>
                <w:p>
                  <w:pPr>
                    <w:pStyle w:val="6"/>
                    <w:bidi w:val="0"/>
                    <w:rPr>
                      <w:rFonts w:hint="default"/>
                      <w:lang w:val="en-US" w:eastAsia="zh-CN"/>
                    </w:rPr>
                  </w:pPr>
                  <w:r>
                    <w:rPr>
                      <w:rFonts w:hint="eastAsia"/>
                      <w:lang w:val="en-US" w:eastAsia="zh-CN"/>
                    </w:rPr>
                    <w:t>2.本项目不涉及；</w:t>
                  </w:r>
                </w:p>
                <w:p>
                  <w:pPr>
                    <w:pStyle w:val="6"/>
                    <w:bidi w:val="0"/>
                    <w:rPr>
                      <w:rFonts w:hint="default"/>
                      <w:lang w:val="en-US" w:eastAsia="zh-CN"/>
                    </w:rPr>
                  </w:pPr>
                  <w:r>
                    <w:rPr>
                      <w:rFonts w:hint="eastAsia"/>
                      <w:lang w:val="en-US" w:eastAsia="zh-CN"/>
                    </w:rPr>
                    <w:t>3.</w:t>
                  </w:r>
                  <w:r>
                    <w:rPr>
                      <w:rFonts w:hint="eastAsia" w:ascii="Times New Roman" w:hAnsi="Times New Roman" w:eastAsia="宋体" w:cs="Times New Roman"/>
                      <w:lang w:val="en-US" w:eastAsia="zh-CN"/>
                    </w:rPr>
                    <w:t>本项目采取分区防渗，有效防止</w:t>
                  </w:r>
                  <w:r>
                    <w:rPr>
                      <w:rFonts w:hint="eastAsia" w:cs="Times New Roman"/>
                      <w:lang w:val="en-US" w:eastAsia="zh-CN"/>
                    </w:rPr>
                    <w:t>土壤和地下水</w:t>
                  </w:r>
                  <w:r>
                    <w:rPr>
                      <w:rFonts w:hint="eastAsia" w:ascii="Times New Roman" w:hAnsi="Times New Roman" w:eastAsia="宋体" w:cs="Times New Roman"/>
                      <w:lang w:val="en-US" w:eastAsia="zh-CN"/>
                    </w:rPr>
                    <w:t>污</w:t>
                  </w:r>
                  <w:r>
                    <w:rPr>
                      <w:rFonts w:hint="eastAsia"/>
                      <w:lang w:val="en-US" w:eastAsia="zh-CN"/>
                    </w:rPr>
                    <w:t>染；</w:t>
                  </w:r>
                </w:p>
                <w:p>
                  <w:pPr>
                    <w:pStyle w:val="6"/>
                    <w:bidi w:val="0"/>
                    <w:rPr>
                      <w:rFonts w:hint="default"/>
                      <w:lang w:val="en-US" w:eastAsia="zh-CN"/>
                    </w:rPr>
                  </w:pPr>
                  <w:r>
                    <w:rPr>
                      <w:rFonts w:hint="eastAsia"/>
                      <w:lang w:val="en-US" w:eastAsia="zh-CN"/>
                    </w:rPr>
                    <w:t>4.本项目不涉及；</w:t>
                  </w:r>
                </w:p>
                <w:p>
                  <w:pPr>
                    <w:pStyle w:val="6"/>
                    <w:bidi w:val="0"/>
                    <w:rPr>
                      <w:rFonts w:hint="eastAsia"/>
                      <w:lang w:val="en-US" w:eastAsia="zh-CN"/>
                    </w:rPr>
                  </w:pPr>
                  <w:r>
                    <w:rPr>
                      <w:rFonts w:hint="eastAsia"/>
                      <w:lang w:val="en-US" w:eastAsia="zh-CN"/>
                    </w:rPr>
                    <w:t>5.本项目废气、废水、固废均合理处置，禁止非法排污；</w:t>
                  </w:r>
                </w:p>
                <w:p>
                  <w:pPr>
                    <w:pStyle w:val="6"/>
                    <w:bidi w:val="0"/>
                    <w:rPr>
                      <w:rFonts w:hint="default"/>
                      <w:lang w:val="en-US" w:eastAsia="zh-CN"/>
                    </w:rPr>
                  </w:pPr>
                  <w:r>
                    <w:rPr>
                      <w:rFonts w:hint="eastAsia"/>
                      <w:lang w:val="en-US" w:eastAsia="zh-CN"/>
                    </w:rPr>
                    <w:t>6.本项目危险废物委托有资质单位处置，禁止非法处置行为；</w:t>
                  </w:r>
                </w:p>
                <w:p>
                  <w:pPr>
                    <w:pStyle w:val="6"/>
                    <w:bidi w:val="0"/>
                    <w:rPr>
                      <w:rFonts w:hint="default"/>
                      <w:lang w:val="en-US" w:eastAsia="zh-CN"/>
                    </w:rPr>
                  </w:pPr>
                  <w:r>
                    <w:rPr>
                      <w:rFonts w:hint="eastAsia"/>
                      <w:lang w:val="en-US" w:eastAsia="zh-CN"/>
                    </w:rPr>
                    <w:t>7.本项目不涉及。</w:t>
                  </w:r>
                </w:p>
              </w:tc>
              <w:tc>
                <w:tcPr>
                  <w:tcW w:w="333" w:type="pct"/>
                  <w:tcBorders>
                    <w:tl2br w:val="nil"/>
                    <w:tr2bl w:val="nil"/>
                  </w:tcBorders>
                  <w:noWrap w:val="0"/>
                  <w:vAlign w:val="center"/>
                </w:tcPr>
                <w:p>
                  <w:pPr>
                    <w:pStyle w:val="6"/>
                    <w:bidi w:val="0"/>
                    <w:rPr>
                      <w:rFonts w:hint="default"/>
                      <w:lang w:val="en-US" w:eastAsia="zh-CN"/>
                    </w:rPr>
                  </w:pPr>
                  <w:r>
                    <w:rPr>
                      <w:rFonts w:hint="default"/>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 w:type="pct"/>
                  <w:vMerge w:val="continue"/>
                  <w:tcBorders>
                    <w:tl2br w:val="nil"/>
                    <w:tr2bl w:val="nil"/>
                  </w:tcBorders>
                  <w:noWrap w:val="0"/>
                  <w:vAlign w:val="center"/>
                </w:tcPr>
                <w:p>
                  <w:pPr>
                    <w:pStyle w:val="6"/>
                    <w:bidi w:val="0"/>
                    <w:rPr>
                      <w:rFonts w:hint="default"/>
                      <w:lang w:val="en-US" w:eastAsia="zh-CN"/>
                    </w:rPr>
                  </w:pPr>
                </w:p>
              </w:tc>
              <w:tc>
                <w:tcPr>
                  <w:tcW w:w="322" w:type="pct"/>
                  <w:tcBorders>
                    <w:tl2br w:val="nil"/>
                    <w:tr2bl w:val="nil"/>
                  </w:tcBorders>
                  <w:noWrap w:val="0"/>
                  <w:vAlign w:val="center"/>
                </w:tcPr>
                <w:p>
                  <w:pPr>
                    <w:pStyle w:val="6"/>
                    <w:bidi w:val="0"/>
                    <w:rPr>
                      <w:rFonts w:hint="default"/>
                      <w:lang w:val="en-US" w:eastAsia="zh-CN"/>
                    </w:rPr>
                  </w:pPr>
                  <w:r>
                    <w:rPr>
                      <w:rFonts w:hint="default"/>
                      <w:lang w:val="en-US" w:eastAsia="zh-CN"/>
                    </w:rPr>
                    <w:t>污染物排放管控</w:t>
                  </w:r>
                </w:p>
              </w:tc>
              <w:tc>
                <w:tcPr>
                  <w:tcW w:w="2711" w:type="pct"/>
                  <w:tcBorders>
                    <w:tl2br w:val="nil"/>
                    <w:tr2bl w:val="nil"/>
                  </w:tcBorders>
                  <w:noWrap w:val="0"/>
                  <w:vAlign w:val="center"/>
                </w:tcPr>
                <w:p>
                  <w:pPr>
                    <w:pStyle w:val="6"/>
                    <w:bidi w:val="0"/>
                    <w:rPr>
                      <w:rFonts w:hint="default"/>
                      <w:lang w:val="en-US" w:eastAsia="zh-CN"/>
                    </w:rPr>
                  </w:pPr>
                  <w:r>
                    <w:rPr>
                      <w:rFonts w:hint="default"/>
                      <w:lang w:val="en-US" w:eastAsia="zh-CN"/>
                    </w:rPr>
                    <w:t>1.强化畜禽粪污资源化利用，改善养殖场通风环境，提高畜禽粪污综合利用率，减少氨挥发排放。鼓励和支持散养密集区实行畜禽粪污分户收集、集中处理。</w:t>
                  </w:r>
                </w:p>
                <w:p>
                  <w:pPr>
                    <w:pStyle w:val="6"/>
                    <w:bidi w:val="0"/>
                    <w:rPr>
                      <w:rFonts w:hint="default"/>
                      <w:lang w:val="en-US" w:eastAsia="zh-CN"/>
                    </w:rPr>
                  </w:pPr>
                  <w:r>
                    <w:rPr>
                      <w:rFonts w:hint="default"/>
                      <w:lang w:val="en-US" w:eastAsia="zh-CN"/>
                    </w:rPr>
                    <w:t>2.严格控制林地、草地、园地农药使用量，禁止使用高毒、高残留农药。</w:t>
                  </w:r>
                </w:p>
                <w:p>
                  <w:pPr>
                    <w:pStyle w:val="6"/>
                    <w:bidi w:val="0"/>
                    <w:rPr>
                      <w:rFonts w:hint="default"/>
                      <w:lang w:val="en-US" w:eastAsia="zh-CN"/>
                    </w:rPr>
                  </w:pPr>
                  <w:r>
                    <w:rPr>
                      <w:rFonts w:hint="default"/>
                      <w:lang w:val="en-US" w:eastAsia="zh-CN"/>
                    </w:rPr>
                    <w:t>3.加强种植业污染防治。深入推进化肥农药减量增效，全面推广测土配方施肥，引导推动有机肥、绿肥替代化肥，集成推广化肥减量增效技术模式，加强农药包装废弃物管理。实施农膜回收行动，健全农田废旧地膜回收利用体系，提高废旧地膜回收率。推进农作物秸秆综合利用，不断完善秸秆收储运用体系，形成布局合理、多元利用的秸秆综合利用格局。</w:t>
                  </w:r>
                </w:p>
                <w:p>
                  <w:pPr>
                    <w:pStyle w:val="6"/>
                    <w:bidi w:val="0"/>
                    <w:rPr>
                      <w:rFonts w:hint="default"/>
                      <w:lang w:val="en-US" w:eastAsia="zh-CN"/>
                    </w:rPr>
                  </w:pPr>
                  <w:r>
                    <w:rPr>
                      <w:rFonts w:hint="default"/>
                      <w:lang w:val="en-US" w:eastAsia="zh-CN"/>
                    </w:rPr>
                    <w:t>4.对化学品生产企业、工业集聚区、尾矿库、矿山开采区、危险废物处置场、垃圾填埋场等地下水污染源及周边区域，逐步开展地下水环境状况调查评估，加强风险管控。</w:t>
                  </w:r>
                </w:p>
                <w:p>
                  <w:pPr>
                    <w:pStyle w:val="6"/>
                    <w:bidi w:val="0"/>
                    <w:rPr>
                      <w:rFonts w:hint="default"/>
                      <w:lang w:val="en-US" w:eastAsia="zh-CN"/>
                    </w:rPr>
                  </w:pPr>
                  <w:r>
                    <w:rPr>
                      <w:rFonts w:hint="default"/>
                      <w:lang w:val="en-US" w:eastAsia="zh-CN"/>
                    </w:rPr>
                    <w:t>5.严控土壤重金属污染，加强油（气）田开发土壤污染防治，以历史遗留工业企业污染场地为重点，开展土壤污染风险管控与修复工程。</w:t>
                  </w:r>
                </w:p>
                <w:p>
                  <w:pPr>
                    <w:pStyle w:val="6"/>
                    <w:bidi w:val="0"/>
                    <w:rPr>
                      <w:rFonts w:hint="default"/>
                      <w:lang w:val="en-US" w:eastAsia="zh-CN"/>
                    </w:rPr>
                  </w:pPr>
                  <w:r>
                    <w:rPr>
                      <w:rFonts w:hint="default"/>
                      <w:lang w:val="en-US" w:eastAsia="zh-CN"/>
                    </w:rPr>
                    <w:t>6.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p>
                  <w:pPr>
                    <w:pStyle w:val="6"/>
                    <w:bidi w:val="0"/>
                    <w:rPr>
                      <w:rFonts w:hint="default"/>
                      <w:lang w:val="en-US" w:eastAsia="zh-CN"/>
                    </w:rPr>
                  </w:pPr>
                  <w:r>
                    <w:rPr>
                      <w:rFonts w:hint="default"/>
                      <w:lang w:val="en-US" w:eastAsia="zh-CN"/>
                    </w:rPr>
                    <w:t>7.矿山采选污染物排放执行相应行业标准。稳步推进废水循环利用技术改造升级。采选产生废水排放有行业标准的执行行业标准，否则执行《污水综合排放标准》（GB8978）。采选活动矿石转运、破碎、筛分等粉尘产生工序，应配备抑尘、除尘设备，除尘效率不低于99%，有效控制无组织粉尘排放。采选矿各环节废气排放有行业标准的执行行业标准，否则执行《大气污染物综合排放标准》（GB16297）。一般固体废弃物应根据《一般工业固体废物贮存、处置场污染控制标准》（GB18599）进行管理，属危险废物的按危险废物相关要求依法进行管理，其贮存设施须符合《危险废物贮存污染控制标准》（GB18597）。矿山生态环境保护和恢复要达到《矿山生态环境保护与恢复治理技术规范》（HJ651）及其他有关环保法律法规的相关要求。</w:t>
                  </w:r>
                </w:p>
              </w:tc>
              <w:tc>
                <w:tcPr>
                  <w:tcW w:w="1310" w:type="pct"/>
                  <w:tcBorders>
                    <w:tl2br w:val="nil"/>
                    <w:tr2bl w:val="nil"/>
                  </w:tcBorders>
                  <w:noWrap w:val="0"/>
                  <w:vAlign w:val="center"/>
                </w:tcPr>
                <w:p>
                  <w:pPr>
                    <w:pStyle w:val="6"/>
                    <w:bidi w:val="0"/>
                    <w:rPr>
                      <w:rFonts w:hint="eastAsia"/>
                      <w:lang w:val="en-US" w:eastAsia="zh-CN"/>
                    </w:rPr>
                  </w:pPr>
                  <w:r>
                    <w:rPr>
                      <w:rFonts w:hint="eastAsia"/>
                      <w:lang w:val="en-US" w:eastAsia="zh-CN"/>
                    </w:rPr>
                    <w:t>1.本项目不涉及；</w:t>
                  </w:r>
                </w:p>
                <w:p>
                  <w:pPr>
                    <w:pStyle w:val="6"/>
                    <w:bidi w:val="0"/>
                    <w:rPr>
                      <w:rFonts w:hint="eastAsia"/>
                      <w:lang w:val="en-US" w:eastAsia="zh-CN"/>
                    </w:rPr>
                  </w:pPr>
                  <w:r>
                    <w:rPr>
                      <w:rFonts w:hint="eastAsia"/>
                      <w:lang w:val="en-US" w:eastAsia="zh-CN"/>
                    </w:rPr>
                    <w:t>2.本项目不涉及；</w:t>
                  </w:r>
                </w:p>
                <w:p>
                  <w:pPr>
                    <w:pStyle w:val="6"/>
                    <w:bidi w:val="0"/>
                    <w:rPr>
                      <w:rFonts w:hint="eastAsia"/>
                      <w:lang w:val="en-US" w:eastAsia="zh-CN"/>
                    </w:rPr>
                  </w:pPr>
                  <w:r>
                    <w:rPr>
                      <w:rFonts w:hint="eastAsia"/>
                      <w:lang w:val="en-US" w:eastAsia="zh-CN"/>
                    </w:rPr>
                    <w:t>3.本项目不涉及；</w:t>
                  </w:r>
                </w:p>
                <w:p>
                  <w:pPr>
                    <w:pStyle w:val="6"/>
                    <w:bidi w:val="0"/>
                    <w:rPr>
                      <w:rFonts w:hint="eastAsia"/>
                      <w:lang w:val="en-US" w:eastAsia="zh-CN"/>
                    </w:rPr>
                  </w:pPr>
                  <w:r>
                    <w:rPr>
                      <w:rFonts w:hint="eastAsia"/>
                      <w:lang w:val="en-US" w:eastAsia="zh-CN"/>
                    </w:rPr>
                    <w:t>4.本项目不涉及；</w:t>
                  </w:r>
                </w:p>
                <w:p>
                  <w:pPr>
                    <w:pStyle w:val="6"/>
                    <w:bidi w:val="0"/>
                    <w:rPr>
                      <w:rFonts w:hint="eastAsia"/>
                      <w:lang w:val="en-US" w:eastAsia="zh-CN"/>
                    </w:rPr>
                  </w:pPr>
                  <w:r>
                    <w:rPr>
                      <w:rFonts w:hint="eastAsia"/>
                      <w:lang w:val="en-US" w:eastAsia="zh-CN"/>
                    </w:rPr>
                    <w:t>5.本项目不涉及重金属污染；</w:t>
                  </w:r>
                </w:p>
                <w:p>
                  <w:pPr>
                    <w:pStyle w:val="6"/>
                    <w:bidi w:val="0"/>
                    <w:rPr>
                      <w:rFonts w:hint="default"/>
                      <w:lang w:val="en-US" w:eastAsia="zh-CN"/>
                    </w:rPr>
                  </w:pPr>
                  <w:r>
                    <w:rPr>
                      <w:rFonts w:hint="eastAsia"/>
                      <w:lang w:val="en-US" w:eastAsia="zh-CN"/>
                    </w:rPr>
                    <w:t>6.本项目生活污水集中收集至防渗化粪池内，定期拉运至若羌县污水处理厂处置；</w:t>
                  </w:r>
                </w:p>
                <w:p>
                  <w:pPr>
                    <w:pStyle w:val="6"/>
                    <w:bidi w:val="0"/>
                    <w:rPr>
                      <w:rFonts w:hint="default"/>
                      <w:lang w:val="en-US" w:eastAsia="zh-CN"/>
                    </w:rPr>
                  </w:pPr>
                  <w:r>
                    <w:rPr>
                      <w:rFonts w:hint="eastAsia"/>
                      <w:lang w:val="en-US" w:eastAsia="zh-CN"/>
                    </w:rPr>
                    <w:t>7.本项目不涉及。</w:t>
                  </w:r>
                </w:p>
              </w:tc>
              <w:tc>
                <w:tcPr>
                  <w:tcW w:w="333" w:type="pct"/>
                  <w:tcBorders>
                    <w:tl2br w:val="nil"/>
                    <w:tr2bl w:val="nil"/>
                  </w:tcBorders>
                  <w:noWrap w:val="0"/>
                  <w:vAlign w:val="center"/>
                </w:tcPr>
                <w:p>
                  <w:pPr>
                    <w:pStyle w:val="6"/>
                    <w:bidi w:val="0"/>
                    <w:rPr>
                      <w:rFonts w:hint="default"/>
                      <w:lang w:val="en-US" w:eastAsia="zh-CN"/>
                    </w:rPr>
                  </w:pPr>
                  <w:r>
                    <w:rPr>
                      <w:rFonts w:hint="default"/>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 w:type="pct"/>
                  <w:vMerge w:val="continue"/>
                  <w:tcBorders>
                    <w:tl2br w:val="nil"/>
                    <w:tr2bl w:val="nil"/>
                  </w:tcBorders>
                  <w:noWrap w:val="0"/>
                  <w:vAlign w:val="center"/>
                </w:tcPr>
                <w:p>
                  <w:pPr>
                    <w:pStyle w:val="6"/>
                    <w:bidi w:val="0"/>
                    <w:rPr>
                      <w:rFonts w:hint="default"/>
                      <w:lang w:val="en-US" w:eastAsia="zh-CN"/>
                    </w:rPr>
                  </w:pPr>
                </w:p>
              </w:tc>
              <w:tc>
                <w:tcPr>
                  <w:tcW w:w="322" w:type="pct"/>
                  <w:tcBorders>
                    <w:tl2br w:val="nil"/>
                    <w:tr2bl w:val="nil"/>
                  </w:tcBorders>
                  <w:noWrap w:val="0"/>
                  <w:vAlign w:val="center"/>
                </w:tcPr>
                <w:p>
                  <w:pPr>
                    <w:pStyle w:val="6"/>
                    <w:bidi w:val="0"/>
                    <w:rPr>
                      <w:rFonts w:hint="default"/>
                      <w:lang w:val="en-US" w:eastAsia="zh-CN"/>
                    </w:rPr>
                  </w:pPr>
                  <w:r>
                    <w:rPr>
                      <w:rFonts w:hint="default"/>
                      <w:lang w:val="en-US" w:eastAsia="zh-CN"/>
                    </w:rPr>
                    <w:t>环境风险防控</w:t>
                  </w:r>
                </w:p>
              </w:tc>
              <w:tc>
                <w:tcPr>
                  <w:tcW w:w="2711" w:type="pct"/>
                  <w:tcBorders>
                    <w:tl2br w:val="nil"/>
                    <w:tr2bl w:val="nil"/>
                  </w:tcBorders>
                  <w:noWrap w:val="0"/>
                  <w:vAlign w:val="center"/>
                </w:tcPr>
                <w:p>
                  <w:pPr>
                    <w:pStyle w:val="6"/>
                    <w:bidi w:val="0"/>
                  </w:pPr>
                  <w:r>
                    <w:rPr>
                      <w:rFonts w:hint="default"/>
                      <w:lang w:val="en-US" w:eastAsia="zh-CN"/>
                    </w:rPr>
                    <w:t>1.</w:t>
                  </w:r>
                  <w:r>
                    <w:rPr>
                      <w:rFonts w:hint="eastAsia"/>
                      <w:lang w:val="en-US" w:eastAsia="zh-CN"/>
                    </w:rPr>
                    <w:t>加强对矿山、油田等矿产资源开采影响区域内未利用地的环境监管，发现土壤污染问题的，要坚决查处，并及时督促有关单位采取有效防治措施消除或减轻污染。</w:t>
                  </w:r>
                </w:p>
                <w:p>
                  <w:pPr>
                    <w:pStyle w:val="6"/>
                    <w:bidi w:val="0"/>
                    <w:rPr>
                      <w:rFonts w:hint="eastAsia"/>
                      <w:lang w:val="en-US" w:eastAsia="zh-CN"/>
                    </w:rPr>
                  </w:pPr>
                  <w:r>
                    <w:rPr>
                      <w:rFonts w:hint="eastAsia"/>
                      <w:lang w:val="en-US" w:eastAsia="zh-CN"/>
                    </w:rPr>
                    <w:t>2.对排查出的危库和病库以及风险评估有严重环境安全隐患的尾矿库，要求企业完善污染治理设施、进行治理和修复。全面整治历史遗留尾矿库，完善覆膜、压土、排洪、堤坝加固等隐患治理和闭库措施。</w:t>
                  </w:r>
                </w:p>
                <w:p>
                  <w:pPr>
                    <w:pStyle w:val="6"/>
                    <w:bidi w:val="0"/>
                    <w:rPr>
                      <w:rFonts w:hint="eastAsia"/>
                      <w:lang w:val="en-US" w:eastAsia="zh-CN"/>
                    </w:rPr>
                  </w:pPr>
                  <w:r>
                    <w:rPr>
                      <w:rFonts w:hint="eastAsia"/>
                      <w:lang w:val="en-US" w:eastAsia="zh-CN"/>
                    </w:rPr>
                    <w:t>3.依法推行农用地分类管理制度，强化受污染耕地安全利用和风险管控。因地制宜制定实施安全利用方案，鼓励采取种植结构调整等措施，确保受污染耕地全部实现安全利用。</w:t>
                  </w:r>
                </w:p>
                <w:p>
                  <w:pPr>
                    <w:pStyle w:val="6"/>
                    <w:bidi w:val="0"/>
                    <w:rPr>
                      <w:rFonts w:hint="eastAsia"/>
                      <w:lang w:val="en-US" w:eastAsia="zh-CN"/>
                    </w:rPr>
                  </w:pPr>
                  <w:r>
                    <w:rPr>
                      <w:rFonts w:hint="eastAsia"/>
                      <w:lang w:val="en-US" w:eastAsia="zh-CN"/>
                    </w:rPr>
                    <w:t>4.定期对企业及周边土壤进行监测；对不符合法律法规和相关标准要求的，应当根据监测结果，要求运营单位采取相应改进措施。土壤环境监管重点行业企业拆除生产设施设备、构筑物和污染治理设施，要事先制定残留污染物清理和安全处置方案，并报所在地县级生态环境、工业和信息化部门备案；要严格按照有关规定实施安全处理处置，防范拆除活动污染土壤。</w:t>
                  </w:r>
                </w:p>
              </w:tc>
              <w:tc>
                <w:tcPr>
                  <w:tcW w:w="1310" w:type="pct"/>
                  <w:tcBorders>
                    <w:tl2br w:val="nil"/>
                    <w:tr2bl w:val="nil"/>
                  </w:tcBorders>
                  <w:noWrap w:val="0"/>
                  <w:vAlign w:val="center"/>
                </w:tcPr>
                <w:p>
                  <w:pPr>
                    <w:pStyle w:val="6"/>
                    <w:bidi w:val="0"/>
                    <w:rPr>
                      <w:rFonts w:hint="eastAsia"/>
                      <w:lang w:val="en-US" w:eastAsia="zh-CN"/>
                    </w:rPr>
                  </w:pPr>
                  <w:r>
                    <w:rPr>
                      <w:rFonts w:hint="eastAsia"/>
                      <w:lang w:val="en-US" w:eastAsia="zh-CN"/>
                    </w:rPr>
                    <w:t>1.本项目不涉及；</w:t>
                  </w:r>
                </w:p>
                <w:p>
                  <w:pPr>
                    <w:pStyle w:val="6"/>
                    <w:bidi w:val="0"/>
                    <w:rPr>
                      <w:rFonts w:hint="eastAsia"/>
                      <w:lang w:val="en-US" w:eastAsia="zh-CN"/>
                    </w:rPr>
                  </w:pPr>
                  <w:r>
                    <w:rPr>
                      <w:rFonts w:hint="eastAsia"/>
                      <w:lang w:val="en-US" w:eastAsia="zh-CN"/>
                    </w:rPr>
                    <w:t>2.本项目不涉及；</w:t>
                  </w:r>
                </w:p>
                <w:p>
                  <w:pPr>
                    <w:pStyle w:val="6"/>
                    <w:bidi w:val="0"/>
                    <w:rPr>
                      <w:rFonts w:hint="eastAsia"/>
                      <w:lang w:val="en-US" w:eastAsia="zh-CN"/>
                    </w:rPr>
                  </w:pPr>
                  <w:r>
                    <w:rPr>
                      <w:rFonts w:hint="eastAsia"/>
                      <w:lang w:val="en-US" w:eastAsia="zh-CN"/>
                    </w:rPr>
                    <w:t>3.本项目不涉及；</w:t>
                  </w:r>
                </w:p>
                <w:p>
                  <w:pPr>
                    <w:pStyle w:val="6"/>
                    <w:bidi w:val="0"/>
                    <w:rPr>
                      <w:rFonts w:hint="default"/>
                      <w:lang w:val="en-US" w:eastAsia="zh-CN"/>
                    </w:rPr>
                  </w:pPr>
                  <w:r>
                    <w:rPr>
                      <w:rFonts w:hint="eastAsia"/>
                      <w:lang w:val="en-US" w:eastAsia="zh-CN"/>
                    </w:rPr>
                    <w:t>4.本项目采取分区，有效防止土壤和地下水污染，要求项目建成后编制应急预案。</w:t>
                  </w:r>
                </w:p>
              </w:tc>
              <w:tc>
                <w:tcPr>
                  <w:tcW w:w="333" w:type="pct"/>
                  <w:tcBorders>
                    <w:tl2br w:val="nil"/>
                    <w:tr2bl w:val="nil"/>
                  </w:tcBorders>
                  <w:noWrap w:val="0"/>
                  <w:vAlign w:val="center"/>
                </w:tcPr>
                <w:p>
                  <w:pPr>
                    <w:pStyle w:val="6"/>
                    <w:bidi w:val="0"/>
                    <w:rPr>
                      <w:rFonts w:hint="default"/>
                      <w:lang w:val="en-US" w:eastAsia="zh-CN"/>
                    </w:rPr>
                  </w:pPr>
                  <w:r>
                    <w:rPr>
                      <w:rFonts w:hint="default"/>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 w:type="pct"/>
                  <w:vMerge w:val="continue"/>
                  <w:tcBorders>
                    <w:tl2br w:val="nil"/>
                    <w:tr2bl w:val="nil"/>
                  </w:tcBorders>
                  <w:noWrap w:val="0"/>
                  <w:vAlign w:val="center"/>
                </w:tcPr>
                <w:p>
                  <w:pPr>
                    <w:pStyle w:val="6"/>
                    <w:bidi w:val="0"/>
                    <w:rPr>
                      <w:rFonts w:hint="default"/>
                      <w:lang w:val="en-US" w:eastAsia="zh-CN"/>
                    </w:rPr>
                  </w:pPr>
                </w:p>
              </w:tc>
              <w:tc>
                <w:tcPr>
                  <w:tcW w:w="322" w:type="pct"/>
                  <w:tcBorders>
                    <w:tl2br w:val="nil"/>
                    <w:tr2bl w:val="nil"/>
                  </w:tcBorders>
                  <w:noWrap w:val="0"/>
                  <w:vAlign w:val="center"/>
                </w:tcPr>
                <w:p>
                  <w:pPr>
                    <w:pStyle w:val="6"/>
                    <w:bidi w:val="0"/>
                    <w:rPr>
                      <w:rFonts w:hint="default"/>
                      <w:lang w:val="en-US" w:eastAsia="zh-CN"/>
                    </w:rPr>
                  </w:pPr>
                  <w:r>
                    <w:rPr>
                      <w:rFonts w:hint="default"/>
                      <w:lang w:val="en-US" w:eastAsia="zh-CN"/>
                    </w:rPr>
                    <w:t>资源利用效率</w:t>
                  </w:r>
                </w:p>
              </w:tc>
              <w:tc>
                <w:tcPr>
                  <w:tcW w:w="2711" w:type="pct"/>
                  <w:tcBorders>
                    <w:tl2br w:val="nil"/>
                    <w:tr2bl w:val="nil"/>
                  </w:tcBorders>
                  <w:noWrap w:val="0"/>
                  <w:vAlign w:val="center"/>
                </w:tcPr>
                <w:p>
                  <w:pPr>
                    <w:pStyle w:val="6"/>
                    <w:bidi w:val="0"/>
                  </w:pPr>
                  <w:r>
                    <w:rPr>
                      <w:rFonts w:hint="default"/>
                      <w:lang w:val="en-US" w:eastAsia="zh-CN"/>
                    </w:rPr>
                    <w:t>1.</w:t>
                  </w:r>
                  <w:r>
                    <w:rPr>
                      <w:rFonts w:hint="eastAsia"/>
                      <w:lang w:val="en-US" w:eastAsia="zh-CN"/>
                    </w:rPr>
                    <w:t>全面推进秸秆综合利用，鼓励秸秆资源化、饲料化、肥料化利用，推动秸秆还田与离田收集。</w:t>
                  </w:r>
                </w:p>
                <w:p>
                  <w:pPr>
                    <w:pStyle w:val="6"/>
                    <w:bidi w:val="0"/>
                  </w:pPr>
                  <w:r>
                    <w:rPr>
                      <w:rFonts w:hint="default"/>
                      <w:lang w:val="en-US" w:eastAsia="zh-CN"/>
                    </w:rPr>
                    <w:t>2.</w:t>
                  </w:r>
                  <w:r>
                    <w:rPr>
                      <w:rFonts w:hint="eastAsia"/>
                      <w:lang w:val="en-US" w:eastAsia="zh-CN"/>
                    </w:rPr>
                    <w:t>减少化肥农药使用量，增加有机肥使用量，实现化肥农药使用量负增长。</w:t>
                  </w:r>
                </w:p>
                <w:p>
                  <w:pPr>
                    <w:pStyle w:val="6"/>
                    <w:bidi w:val="0"/>
                  </w:pPr>
                  <w:r>
                    <w:rPr>
                      <w:rFonts w:hint="default"/>
                      <w:lang w:val="en-US" w:eastAsia="zh-CN"/>
                    </w:rPr>
                    <w:t>3.</w:t>
                  </w:r>
                  <w:r>
                    <w:rPr>
                      <w:rFonts w:hint="eastAsia"/>
                      <w:lang w:val="en-US" w:eastAsia="zh-CN"/>
                    </w:rPr>
                    <w:t>推广渠道防渗、管道输水、喷灌、微灌等节水灌溉技术，完善灌溉用水计量设施。推进规模化高效节水灌溉，推广农作物节水抗旱技术。建立灌区墒情测报网络，提高农业用水效率，降低农业用水比重。</w:t>
                  </w:r>
                </w:p>
                <w:p>
                  <w:pPr>
                    <w:pStyle w:val="6"/>
                    <w:bidi w:val="0"/>
                    <w:rPr>
                      <w:rFonts w:hint="default"/>
                      <w:lang w:val="en-US" w:eastAsia="zh-CN"/>
                    </w:rPr>
                  </w:pPr>
                  <w:r>
                    <w:rPr>
                      <w:rFonts w:hint="default"/>
                      <w:lang w:val="en-US" w:eastAsia="zh-CN"/>
                    </w:rPr>
                    <w:t>4.</w:t>
                  </w:r>
                  <w:r>
                    <w:rPr>
                      <w:rFonts w:hint="eastAsia"/>
                      <w:lang w:val="en-US" w:eastAsia="zh-CN"/>
                    </w:rPr>
                    <w:t>废石综合回用、尾矿砂利用率参考《新疆维吾尔自治区重点行业环境准入条件（修订）》等相关文件要求。</w:t>
                  </w:r>
                </w:p>
              </w:tc>
              <w:tc>
                <w:tcPr>
                  <w:tcW w:w="1310" w:type="pct"/>
                  <w:tcBorders>
                    <w:tl2br w:val="nil"/>
                    <w:tr2bl w:val="nil"/>
                  </w:tcBorders>
                  <w:noWrap w:val="0"/>
                  <w:vAlign w:val="center"/>
                </w:tcPr>
                <w:p>
                  <w:pPr>
                    <w:pStyle w:val="6"/>
                    <w:bidi w:val="0"/>
                    <w:rPr>
                      <w:rFonts w:hint="default"/>
                      <w:lang w:val="en-US" w:eastAsia="zh-CN"/>
                    </w:rPr>
                  </w:pPr>
                  <w:r>
                    <w:rPr>
                      <w:rFonts w:hint="eastAsia"/>
                      <w:lang w:val="en-US" w:eastAsia="zh-CN"/>
                    </w:rPr>
                    <w:t>本项目不涉及。</w:t>
                  </w:r>
                </w:p>
              </w:tc>
              <w:tc>
                <w:tcPr>
                  <w:tcW w:w="333" w:type="pct"/>
                  <w:tcBorders>
                    <w:tl2br w:val="nil"/>
                    <w:tr2bl w:val="nil"/>
                  </w:tcBorders>
                  <w:noWrap w:val="0"/>
                  <w:vAlign w:val="center"/>
                </w:tcPr>
                <w:p>
                  <w:pPr>
                    <w:pStyle w:val="6"/>
                    <w:bidi w:val="0"/>
                    <w:rPr>
                      <w:rFonts w:hint="default"/>
                      <w:lang w:val="en-US" w:eastAsia="zh-CN"/>
                    </w:rPr>
                  </w:pPr>
                  <w:r>
                    <w:rPr>
                      <w:rFonts w:hint="default"/>
                      <w:lang w:val="en-US" w:eastAsia="zh-CN"/>
                    </w:rPr>
                    <w:t>符合</w:t>
                  </w:r>
                </w:p>
              </w:tc>
            </w:tr>
          </w:tbl>
          <w:p>
            <w:pPr>
              <w:bidi w:val="0"/>
              <w:rPr>
                <w:rFonts w:hint="eastAsia"/>
                <w:b/>
                <w:bCs/>
                <w:lang w:val="en-US" w:eastAsia="zh-CN"/>
              </w:rPr>
            </w:pPr>
            <w:r>
              <w:rPr>
                <w:rFonts w:hint="eastAsia"/>
                <w:lang w:val="en-US" w:eastAsia="zh-CN"/>
              </w:rPr>
              <w:t>综上可知，本项目建设符合《巴音郭楞蒙古自治州生态环境准入清单》中的相关要求。</w:t>
            </w:r>
          </w:p>
          <w:p>
            <w:pPr>
              <w:pStyle w:val="4"/>
              <w:bidi w:val="0"/>
              <w:rPr>
                <w:rFonts w:hint="eastAsia"/>
                <w:b/>
                <w:bCs/>
                <w:snapToGrid w:val="0"/>
                <w:kern w:val="0"/>
              </w:rPr>
            </w:pPr>
            <w:r>
              <w:rPr>
                <w:rFonts w:hint="eastAsia"/>
                <w:b/>
                <w:bCs/>
                <w:szCs w:val="20"/>
                <w:lang w:val="en-US" w:eastAsia="zh-CN"/>
              </w:rPr>
              <w:t>4</w:t>
            </w:r>
            <w:r>
              <w:rPr>
                <w:rFonts w:hint="eastAsia"/>
                <w:b/>
                <w:bCs/>
                <w:szCs w:val="20"/>
                <w:lang w:eastAsia="zh-CN"/>
              </w:rPr>
              <w:t>、</w:t>
            </w:r>
            <w:r>
              <w:rPr>
                <w:rFonts w:hint="eastAsia"/>
                <w:b/>
                <w:bCs/>
                <w:snapToGrid w:val="0"/>
                <w:kern w:val="0"/>
              </w:rPr>
              <w:t>与</w:t>
            </w:r>
            <w:r>
              <w:rPr>
                <w:b/>
                <w:bCs/>
                <w:snapToGrid w:val="0"/>
                <w:kern w:val="0"/>
              </w:rPr>
              <w:t>《</w:t>
            </w:r>
            <w:r>
              <w:rPr>
                <w:rStyle w:val="43"/>
                <w:b/>
                <w:bCs/>
                <w:color w:val="000000"/>
              </w:rPr>
              <w:t>新疆生态环境保护“十四五”规划</w:t>
            </w:r>
            <w:r>
              <w:rPr>
                <w:b/>
                <w:bCs/>
                <w:snapToGrid w:val="0"/>
                <w:kern w:val="0"/>
              </w:rPr>
              <w:t>》</w:t>
            </w:r>
            <w:r>
              <w:rPr>
                <w:rFonts w:hint="eastAsia"/>
                <w:b/>
                <w:bCs/>
                <w:snapToGrid w:val="0"/>
                <w:kern w:val="0"/>
              </w:rPr>
              <w:t>的符合性分析</w:t>
            </w:r>
          </w:p>
          <w:p>
            <w:pPr>
              <w:bidi w:val="0"/>
              <w:rPr>
                <w:rFonts w:hint="eastAsia"/>
              </w:rPr>
            </w:pPr>
            <w:r>
              <w:rPr>
                <w:rFonts w:hint="eastAsia"/>
                <w:lang w:eastAsia="zh-CN"/>
              </w:rPr>
              <w:t>实施重点行业氮氧化物（以下简称“</w:t>
            </w:r>
            <w:r>
              <w:rPr>
                <w:rFonts w:hint="eastAsia"/>
                <w:lang w:val="en-US"/>
              </w:rPr>
              <w:t>NOx</w:t>
            </w:r>
            <w:r>
              <w:rPr>
                <w:rFonts w:hint="eastAsia"/>
                <w:lang w:eastAsia="zh-CN"/>
              </w:rPr>
              <w:t>”）等污染物深度治理。持续推进钢铁、水泥、焦化行业超低排放改造。推进玻璃、陶瓷、铸造、铁合金、有色、煤化和石化等行业采取清洁生产、提标改造、深度治理等综合措施。加强自备燃煤机组污染治理设施运行管控，确保按照超低排放标准运行。针对铸造、铁合金、焦化、水泥、砖瓦、石灰、耐火材料、金属冶炼以及煤化工、石油化工等行业，严格控制物料储存、输送及生产工艺过程无组织排放。重点涉气排放企业逐步取消烟气旁路，因安全生产无法取消的，安装在线监控系统。</w:t>
            </w:r>
          </w:p>
          <w:p>
            <w:pPr>
              <w:bidi w:val="0"/>
              <w:rPr>
                <w:rFonts w:hint="default" w:eastAsia="宋体"/>
                <w:snapToGrid w:val="0"/>
                <w:kern w:val="0"/>
                <w:sz w:val="24"/>
                <w:szCs w:val="24"/>
                <w:lang w:val="en-US" w:eastAsia="zh-CN"/>
              </w:rPr>
            </w:pPr>
            <w:r>
              <w:rPr>
                <w:rFonts w:hint="eastAsia"/>
                <w:snapToGrid w:val="0"/>
                <w:kern w:val="0"/>
                <w:sz w:val="24"/>
                <w:szCs w:val="24"/>
                <w:lang w:val="en-US" w:eastAsia="zh-CN"/>
              </w:rPr>
              <w:t>本项目生产过程中砂石料堆场采用</w:t>
            </w:r>
            <w:r>
              <w:rPr>
                <w:rFonts w:hint="eastAsia" w:ascii="Times New Roman" w:hAnsi="Times New Roman" w:eastAsia="宋体" w:cs="Times New Roman"/>
                <w:color w:val="000000"/>
                <w:kern w:val="0"/>
                <w:sz w:val="24"/>
                <w:lang w:val="en-US" w:eastAsia="zh-CN" w:bidi="ar"/>
              </w:rPr>
              <w:t>围挡</w:t>
            </w:r>
            <w:r>
              <w:rPr>
                <w:rFonts w:hint="eastAsia" w:cs="Times New Roman"/>
                <w:color w:val="000000"/>
                <w:kern w:val="0"/>
                <w:sz w:val="24"/>
                <w:lang w:val="en-US" w:eastAsia="zh-CN" w:bidi="ar"/>
              </w:rPr>
              <w:t>（防风抑尘墙）</w:t>
            </w:r>
            <w:r>
              <w:rPr>
                <w:rFonts w:hint="eastAsia" w:ascii="Times New Roman" w:hAnsi="Times New Roman" w:eastAsia="宋体" w:cs="Times New Roman"/>
                <w:color w:val="000000"/>
                <w:kern w:val="0"/>
                <w:sz w:val="24"/>
                <w:lang w:val="en-US" w:eastAsia="zh-CN" w:bidi="ar"/>
              </w:rPr>
              <w:t>+定期洒水</w:t>
            </w:r>
            <w:r>
              <w:rPr>
                <w:rFonts w:hint="eastAsia"/>
                <w:snapToGrid w:val="0"/>
                <w:kern w:val="0"/>
                <w:sz w:val="24"/>
                <w:szCs w:val="24"/>
                <w:lang w:val="en-US" w:eastAsia="zh-CN"/>
              </w:rPr>
              <w:t>，堆高不超过实体墙高度；水泥暂存于筒仓内，砂石料进料传送带进行密闭，搅拌设备位于密闭的搅拌机楼内。</w:t>
            </w:r>
            <w:r>
              <w:rPr>
                <w:rFonts w:hint="eastAsia" w:cs="Times New Roman"/>
                <w:b w:val="0"/>
                <w:bCs/>
                <w:color w:val="000000"/>
                <w:spacing w:val="-6"/>
                <w:sz w:val="24"/>
                <w:szCs w:val="24"/>
                <w:lang w:val="en-US" w:eastAsia="zh-CN"/>
              </w:rPr>
              <w:t>综上所述，本项目符合《新疆生态环境保护“十四五”规划》中的要求。</w:t>
            </w:r>
          </w:p>
          <w:p>
            <w:pPr>
              <w:pStyle w:val="4"/>
              <w:bidi w:val="0"/>
              <w:rPr>
                <w:rFonts w:hint="default"/>
                <w:lang w:val="en-US" w:eastAsia="zh-CN"/>
              </w:rPr>
            </w:pPr>
            <w:r>
              <w:rPr>
                <w:rFonts w:hint="eastAsia"/>
                <w:lang w:val="en-US" w:eastAsia="zh-CN"/>
              </w:rPr>
              <w:t>5</w:t>
            </w:r>
            <w:r>
              <w:rPr>
                <w:rFonts w:hint="eastAsia"/>
                <w:lang w:eastAsia="zh-CN"/>
              </w:rPr>
              <w:t>、</w:t>
            </w:r>
            <w:r>
              <w:rPr>
                <w:rFonts w:hint="eastAsia"/>
                <w:lang w:val="en-US" w:eastAsia="zh-CN"/>
              </w:rPr>
              <w:t>与《巴音郭楞蒙古自治州生态环境“十四五”规划》的符合性分析</w:t>
            </w:r>
          </w:p>
          <w:p>
            <w:pPr>
              <w:bidi w:val="0"/>
              <w:rPr>
                <w:rFonts w:hint="eastAsia"/>
                <w:lang w:eastAsia="zh-CN"/>
              </w:rPr>
            </w:pPr>
            <w:r>
              <w:rPr>
                <w:rFonts w:hint="eastAsia"/>
                <w:lang w:eastAsia="zh-CN"/>
              </w:rPr>
              <w:t>强化面源污染防控。加强城市扬尘综合防控，积极推进绿色工地和“阳光施工”创建，县级及以上城市建成区建筑工地扬尘防控标准化管理全覆盖；控制道路交通扬尘污染，加强城市道路清扫保洁和洒水抑尘，提高机械化作业水平；加强矿山粉尘治理，充分运用新型、高效的防尘、降尘、除尘技术，全面加强矿山开采各环节粉尘防控措施；全面推进秸秆实现资源化利用，推进农业大气氨污染防治，加强种植业氨排放控制，调整氮肥结构，加速挥发性氮肥产品的应用。</w:t>
            </w:r>
          </w:p>
          <w:p>
            <w:pPr>
              <w:bidi w:val="0"/>
              <w:rPr>
                <w:rFonts w:hint="eastAsia"/>
                <w:lang w:val="en-US" w:eastAsia="zh-CN"/>
              </w:rPr>
            </w:pPr>
            <w:r>
              <w:rPr>
                <w:rFonts w:hint="eastAsia"/>
                <w:lang w:val="en-US" w:eastAsia="zh-CN"/>
              </w:rPr>
              <w:t>本项目运营期间水泥筒仓安装仓顶布袋除尘器经处理后有组织排放；搅拌过程在密闭环境下进行，废气经脉冲式布袋除尘器处理后由15米排气筒排放；</w:t>
            </w:r>
            <w:r>
              <w:rPr>
                <w:rFonts w:hint="eastAsia"/>
                <w:lang w:eastAsia="zh-CN"/>
              </w:rPr>
              <w:t>厂界无组织粉尘</w:t>
            </w:r>
            <w:r>
              <w:rPr>
                <w:rFonts w:hint="eastAsia"/>
                <w:lang w:val="en-US" w:eastAsia="zh-CN"/>
              </w:rPr>
              <w:t>满足</w:t>
            </w:r>
            <w:r>
              <w:rPr>
                <w:rFonts w:hint="eastAsia"/>
                <w:lang w:eastAsia="zh-CN"/>
              </w:rPr>
              <w:t>《水泥工业大气污染物排放标准》（</w:t>
            </w:r>
            <w:r>
              <w:rPr>
                <w:rFonts w:hint="eastAsia"/>
                <w:lang w:val="en-US" w:eastAsia="zh-CN"/>
              </w:rPr>
              <w:t>GB4915-2013</w:t>
            </w:r>
            <w:r>
              <w:rPr>
                <w:rFonts w:hint="eastAsia"/>
                <w:lang w:eastAsia="zh-CN"/>
              </w:rPr>
              <w:t>）表</w:t>
            </w:r>
            <w:r>
              <w:rPr>
                <w:rFonts w:hint="eastAsia"/>
                <w:lang w:val="en-US" w:eastAsia="zh-CN"/>
              </w:rPr>
              <w:t>3</w:t>
            </w:r>
            <w:r>
              <w:rPr>
                <w:rFonts w:hint="eastAsia"/>
                <w:lang w:eastAsia="zh-CN"/>
              </w:rPr>
              <w:t>无组织排放标准要求，</w:t>
            </w:r>
            <w:r>
              <w:rPr>
                <w:rFonts w:hint="eastAsia"/>
                <w:lang w:val="en-US" w:eastAsia="zh-CN"/>
              </w:rPr>
              <w:t>废气满足《水泥工业大气污染物排放标准》（GB4915-2013）中表1大气污染物排放限值的要求。本项目符合《巴音郭楞蒙古自治州生态环境“十四五”规划》中的要求。</w:t>
            </w:r>
          </w:p>
          <w:p>
            <w:pPr>
              <w:pStyle w:val="57"/>
              <w:keepNext w:val="0"/>
              <w:keepLines w:val="0"/>
              <w:pageBreakBefore w:val="0"/>
              <w:numPr>
                <w:ilvl w:val="0"/>
                <w:numId w:val="3"/>
              </w:numPr>
              <w:kinsoku/>
              <w:wordWrap/>
              <w:overflowPunct/>
              <w:topLinePunct w:val="0"/>
              <w:bidi w:val="0"/>
              <w:adjustRightInd w:val="0"/>
              <w:snapToGrid w:val="0"/>
              <w:spacing w:line="240" w:lineRule="auto"/>
              <w:ind w:left="0" w:leftChars="0" w:firstLine="0" w:firstLineChars="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与《</w:t>
            </w:r>
            <w:r>
              <w:rPr>
                <w:rFonts w:hint="eastAsia" w:cs="Times New Roman"/>
                <w:b/>
                <w:bCs/>
                <w:sz w:val="24"/>
                <w:szCs w:val="24"/>
                <w:lang w:val="en-US" w:eastAsia="zh-CN"/>
              </w:rPr>
              <w:t>工业料堆场扬尘整治规范</w:t>
            </w:r>
            <w:r>
              <w:rPr>
                <w:rFonts w:hint="eastAsia" w:ascii="Times New Roman" w:hAnsi="Times New Roman" w:eastAsia="宋体" w:cs="Times New Roman"/>
                <w:b/>
                <w:bCs/>
                <w:sz w:val="24"/>
                <w:szCs w:val="24"/>
                <w:lang w:val="en-US" w:eastAsia="zh-CN"/>
              </w:rPr>
              <w:t>》(DB65/T 4061-2017)的符合性分析</w:t>
            </w:r>
          </w:p>
          <w:p>
            <w:pPr>
              <w:pStyle w:val="10"/>
              <w:bidi w:val="0"/>
              <w:rPr>
                <w:rFonts w:hint="eastAsia"/>
                <w:lang w:val="en-US" w:eastAsia="zh-CN"/>
              </w:rPr>
            </w:pPr>
            <w:r>
              <w:rPr>
                <w:rFonts w:hint="eastAsia"/>
                <w:lang w:val="en-US" w:eastAsia="zh-CN"/>
              </w:rPr>
              <w:t>表1-4                  工业料堆场类型划分</w:t>
            </w:r>
          </w:p>
          <w:tbl>
            <w:tblPr>
              <w:tblStyle w:val="41"/>
              <w:tblW w:w="5000"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171"/>
              <w:gridCol w:w="1160"/>
              <w:gridCol w:w="1345"/>
              <w:gridCol w:w="1332"/>
              <w:gridCol w:w="11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环境控制区</w:t>
                  </w:r>
                </w:p>
              </w:tc>
              <w:tc>
                <w:tcPr>
                  <w:tcW w:w="80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规模m</w:t>
                  </w:r>
                  <w:r>
                    <w:rPr>
                      <w:rFonts w:hint="default" w:ascii="Times New Roman" w:hAnsi="Times New Roman" w:eastAsia="宋体" w:cs="Times New Roman"/>
                      <w:b w:val="0"/>
                      <w:bCs w:val="0"/>
                      <w:kern w:val="2"/>
                      <w:sz w:val="21"/>
                      <w:szCs w:val="21"/>
                      <w:vertAlign w:val="superscript"/>
                      <w:lang w:val="en-US" w:eastAsia="zh-CN" w:bidi="ar-SA"/>
                    </w:rPr>
                    <w:t>2</w:t>
                  </w:r>
                </w:p>
              </w:tc>
              <w:tc>
                <w:tcPr>
                  <w:tcW w:w="79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风速（m/s）</w:t>
                  </w:r>
                </w:p>
              </w:tc>
              <w:tc>
                <w:tcPr>
                  <w:tcW w:w="263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粒径（mm）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79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粉体：≤0.5</w:t>
                  </w:r>
                </w:p>
              </w:tc>
              <w:tc>
                <w:tcPr>
                  <w:tcW w:w="9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颗粒：0.5~13</w:t>
                  </w:r>
                </w:p>
              </w:tc>
              <w:tc>
                <w:tcPr>
                  <w:tcW w:w="79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块体：≥13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重点控制区</w:t>
                  </w:r>
                </w:p>
              </w:tc>
              <w:tc>
                <w:tcPr>
                  <w:tcW w:w="80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≥10000</w:t>
                  </w: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≥4</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79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2~4</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79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79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300~10000</w:t>
                  </w: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≥4</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79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2~4</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79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79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≤300</w:t>
                  </w: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≥4</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79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2~4</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c>
                <w:tcPr>
                  <w:tcW w:w="79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c>
                <w:tcPr>
                  <w:tcW w:w="79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eastAsia" w:ascii="Times New Roman" w:hAnsi="Times New Roman" w:eastAsia="宋体" w:cs="Times New Roman"/>
                      <w:b w:val="0"/>
                      <w:bCs w:val="0"/>
                      <w:kern w:val="2"/>
                      <w:sz w:val="21"/>
                      <w:szCs w:val="21"/>
                      <w:vertAlign w:val="baseline"/>
                      <w:lang w:val="en-US" w:eastAsia="zh-CN" w:bidi="ar-SA"/>
                    </w:rPr>
                    <w:t>一般</w:t>
                  </w:r>
                  <w:r>
                    <w:rPr>
                      <w:rFonts w:hint="default" w:ascii="Times New Roman" w:hAnsi="Times New Roman" w:eastAsia="宋体" w:cs="Times New Roman"/>
                      <w:b w:val="0"/>
                      <w:bCs w:val="0"/>
                      <w:kern w:val="2"/>
                      <w:sz w:val="21"/>
                      <w:szCs w:val="21"/>
                      <w:vertAlign w:val="baseline"/>
                      <w:lang w:val="en-US" w:eastAsia="zh-CN" w:bidi="ar-SA"/>
                    </w:rPr>
                    <w:t>控制区</w:t>
                  </w:r>
                </w:p>
              </w:tc>
              <w:tc>
                <w:tcPr>
                  <w:tcW w:w="80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≥10000</w:t>
                  </w: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≥4</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79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2~4</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79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79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300~10000</w:t>
                  </w: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≥4</w:t>
                  </w:r>
                </w:p>
              </w:tc>
              <w:tc>
                <w:tcPr>
                  <w:tcW w:w="92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79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2~4</w:t>
                  </w:r>
                </w:p>
              </w:tc>
              <w:tc>
                <w:tcPr>
                  <w:tcW w:w="92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shd w:val="clear" w:color="auto" w:fill="B2A1C7" w:themeFill="accent4" w:themeFillTint="9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c>
                <w:tcPr>
                  <w:tcW w:w="79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c>
                <w:tcPr>
                  <w:tcW w:w="79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≤300</w:t>
                  </w: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≥4</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c>
                <w:tcPr>
                  <w:tcW w:w="79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2~4</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color w:val="000000"/>
                      <w:kern w:val="0"/>
                      <w:sz w:val="18"/>
                      <w:szCs w:val="18"/>
                      <w:highlight w:val="none"/>
                      <w:lang w:val="en-US" w:eastAsia="zh-CN" w:bidi="ar"/>
                    </w:rPr>
                    <w:t>Ⅱ</w:t>
                  </w:r>
                </w:p>
              </w:tc>
              <w:tc>
                <w:tcPr>
                  <w:tcW w:w="798" w:type="pct"/>
                  <w:tcBorders>
                    <w:tl2br w:val="nil"/>
                    <w:tr2bl w:val="nil"/>
                  </w:tcBorders>
                  <w:shd w:val="clear" w:color="auto" w:fill="B2A1C7" w:themeFill="accent4" w:themeFillTint="9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highlight w:val="none"/>
                      <w:vertAlign w:val="baseline"/>
                      <w:lang w:val="en-US" w:eastAsia="zh-CN" w:bidi="ar-SA"/>
                    </w:rPr>
                  </w:pPr>
                  <w:r>
                    <w:rPr>
                      <w:rFonts w:hint="default" w:ascii="Times New Roman" w:hAnsi="Times New Roman" w:eastAsia="宋体" w:cs="Times New Roman"/>
                      <w:color w:val="000000"/>
                      <w:kern w:val="0"/>
                      <w:sz w:val="18"/>
                      <w:szCs w:val="18"/>
                      <w:highlight w:val="none"/>
                      <w:shd w:val="clear"/>
                      <w:lang w:val="en-US" w:eastAsia="zh-CN" w:bidi="ar"/>
                    </w:rPr>
                    <w:t>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80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p>
              </w:tc>
              <w:tc>
                <w:tcPr>
                  <w:tcW w:w="79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≤2</w:t>
                  </w:r>
                </w:p>
              </w:tc>
              <w:tc>
                <w:tcPr>
                  <w:tcW w:w="9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b w:val="0"/>
                      <w:bCs w:val="0"/>
                      <w:kern w:val="2"/>
                      <w:sz w:val="21"/>
                      <w:szCs w:val="21"/>
                      <w:vertAlign w:val="baseline"/>
                      <w:lang w:val="en-US" w:eastAsia="zh-CN" w:bidi="ar-SA"/>
                    </w:rPr>
                    <w:t>Ⅰ</w:t>
                  </w:r>
                </w:p>
              </w:tc>
              <w:tc>
                <w:tcPr>
                  <w:tcW w:w="91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Ⅱ</w:t>
                  </w:r>
                </w:p>
              </w:tc>
              <w:tc>
                <w:tcPr>
                  <w:tcW w:w="79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kern w:val="2"/>
                      <w:sz w:val="21"/>
                      <w:szCs w:val="21"/>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Ⅲ</w:t>
                  </w:r>
                </w:p>
              </w:tc>
            </w:tr>
          </w:tbl>
          <w:p>
            <w:pPr>
              <w:pStyle w:val="10"/>
              <w:bidi w:val="0"/>
              <w:rPr>
                <w:rFonts w:hint="default"/>
                <w:lang w:val="en-US" w:eastAsia="zh-CN"/>
              </w:rPr>
            </w:pPr>
            <w:r>
              <w:rPr>
                <w:rFonts w:hint="eastAsia"/>
                <w:lang w:val="en-US" w:eastAsia="zh-CN"/>
              </w:rPr>
              <w:t>表1-5             工业料堆场扬尘防治方案选择参考表</w:t>
            </w:r>
          </w:p>
          <w:tbl>
            <w:tblPr>
              <w:tblStyle w:val="41"/>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3195"/>
              <w:gridCol w:w="19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tcBorders>
                    <w:tl2br w:val="nil"/>
                    <w:tr2bl w:val="nil"/>
                  </w:tcBorders>
                  <w:vAlign w:val="center"/>
                </w:tcPr>
                <w:p>
                  <w:pPr>
                    <w:pStyle w:val="6"/>
                    <w:bidi w:val="0"/>
                    <w:rPr>
                      <w:rFonts w:hint="default"/>
                      <w:lang w:val="en-US" w:eastAsia="zh-CN"/>
                    </w:rPr>
                  </w:pPr>
                  <w:r>
                    <w:rPr>
                      <w:rFonts w:hint="default"/>
                      <w:lang w:val="en-US" w:eastAsia="zh-CN"/>
                    </w:rPr>
                    <w:t>工业料堆场类型</w:t>
                  </w:r>
                </w:p>
              </w:tc>
              <w:tc>
                <w:tcPr>
                  <w:tcW w:w="3548" w:type="pct"/>
                  <w:gridSpan w:val="2"/>
                  <w:tcBorders>
                    <w:tl2br w:val="nil"/>
                    <w:tr2bl w:val="nil"/>
                  </w:tcBorders>
                  <w:vAlign w:val="center"/>
                </w:tcPr>
                <w:p>
                  <w:pPr>
                    <w:pStyle w:val="6"/>
                    <w:bidi w:val="0"/>
                    <w:rPr>
                      <w:rFonts w:hint="default"/>
                      <w:lang w:val="en-US" w:eastAsia="zh-CN"/>
                    </w:rPr>
                  </w:pPr>
                  <w:r>
                    <w:rPr>
                      <w:rFonts w:hint="default"/>
                      <w:lang w:val="en-US" w:eastAsia="zh-CN"/>
                    </w:rPr>
                    <w:t>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vMerge w:val="restart"/>
                  <w:tcBorders>
                    <w:tl2br w:val="nil"/>
                    <w:tr2bl w:val="nil"/>
                  </w:tcBorders>
                  <w:vAlign w:val="center"/>
                </w:tcPr>
                <w:p>
                  <w:pPr>
                    <w:pStyle w:val="6"/>
                    <w:bidi w:val="0"/>
                    <w:rPr>
                      <w:rFonts w:hint="default"/>
                      <w:lang w:val="en-US" w:eastAsia="zh-CN"/>
                    </w:rPr>
                  </w:pPr>
                  <w:r>
                    <w:rPr>
                      <w:rFonts w:hint="default"/>
                      <w:lang w:val="en-US" w:eastAsia="zh-CN"/>
                    </w:rPr>
                    <w:t>Ⅰ类料堆场</w:t>
                  </w:r>
                </w:p>
              </w:tc>
              <w:tc>
                <w:tcPr>
                  <w:tcW w:w="3548" w:type="pct"/>
                  <w:gridSpan w:val="2"/>
                  <w:tcBorders>
                    <w:tl2br w:val="nil"/>
                    <w:tr2bl w:val="nil"/>
                  </w:tcBorders>
                  <w:vAlign w:val="center"/>
                </w:tcPr>
                <w:p>
                  <w:pPr>
                    <w:pStyle w:val="6"/>
                    <w:bidi w:val="0"/>
                    <w:rPr>
                      <w:rFonts w:hint="default"/>
                      <w:lang w:val="en-US" w:eastAsia="zh-CN"/>
                    </w:rPr>
                  </w:pPr>
                  <w:r>
                    <w:rPr>
                      <w:rFonts w:hint="default"/>
                      <w:lang w:val="en-US" w:eastAsia="zh-CN"/>
                    </w:rPr>
                    <w:t>（1）筒仓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vMerge w:val="continue"/>
                  <w:tcBorders>
                    <w:tl2br w:val="nil"/>
                    <w:tr2bl w:val="nil"/>
                  </w:tcBorders>
                  <w:vAlign w:val="center"/>
                </w:tcPr>
                <w:p>
                  <w:pPr>
                    <w:pStyle w:val="6"/>
                    <w:bidi w:val="0"/>
                    <w:rPr>
                      <w:rFonts w:hint="default"/>
                      <w:lang w:val="en-US" w:eastAsia="zh-CN"/>
                    </w:rPr>
                  </w:pPr>
                </w:p>
              </w:tc>
              <w:tc>
                <w:tcPr>
                  <w:tcW w:w="3548" w:type="pct"/>
                  <w:gridSpan w:val="2"/>
                  <w:tcBorders>
                    <w:tl2br w:val="nil"/>
                    <w:tr2bl w:val="nil"/>
                  </w:tcBorders>
                  <w:vAlign w:val="center"/>
                </w:tcPr>
                <w:p>
                  <w:pPr>
                    <w:pStyle w:val="6"/>
                    <w:bidi w:val="0"/>
                    <w:rPr>
                      <w:rFonts w:hint="default"/>
                      <w:lang w:val="en-US" w:eastAsia="zh-CN"/>
                    </w:rPr>
                  </w:pPr>
                  <w:r>
                    <w:rPr>
                      <w:rFonts w:hint="default"/>
                      <w:lang w:val="en-US" w:eastAsia="zh-CN"/>
                    </w:rPr>
                    <w:t>（2）圆形料仓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vMerge w:val="continue"/>
                  <w:tcBorders>
                    <w:tl2br w:val="nil"/>
                    <w:tr2bl w:val="nil"/>
                  </w:tcBorders>
                  <w:vAlign w:val="center"/>
                </w:tcPr>
                <w:p>
                  <w:pPr>
                    <w:pStyle w:val="6"/>
                    <w:bidi w:val="0"/>
                    <w:rPr>
                      <w:rFonts w:hint="default"/>
                      <w:lang w:val="en-US" w:eastAsia="zh-CN"/>
                    </w:rPr>
                  </w:pPr>
                </w:p>
              </w:tc>
              <w:tc>
                <w:tcPr>
                  <w:tcW w:w="3548" w:type="pct"/>
                  <w:gridSpan w:val="2"/>
                  <w:tcBorders>
                    <w:tl2br w:val="nil"/>
                    <w:tr2bl w:val="nil"/>
                  </w:tcBorders>
                  <w:vAlign w:val="center"/>
                </w:tcPr>
                <w:p>
                  <w:pPr>
                    <w:pStyle w:val="6"/>
                    <w:bidi w:val="0"/>
                    <w:rPr>
                      <w:rFonts w:hint="default"/>
                      <w:lang w:val="en-US" w:eastAsia="zh-CN"/>
                    </w:rPr>
                  </w:pPr>
                  <w:r>
                    <w:rPr>
                      <w:rFonts w:hint="default"/>
                      <w:lang w:val="en-US" w:eastAsia="zh-CN"/>
                    </w:rPr>
                    <w:t>（3）其它全封闭性仓库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vMerge w:val="restart"/>
                  <w:tcBorders>
                    <w:tl2br w:val="nil"/>
                    <w:tr2bl w:val="nil"/>
                  </w:tcBorders>
                  <w:vAlign w:val="center"/>
                </w:tcPr>
                <w:p>
                  <w:pPr>
                    <w:pStyle w:val="6"/>
                    <w:bidi w:val="0"/>
                    <w:rPr>
                      <w:rFonts w:hint="default"/>
                      <w:lang w:val="en-US" w:eastAsia="zh-CN"/>
                    </w:rPr>
                  </w:pPr>
                  <w:r>
                    <w:rPr>
                      <w:rFonts w:hint="default"/>
                      <w:lang w:val="en-US" w:eastAsia="zh-CN"/>
                    </w:rPr>
                    <w:t>Ⅱ类料堆场</w:t>
                  </w:r>
                </w:p>
              </w:tc>
              <w:tc>
                <w:tcPr>
                  <w:tcW w:w="3548" w:type="pct"/>
                  <w:gridSpan w:val="2"/>
                  <w:tcBorders>
                    <w:tl2br w:val="nil"/>
                    <w:tr2bl w:val="nil"/>
                  </w:tcBorders>
                  <w:vAlign w:val="center"/>
                </w:tcPr>
                <w:p>
                  <w:pPr>
                    <w:pStyle w:val="6"/>
                    <w:bidi w:val="0"/>
                    <w:rPr>
                      <w:rFonts w:hint="default"/>
                      <w:lang w:val="en-US" w:eastAsia="zh-CN"/>
                    </w:rPr>
                  </w:pPr>
                  <w:r>
                    <w:rPr>
                      <w:rFonts w:hint="default"/>
                      <w:lang w:val="en-US" w:eastAsia="zh-CN"/>
                    </w:rPr>
                    <w:t>（4）可用Ⅰ类料堆场防治方案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vMerge w:val="continue"/>
                  <w:tcBorders>
                    <w:tl2br w:val="nil"/>
                    <w:tr2bl w:val="nil"/>
                  </w:tcBorders>
                  <w:vAlign w:val="center"/>
                </w:tcPr>
                <w:p>
                  <w:pPr>
                    <w:pStyle w:val="6"/>
                    <w:bidi w:val="0"/>
                    <w:rPr>
                      <w:rFonts w:hint="default"/>
                      <w:lang w:val="en-US" w:eastAsia="zh-CN"/>
                    </w:rPr>
                  </w:pPr>
                </w:p>
              </w:tc>
              <w:tc>
                <w:tcPr>
                  <w:tcW w:w="2186" w:type="pct"/>
                  <w:tcBorders>
                    <w:tl2br w:val="nil"/>
                    <w:tr2bl w:val="nil"/>
                  </w:tcBorders>
                  <w:vAlign w:val="center"/>
                </w:tcPr>
                <w:p>
                  <w:pPr>
                    <w:pStyle w:val="6"/>
                    <w:bidi w:val="0"/>
                    <w:rPr>
                      <w:rFonts w:hint="default"/>
                      <w:lang w:val="en-US" w:eastAsia="zh-CN"/>
                    </w:rPr>
                  </w:pPr>
                  <w:r>
                    <w:rPr>
                      <w:rFonts w:hint="default"/>
                      <w:lang w:val="en-US" w:eastAsia="zh-CN"/>
                    </w:rPr>
                    <w:t>（5）半封闭仓库+</w:t>
                  </w:r>
                </w:p>
              </w:tc>
              <w:tc>
                <w:tcPr>
                  <w:tcW w:w="1361" w:type="pct"/>
                  <w:vMerge w:val="restart"/>
                  <w:tcBorders>
                    <w:tl2br w:val="nil"/>
                    <w:tr2bl w:val="nil"/>
                  </w:tcBorders>
                  <w:vAlign w:val="center"/>
                </w:tcPr>
                <w:p>
                  <w:pPr>
                    <w:pStyle w:val="6"/>
                    <w:bidi w:val="0"/>
                    <w:rPr>
                      <w:rFonts w:hint="default"/>
                    </w:rPr>
                  </w:pPr>
                  <w:r>
                    <w:rPr>
                      <w:rFonts w:hint="default"/>
                      <w:lang w:val="en-US" w:eastAsia="zh-CN"/>
                    </w:rPr>
                    <w:t>a）喷洒水</w:t>
                  </w:r>
                </w:p>
                <w:p>
                  <w:pPr>
                    <w:pStyle w:val="6"/>
                    <w:bidi w:val="0"/>
                    <w:rPr>
                      <w:rFonts w:hint="default"/>
                    </w:rPr>
                  </w:pPr>
                  <w:r>
                    <w:rPr>
                      <w:rFonts w:hint="default"/>
                      <w:lang w:val="en-US" w:eastAsia="zh-CN"/>
                    </w:rPr>
                    <w:t>b）覆盖</w:t>
                  </w:r>
                </w:p>
                <w:p>
                  <w:pPr>
                    <w:pStyle w:val="6"/>
                    <w:bidi w:val="0"/>
                    <w:rPr>
                      <w:rFonts w:hint="default"/>
                    </w:rPr>
                  </w:pPr>
                  <w:r>
                    <w:rPr>
                      <w:rFonts w:hint="default"/>
                      <w:lang w:val="en-US" w:eastAsia="zh-CN"/>
                    </w:rPr>
                    <w:t>c）喷洒抑尘剂</w:t>
                  </w:r>
                </w:p>
                <w:p>
                  <w:pPr>
                    <w:pStyle w:val="6"/>
                    <w:bidi w:val="0"/>
                    <w:rPr>
                      <w:rFonts w:hint="default"/>
                      <w:lang w:val="en-US" w:eastAsia="zh-CN"/>
                    </w:rPr>
                  </w:pPr>
                  <w:r>
                    <w:rPr>
                      <w:rFonts w:hint="default"/>
                      <w:lang w:val="en-US" w:eastAsia="zh-CN"/>
                    </w:rPr>
                    <w:t>d）干雾抑尘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vMerge w:val="continue"/>
                  <w:tcBorders>
                    <w:tl2br w:val="nil"/>
                    <w:tr2bl w:val="nil"/>
                  </w:tcBorders>
                  <w:vAlign w:val="center"/>
                </w:tcPr>
                <w:p>
                  <w:pPr>
                    <w:pStyle w:val="6"/>
                    <w:bidi w:val="0"/>
                    <w:rPr>
                      <w:rFonts w:hint="default"/>
                      <w:lang w:val="en-US" w:eastAsia="zh-CN"/>
                    </w:rPr>
                  </w:pPr>
                </w:p>
              </w:tc>
              <w:tc>
                <w:tcPr>
                  <w:tcW w:w="2186" w:type="pct"/>
                  <w:tcBorders>
                    <w:tl2br w:val="nil"/>
                    <w:tr2bl w:val="nil"/>
                  </w:tcBorders>
                  <w:vAlign w:val="center"/>
                </w:tcPr>
                <w:p>
                  <w:pPr>
                    <w:pStyle w:val="6"/>
                    <w:bidi w:val="0"/>
                    <w:rPr>
                      <w:rFonts w:hint="default"/>
                      <w:lang w:val="en-US" w:eastAsia="zh-CN"/>
                    </w:rPr>
                  </w:pPr>
                  <w:r>
                    <w:rPr>
                      <w:rFonts w:hint="default"/>
                      <w:lang w:val="en-US" w:eastAsia="zh-CN"/>
                    </w:rPr>
                    <w:t>（6）防风抑尘网（墙）+</w:t>
                  </w:r>
                </w:p>
              </w:tc>
              <w:tc>
                <w:tcPr>
                  <w:tcW w:w="1361" w:type="pct"/>
                  <w:vMerge w:val="continue"/>
                  <w:tcBorders>
                    <w:tl2br w:val="nil"/>
                    <w:tr2bl w:val="nil"/>
                  </w:tcBorders>
                  <w:vAlign w:val="center"/>
                </w:tcPr>
                <w:p>
                  <w:pPr>
                    <w:pStyle w:val="6"/>
                    <w:bidi w:val="0"/>
                    <w:rPr>
                      <w:rFonts w:hint="default"/>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vMerge w:val="restart"/>
                  <w:tcBorders>
                    <w:tl2br w:val="nil"/>
                    <w:tr2bl w:val="nil"/>
                  </w:tcBorders>
                  <w:vAlign w:val="center"/>
                </w:tcPr>
                <w:p>
                  <w:pPr>
                    <w:pStyle w:val="6"/>
                    <w:bidi w:val="0"/>
                    <w:rPr>
                      <w:rFonts w:hint="default"/>
                      <w:lang w:val="en-US" w:eastAsia="zh-CN"/>
                    </w:rPr>
                  </w:pPr>
                  <w:r>
                    <w:rPr>
                      <w:rFonts w:hint="default"/>
                      <w:lang w:val="en-US" w:eastAsia="zh-CN"/>
                    </w:rPr>
                    <w:t>Ⅲ类料堆场</w:t>
                  </w:r>
                </w:p>
              </w:tc>
              <w:tc>
                <w:tcPr>
                  <w:tcW w:w="3548" w:type="pct"/>
                  <w:gridSpan w:val="2"/>
                  <w:tcBorders>
                    <w:tl2br w:val="nil"/>
                    <w:tr2bl w:val="nil"/>
                  </w:tcBorders>
                  <w:vAlign w:val="center"/>
                </w:tcPr>
                <w:p>
                  <w:pPr>
                    <w:pStyle w:val="6"/>
                    <w:bidi w:val="0"/>
                    <w:rPr>
                      <w:rFonts w:hint="default"/>
                      <w:lang w:val="en-US" w:eastAsia="zh-CN"/>
                    </w:rPr>
                  </w:pPr>
                  <w:r>
                    <w:rPr>
                      <w:rFonts w:hint="default"/>
                      <w:lang w:val="en-US" w:eastAsia="zh-CN"/>
                    </w:rPr>
                    <w:t>（7）可用Ⅰ和Ⅱ类料堆场防治方案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vMerge w:val="continue"/>
                  <w:tcBorders>
                    <w:tl2br w:val="nil"/>
                    <w:tr2bl w:val="nil"/>
                  </w:tcBorders>
                  <w:vAlign w:val="center"/>
                </w:tcPr>
                <w:p>
                  <w:pPr>
                    <w:pStyle w:val="6"/>
                    <w:bidi w:val="0"/>
                    <w:rPr>
                      <w:rFonts w:hint="default"/>
                      <w:lang w:val="en-US" w:eastAsia="zh-CN"/>
                    </w:rPr>
                  </w:pPr>
                </w:p>
              </w:tc>
              <w:tc>
                <w:tcPr>
                  <w:tcW w:w="2186" w:type="pct"/>
                  <w:tcBorders>
                    <w:tl2br w:val="nil"/>
                    <w:tr2bl w:val="nil"/>
                  </w:tcBorders>
                  <w:vAlign w:val="center"/>
                </w:tcPr>
                <w:p>
                  <w:pPr>
                    <w:pStyle w:val="6"/>
                    <w:bidi w:val="0"/>
                    <w:rPr>
                      <w:rFonts w:hint="default"/>
                      <w:lang w:val="en-US" w:eastAsia="zh-CN"/>
                    </w:rPr>
                  </w:pPr>
                  <w:r>
                    <w:rPr>
                      <w:rFonts w:hint="default"/>
                      <w:lang w:val="en-US" w:eastAsia="zh-CN"/>
                    </w:rPr>
                    <w:t>（8）覆盖+</w:t>
                  </w:r>
                </w:p>
              </w:tc>
              <w:tc>
                <w:tcPr>
                  <w:tcW w:w="1361" w:type="pct"/>
                  <w:tcBorders>
                    <w:tl2br w:val="nil"/>
                    <w:tr2bl w:val="nil"/>
                  </w:tcBorders>
                  <w:vAlign w:val="center"/>
                </w:tcPr>
                <w:p>
                  <w:pPr>
                    <w:pStyle w:val="6"/>
                    <w:bidi w:val="0"/>
                    <w:rPr>
                      <w:rFonts w:hint="default"/>
                      <w:lang w:val="en-US" w:eastAsia="zh-CN"/>
                    </w:rPr>
                  </w:pPr>
                  <w:r>
                    <w:rPr>
                      <w:rFonts w:hint="default"/>
                      <w:lang w:val="en-US" w:eastAsia="zh-CN"/>
                    </w:rPr>
                    <w:t>a）喷洒水</w:t>
                  </w:r>
                </w:p>
                <w:p>
                  <w:pPr>
                    <w:pStyle w:val="6"/>
                    <w:bidi w:val="0"/>
                    <w:rPr>
                      <w:rFonts w:hint="default"/>
                      <w:lang w:val="en-US" w:eastAsia="zh-CN"/>
                    </w:rPr>
                  </w:pPr>
                  <w:r>
                    <w:rPr>
                      <w:rFonts w:hint="default"/>
                      <w:lang w:val="en-US" w:eastAsia="zh-CN"/>
                    </w:rPr>
                    <w:t>b）喷洒抑尘剂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1" w:type="pct"/>
                  <w:tcBorders>
                    <w:tl2br w:val="nil"/>
                    <w:tr2bl w:val="nil"/>
                  </w:tcBorders>
                  <w:vAlign w:val="center"/>
                </w:tcPr>
                <w:p>
                  <w:pPr>
                    <w:pStyle w:val="6"/>
                    <w:bidi w:val="0"/>
                    <w:rPr>
                      <w:rFonts w:hint="default"/>
                      <w:lang w:val="en-US" w:eastAsia="zh-CN"/>
                    </w:rPr>
                  </w:pPr>
                </w:p>
              </w:tc>
              <w:tc>
                <w:tcPr>
                  <w:tcW w:w="2186" w:type="pct"/>
                  <w:tcBorders>
                    <w:tl2br w:val="nil"/>
                    <w:tr2bl w:val="nil"/>
                  </w:tcBorders>
                  <w:vAlign w:val="center"/>
                </w:tcPr>
                <w:p>
                  <w:pPr>
                    <w:pStyle w:val="6"/>
                    <w:bidi w:val="0"/>
                    <w:rPr>
                      <w:rFonts w:hint="default"/>
                      <w:lang w:val="en-US" w:eastAsia="zh-CN"/>
                    </w:rPr>
                  </w:pPr>
                </w:p>
              </w:tc>
              <w:tc>
                <w:tcPr>
                  <w:tcW w:w="1361" w:type="pct"/>
                  <w:tcBorders>
                    <w:tl2br w:val="nil"/>
                    <w:tr2bl w:val="nil"/>
                  </w:tcBorders>
                  <w:vAlign w:val="center"/>
                </w:tcPr>
                <w:p>
                  <w:pPr>
                    <w:pStyle w:val="6"/>
                    <w:bidi w:val="0"/>
                    <w:rPr>
                      <w:rFonts w:hint="default"/>
                      <w:lang w:val="en-US" w:eastAsia="zh-CN"/>
                    </w:rPr>
                  </w:pPr>
                </w:p>
              </w:tc>
            </w:tr>
          </w:tbl>
          <w:p>
            <w:pPr>
              <w:bidi w:val="0"/>
              <w:rPr>
                <w:rFonts w:hint="eastAsia"/>
                <w:szCs w:val="20"/>
              </w:rPr>
            </w:pPr>
            <w:r>
              <w:rPr>
                <w:rFonts w:hint="eastAsia" w:ascii="Times New Roman" w:hAnsi="Times New Roman" w:eastAsia="宋体" w:cs="Times New Roman"/>
                <w:kern w:val="2"/>
                <w:sz w:val="24"/>
                <w:szCs w:val="24"/>
                <w:lang w:val="en-US" w:eastAsia="zh-CN" w:bidi="ar-SA"/>
              </w:rPr>
              <w:t>本项目位于新疆巴州若羌县属于一般控制区，参考若羌县年平均风速为2.05m/s，砂石料粒径为0.5~13mm，砂石料堆场面积为700m</w:t>
            </w:r>
            <w:r>
              <w:rPr>
                <w:rFonts w:hint="eastAsia" w:ascii="Times New Roman" w:hAnsi="Times New Roman" w:eastAsia="宋体" w:cs="Times New Roman"/>
                <w:kern w:val="2"/>
                <w:sz w:val="24"/>
                <w:szCs w:val="24"/>
                <w:vertAlign w:val="superscript"/>
                <w:lang w:val="en-US" w:eastAsia="zh-CN" w:bidi="ar-SA"/>
              </w:rPr>
              <w:t>2</w:t>
            </w:r>
            <w:r>
              <w:rPr>
                <w:rFonts w:hint="eastAsia" w:ascii="Times New Roman" w:hAnsi="Times New Roman" w:eastAsia="宋体" w:cs="Times New Roman"/>
                <w:kern w:val="2"/>
                <w:sz w:val="24"/>
                <w:szCs w:val="24"/>
                <w:lang w:val="en-US" w:eastAsia="zh-CN" w:bidi="ar-SA"/>
              </w:rPr>
              <w:t>，成品砖体积</w:t>
            </w:r>
            <w:r>
              <w:rPr>
                <w:rFonts w:hint="default" w:ascii="Times New Roman" w:hAnsi="Times New Roman" w:eastAsia="宋体" w:cs="Times New Roman"/>
                <w:kern w:val="2"/>
                <w:sz w:val="24"/>
                <w:szCs w:val="24"/>
                <w:lang w:val="en-US" w:eastAsia="zh-CN" w:bidi="ar-SA"/>
              </w:rPr>
              <w:t>≥13</w:t>
            </w:r>
            <w:r>
              <w:rPr>
                <w:rFonts w:hint="eastAsia" w:ascii="Times New Roman" w:hAnsi="Times New Roman" w:eastAsia="宋体" w:cs="Times New Roman"/>
                <w:kern w:val="2"/>
                <w:sz w:val="24"/>
                <w:szCs w:val="24"/>
                <w:lang w:val="en-US" w:eastAsia="zh-CN" w:bidi="ar-SA"/>
              </w:rPr>
              <w:t>mm，成品堆场为300m</w:t>
            </w:r>
            <w:r>
              <w:rPr>
                <w:rFonts w:hint="eastAsia" w:ascii="Times New Roman" w:hAnsi="Times New Roman" w:eastAsia="宋体" w:cs="Times New Roman"/>
                <w:kern w:val="2"/>
                <w:sz w:val="24"/>
                <w:szCs w:val="24"/>
                <w:vertAlign w:val="superscript"/>
                <w:lang w:val="en-US" w:eastAsia="zh-CN" w:bidi="ar-SA"/>
              </w:rPr>
              <w:t>2</w:t>
            </w:r>
            <w:r>
              <w:rPr>
                <w:rFonts w:hint="eastAsia" w:ascii="Times New Roman" w:hAnsi="Times New Roman" w:eastAsia="宋体" w:cs="Times New Roman"/>
                <w:kern w:val="2"/>
                <w:sz w:val="24"/>
                <w:szCs w:val="24"/>
                <w:lang w:val="en-US" w:eastAsia="zh-CN" w:bidi="ar-SA"/>
              </w:rPr>
              <w:t>，综上所述本项目</w:t>
            </w:r>
            <w:r>
              <w:rPr>
                <w:rFonts w:hint="eastAsia" w:cs="Times New Roman"/>
                <w:kern w:val="2"/>
                <w:sz w:val="24"/>
                <w:szCs w:val="24"/>
                <w:lang w:val="en-US" w:eastAsia="zh-CN" w:bidi="ar-SA"/>
              </w:rPr>
              <w:t>砂石料</w:t>
            </w:r>
            <w:r>
              <w:rPr>
                <w:rFonts w:hint="eastAsia" w:ascii="Times New Roman" w:hAnsi="Times New Roman" w:eastAsia="宋体" w:cs="Times New Roman"/>
                <w:kern w:val="2"/>
                <w:sz w:val="24"/>
                <w:szCs w:val="24"/>
                <w:lang w:val="en-US" w:eastAsia="zh-CN" w:bidi="ar-SA"/>
              </w:rPr>
              <w:t>堆场类型为Ⅱ类堆场，</w:t>
            </w:r>
            <w:r>
              <w:rPr>
                <w:rFonts w:hint="eastAsia" w:cs="Times New Roman"/>
                <w:kern w:val="2"/>
                <w:sz w:val="24"/>
                <w:szCs w:val="24"/>
                <w:lang w:val="en-US" w:eastAsia="zh-CN" w:bidi="ar-SA"/>
              </w:rPr>
              <w:t>成品堆场为Ⅲ</w:t>
            </w:r>
            <w:r>
              <w:rPr>
                <w:rFonts w:hint="eastAsia" w:ascii="Times New Roman" w:hAnsi="Times New Roman" w:eastAsia="宋体" w:cs="Times New Roman"/>
                <w:kern w:val="2"/>
                <w:sz w:val="24"/>
                <w:szCs w:val="24"/>
                <w:lang w:val="en-US" w:eastAsia="zh-CN" w:bidi="ar-SA"/>
              </w:rPr>
              <w:t>类堆场，对砂石料堆场进行</w:t>
            </w:r>
            <w:r>
              <w:rPr>
                <w:rFonts w:hint="eastAsia" w:ascii="Times New Roman" w:hAnsi="Times New Roman" w:eastAsia="宋体" w:cs="Times New Roman"/>
                <w:color w:val="000000"/>
                <w:kern w:val="0"/>
                <w:sz w:val="24"/>
                <w:lang w:val="en-US" w:eastAsia="zh-CN" w:bidi="ar"/>
              </w:rPr>
              <w:t>围挡</w:t>
            </w:r>
            <w:r>
              <w:rPr>
                <w:rFonts w:hint="eastAsia" w:cs="Times New Roman"/>
                <w:color w:val="000000"/>
                <w:kern w:val="0"/>
                <w:sz w:val="24"/>
                <w:lang w:val="en-US" w:eastAsia="zh-CN" w:bidi="ar"/>
              </w:rPr>
              <w:t>（防风抑尘墙）</w:t>
            </w:r>
            <w:r>
              <w:rPr>
                <w:rFonts w:hint="eastAsia" w:ascii="Times New Roman" w:hAnsi="Times New Roman" w:eastAsia="宋体" w:cs="Times New Roman"/>
                <w:color w:val="000000"/>
                <w:kern w:val="0"/>
                <w:sz w:val="24"/>
                <w:lang w:val="en-US" w:eastAsia="zh-CN" w:bidi="ar"/>
              </w:rPr>
              <w:t>+定期洒水</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成品进行遮盖+喷洒水，减少风蚀粉尘。综上，本项目堆场</w:t>
            </w:r>
            <w:r>
              <w:rPr>
                <w:rFonts w:hint="eastAsia" w:ascii="Times New Roman" w:hAnsi="Times New Roman" w:eastAsia="宋体" w:cs="Times New Roman"/>
                <w:kern w:val="2"/>
                <w:sz w:val="24"/>
                <w:szCs w:val="24"/>
                <w:lang w:val="en-US" w:eastAsia="zh-CN" w:bidi="ar-SA"/>
              </w:rPr>
              <w:t>符合《</w:t>
            </w:r>
            <w:r>
              <w:rPr>
                <w:rFonts w:hint="eastAsia" w:cs="Times New Roman"/>
                <w:kern w:val="2"/>
                <w:sz w:val="24"/>
                <w:szCs w:val="24"/>
                <w:lang w:val="en-US" w:eastAsia="zh-CN" w:bidi="ar-SA"/>
              </w:rPr>
              <w:t>工业料堆场扬尘整治规范</w:t>
            </w:r>
            <w:r>
              <w:rPr>
                <w:rFonts w:hint="eastAsia" w:ascii="Times New Roman" w:hAnsi="Times New Roman" w:eastAsia="宋体" w:cs="Times New Roman"/>
                <w:kern w:val="2"/>
                <w:sz w:val="24"/>
                <w:szCs w:val="24"/>
                <w:lang w:val="en-US" w:eastAsia="zh-CN" w:bidi="ar-SA"/>
              </w:rPr>
              <w:t>》(DB65/T 4061-2017)中的Ⅱ</w:t>
            </w:r>
            <w:r>
              <w:rPr>
                <w:rFonts w:hint="eastAsia" w:cs="Times New Roman"/>
                <w:kern w:val="2"/>
                <w:sz w:val="24"/>
                <w:szCs w:val="24"/>
                <w:lang w:val="en-US" w:eastAsia="zh-CN" w:bidi="ar-SA"/>
              </w:rPr>
              <w:t>类堆场</w:t>
            </w:r>
            <w:r>
              <w:rPr>
                <w:rFonts w:hint="eastAsia" w:ascii="Times New Roman" w:hAnsi="Times New Roman" w:eastAsia="宋体" w:cs="Times New Roman"/>
                <w:kern w:val="2"/>
                <w:sz w:val="24"/>
                <w:szCs w:val="24"/>
                <w:lang w:val="en-US" w:eastAsia="zh-CN" w:bidi="ar-SA"/>
              </w:rPr>
              <w:t>要求。</w:t>
            </w:r>
          </w:p>
          <w:p>
            <w:pPr>
              <w:pStyle w:val="4"/>
              <w:bidi w:val="0"/>
            </w:pPr>
            <w:r>
              <w:rPr>
                <w:rFonts w:hint="eastAsia"/>
                <w:lang w:val="en-US" w:eastAsia="zh-CN"/>
              </w:rPr>
              <w:t>7、</w:t>
            </w:r>
            <w:r>
              <w:rPr>
                <w:rFonts w:hint="eastAsia"/>
              </w:rPr>
              <w:t>与《中华人民共和国大气污染防治法》的符合性分析</w:t>
            </w:r>
          </w:p>
          <w:p>
            <w:pPr>
              <w:bidi w:val="0"/>
            </w:pPr>
            <w:r>
              <w:t>第四十八条 钢铁、建材、有色金属、石油、化工、制药、矿产开采等企业，应当加强精细化管理，采取集中收集处理等措施，严格控制粉尘和气态污染物的排放。</w:t>
            </w:r>
          </w:p>
          <w:p>
            <w:pPr>
              <w:bidi w:val="0"/>
            </w:pPr>
            <w:r>
              <w:t>工业生产企业应当采取密闭、围挡、遮盖、清扫、洒水等措施，减少内部物料的堆存、传输、装卸等环节产生的粉尘和气态污染物的排放。</w:t>
            </w:r>
          </w:p>
          <w:p>
            <w:pPr>
              <w:bidi w:val="0"/>
              <w:rPr>
                <w:rFonts w:hint="default" w:eastAsia="宋体"/>
                <w:lang w:val="en-US" w:eastAsia="zh-CN"/>
              </w:rPr>
            </w:pPr>
            <w:r>
              <w:rPr>
                <w:rFonts w:hint="eastAsia"/>
                <w:lang w:val="en-US" w:eastAsia="zh-CN"/>
              </w:rPr>
              <w:t>本项目</w:t>
            </w:r>
            <w:r>
              <w:rPr>
                <w:rFonts w:hint="eastAsia" w:ascii="Times New Roman" w:hAnsi="Times New Roman" w:eastAsia="宋体" w:cs="Times New Roman"/>
                <w:kern w:val="2"/>
                <w:sz w:val="24"/>
                <w:szCs w:val="24"/>
                <w:lang w:val="en-US" w:eastAsia="zh-CN" w:bidi="ar-SA"/>
              </w:rPr>
              <w:t>砂石料堆场进行</w:t>
            </w:r>
            <w:r>
              <w:rPr>
                <w:rFonts w:hint="eastAsia" w:ascii="Times New Roman" w:hAnsi="Times New Roman" w:eastAsia="宋体" w:cs="Times New Roman"/>
                <w:lang w:val="en-US" w:eastAsia="zh-CN"/>
              </w:rPr>
              <w:t>围挡（防风抑尘墙）+洒水降尘</w:t>
            </w:r>
            <w:r>
              <w:rPr>
                <w:rFonts w:hint="eastAsia"/>
                <w:lang w:val="en-US" w:eastAsia="zh-CN"/>
              </w:rPr>
              <w:t>，</w:t>
            </w:r>
            <w:r>
              <w:rPr>
                <w:rFonts w:hint="eastAsia" w:ascii="Times New Roman" w:hAnsi="Times New Roman" w:eastAsia="宋体" w:cs="Times New Roman"/>
                <w:lang w:val="en-US" w:eastAsia="zh-CN"/>
              </w:rPr>
              <w:t>成品堆场遮盖+喷洒水；</w:t>
            </w:r>
            <w:r>
              <w:rPr>
                <w:rFonts w:hint="eastAsia"/>
                <w:lang w:val="en-US" w:eastAsia="zh-CN"/>
              </w:rPr>
              <w:t>水泥暂存于筒仓内；砂石料进料传送带进行密闭，搅拌设备位于密闭的搅拌机楼内，符合</w:t>
            </w:r>
            <w:r>
              <w:rPr>
                <w:rFonts w:hint="eastAsia"/>
              </w:rPr>
              <w:t>《中华人民共和国大气污染防治法》</w:t>
            </w:r>
            <w:r>
              <w:rPr>
                <w:rFonts w:hint="eastAsia"/>
                <w:lang w:val="en-US" w:eastAsia="zh-CN"/>
              </w:rPr>
              <w:t>中的要求。</w:t>
            </w:r>
          </w:p>
          <w:p>
            <w:pPr>
              <w:pStyle w:val="4"/>
              <w:bidi w:val="0"/>
              <w:rPr>
                <w:lang w:val="en-US" w:eastAsia="zh-CN"/>
              </w:rPr>
            </w:pPr>
            <w:r>
              <w:rPr>
                <w:rFonts w:hint="eastAsia"/>
                <w:lang w:val="en-US" w:eastAsia="zh-CN"/>
              </w:rPr>
              <w:t>8、与《新疆维吾尔自治区大气污染防治条例》的符合性分析</w:t>
            </w:r>
          </w:p>
          <w:p>
            <w:pPr>
              <w:bidi w:val="0"/>
              <w:rPr>
                <w:rFonts w:hint="eastAsia"/>
                <w:lang w:val="en-US" w:eastAsia="zh-CN"/>
              </w:rPr>
            </w:pPr>
            <w:r>
              <w:rPr>
                <w:rFonts w:hint="eastAsia"/>
                <w:lang w:val="en-US" w:eastAsia="zh-CN"/>
              </w:rPr>
              <w:t>第四十三条贮存易产生扬尘的煤炭、煤矸石、煤渣、煤灰、水泥、石灰、石膏、砂土等物料的堆场应当密闭；不能密闭的，贮存单位或者个人应当采取下列防尘措施：</w:t>
            </w:r>
          </w:p>
          <w:p>
            <w:pPr>
              <w:bidi w:val="0"/>
              <w:rPr>
                <w:lang w:val="en-US" w:eastAsia="zh-CN"/>
              </w:rPr>
            </w:pPr>
            <w:r>
              <w:rPr>
                <w:rFonts w:hint="eastAsia"/>
                <w:lang w:val="en-US" w:eastAsia="zh-CN"/>
              </w:rPr>
              <w:t>（一）堆场的场坪、路面应当进行硬化处理，并保持路面整洁；</w:t>
            </w:r>
          </w:p>
          <w:p>
            <w:pPr>
              <w:bidi w:val="0"/>
              <w:rPr>
                <w:lang w:val="en-US" w:eastAsia="zh-CN"/>
              </w:rPr>
            </w:pPr>
            <w:r>
              <w:rPr>
                <w:rFonts w:hint="eastAsia"/>
                <w:lang w:val="en-US" w:eastAsia="zh-CN"/>
              </w:rPr>
              <w:t>（二）堆场周边应当配备高于堆存物料的围挡、防风抑尘网等设施；</w:t>
            </w:r>
          </w:p>
          <w:p>
            <w:pPr>
              <w:bidi w:val="0"/>
              <w:rPr>
                <w:lang w:val="en-US" w:eastAsia="zh-CN"/>
              </w:rPr>
            </w:pPr>
            <w:r>
              <w:rPr>
                <w:rFonts w:hint="eastAsia"/>
                <w:lang w:val="en-US" w:eastAsia="zh-CN"/>
              </w:rPr>
              <w:t>（三）按照物料类别采取相应的覆盖、喷淋和围挡等防风抑尘措施。</w:t>
            </w:r>
          </w:p>
          <w:p>
            <w:pPr>
              <w:bidi w:val="0"/>
              <w:rPr>
                <w:lang w:val="en-US" w:eastAsia="zh-CN"/>
              </w:rPr>
            </w:pPr>
            <w:r>
              <w:rPr>
                <w:rFonts w:hint="eastAsia"/>
                <w:lang w:val="en-US" w:eastAsia="zh-CN"/>
              </w:rPr>
              <w:t>露天装卸物料应当采取密闭或者喷淋等抑尘措施；输送的物料应当在装料、卸料处配备吸尘、喷淋等防尘设施。</w:t>
            </w:r>
          </w:p>
          <w:p>
            <w:pPr>
              <w:bidi w:val="0"/>
              <w:rPr>
                <w:lang w:val="en-US" w:eastAsia="zh-CN"/>
              </w:rPr>
            </w:pPr>
            <w:r>
              <w:rPr>
                <w:rFonts w:hint="eastAsia"/>
                <w:lang w:val="en-US" w:eastAsia="zh-CN"/>
              </w:rPr>
              <w:t>本项目</w:t>
            </w:r>
            <w:r>
              <w:rPr>
                <w:rFonts w:hint="eastAsia" w:ascii="Times New Roman" w:hAnsi="Times New Roman" w:eastAsia="宋体" w:cs="Times New Roman"/>
                <w:lang w:val="en-US" w:eastAsia="zh-CN"/>
              </w:rPr>
              <w:t>砂石料堆场围挡（防风抑尘墙）+洒水降尘、成品堆场遮盖+喷洒水</w:t>
            </w:r>
            <w:r>
              <w:rPr>
                <w:rFonts w:hint="eastAsia"/>
                <w:lang w:val="en-US" w:eastAsia="zh-CN"/>
              </w:rPr>
              <w:t>；水泥暂存于筒仓内；上料采取洒水抑尘措施；砂石料进料传送带进行密闭；搅拌设备位于密闭的搅拌机楼内；符合文件中的要求。</w:t>
            </w:r>
          </w:p>
          <w:p>
            <w:pPr>
              <w:pStyle w:val="4"/>
              <w:bidi w:val="0"/>
              <w:rPr>
                <w:rFonts w:hint="eastAsia"/>
                <w:lang w:val="en-US" w:eastAsia="zh-CN"/>
              </w:rPr>
            </w:pPr>
            <w:r>
              <w:rPr>
                <w:rFonts w:hint="eastAsia"/>
                <w:lang w:val="en-US" w:eastAsia="zh-CN"/>
              </w:rPr>
              <w:t>9、与《自治州大气污染防治三年攻坚行动方案（2023－2025年）》符合性分析</w:t>
            </w:r>
          </w:p>
          <w:p>
            <w:pPr>
              <w:bidi w:val="0"/>
            </w:pPr>
            <w:r>
              <w:rPr>
                <w:lang w:val="en-US" w:eastAsia="zh-CN"/>
              </w:rPr>
              <w:t>各县市加强砂石料场扬尘污染监管，落实破碎、投料、</w:t>
            </w:r>
            <w:r>
              <w:rPr>
                <w:rFonts w:hint="eastAsia"/>
                <w:lang w:val="en-US" w:eastAsia="zh-CN"/>
              </w:rPr>
              <w:t>传输、筛分、出料、堆场（物料粒度≤</w:t>
            </w:r>
            <w:r>
              <w:rPr>
                <w:rFonts w:hint="default"/>
                <w:lang w:val="en-US" w:eastAsia="zh-CN"/>
              </w:rPr>
              <w:t>0.5mm</w:t>
            </w:r>
            <w:r>
              <w:rPr>
                <w:rFonts w:hint="eastAsia"/>
                <w:lang w:val="en-US" w:eastAsia="zh-CN"/>
              </w:rPr>
              <w:t>）全环节密闭；落 实厂区内外扰动区域硬化，进出车辆苫盖冲洗，生产期间定期清 尘和洒水降尘，进场道路定期洒水抑尘。库尔勒市、尉犁县周边 砂石料场进场道路硬化。</w:t>
            </w:r>
            <w:r>
              <w:rPr>
                <w:rFonts w:hint="default"/>
                <w:lang w:val="en-US" w:eastAsia="zh-CN"/>
              </w:rPr>
              <w:t xml:space="preserve">2023 </w:t>
            </w:r>
            <w:r>
              <w:rPr>
                <w:rFonts w:hint="eastAsia"/>
                <w:lang w:val="en-US" w:eastAsia="zh-CN"/>
              </w:rPr>
              <w:t>年底前，库尔勒市、尉犁县、库尔 勒经济技术开发区全面完成砂石料场生产区和堆场封闭式改造。 库尔勒市、尉犁县联合整治东山矿区扬尘污染源。</w:t>
            </w:r>
          </w:p>
          <w:p>
            <w:pPr>
              <w:bidi w:val="0"/>
              <w:rPr>
                <w:rFonts w:hint="eastAsia"/>
                <w:lang w:val="en-US" w:eastAsia="zh-CN"/>
              </w:rPr>
            </w:pPr>
            <w:r>
              <w:rPr>
                <w:rFonts w:hint="eastAsia"/>
                <w:lang w:val="en-US" w:eastAsia="zh-CN"/>
              </w:rPr>
              <w:t>18.整治搅拌站扬尘污染。住建部门加强预制搅拌站扬尘污染监管，落实原料堆场、破碎、投料、传输、筛分、搅拌、出料全环节密闭；厂区和运输道路实现硬化，并洒水降尘；进出车辆苫盖冲洗，确保厂区内外无积尘。2023 年底前，各县市预制搅拌站完成扬尘监测系统建设和联网，库尔勒市、尉犁县、库尔勒经济技术开发区全面完成预制搅拌站生产区和堆场封闭式改造。</w:t>
            </w:r>
          </w:p>
          <w:p>
            <w:pPr>
              <w:bidi w:val="0"/>
              <w:rPr>
                <w:rFonts w:hint="default"/>
                <w:lang w:val="en-US" w:eastAsia="zh-CN"/>
              </w:rPr>
            </w:pPr>
            <w:r>
              <w:rPr>
                <w:rFonts w:hint="eastAsia"/>
                <w:lang w:val="en-US" w:eastAsia="zh-CN"/>
              </w:rPr>
              <w:t>本项目</w:t>
            </w:r>
            <w:r>
              <w:rPr>
                <w:rFonts w:hint="eastAsia" w:ascii="Times New Roman" w:hAnsi="Times New Roman" w:eastAsia="宋体" w:cs="Times New Roman"/>
                <w:lang w:val="en-US" w:eastAsia="zh-CN"/>
              </w:rPr>
              <w:t>砂石料堆场围挡（防风抑尘墙）+洒水降尘，成品堆场遮盖+喷洒水</w:t>
            </w:r>
            <w:r>
              <w:rPr>
                <w:rFonts w:hint="eastAsia"/>
                <w:lang w:val="en-US" w:eastAsia="zh-CN"/>
              </w:rPr>
              <w:t>，水泥暂存于筒仓内，砂石料进料传送带进行密闭，搅拌设备位于密闭的搅拌机楼内，符合《自治州大气污染防治三年攻坚行动方案（2023－2025年）》中要求。</w:t>
            </w:r>
          </w:p>
          <w:p>
            <w:pPr>
              <w:pStyle w:val="4"/>
              <w:bidi w:val="0"/>
              <w:rPr>
                <w:rFonts w:hint="eastAsia"/>
                <w:lang w:val="en-US" w:eastAsia="zh-CN"/>
              </w:rPr>
            </w:pPr>
            <w:r>
              <w:rPr>
                <w:rFonts w:hint="eastAsia"/>
                <w:lang w:val="en-US" w:eastAsia="zh-CN"/>
              </w:rPr>
              <w:t>10、与《新疆维吾尔自治区主体功能区规划》的符合性分析</w:t>
            </w:r>
          </w:p>
          <w:p>
            <w:pPr>
              <w:bidi w:val="0"/>
              <w:rPr>
                <w:rFonts w:hint="eastAsia"/>
                <w:lang w:val="en-US" w:eastAsia="zh-CN"/>
              </w:rPr>
            </w:pPr>
            <w:r>
              <w:rPr>
                <w:lang w:val="en-US" w:eastAsia="zh-CN"/>
              </w:rPr>
              <w:t>根据主体功能区开发的理念，结合</w:t>
            </w:r>
            <w:r>
              <w:rPr>
                <w:rFonts w:hint="eastAsia"/>
                <w:lang w:val="en-US" w:eastAsia="zh-CN"/>
              </w:rPr>
              <w:t>新疆独特的自然地理状况和新时期跨越式发展的需要，本规划将新疆国土空间划分为重点开发、限制开发和禁止开发区域；按开发内容，分为城市化地区、农产品主产区和重点生态功能区；按层级，包括国家和自治区两个层面（其中：国家层面主体功能区是《全国主体功能区规划》从我国战略全局出发划定的，自治区层面主体功能区是按要求在国家层面以外的区域划定的）。</w:t>
            </w:r>
          </w:p>
          <w:p>
            <w:pPr>
              <w:bidi w:val="0"/>
              <w:rPr>
                <w:rFonts w:hint="eastAsia"/>
                <w:lang w:val="en-US" w:eastAsia="zh-CN"/>
              </w:rPr>
            </w:pPr>
            <w:r>
              <w:rPr>
                <w:rFonts w:hint="default"/>
                <w:lang w:val="en-US" w:eastAsia="zh-CN"/>
              </w:rPr>
              <w:t>—</w:t>
            </w:r>
            <w:r>
              <w:rPr>
                <w:lang w:val="en-US" w:eastAsia="zh-CN"/>
              </w:rPr>
              <w:t>防风固沙型。在阿尔金草原荒漠化防治生态功能</w:t>
            </w:r>
            <w:r>
              <w:rPr>
                <w:rFonts w:hint="eastAsia"/>
                <w:lang w:val="en-US" w:eastAsia="zh-CN"/>
              </w:rPr>
              <w:t>区、塔里木河荒漠化防治生态功能区、塔里木盆地西北部</w:t>
            </w:r>
            <w:r>
              <w:rPr>
                <w:lang w:val="en-US" w:eastAsia="zh-CN"/>
              </w:rPr>
              <w:t>漠生态功能区等风沙危害大的区域，转变传统畜牧业生</w:t>
            </w:r>
            <w:r>
              <w:rPr>
                <w:rFonts w:hint="eastAsia"/>
                <w:lang w:val="en-US" w:eastAsia="zh-CN"/>
              </w:rPr>
              <w:t>产方式，实行禁牧休牧，推行舍饲圈养，以草定畜，严格控制载畜量。加大退牧还草、退耕还林和防沙治沙力度，恢复草地植被。同时加强对塔里木河流域等干旱区内陆河流的规划和管理，保护沙区湿地，新建水利工程要充分论证、审慎决策，禁止发展高耗水工业。对主要沙尘源区、沙尘暴频发区，要实行封禁管理。</w:t>
            </w:r>
          </w:p>
          <w:p>
            <w:pPr>
              <w:bidi w:val="0"/>
              <w:rPr>
                <w:rFonts w:hint="default"/>
                <w:lang w:val="en-US"/>
              </w:rPr>
            </w:pPr>
            <w:r>
              <w:rPr>
                <w:rFonts w:hint="eastAsia"/>
                <w:lang w:val="en-US" w:eastAsia="zh-CN"/>
              </w:rPr>
              <w:t>本项目位于若羌县，不属于重点开发、限制开发和禁止开发区域，属于允许限制开发区域——国家重点生态功能区，阿尔金草原荒漠化防治生态功能区。施工期按照本环评提出的</w:t>
            </w:r>
            <w:r>
              <w:rPr>
                <w:rFonts w:hint="eastAsia"/>
                <w:color w:val="auto"/>
                <w:highlight w:val="none"/>
                <w:lang w:val="en-US" w:eastAsia="zh-CN"/>
              </w:rPr>
              <w:t>防沙治沙措施，可有效降低施工期的土壤沙化。</w:t>
            </w:r>
          </w:p>
          <w:p>
            <w:pPr>
              <w:pStyle w:val="4"/>
              <w:bidi w:val="0"/>
              <w:rPr>
                <w:rFonts w:hint="eastAsia"/>
                <w:lang w:val="en-US" w:eastAsia="zh-CN"/>
              </w:rPr>
            </w:pPr>
            <w:r>
              <w:rPr>
                <w:rFonts w:hint="eastAsia"/>
                <w:lang w:val="en-US" w:eastAsia="zh-CN"/>
              </w:rPr>
              <w:t>11、选址合理性分析</w:t>
            </w:r>
          </w:p>
          <w:p>
            <w:pPr>
              <w:bidi w:val="0"/>
              <w:rPr>
                <w:rFonts w:hint="eastAsia"/>
                <w:lang w:val="en-US" w:eastAsia="zh-CN"/>
              </w:rPr>
            </w:pPr>
            <w:r>
              <w:rPr>
                <w:rFonts w:hint="eastAsia"/>
              </w:rPr>
              <w:t>本项目厂址</w:t>
            </w:r>
            <w:r>
              <w:rPr>
                <w:rFonts w:hint="eastAsia"/>
                <w:lang w:val="en-US" w:eastAsia="zh-CN"/>
              </w:rPr>
              <w:t>位于新疆巴州若羌县城南建材产业园区内，项目用地类型为临时用地</w:t>
            </w:r>
            <w:r>
              <w:rPr>
                <w:rFonts w:hint="eastAsia"/>
              </w:rPr>
              <w:t>。场址周围无饮用水源地、自然保护区、文物景观等环境敏感目标。项目区道路交通条件完备，项目用水用电均</w:t>
            </w:r>
            <w:r>
              <w:rPr>
                <w:rFonts w:hint="eastAsia"/>
                <w:lang w:eastAsia="zh-CN"/>
              </w:rPr>
              <w:t>有保障</w:t>
            </w:r>
            <w:r>
              <w:rPr>
                <w:rFonts w:hint="eastAsia"/>
              </w:rPr>
              <w:t>。</w:t>
            </w:r>
            <w:r>
              <w:rPr>
                <w:rFonts w:hint="eastAsia"/>
                <w:lang w:val="en-US" w:eastAsia="zh-CN"/>
              </w:rPr>
              <w:t>选址符合“三线一单”中的要求。</w:t>
            </w:r>
            <w:r>
              <w:rPr>
                <w:rFonts w:hint="eastAsia"/>
              </w:rPr>
              <w:t>因此，本项目建设交通、能源方面均有保障，项目内部、外部条件均能满足建设要求。</w:t>
            </w:r>
          </w:p>
          <w:p>
            <w:pPr>
              <w:pStyle w:val="18"/>
              <w:keepNext w:val="0"/>
              <w:keepLines w:val="0"/>
              <w:pageBreakBefore w:val="0"/>
              <w:kinsoku/>
              <w:wordWrap/>
              <w:overflowPunct/>
              <w:topLinePunct w:val="0"/>
              <w:bidi w:val="0"/>
              <w:adjustRightInd w:val="0"/>
              <w:snapToGrid w:val="0"/>
              <w:spacing w:after="0" w:line="240" w:lineRule="auto"/>
              <w:ind w:left="0" w:leftChars="0" w:firstLine="0" w:firstLineChars="0"/>
              <w:textAlignment w:val="auto"/>
              <w:rPr>
                <w:rFonts w:hint="eastAsia"/>
              </w:rPr>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p>
            <w:pPr>
              <w:keepNext w:val="0"/>
              <w:keepLines w:val="0"/>
              <w:pageBreakBefore w:val="0"/>
              <w:kinsoku/>
              <w:wordWrap/>
              <w:overflowPunct/>
              <w:topLinePunct w:val="0"/>
              <w:bidi w:val="0"/>
              <w:adjustRightInd w:val="0"/>
              <w:snapToGrid w:val="0"/>
              <w:spacing w:line="240" w:lineRule="auto"/>
              <w:ind w:left="0" w:leftChars="0" w:firstLine="0" w:firstLineChars="0"/>
              <w:textAlignment w:val="auto"/>
            </w:pPr>
          </w:p>
        </w:tc>
      </w:tr>
    </w:tbl>
    <w:p>
      <w:pPr>
        <w:pStyle w:val="57"/>
        <w:ind w:left="0" w:leftChars="0" w:firstLine="0" w:firstLineChars="0"/>
        <w:sectPr>
          <w:headerReference r:id="rId5" w:type="default"/>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3"/>
        <w:rPr>
          <w:color w:val="auto"/>
        </w:rPr>
      </w:pPr>
      <w:bookmarkStart w:id="2" w:name="_Toc18574"/>
      <w:r>
        <w:rPr>
          <w:color w:val="auto"/>
        </w:rPr>
        <w:t>二、建设项目工程分析</w:t>
      </w:r>
      <w:bookmarkEnd w:id="2"/>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80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2" w:hRule="atLeast"/>
          <w:jc w:val="center"/>
        </w:trPr>
        <w:tc>
          <w:tcPr>
            <w:tcW w:w="0" w:type="auto"/>
            <w:noWrap w:val="0"/>
            <w:vAlign w:val="center"/>
          </w:tcPr>
          <w:p>
            <w:pPr>
              <w:pStyle w:val="36"/>
              <w:adjustRightInd w:val="0"/>
              <w:snapToGrid w:val="0"/>
              <w:spacing w:before="0" w:beforeAutospacing="0" w:after="0" w:afterAutospacing="0"/>
              <w:ind w:left="0" w:leftChars="0" w:firstLine="0" w:firstLineChars="0"/>
              <w:jc w:val="both"/>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建设</w:t>
            </w:r>
          </w:p>
          <w:p>
            <w:pPr>
              <w:pStyle w:val="36"/>
              <w:adjustRightInd w:val="0"/>
              <w:snapToGrid w:val="0"/>
              <w:spacing w:before="0" w:beforeAutospacing="0" w:after="0" w:afterAutospacing="0"/>
              <w:ind w:left="0" w:leftChars="0" w:firstLine="0" w:firstLineChars="0"/>
              <w:jc w:val="both"/>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内容</w:t>
            </w:r>
          </w:p>
        </w:tc>
        <w:tc>
          <w:tcPr>
            <w:tcW w:w="0" w:type="auto"/>
            <w:noWrap w:val="0"/>
            <w:vAlign w:val="top"/>
          </w:tcPr>
          <w:p>
            <w:pPr>
              <w:pStyle w:val="4"/>
              <w:bidi w:val="0"/>
            </w:pPr>
            <w:r>
              <w:rPr>
                <w:rFonts w:hint="eastAsia"/>
                <w:lang w:val="en-US" w:eastAsia="zh-CN"/>
              </w:rPr>
              <w:t>1、</w:t>
            </w:r>
            <w:r>
              <w:t>建设内容</w:t>
            </w:r>
          </w:p>
          <w:p>
            <w:pPr>
              <w:ind w:firstLine="480" w:firstLineChars="200"/>
              <w:rPr>
                <w:rFonts w:hint="eastAsia"/>
                <w:color w:val="000000" w:themeColor="text1"/>
                <w:kern w:val="0"/>
                <w14:textFill>
                  <w14:solidFill>
                    <w14:schemeClr w14:val="tx1"/>
                  </w14:solidFill>
                </w14:textFill>
              </w:rPr>
            </w:pPr>
            <w:r>
              <w:rPr>
                <w:color w:val="000000" w:themeColor="text1"/>
                <w:kern w:val="0"/>
                <w14:textFill>
                  <w14:solidFill>
                    <w14:schemeClr w14:val="tx1"/>
                  </w14:solidFill>
                </w14:textFill>
              </w:rPr>
              <w:t>本项目位于</w:t>
            </w:r>
            <w:r>
              <w:rPr>
                <w:rFonts w:hint="eastAsia"/>
                <w:szCs w:val="21"/>
                <w:lang w:val="en-US" w:eastAsia="zh-CN"/>
              </w:rPr>
              <w:t>新疆巴州若羌县城南建材产业园区内</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项目区中心地理坐标：</w:t>
            </w:r>
            <w:r>
              <w:rPr>
                <w:rFonts w:hint="eastAsia"/>
                <w:szCs w:val="21"/>
                <w:u w:val="none"/>
              </w:rPr>
              <w:t>东经88</w:t>
            </w:r>
            <w:r>
              <w:rPr>
                <w:rFonts w:hint="eastAsia"/>
                <w:szCs w:val="21"/>
                <w:u w:val="none"/>
                <w:lang w:val="en-US" w:eastAsia="zh-CN"/>
              </w:rPr>
              <w:t>度</w:t>
            </w:r>
            <w:r>
              <w:rPr>
                <w:rFonts w:hint="eastAsia"/>
                <w:szCs w:val="21"/>
                <w:u w:val="none"/>
              </w:rPr>
              <w:t>7</w:t>
            </w:r>
            <w:r>
              <w:rPr>
                <w:rFonts w:hint="eastAsia"/>
                <w:szCs w:val="21"/>
                <w:u w:val="none"/>
                <w:lang w:val="en-US" w:eastAsia="zh-CN"/>
              </w:rPr>
              <w:t>分</w:t>
            </w:r>
            <w:r>
              <w:rPr>
                <w:rFonts w:hint="eastAsia"/>
                <w:szCs w:val="21"/>
                <w:u w:val="none"/>
              </w:rPr>
              <w:t>5.012</w:t>
            </w:r>
            <w:r>
              <w:rPr>
                <w:rFonts w:hint="eastAsia"/>
                <w:szCs w:val="21"/>
                <w:u w:val="none"/>
                <w:lang w:val="en-US" w:eastAsia="zh-CN"/>
              </w:rPr>
              <w:t>秒</w:t>
            </w:r>
            <w:r>
              <w:rPr>
                <w:szCs w:val="21"/>
                <w:u w:val="none"/>
              </w:rPr>
              <w:t>，</w:t>
            </w:r>
            <w:r>
              <w:rPr>
                <w:rFonts w:hint="eastAsia"/>
                <w:szCs w:val="21"/>
                <w:u w:val="none"/>
              </w:rPr>
              <w:t>北纬</w:t>
            </w:r>
            <w:r>
              <w:rPr>
                <w:rFonts w:hint="eastAsia"/>
                <w:szCs w:val="21"/>
                <w:u w:val="none"/>
                <w:lang w:val="en-US" w:eastAsia="zh-CN"/>
              </w:rPr>
              <w:t>38度56分38.135秒</w:t>
            </w:r>
            <w:r>
              <w:rPr>
                <w:color w:val="000000" w:themeColor="text1"/>
                <w:kern w:val="0"/>
                <w14:textFill>
                  <w14:solidFill>
                    <w14:schemeClr w14:val="tx1"/>
                  </w14:solidFill>
                </w14:textFill>
              </w:rPr>
              <w:t>，具体位置见：附图</w:t>
            </w:r>
            <w:r>
              <w:rPr>
                <w:rFonts w:hint="eastAsia"/>
                <w:color w:val="000000" w:themeColor="text1"/>
                <w:kern w:val="0"/>
                <w:lang w:val="en-US" w:eastAsia="zh-CN"/>
                <w14:textFill>
                  <w14:solidFill>
                    <w14:schemeClr w14:val="tx1"/>
                  </w14:solidFill>
                </w14:textFill>
              </w:rPr>
              <w:t>1</w:t>
            </w:r>
            <w:r>
              <w:rPr>
                <w:color w:val="000000" w:themeColor="text1"/>
                <w:kern w:val="0"/>
                <w14:textFill>
                  <w14:solidFill>
                    <w14:schemeClr w14:val="tx1"/>
                  </w14:solidFill>
                </w14:textFill>
              </w:rPr>
              <w:t>建设项目地理位置图，</w:t>
            </w:r>
            <w:r>
              <w:rPr>
                <w:rFonts w:hint="eastAsia"/>
                <w:color w:val="auto"/>
                <w:kern w:val="0"/>
                <w:lang w:val="en-US" w:eastAsia="zh-CN"/>
              </w:rPr>
              <w:t>项目区西侧为众力商混，其余三侧均为空地</w:t>
            </w:r>
            <w:r>
              <w:rPr>
                <w:color w:val="auto"/>
                <w:kern w:val="0"/>
              </w:rPr>
              <w:t>，</w:t>
            </w:r>
            <w:r>
              <w:rPr>
                <w:rFonts w:hint="eastAsia"/>
                <w:color w:val="auto"/>
                <w:kern w:val="0"/>
                <w:lang w:val="en-US" w:eastAsia="zh-CN"/>
              </w:rPr>
              <w:t>厂区入厂道路位于项目区西侧为现有砂石路，</w:t>
            </w:r>
            <w:r>
              <w:rPr>
                <w:rFonts w:hint="eastAsia"/>
                <w:color w:val="000000" w:themeColor="text1"/>
                <w:kern w:val="0"/>
                <w:lang w:val="en-US" w:eastAsia="zh-CN"/>
                <w14:textFill>
                  <w14:solidFill>
                    <w14:schemeClr w14:val="tx1"/>
                  </w14:solidFill>
                </w14:textFill>
              </w:rPr>
              <w:t>周边关系图详见附图2</w:t>
            </w:r>
            <w:r>
              <w:rPr>
                <w:rFonts w:hint="eastAsia"/>
                <w:color w:val="000000" w:themeColor="text1"/>
                <w:kern w:val="0"/>
                <w14:textFill>
                  <w14:solidFill>
                    <w14:schemeClr w14:val="tx1"/>
                  </w14:solidFill>
                </w14:textFill>
              </w:rPr>
              <w:t>。</w:t>
            </w:r>
          </w:p>
          <w:p>
            <w:pPr>
              <w:ind w:firstLine="480" w:firstLineChars="200"/>
              <w:rPr>
                <w:color w:val="000000" w:themeColor="text1"/>
                <w:kern w:val="0"/>
                <w14:textFill>
                  <w14:solidFill>
                    <w14:schemeClr w14:val="tx1"/>
                  </w14:solidFill>
                </w14:textFill>
              </w:rPr>
            </w:pPr>
            <w:r>
              <w:rPr>
                <w:rFonts w:hint="eastAsia"/>
                <w:color w:val="000000" w:themeColor="text1"/>
                <w:kern w:val="0"/>
                <w:lang w:val="en-US" w:eastAsia="zh-CN"/>
                <w14:textFill>
                  <w14:solidFill>
                    <w14:schemeClr w14:val="tx1"/>
                  </w14:solidFill>
                </w14:textFill>
              </w:rPr>
              <w:t>本项目为新建项目，项目总投资1700万元，占地面积为285000m</w:t>
            </w:r>
            <w:r>
              <w:rPr>
                <w:rFonts w:hint="eastAsia"/>
                <w:color w:val="000000" w:themeColor="text1"/>
                <w:kern w:val="0"/>
                <w:vertAlign w:val="superscript"/>
                <w:lang w:val="en-US" w:eastAsia="zh-CN"/>
                <w14:textFill>
                  <w14:solidFill>
                    <w14:schemeClr w14:val="tx1"/>
                  </w14:solidFill>
                </w14:textFill>
              </w:rPr>
              <w:t>2</w:t>
            </w:r>
            <w:r>
              <w:rPr>
                <w:rFonts w:hint="eastAsia"/>
                <w:color w:val="000000" w:themeColor="text1"/>
                <w:kern w:val="0"/>
                <w:lang w:val="en-US" w:eastAsia="zh-CN"/>
                <w14:textFill>
                  <w14:solidFill>
                    <w14:schemeClr w14:val="tx1"/>
                  </w14:solidFill>
                </w14:textFill>
              </w:rPr>
              <w:t>，总建筑面积为2389m</w:t>
            </w:r>
            <w:r>
              <w:rPr>
                <w:rFonts w:hint="eastAsia"/>
                <w:color w:val="000000" w:themeColor="text1"/>
                <w:kern w:val="0"/>
                <w:vertAlign w:val="superscript"/>
                <w:lang w:val="en-US" w:eastAsia="zh-CN"/>
                <w14:textFill>
                  <w14:solidFill>
                    <w14:schemeClr w14:val="tx1"/>
                  </w14:solidFill>
                </w14:textFill>
              </w:rPr>
              <w:t>2</w:t>
            </w:r>
            <w:r>
              <w:rPr>
                <w:rFonts w:hint="eastAsia"/>
                <w:color w:val="000000" w:themeColor="text1"/>
                <w:kern w:val="0"/>
                <w:lang w:val="en-US" w:eastAsia="zh-CN"/>
                <w14:textFill>
                  <w14:solidFill>
                    <w14:schemeClr w14:val="tx1"/>
                  </w14:solidFill>
                </w14:textFill>
              </w:rPr>
              <w:t>。主要建设内容包括：水泥砖生产流水线一条，年产标砖300万块、年产</w:t>
            </w:r>
            <w:r>
              <w:rPr>
                <w:rFonts w:hint="eastAsia"/>
                <w:lang w:val="en-US" w:eastAsia="zh-CN"/>
              </w:rPr>
              <w:t>路面砖</w:t>
            </w:r>
            <w:r>
              <w:rPr>
                <w:rFonts w:hint="eastAsia"/>
                <w:color w:val="000000" w:themeColor="text1"/>
                <w:kern w:val="0"/>
                <w:lang w:val="en-US" w:eastAsia="zh-CN"/>
                <w14:textFill>
                  <w14:solidFill>
                    <w14:schemeClr w14:val="tx1"/>
                  </w14:solidFill>
                </w14:textFill>
              </w:rPr>
              <w:t>100万块、年产</w:t>
            </w:r>
            <w:r>
              <w:rPr>
                <w:rFonts w:hint="eastAsia"/>
                <w:lang w:val="en-US" w:eastAsia="zh-CN"/>
              </w:rPr>
              <w:t>路沿石10万块</w:t>
            </w:r>
            <w:r>
              <w:rPr>
                <w:rFonts w:hint="eastAsia"/>
                <w:color w:val="000000" w:themeColor="text1"/>
                <w:kern w:val="0"/>
                <w:lang w:val="en-US" w:eastAsia="zh-CN"/>
                <w14:textFill>
                  <w14:solidFill>
                    <w14:schemeClr w14:val="tx1"/>
                  </w14:solidFill>
                </w14:textFill>
              </w:rPr>
              <w:t>。</w:t>
            </w:r>
            <w:r>
              <w:rPr>
                <w:color w:val="000000" w:themeColor="text1"/>
                <w:kern w:val="0"/>
                <w14:textFill>
                  <w14:solidFill>
                    <w14:schemeClr w14:val="tx1"/>
                  </w14:solidFill>
                </w14:textFill>
              </w:rPr>
              <w:t>项目主要工程内容见表</w:t>
            </w:r>
            <w:r>
              <w:rPr>
                <w:rFonts w:hint="eastAsia"/>
                <w:color w:val="000000" w:themeColor="text1"/>
                <w:kern w:val="0"/>
                <w:lang w:val="en-US" w:eastAsia="zh-CN"/>
                <w14:textFill>
                  <w14:solidFill>
                    <w14:schemeClr w14:val="tx1"/>
                  </w14:solidFill>
                </w14:textFill>
              </w:rPr>
              <w:t>2-1</w:t>
            </w:r>
            <w:r>
              <w:rPr>
                <w:color w:val="000000" w:themeColor="text1"/>
                <w:kern w:val="0"/>
                <w14:textFill>
                  <w14:solidFill>
                    <w14:schemeClr w14:val="tx1"/>
                  </w14:solidFill>
                </w14:textFill>
              </w:rPr>
              <w:t>。</w:t>
            </w:r>
          </w:p>
          <w:p>
            <w:pPr>
              <w:adjustRightInd w:val="0"/>
              <w:snapToGrid w:val="0"/>
              <w:spacing w:line="240" w:lineRule="auto"/>
              <w:ind w:firstLine="422" w:firstLineChars="200"/>
              <w:rPr>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表</w:t>
            </w:r>
            <w:r>
              <w:rPr>
                <w:rFonts w:hint="eastAsia"/>
                <w:b/>
                <w:bCs/>
                <w:color w:val="000000" w:themeColor="text1"/>
                <w:kern w:val="0"/>
                <w:sz w:val="21"/>
                <w:szCs w:val="21"/>
                <w:lang w:val="en-US" w:eastAsia="zh-CN"/>
                <w14:textFill>
                  <w14:solidFill>
                    <w14:schemeClr w14:val="tx1"/>
                  </w14:solidFill>
                </w14:textFill>
              </w:rPr>
              <w:t>2-1</w:t>
            </w:r>
            <w:r>
              <w:rPr>
                <w:b/>
                <w:bCs/>
                <w:color w:val="000000" w:themeColor="text1"/>
                <w:kern w:val="0"/>
                <w:sz w:val="21"/>
                <w:szCs w:val="21"/>
                <w14:textFill>
                  <w14:solidFill>
                    <w14:schemeClr w14:val="tx1"/>
                  </w14:solidFill>
                </w14:textFill>
              </w:rPr>
              <w:t xml:space="preserve">                   项目主要工程内容一览表</w:t>
            </w:r>
          </w:p>
          <w:tbl>
            <w:tblPr>
              <w:tblStyle w:val="40"/>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359"/>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noWrap w:val="0"/>
                  <w:vAlign w:val="center"/>
                </w:tcPr>
                <w:p>
                  <w:pPr>
                    <w:pStyle w:val="72"/>
                    <w:adjustRightInd w:val="0"/>
                    <w:snapToGrid w:val="0"/>
                    <w:rPr>
                      <w:color w:val="000000" w:themeColor="text1"/>
                      <w:kern w:val="0"/>
                      <w:lang w:val="zh-CN"/>
                      <w14:textFill>
                        <w14:solidFill>
                          <w14:schemeClr w14:val="tx1"/>
                        </w14:solidFill>
                      </w14:textFill>
                    </w:rPr>
                  </w:pPr>
                  <w:r>
                    <w:rPr>
                      <w:color w:val="000000" w:themeColor="text1"/>
                      <w:kern w:val="0"/>
                      <w:lang w:val="zh-CN"/>
                      <w14:textFill>
                        <w14:solidFill>
                          <w14:schemeClr w14:val="tx1"/>
                        </w14:solidFill>
                      </w14:textFill>
                    </w:rPr>
                    <w:t>类别</w:t>
                  </w:r>
                </w:p>
              </w:tc>
              <w:tc>
                <w:tcPr>
                  <w:tcW w:w="4553" w:type="pct"/>
                  <w:gridSpan w:val="2"/>
                  <w:noWrap w:val="0"/>
                  <w:vAlign w:val="center"/>
                </w:tcPr>
                <w:p>
                  <w:pPr>
                    <w:pStyle w:val="72"/>
                    <w:adjustRightInd w:val="0"/>
                    <w:snapToGrid w:val="0"/>
                    <w:rPr>
                      <w:color w:val="000000" w:themeColor="text1"/>
                      <w:kern w:val="0"/>
                      <w:lang w:val="zh-CN"/>
                      <w14:textFill>
                        <w14:solidFill>
                          <w14:schemeClr w14:val="tx1"/>
                        </w14:solidFill>
                      </w14:textFill>
                    </w:rPr>
                  </w:pPr>
                  <w:r>
                    <w:rPr>
                      <w:color w:val="000000" w:themeColor="text1"/>
                      <w:kern w:val="0"/>
                      <w14:textFill>
                        <w14:solidFill>
                          <w14:schemeClr w14:val="tx1"/>
                        </w14:solidFill>
                      </w14:textFill>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Merge w:val="restart"/>
                  <w:noWrap w:val="0"/>
                  <w:vAlign w:val="center"/>
                </w:tcPr>
                <w:p>
                  <w:pPr>
                    <w:pStyle w:val="72"/>
                    <w:adjustRightInd w:val="0"/>
                    <w:snapToGrid w:val="0"/>
                    <w:rPr>
                      <w:color w:val="000000" w:themeColor="text1"/>
                      <w:kern w:val="0"/>
                      <w:lang w:val="zh-CN"/>
                      <w14:textFill>
                        <w14:solidFill>
                          <w14:schemeClr w14:val="tx1"/>
                        </w14:solidFill>
                      </w14:textFill>
                    </w:rPr>
                  </w:pPr>
                  <w:r>
                    <w:rPr>
                      <w:color w:val="000000" w:themeColor="text1"/>
                      <w:kern w:val="0"/>
                      <w:lang w:val="zh-CN"/>
                      <w14:textFill>
                        <w14:solidFill>
                          <w14:schemeClr w14:val="tx1"/>
                        </w14:solidFill>
                      </w14:textFill>
                    </w:rPr>
                    <w:t>主体工程</w:t>
                  </w:r>
                </w:p>
              </w:tc>
              <w:tc>
                <w:tcPr>
                  <w:tcW w:w="874" w:type="pct"/>
                  <w:noWrap w:val="0"/>
                  <w:vAlign w:val="center"/>
                </w:tcPr>
                <w:p>
                  <w:pPr>
                    <w:pStyle w:val="72"/>
                    <w:adjustRightInd w:val="0"/>
                    <w:snapToGrid w:val="0"/>
                    <w:rPr>
                      <w:rFonts w:hint="default" w:eastAsia="宋体"/>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1</w:t>
                  </w:r>
                  <w:r>
                    <w:rPr>
                      <w:color w:val="000000" w:themeColor="text1"/>
                      <w:kern w:val="0"/>
                      <w14:textFill>
                        <w14:solidFill>
                          <w14:schemeClr w14:val="tx1"/>
                        </w14:solidFill>
                      </w14:textFill>
                    </w:rPr>
                    <w:t>#</w:t>
                  </w:r>
                  <w:r>
                    <w:rPr>
                      <w:rFonts w:hint="eastAsia"/>
                      <w:color w:val="000000" w:themeColor="text1"/>
                      <w:kern w:val="0"/>
                      <w:lang w:val="en-US" w:eastAsia="zh-CN"/>
                      <w14:textFill>
                        <w14:solidFill>
                          <w14:schemeClr w14:val="tx1"/>
                        </w14:solidFill>
                      </w14:textFill>
                    </w:rPr>
                    <w:t>生产车间</w:t>
                  </w:r>
                </w:p>
              </w:tc>
              <w:tc>
                <w:tcPr>
                  <w:tcW w:w="3678" w:type="pct"/>
                  <w:noWrap w:val="0"/>
                  <w:vAlign w:val="center"/>
                </w:tcPr>
                <w:p>
                  <w:pPr>
                    <w:pStyle w:val="72"/>
                    <w:adjustRightInd w:val="0"/>
                    <w:snapToGrid w:val="0"/>
                    <w:rPr>
                      <w:rFonts w:hint="default"/>
                      <w:color w:val="000000" w:themeColor="text1"/>
                      <w:kern w:val="0"/>
                      <w:vertAlign w:val="baseline"/>
                      <w:lang w:val="en-US"/>
                      <w14:textFill>
                        <w14:solidFill>
                          <w14:schemeClr w14:val="tx1"/>
                        </w14:solidFill>
                      </w14:textFill>
                    </w:rPr>
                  </w:pPr>
                  <w:r>
                    <w:rPr>
                      <w:rFonts w:hint="eastAsia"/>
                      <w:color w:val="000000" w:themeColor="text1"/>
                      <w:kern w:val="0"/>
                      <w:lang w:val="en-US" w:eastAsia="zh-CN"/>
                      <w14:textFill>
                        <w14:solidFill>
                          <w14:schemeClr w14:val="tx1"/>
                        </w14:solidFill>
                      </w14:textFill>
                    </w:rPr>
                    <w:t>1F，</w:t>
                  </w:r>
                  <w:r>
                    <w:rPr>
                      <w:rFonts w:hint="eastAsia"/>
                      <w:color w:val="000000" w:themeColor="text1"/>
                      <w:kern w:val="0"/>
                      <w:vertAlign w:val="baseline"/>
                      <w:lang w:val="en-US" w:eastAsia="zh-CN"/>
                      <w14:textFill>
                        <w14:solidFill>
                          <w14:schemeClr w14:val="tx1"/>
                        </w14:solidFill>
                      </w14:textFill>
                    </w:rPr>
                    <w:t>框架结构，建筑面积312m</w:t>
                  </w:r>
                  <w:r>
                    <w:rPr>
                      <w:rFonts w:hint="eastAsia"/>
                      <w:color w:val="000000" w:themeColor="text1"/>
                      <w:kern w:val="0"/>
                      <w:vertAlign w:val="superscript"/>
                      <w:lang w:val="en-US" w:eastAsia="zh-CN"/>
                      <w14:textFill>
                        <w14:solidFill>
                          <w14:schemeClr w14:val="tx1"/>
                        </w14:solidFill>
                      </w14:textFill>
                    </w:rPr>
                    <w:t>2</w:t>
                  </w:r>
                  <w:r>
                    <w:rPr>
                      <w:rFonts w:hint="eastAsia"/>
                      <w:color w:val="000000" w:themeColor="text1"/>
                      <w:kern w:val="0"/>
                      <w:vertAlign w:val="baseline"/>
                      <w:lang w:val="en-US" w:eastAsia="zh-CN"/>
                      <w14:textFill>
                        <w14:solidFill>
                          <w14:schemeClr w14:val="tx1"/>
                        </w14:solidFill>
                      </w14:textFill>
                    </w:rPr>
                    <w:t>，</w:t>
                  </w:r>
                  <w:r>
                    <w:rPr>
                      <w:rFonts w:hint="eastAsia"/>
                      <w:color w:val="000000" w:themeColor="text1"/>
                      <w:kern w:val="0"/>
                      <w:lang w:val="en-US" w:eastAsia="zh-CN"/>
                      <w14:textFill>
                        <w14:solidFill>
                          <w14:schemeClr w14:val="tx1"/>
                        </w14:solidFill>
                      </w14:textFill>
                    </w:rPr>
                    <w:t>水泥砖生产流水线一条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446" w:type="pct"/>
                  <w:vMerge w:val="continue"/>
                  <w:noWrap w:val="0"/>
                  <w:vAlign w:val="center"/>
                </w:tcPr>
                <w:p>
                  <w:pPr>
                    <w:pStyle w:val="72"/>
                    <w:adjustRightInd w:val="0"/>
                    <w:snapToGrid w:val="0"/>
                    <w:rPr>
                      <w:color w:val="000000" w:themeColor="text1"/>
                      <w:kern w:val="0"/>
                      <w:lang w:val="zh-CN"/>
                      <w14:textFill>
                        <w14:solidFill>
                          <w14:schemeClr w14:val="tx1"/>
                        </w14:solidFill>
                      </w14:textFill>
                    </w:rPr>
                  </w:pPr>
                </w:p>
              </w:tc>
              <w:tc>
                <w:tcPr>
                  <w:tcW w:w="874" w:type="pct"/>
                  <w:noWrap w:val="0"/>
                  <w:vAlign w:val="center"/>
                </w:tcPr>
                <w:p>
                  <w:pPr>
                    <w:pStyle w:val="72"/>
                    <w:adjustRightInd w:val="0"/>
                    <w:snapToGrid w:val="0"/>
                    <w:rPr>
                      <w:rFonts w:hint="eastAsia"/>
                      <w:color w:val="000000" w:themeColor="text1"/>
                      <w:kern w:val="0"/>
                      <w:lang w:val="en-US" w:eastAsia="zh-CN"/>
                      <w14:textFill>
                        <w14:solidFill>
                          <w14:schemeClr w14:val="tx1"/>
                        </w14:solidFill>
                      </w14:textFill>
                    </w:rPr>
                  </w:pPr>
                  <w:r>
                    <w:rPr>
                      <w:rFonts w:hint="eastAsia"/>
                      <w:lang w:val="en-US" w:eastAsia="zh-CN"/>
                    </w:rPr>
                    <w:t>码架机房</w:t>
                  </w:r>
                </w:p>
              </w:tc>
              <w:tc>
                <w:tcPr>
                  <w:tcW w:w="3678" w:type="pct"/>
                  <w:noWrap w:val="0"/>
                  <w:vAlign w:val="center"/>
                </w:tcPr>
                <w:p>
                  <w:pPr>
                    <w:pStyle w:val="72"/>
                    <w:adjustRightInd w:val="0"/>
                    <w:snapToGrid w:val="0"/>
                    <w:rPr>
                      <w:rFonts w:hint="default"/>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1F，</w:t>
                  </w:r>
                  <w:r>
                    <w:rPr>
                      <w:rFonts w:hint="eastAsia"/>
                      <w:color w:val="000000" w:themeColor="text1"/>
                      <w:kern w:val="0"/>
                      <w:vertAlign w:val="baseline"/>
                      <w:lang w:val="en-US" w:eastAsia="zh-CN"/>
                      <w14:textFill>
                        <w14:solidFill>
                          <w14:schemeClr w14:val="tx1"/>
                        </w14:solidFill>
                      </w14:textFill>
                    </w:rPr>
                    <w:t>框架结构，建筑面积312m</w:t>
                  </w:r>
                  <w:r>
                    <w:rPr>
                      <w:rFonts w:hint="eastAsia"/>
                      <w:color w:val="000000" w:themeColor="text1"/>
                      <w:kern w:val="0"/>
                      <w:vertAlign w:val="superscript"/>
                      <w:lang w:val="en-US" w:eastAsia="zh-CN"/>
                      <w14:textFill>
                        <w14:solidFill>
                          <w14:schemeClr w14:val="tx1"/>
                        </w14:solidFill>
                      </w14:textFill>
                    </w:rPr>
                    <w:t>2</w:t>
                  </w:r>
                  <w:r>
                    <w:rPr>
                      <w:rFonts w:hint="eastAsia"/>
                      <w:color w:val="000000" w:themeColor="text1"/>
                      <w:kern w:val="0"/>
                      <w:vertAlign w:val="baseline"/>
                      <w:lang w:val="en-US" w:eastAsia="zh-CN"/>
                      <w14:textFill>
                        <w14:solidFill>
                          <w14:schemeClr w14:val="tx1"/>
                        </w14:solidFill>
                      </w14:textFill>
                    </w:rPr>
                    <w:t>，水泥砖自动码垛、养护、周转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46" w:type="pct"/>
                  <w:vMerge w:val="restart"/>
                  <w:noWrap w:val="0"/>
                  <w:vAlign w:val="center"/>
                </w:tcPr>
                <w:p>
                  <w:pPr>
                    <w:pStyle w:val="72"/>
                    <w:adjustRightInd w:val="0"/>
                    <w:snapToGrid w:val="0"/>
                    <w:rPr>
                      <w:rFonts w:hint="default" w:eastAsia="宋体"/>
                      <w:color w:val="000000" w:themeColor="text1"/>
                      <w:kern w:val="0"/>
                      <w:lang w:val="en-US" w:eastAsia="zh-CN"/>
                      <w14:textFill>
                        <w14:solidFill>
                          <w14:schemeClr w14:val="tx1"/>
                        </w14:solidFill>
                      </w14:textFill>
                    </w:rPr>
                  </w:pPr>
                  <w:r>
                    <w:rPr>
                      <w:rFonts w:hint="eastAsia" w:eastAsia="宋体"/>
                      <w:color w:val="000000" w:themeColor="text1"/>
                      <w:kern w:val="0"/>
                      <w:lang w:val="en-US" w:eastAsia="zh-CN"/>
                      <w14:textFill>
                        <w14:solidFill>
                          <w14:schemeClr w14:val="tx1"/>
                        </w14:solidFill>
                      </w14:textFill>
                    </w:rPr>
                    <w:t>辅助工程</w:t>
                  </w:r>
                </w:p>
              </w:tc>
              <w:tc>
                <w:tcPr>
                  <w:tcW w:w="874" w:type="pct"/>
                  <w:noWrap w:val="0"/>
                  <w:vAlign w:val="center"/>
                </w:tcPr>
                <w:p>
                  <w:pPr>
                    <w:pStyle w:val="72"/>
                    <w:adjustRightInd w:val="0"/>
                    <w:snapToGrid w:val="0"/>
                    <w:rPr>
                      <w:rFonts w:hint="default" w:eastAsia="宋体"/>
                      <w:color w:val="000000" w:themeColor="text1"/>
                      <w:kern w:val="0"/>
                      <w:lang w:val="en-US" w:eastAsia="zh-CN"/>
                      <w14:textFill>
                        <w14:solidFill>
                          <w14:schemeClr w14:val="tx1"/>
                        </w14:solidFill>
                      </w14:textFill>
                    </w:rPr>
                  </w:pPr>
                  <w:r>
                    <w:rPr>
                      <w:rFonts w:hint="eastAsia" w:eastAsia="宋体"/>
                      <w:color w:val="000000" w:themeColor="text1"/>
                      <w:kern w:val="0"/>
                      <w:lang w:val="en-US" w:eastAsia="zh-CN"/>
                      <w14:textFill>
                        <w14:solidFill>
                          <w14:schemeClr w14:val="tx1"/>
                        </w14:solidFill>
                      </w14:textFill>
                    </w:rPr>
                    <w:t>办公区</w:t>
                  </w:r>
                </w:p>
              </w:tc>
              <w:tc>
                <w:tcPr>
                  <w:tcW w:w="3678" w:type="pct"/>
                  <w:noWrap w:val="0"/>
                  <w:vAlign w:val="center"/>
                </w:tcPr>
                <w:p>
                  <w:pPr>
                    <w:pStyle w:val="72"/>
                    <w:adjustRightInd w:val="0"/>
                    <w:snapToGrid w:val="0"/>
                    <w:rPr>
                      <w:rFonts w:hint="default" w:eastAsia="宋体"/>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砖混结构，1F，建筑面积120m</w:t>
                  </w:r>
                  <w:r>
                    <w:rPr>
                      <w:rFonts w:hint="eastAsia"/>
                      <w:color w:val="000000" w:themeColor="text1"/>
                      <w:kern w:val="0"/>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446" w:type="pct"/>
                  <w:vMerge w:val="continue"/>
                  <w:noWrap w:val="0"/>
                  <w:vAlign w:val="center"/>
                </w:tcPr>
                <w:p>
                  <w:pPr>
                    <w:pStyle w:val="72"/>
                    <w:adjustRightInd w:val="0"/>
                    <w:snapToGrid w:val="0"/>
                    <w:rPr>
                      <w:rFonts w:hint="eastAsia" w:eastAsia="宋体"/>
                      <w:color w:val="000000" w:themeColor="text1"/>
                      <w:kern w:val="0"/>
                      <w:lang w:val="en-US" w:eastAsia="zh-CN"/>
                      <w14:textFill>
                        <w14:solidFill>
                          <w14:schemeClr w14:val="tx1"/>
                        </w14:solidFill>
                      </w14:textFill>
                    </w:rPr>
                  </w:pPr>
                </w:p>
              </w:tc>
              <w:tc>
                <w:tcPr>
                  <w:tcW w:w="874" w:type="pct"/>
                  <w:noWrap w:val="0"/>
                  <w:vAlign w:val="center"/>
                </w:tcPr>
                <w:p>
                  <w:pPr>
                    <w:pStyle w:val="72"/>
                    <w:adjustRightInd w:val="0"/>
                    <w:snapToGrid w:val="0"/>
                    <w:rPr>
                      <w:rFonts w:hint="default" w:eastAsia="宋体"/>
                      <w:color w:val="000000" w:themeColor="text1"/>
                      <w:kern w:val="0"/>
                      <w:lang w:val="en-US" w:eastAsia="zh-CN"/>
                      <w14:textFill>
                        <w14:solidFill>
                          <w14:schemeClr w14:val="tx1"/>
                        </w14:solidFill>
                      </w14:textFill>
                    </w:rPr>
                  </w:pPr>
                  <w:r>
                    <w:rPr>
                      <w:rFonts w:hint="eastAsia" w:eastAsia="宋体"/>
                      <w:color w:val="000000" w:themeColor="text1"/>
                      <w:kern w:val="0"/>
                      <w:lang w:val="en-US" w:eastAsia="zh-CN"/>
                      <w14:textFill>
                        <w14:solidFill>
                          <w14:schemeClr w14:val="tx1"/>
                        </w14:solidFill>
                      </w14:textFill>
                    </w:rPr>
                    <w:t>宿舍</w:t>
                  </w:r>
                </w:p>
              </w:tc>
              <w:tc>
                <w:tcPr>
                  <w:tcW w:w="3678" w:type="pct"/>
                  <w:noWrap w:val="0"/>
                  <w:vAlign w:val="center"/>
                </w:tcPr>
                <w:p>
                  <w:pPr>
                    <w:pStyle w:val="72"/>
                    <w:adjustRightInd w:val="0"/>
                    <w:snapToGrid w:val="0"/>
                    <w:rPr>
                      <w:rFonts w:hint="eastAsia"/>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砖混结构，1F，建筑面积200m</w:t>
                  </w:r>
                  <w:r>
                    <w:rPr>
                      <w:rFonts w:hint="eastAsia"/>
                      <w:color w:val="000000" w:themeColor="text1"/>
                      <w:kern w:val="0"/>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46" w:type="pct"/>
                  <w:vMerge w:val="continue"/>
                  <w:noWrap w:val="0"/>
                  <w:vAlign w:val="center"/>
                </w:tcPr>
                <w:p>
                  <w:pPr>
                    <w:pStyle w:val="72"/>
                    <w:adjustRightInd w:val="0"/>
                    <w:snapToGrid w:val="0"/>
                    <w:rPr>
                      <w:rFonts w:hint="eastAsia" w:eastAsia="宋体"/>
                      <w:color w:val="000000" w:themeColor="text1"/>
                      <w:kern w:val="0"/>
                      <w:lang w:val="en-US" w:eastAsia="zh-CN"/>
                      <w14:textFill>
                        <w14:solidFill>
                          <w14:schemeClr w14:val="tx1"/>
                        </w14:solidFill>
                      </w14:textFill>
                    </w:rPr>
                  </w:pPr>
                </w:p>
              </w:tc>
              <w:tc>
                <w:tcPr>
                  <w:tcW w:w="874" w:type="pct"/>
                  <w:noWrap w:val="0"/>
                  <w:vAlign w:val="center"/>
                </w:tcPr>
                <w:p>
                  <w:pPr>
                    <w:pStyle w:val="72"/>
                    <w:adjustRightInd w:val="0"/>
                    <w:snapToGrid w:val="0"/>
                    <w:rPr>
                      <w:rFonts w:hint="default" w:eastAsia="宋体"/>
                      <w:color w:val="000000" w:themeColor="text1"/>
                      <w:kern w:val="0"/>
                      <w:lang w:val="en-US" w:eastAsia="zh-CN"/>
                      <w14:textFill>
                        <w14:solidFill>
                          <w14:schemeClr w14:val="tx1"/>
                        </w14:solidFill>
                      </w14:textFill>
                    </w:rPr>
                  </w:pPr>
                  <w:r>
                    <w:rPr>
                      <w:rFonts w:hint="eastAsia" w:eastAsia="宋体"/>
                      <w:color w:val="000000" w:themeColor="text1"/>
                      <w:kern w:val="0"/>
                      <w:lang w:val="en-US" w:eastAsia="zh-CN"/>
                      <w14:textFill>
                        <w14:solidFill>
                          <w14:schemeClr w14:val="tx1"/>
                        </w14:solidFill>
                      </w14:textFill>
                    </w:rPr>
                    <w:t>箱变</w:t>
                  </w:r>
                </w:p>
              </w:tc>
              <w:tc>
                <w:tcPr>
                  <w:tcW w:w="3678" w:type="pct"/>
                  <w:noWrap w:val="0"/>
                  <w:vAlign w:val="center"/>
                </w:tcPr>
                <w:p>
                  <w:pPr>
                    <w:pStyle w:val="72"/>
                    <w:adjustRightInd w:val="0"/>
                    <w:snapToGrid w:val="0"/>
                    <w:rPr>
                      <w:rFonts w:hint="eastAsia"/>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1F，建筑面积25m</w:t>
                  </w:r>
                  <w:r>
                    <w:rPr>
                      <w:rFonts w:hint="eastAsia"/>
                      <w:color w:val="000000" w:themeColor="text1"/>
                      <w:kern w:val="0"/>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Merge w:val="restart"/>
                  <w:noWrap w:val="0"/>
                  <w:vAlign w:val="center"/>
                </w:tcPr>
                <w:p>
                  <w:pPr>
                    <w:pStyle w:val="72"/>
                    <w:adjustRightInd w:val="0"/>
                    <w:snapToGrid w:val="0"/>
                    <w:rPr>
                      <w:rFonts w:hint="default" w:eastAsia="宋体"/>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储运工程</w:t>
                  </w:r>
                </w:p>
              </w:tc>
              <w:tc>
                <w:tcPr>
                  <w:tcW w:w="874" w:type="pct"/>
                  <w:noWrap w:val="0"/>
                  <w:vAlign w:val="center"/>
                </w:tcPr>
                <w:p>
                  <w:pPr>
                    <w:pStyle w:val="72"/>
                    <w:adjustRightInd w:val="0"/>
                    <w:snapToGrid w:val="0"/>
                    <w:rPr>
                      <w:rFonts w:hint="default" w:eastAsia="宋体"/>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库房</w:t>
                  </w:r>
                </w:p>
              </w:tc>
              <w:tc>
                <w:tcPr>
                  <w:tcW w:w="3678" w:type="pct"/>
                  <w:noWrap w:val="0"/>
                  <w:vAlign w:val="center"/>
                </w:tcPr>
                <w:p>
                  <w:pPr>
                    <w:pStyle w:val="72"/>
                    <w:adjustRightInd w:val="0"/>
                    <w:snapToGrid w:val="0"/>
                    <w:rPr>
                      <w:rFonts w:hint="default" w:eastAsia="宋体"/>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1F，</w:t>
                  </w:r>
                  <w:r>
                    <w:rPr>
                      <w:rFonts w:hint="eastAsia"/>
                      <w:color w:val="000000" w:themeColor="text1"/>
                      <w:kern w:val="0"/>
                      <w:vertAlign w:val="baseline"/>
                      <w:lang w:val="en-US" w:eastAsia="zh-CN"/>
                      <w14:textFill>
                        <w14:solidFill>
                          <w14:schemeClr w14:val="tx1"/>
                        </w14:solidFill>
                      </w14:textFill>
                    </w:rPr>
                    <w:t>框架结构</w:t>
                  </w:r>
                  <w:r>
                    <w:rPr>
                      <w:rFonts w:hint="eastAsia" w:eastAsia="宋体"/>
                      <w:color w:val="000000" w:themeColor="text1"/>
                      <w:kern w:val="0"/>
                      <w:lang w:val="en-US" w:eastAsia="zh-CN"/>
                      <w14:textFill>
                        <w14:solidFill>
                          <w14:schemeClr w14:val="tx1"/>
                        </w14:solidFill>
                      </w14:textFill>
                    </w:rPr>
                    <w:t>，建筑面积</w:t>
                  </w:r>
                  <w:r>
                    <w:rPr>
                      <w:rFonts w:hint="eastAsia"/>
                      <w:color w:val="000000" w:themeColor="text1"/>
                      <w:kern w:val="0"/>
                      <w:lang w:val="en-US" w:eastAsia="zh-CN"/>
                      <w14:textFill>
                        <w14:solidFill>
                          <w14:schemeClr w14:val="tx1"/>
                        </w14:solidFill>
                      </w14:textFill>
                    </w:rPr>
                    <w:t>300</w:t>
                  </w:r>
                  <w:r>
                    <w:rPr>
                      <w:rFonts w:hint="eastAsia" w:eastAsia="宋体"/>
                      <w:color w:val="000000" w:themeColor="text1"/>
                      <w:kern w:val="0"/>
                      <w:lang w:val="en-US" w:eastAsia="zh-CN"/>
                      <w14:textFill>
                        <w14:solidFill>
                          <w14:schemeClr w14:val="tx1"/>
                        </w14:solidFill>
                      </w14:textFill>
                    </w:rPr>
                    <w:t>m</w:t>
                  </w:r>
                  <w:r>
                    <w:rPr>
                      <w:rFonts w:hint="eastAsia" w:eastAsia="宋体"/>
                      <w:color w:val="000000" w:themeColor="text1"/>
                      <w:kern w:val="0"/>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Merge w:val="continue"/>
                  <w:noWrap w:val="0"/>
                  <w:vAlign w:val="center"/>
                </w:tcPr>
                <w:p>
                  <w:pPr>
                    <w:pStyle w:val="72"/>
                    <w:adjustRightInd w:val="0"/>
                    <w:snapToGrid w:val="0"/>
                    <w:rPr>
                      <w:rFonts w:hint="eastAsia"/>
                      <w:color w:val="000000" w:themeColor="text1"/>
                      <w:kern w:val="0"/>
                      <w:lang w:val="en-US" w:eastAsia="zh-CN"/>
                      <w14:textFill>
                        <w14:solidFill>
                          <w14:schemeClr w14:val="tx1"/>
                        </w14:solidFill>
                      </w14:textFill>
                    </w:rPr>
                  </w:pPr>
                </w:p>
              </w:tc>
              <w:tc>
                <w:tcPr>
                  <w:tcW w:w="874" w:type="pct"/>
                  <w:noWrap w:val="0"/>
                  <w:vAlign w:val="center"/>
                </w:tcPr>
                <w:p>
                  <w:pPr>
                    <w:pStyle w:val="72"/>
                    <w:adjustRightInd w:val="0"/>
                    <w:snapToGrid w:val="0"/>
                    <w:rPr>
                      <w:rFonts w:hint="eastAsia"/>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砂石料堆场</w:t>
                  </w:r>
                </w:p>
              </w:tc>
              <w:tc>
                <w:tcPr>
                  <w:tcW w:w="3678" w:type="pct"/>
                  <w:noWrap w:val="0"/>
                  <w:vAlign w:val="center"/>
                </w:tcPr>
                <w:p>
                  <w:pPr>
                    <w:pStyle w:val="72"/>
                    <w:adjustRightInd w:val="0"/>
                    <w:snapToGrid w:val="0"/>
                    <w:rPr>
                      <w:rFonts w:hint="eastAsia"/>
                      <w:color w:val="000000" w:themeColor="text1"/>
                      <w:kern w:val="0"/>
                      <w:lang w:val="en-US" w:eastAsia="zh-CN"/>
                      <w14:textFill>
                        <w14:solidFill>
                          <w14:schemeClr w14:val="tx1"/>
                        </w14:solidFill>
                      </w14:textFill>
                    </w:rPr>
                  </w:pPr>
                  <w:r>
                    <w:rPr>
                      <w:rFonts w:hint="eastAsia" w:ascii="Times New Roman" w:hAnsi="Times New Roman" w:eastAsia="宋体" w:cs="Times New Roman"/>
                      <w:lang w:val="en-US" w:eastAsia="zh-CN"/>
                    </w:rPr>
                    <w:t>砂石料堆场围挡（防风抑尘墙）+洒水降尘</w:t>
                  </w:r>
                  <w:r>
                    <w:rPr>
                      <w:rFonts w:hint="eastAsia" w:eastAsia="宋体"/>
                      <w:color w:val="000000" w:themeColor="text1"/>
                      <w:kern w:val="0"/>
                      <w:lang w:val="en-US" w:eastAsia="zh-CN"/>
                      <w14:textFill>
                        <w14:solidFill>
                          <w14:schemeClr w14:val="tx1"/>
                        </w14:solidFill>
                      </w14:textFill>
                    </w:rPr>
                    <w:t>，堆高不超过实体墙高度，定期洒水抑尘，建筑面积700m</w:t>
                  </w:r>
                  <w:r>
                    <w:rPr>
                      <w:rFonts w:hint="eastAsia" w:eastAsia="宋体"/>
                      <w:color w:val="000000" w:themeColor="text1"/>
                      <w:kern w:val="0"/>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Merge w:val="continue"/>
                  <w:noWrap w:val="0"/>
                  <w:vAlign w:val="center"/>
                </w:tcPr>
                <w:p>
                  <w:pPr>
                    <w:pStyle w:val="72"/>
                    <w:adjustRightInd w:val="0"/>
                    <w:snapToGrid w:val="0"/>
                    <w:rPr>
                      <w:rFonts w:hint="eastAsia"/>
                      <w:color w:val="000000" w:themeColor="text1"/>
                      <w:kern w:val="0"/>
                      <w:lang w:val="en-US" w:eastAsia="zh-CN"/>
                      <w14:textFill>
                        <w14:solidFill>
                          <w14:schemeClr w14:val="tx1"/>
                        </w14:solidFill>
                      </w14:textFill>
                    </w:rPr>
                  </w:pPr>
                </w:p>
              </w:tc>
              <w:tc>
                <w:tcPr>
                  <w:tcW w:w="874" w:type="pct"/>
                  <w:shd w:val="clear" w:color="auto" w:fill="auto"/>
                  <w:noWrap w:val="0"/>
                  <w:vAlign w:val="center"/>
                </w:tcPr>
                <w:p>
                  <w:pPr>
                    <w:pStyle w:val="72"/>
                    <w:adjustRightInd w:val="0"/>
                    <w:snapToGrid w:val="0"/>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lang w:val="en-US" w:eastAsia="zh-CN"/>
                      <w14:textFill>
                        <w14:solidFill>
                          <w14:schemeClr w14:val="tx1"/>
                        </w14:solidFill>
                      </w14:textFill>
                    </w:rPr>
                    <w:t>水泥筒仓</w:t>
                  </w:r>
                </w:p>
              </w:tc>
              <w:tc>
                <w:tcPr>
                  <w:tcW w:w="3678" w:type="pct"/>
                  <w:shd w:val="clear" w:color="auto" w:fill="auto"/>
                  <w:noWrap w:val="0"/>
                  <w:vAlign w:val="center"/>
                </w:tcPr>
                <w:p>
                  <w:pPr>
                    <w:pStyle w:val="72"/>
                    <w:adjustRightInd w:val="0"/>
                    <w:snapToGrid w:val="0"/>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lang w:val="en-US" w:eastAsia="zh-CN"/>
                      <w14:textFill>
                        <w14:solidFill>
                          <w14:schemeClr w14:val="tx1"/>
                        </w14:solidFill>
                      </w14:textFill>
                    </w:rPr>
                    <w:t>100t水泥筒仓1个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Merge w:val="continue"/>
                  <w:noWrap w:val="0"/>
                  <w:vAlign w:val="center"/>
                </w:tcPr>
                <w:p>
                  <w:pPr>
                    <w:pStyle w:val="72"/>
                    <w:adjustRightInd w:val="0"/>
                    <w:snapToGrid w:val="0"/>
                    <w:rPr>
                      <w:rFonts w:hint="eastAsia"/>
                      <w:color w:val="000000" w:themeColor="text1"/>
                      <w:kern w:val="0"/>
                      <w:lang w:val="en-US" w:eastAsia="zh-CN"/>
                      <w14:textFill>
                        <w14:solidFill>
                          <w14:schemeClr w14:val="tx1"/>
                        </w14:solidFill>
                      </w14:textFill>
                    </w:rPr>
                  </w:pPr>
                </w:p>
              </w:tc>
              <w:tc>
                <w:tcPr>
                  <w:tcW w:w="874" w:type="pct"/>
                  <w:noWrap w:val="0"/>
                  <w:vAlign w:val="center"/>
                </w:tcPr>
                <w:p>
                  <w:pPr>
                    <w:pStyle w:val="72"/>
                    <w:adjustRightInd w:val="0"/>
                    <w:snapToGrid w:val="0"/>
                    <w:rPr>
                      <w:rFonts w:hint="default"/>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成品堆场</w:t>
                  </w:r>
                </w:p>
              </w:tc>
              <w:tc>
                <w:tcPr>
                  <w:tcW w:w="3678" w:type="pct"/>
                  <w:noWrap w:val="0"/>
                  <w:vAlign w:val="center"/>
                </w:tcPr>
                <w:p>
                  <w:pPr>
                    <w:pStyle w:val="72"/>
                    <w:adjustRightInd w:val="0"/>
                    <w:snapToGrid w:val="0"/>
                    <w:rPr>
                      <w:rFonts w:hint="default" w:eastAsia="宋体"/>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露天</w:t>
                  </w:r>
                  <w:r>
                    <w:rPr>
                      <w:rFonts w:hint="eastAsia" w:eastAsia="宋体"/>
                      <w:color w:val="000000" w:themeColor="text1"/>
                      <w:kern w:val="0"/>
                      <w:lang w:val="en-US" w:eastAsia="zh-CN"/>
                      <w14:textFill>
                        <w14:solidFill>
                          <w14:schemeClr w14:val="tx1"/>
                        </w14:solidFill>
                      </w14:textFill>
                    </w:rPr>
                    <w:t>成品</w:t>
                  </w:r>
                  <w:r>
                    <w:rPr>
                      <w:rFonts w:hint="eastAsia"/>
                      <w:color w:val="000000" w:themeColor="text1"/>
                      <w:kern w:val="0"/>
                      <w:lang w:val="en-US" w:eastAsia="zh-CN"/>
                      <w14:textFill>
                        <w14:solidFill>
                          <w14:schemeClr w14:val="tx1"/>
                        </w14:solidFill>
                      </w14:textFill>
                    </w:rPr>
                    <w:t>堆场</w:t>
                  </w:r>
                  <w:r>
                    <w:rPr>
                      <w:rFonts w:hint="eastAsia" w:eastAsia="宋体"/>
                      <w:color w:val="000000" w:themeColor="text1"/>
                      <w:kern w:val="0"/>
                      <w:lang w:val="en-US" w:eastAsia="zh-CN"/>
                      <w14:textFill>
                        <w14:solidFill>
                          <w14:schemeClr w14:val="tx1"/>
                        </w14:solidFill>
                      </w14:textFill>
                    </w:rPr>
                    <w:t>1座，</w:t>
                  </w:r>
                  <w:r>
                    <w:rPr>
                      <w:rFonts w:hint="eastAsia"/>
                      <w:color w:val="000000" w:themeColor="text1"/>
                      <w:kern w:val="0"/>
                      <w:lang w:val="en-US" w:eastAsia="zh-CN"/>
                      <w14:textFill>
                        <w14:solidFill>
                          <w14:schemeClr w14:val="tx1"/>
                        </w14:solidFill>
                      </w14:textFill>
                    </w:rPr>
                    <w:t>地面硬化，</w:t>
                  </w:r>
                  <w:r>
                    <w:rPr>
                      <w:rFonts w:hint="eastAsia" w:eastAsia="宋体"/>
                      <w:color w:val="000000" w:themeColor="text1"/>
                      <w:kern w:val="0"/>
                      <w:lang w:val="en-US" w:eastAsia="zh-CN"/>
                      <w14:textFill>
                        <w14:solidFill>
                          <w14:schemeClr w14:val="tx1"/>
                        </w14:solidFill>
                      </w14:textFill>
                    </w:rPr>
                    <w:t>占地面积</w:t>
                  </w:r>
                  <w:r>
                    <w:rPr>
                      <w:rFonts w:hint="eastAsia"/>
                      <w:color w:val="000000" w:themeColor="text1"/>
                      <w:kern w:val="0"/>
                      <w:lang w:val="en-US" w:eastAsia="zh-CN"/>
                      <w14:textFill>
                        <w14:solidFill>
                          <w14:schemeClr w14:val="tx1"/>
                        </w14:solidFill>
                      </w14:textFill>
                    </w:rPr>
                    <w:t>300</w:t>
                  </w:r>
                  <w:r>
                    <w:rPr>
                      <w:rFonts w:hint="eastAsia" w:eastAsia="宋体"/>
                      <w:color w:val="000000" w:themeColor="text1"/>
                      <w:kern w:val="0"/>
                      <w:lang w:val="en-US" w:eastAsia="zh-CN"/>
                      <w14:textFill>
                        <w14:solidFill>
                          <w14:schemeClr w14:val="tx1"/>
                        </w14:solidFill>
                      </w14:textFill>
                    </w:rPr>
                    <w:t>m</w:t>
                  </w:r>
                  <w:r>
                    <w:rPr>
                      <w:rFonts w:hint="eastAsia" w:eastAsia="宋体"/>
                      <w:color w:val="000000" w:themeColor="text1"/>
                      <w:kern w:val="0"/>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Merge w:val="continue"/>
                  <w:noWrap w:val="0"/>
                  <w:vAlign w:val="center"/>
                </w:tcPr>
                <w:p>
                  <w:pPr>
                    <w:pStyle w:val="72"/>
                    <w:adjustRightInd w:val="0"/>
                    <w:snapToGrid w:val="0"/>
                    <w:rPr>
                      <w:rFonts w:hint="eastAsia"/>
                      <w:color w:val="000000" w:themeColor="text1"/>
                      <w:kern w:val="0"/>
                      <w:lang w:val="en-US" w:eastAsia="zh-CN"/>
                      <w14:textFill>
                        <w14:solidFill>
                          <w14:schemeClr w14:val="tx1"/>
                        </w14:solidFill>
                      </w14:textFill>
                    </w:rPr>
                  </w:pPr>
                </w:p>
              </w:tc>
              <w:tc>
                <w:tcPr>
                  <w:tcW w:w="874" w:type="pct"/>
                  <w:noWrap w:val="0"/>
                  <w:vAlign w:val="center"/>
                </w:tcPr>
                <w:p>
                  <w:pPr>
                    <w:pStyle w:val="72"/>
                    <w:adjustRightInd w:val="0"/>
                    <w:snapToGrid w:val="0"/>
                    <w:rPr>
                      <w:rFonts w:hint="default"/>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防渗化粪池</w:t>
                  </w:r>
                </w:p>
              </w:tc>
              <w:tc>
                <w:tcPr>
                  <w:tcW w:w="3678" w:type="pct"/>
                  <w:noWrap w:val="0"/>
                  <w:vAlign w:val="center"/>
                </w:tcPr>
                <w:p>
                  <w:pPr>
                    <w:pStyle w:val="72"/>
                    <w:adjustRightInd w:val="0"/>
                    <w:snapToGrid w:val="0"/>
                    <w:rPr>
                      <w:rFonts w:hint="default"/>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采取一般防渗，位于生活区西侧，共计50m</w:t>
                  </w:r>
                  <w:r>
                    <w:rPr>
                      <w:rFonts w:hint="eastAsia"/>
                      <w:color w:val="000000" w:themeColor="text1"/>
                      <w:kern w:val="0"/>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pct"/>
                  <w:vMerge w:val="continue"/>
                  <w:noWrap w:val="0"/>
                  <w:vAlign w:val="center"/>
                </w:tcPr>
                <w:p>
                  <w:pPr>
                    <w:pStyle w:val="72"/>
                    <w:adjustRightInd w:val="0"/>
                    <w:snapToGrid w:val="0"/>
                    <w:rPr>
                      <w:rFonts w:hint="eastAsia"/>
                      <w:color w:val="000000" w:themeColor="text1"/>
                      <w:kern w:val="0"/>
                      <w:lang w:val="en-US" w:eastAsia="zh-CN"/>
                      <w14:textFill>
                        <w14:solidFill>
                          <w14:schemeClr w14:val="tx1"/>
                        </w14:solidFill>
                      </w14:textFill>
                    </w:rPr>
                  </w:pPr>
                </w:p>
              </w:tc>
              <w:tc>
                <w:tcPr>
                  <w:tcW w:w="874" w:type="pct"/>
                  <w:shd w:val="clear" w:color="auto" w:fill="auto"/>
                  <w:noWrap w:val="0"/>
                  <w:vAlign w:val="center"/>
                </w:tcPr>
                <w:p>
                  <w:pPr>
                    <w:pStyle w:val="72"/>
                    <w:adjustRightInd w:val="0"/>
                    <w:snapToGrid w:val="0"/>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lang w:val="en-US" w:eastAsia="zh-CN"/>
                      <w14:textFill>
                        <w14:solidFill>
                          <w14:schemeClr w14:val="tx1"/>
                        </w14:solidFill>
                      </w14:textFill>
                    </w:rPr>
                    <w:t>一般固废暂存间</w:t>
                  </w:r>
                </w:p>
              </w:tc>
              <w:tc>
                <w:tcPr>
                  <w:tcW w:w="3678" w:type="pct"/>
                  <w:shd w:val="clear" w:color="auto" w:fill="auto"/>
                  <w:noWrap w:val="0"/>
                  <w:vAlign w:val="center"/>
                </w:tcPr>
                <w:p>
                  <w:pPr>
                    <w:pStyle w:val="72"/>
                    <w:adjustRightInd w:val="0"/>
                    <w:snapToGrid w:val="0"/>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lang w:val="en-US" w:eastAsia="zh-CN"/>
                      <w14:textFill>
                        <w14:solidFill>
                          <w14:schemeClr w14:val="tx1"/>
                        </w14:solidFill>
                      </w14:textFill>
                    </w:rPr>
                    <w:t>新建一般固废暂存间1间，建筑面积50m</w:t>
                  </w:r>
                  <w:r>
                    <w:rPr>
                      <w:rFonts w:hint="eastAsia"/>
                      <w:color w:val="000000" w:themeColor="text1"/>
                      <w:kern w:val="0"/>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46" w:type="pct"/>
                  <w:vMerge w:val="continue"/>
                  <w:noWrap w:val="0"/>
                  <w:vAlign w:val="center"/>
                </w:tcPr>
                <w:p>
                  <w:pPr>
                    <w:pStyle w:val="72"/>
                    <w:adjustRightInd w:val="0"/>
                    <w:snapToGrid w:val="0"/>
                    <w:rPr>
                      <w:rFonts w:hint="eastAsia"/>
                      <w:color w:val="000000" w:themeColor="text1"/>
                      <w:kern w:val="0"/>
                      <w:lang w:val="en-US" w:eastAsia="zh-CN"/>
                      <w14:textFill>
                        <w14:solidFill>
                          <w14:schemeClr w14:val="tx1"/>
                        </w14:solidFill>
                      </w14:textFill>
                    </w:rPr>
                  </w:pPr>
                </w:p>
              </w:tc>
              <w:tc>
                <w:tcPr>
                  <w:tcW w:w="874" w:type="pct"/>
                  <w:shd w:val="clear" w:color="auto" w:fill="auto"/>
                  <w:noWrap w:val="0"/>
                  <w:vAlign w:val="center"/>
                </w:tcPr>
                <w:p>
                  <w:pPr>
                    <w:pStyle w:val="72"/>
                    <w:adjustRightInd w:val="0"/>
                    <w:snapToGrid w:val="0"/>
                    <w:ind w:firstLine="0" w:firstLineChars="0"/>
                    <w:rPr>
                      <w:rFonts w:hint="eastAsia"/>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循环沉淀池</w:t>
                  </w:r>
                </w:p>
              </w:tc>
              <w:tc>
                <w:tcPr>
                  <w:tcW w:w="3678" w:type="pct"/>
                  <w:shd w:val="clear" w:color="auto" w:fill="auto"/>
                  <w:noWrap w:val="0"/>
                  <w:vAlign w:val="center"/>
                </w:tcPr>
                <w:p>
                  <w:pPr>
                    <w:pStyle w:val="72"/>
                    <w:adjustRightInd w:val="0"/>
                    <w:snapToGrid w:val="0"/>
                    <w:ind w:firstLine="0" w:firstLineChars="0"/>
                    <w:rPr>
                      <w:rFonts w:hint="default"/>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循环沉淀池，混凝土结构100m</w:t>
                  </w:r>
                  <w:r>
                    <w:rPr>
                      <w:rFonts w:hint="eastAsia"/>
                      <w:color w:val="000000" w:themeColor="text1"/>
                      <w:kern w:val="0"/>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46" w:type="pct"/>
                  <w:vMerge w:val="continue"/>
                  <w:noWrap w:val="0"/>
                  <w:vAlign w:val="center"/>
                </w:tcPr>
                <w:p>
                  <w:pPr>
                    <w:pStyle w:val="72"/>
                    <w:adjustRightInd w:val="0"/>
                    <w:snapToGrid w:val="0"/>
                    <w:rPr>
                      <w:rFonts w:hint="eastAsia"/>
                      <w:color w:val="000000" w:themeColor="text1"/>
                      <w:kern w:val="0"/>
                      <w:lang w:val="en-US" w:eastAsia="zh-CN"/>
                      <w14:textFill>
                        <w14:solidFill>
                          <w14:schemeClr w14:val="tx1"/>
                        </w14:solidFill>
                      </w14:textFill>
                    </w:rPr>
                  </w:pPr>
                </w:p>
              </w:tc>
              <w:tc>
                <w:tcPr>
                  <w:tcW w:w="874" w:type="pct"/>
                  <w:shd w:val="clear" w:color="auto" w:fill="auto"/>
                  <w:noWrap w:val="0"/>
                  <w:vAlign w:val="center"/>
                </w:tcPr>
                <w:p>
                  <w:pPr>
                    <w:pStyle w:val="72"/>
                    <w:adjustRightInd w:val="0"/>
                    <w:snapToGrid w:val="0"/>
                    <w:ind w:firstLine="0" w:firstLineChars="0"/>
                    <w:rPr>
                      <w:rFonts w:hint="default"/>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洗车沉淀池</w:t>
                  </w:r>
                </w:p>
              </w:tc>
              <w:tc>
                <w:tcPr>
                  <w:tcW w:w="3678" w:type="pct"/>
                  <w:shd w:val="clear" w:color="auto" w:fill="auto"/>
                  <w:noWrap w:val="0"/>
                  <w:vAlign w:val="center"/>
                </w:tcPr>
                <w:p>
                  <w:pPr>
                    <w:pStyle w:val="72"/>
                    <w:adjustRightInd w:val="0"/>
                    <w:snapToGrid w:val="0"/>
                    <w:ind w:firstLine="0" w:firstLineChars="0"/>
                    <w:rPr>
                      <w:rFonts w:hint="eastAsia"/>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洗车沉淀池混凝土结构15m</w:t>
                  </w:r>
                  <w:r>
                    <w:rPr>
                      <w:rFonts w:hint="eastAsia"/>
                      <w:color w:val="000000" w:themeColor="text1"/>
                      <w:kern w:val="0"/>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pct"/>
                  <w:vMerge w:val="continue"/>
                  <w:noWrap w:val="0"/>
                  <w:vAlign w:val="center"/>
                </w:tcPr>
                <w:p>
                  <w:pPr>
                    <w:pStyle w:val="72"/>
                    <w:adjustRightInd w:val="0"/>
                    <w:snapToGrid w:val="0"/>
                    <w:rPr>
                      <w:rFonts w:hint="eastAsia"/>
                      <w:color w:val="000000" w:themeColor="text1"/>
                      <w:kern w:val="0"/>
                      <w:lang w:val="en-US" w:eastAsia="zh-CN"/>
                      <w14:textFill>
                        <w14:solidFill>
                          <w14:schemeClr w14:val="tx1"/>
                        </w14:solidFill>
                      </w14:textFill>
                    </w:rPr>
                  </w:pPr>
                </w:p>
              </w:tc>
              <w:tc>
                <w:tcPr>
                  <w:tcW w:w="874" w:type="pct"/>
                  <w:shd w:val="clear" w:color="auto" w:fill="auto"/>
                  <w:noWrap w:val="0"/>
                  <w:vAlign w:val="center"/>
                </w:tcPr>
                <w:p>
                  <w:pPr>
                    <w:pStyle w:val="72"/>
                    <w:adjustRightInd w:val="0"/>
                    <w:snapToGrid w:val="0"/>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14:textFill>
                        <w14:solidFill>
                          <w14:schemeClr w14:val="tx1"/>
                        </w14:solidFill>
                      </w14:textFill>
                    </w:rPr>
                    <w:t>危废暂存间</w:t>
                  </w:r>
                </w:p>
              </w:tc>
              <w:tc>
                <w:tcPr>
                  <w:tcW w:w="3678" w:type="pct"/>
                  <w:shd w:val="clear" w:color="auto" w:fill="auto"/>
                  <w:noWrap w:val="0"/>
                  <w:vAlign w:val="center"/>
                </w:tcPr>
                <w:p>
                  <w:pPr>
                    <w:pStyle w:val="72"/>
                    <w:adjustRightInd w:val="0"/>
                    <w:snapToGrid w:val="0"/>
                    <w:ind w:firstLine="0" w:firstLineChars="0"/>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14:textFill>
                        <w14:solidFill>
                          <w14:schemeClr w14:val="tx1"/>
                        </w14:solidFill>
                      </w14:textFill>
                    </w:rPr>
                    <w:t>新建危废暂存间1间</w:t>
                  </w:r>
                  <w:r>
                    <w:rPr>
                      <w:rFonts w:hint="eastAsia"/>
                      <w:color w:val="000000" w:themeColor="text1"/>
                      <w:kern w:val="0"/>
                      <w:lang w:eastAsia="zh-CN"/>
                      <w14:textFill>
                        <w14:solidFill>
                          <w14:schemeClr w14:val="tx1"/>
                        </w14:solidFill>
                      </w14:textFill>
                    </w:rPr>
                    <w:t>，</w:t>
                  </w:r>
                  <w:r>
                    <w:rPr>
                      <w:rFonts w:hint="eastAsia"/>
                      <w:color w:val="000000" w:themeColor="text1"/>
                      <w:kern w:val="0"/>
                      <w:lang w:val="en-US" w:eastAsia="zh-CN"/>
                      <w14:textFill>
                        <w14:solidFill>
                          <w14:schemeClr w14:val="tx1"/>
                        </w14:solidFill>
                      </w14:textFill>
                    </w:rPr>
                    <w:t>建筑面积</w:t>
                  </w:r>
                  <w:r>
                    <w:rPr>
                      <w:color w:val="000000" w:themeColor="text1"/>
                      <w:kern w:val="0"/>
                      <w14:textFill>
                        <w14:solidFill>
                          <w14:schemeClr w14:val="tx1"/>
                        </w14:solidFill>
                      </w14:textFill>
                    </w:rPr>
                    <w:t>20m</w:t>
                  </w:r>
                  <w:r>
                    <w:rPr>
                      <w:color w:val="000000" w:themeColor="text1"/>
                      <w:kern w:val="0"/>
                      <w:vertAlign w:val="superscript"/>
                      <w14:textFill>
                        <w14:solidFill>
                          <w14:schemeClr w14:val="tx1"/>
                        </w14:solidFill>
                      </w14:textFill>
                    </w:rPr>
                    <w:t>2</w:t>
                  </w:r>
                  <w:r>
                    <w:rPr>
                      <w:color w:val="000000" w:themeColor="text1"/>
                      <w:kern w:val="0"/>
                      <w14:textFill>
                        <w14:solidFill>
                          <w14:schemeClr w14:val="tx1"/>
                        </w14:solidFill>
                      </w14:textFill>
                    </w:rPr>
                    <w:t>，地面设置防渗层、四周设置裙角</w:t>
                  </w:r>
                  <w:r>
                    <w:rPr>
                      <w:rFonts w:hint="eastAsia"/>
                      <w:color w:val="000000" w:themeColor="text1"/>
                      <w:kern w:val="0"/>
                      <w:lang w:eastAsia="zh-CN"/>
                      <w14:textFill>
                        <w14:solidFill>
                          <w14:schemeClr w14:val="tx1"/>
                        </w14:solidFill>
                      </w14:textFill>
                    </w:rPr>
                    <w:t>、</w:t>
                  </w:r>
                  <w:r>
                    <w:rPr>
                      <w:rFonts w:hint="eastAsia"/>
                      <w:color w:val="000000" w:themeColor="text1"/>
                      <w:kern w:val="0"/>
                      <w:lang w:val="en-US" w:eastAsia="zh-CN"/>
                      <w14:textFill>
                        <w14:solidFill>
                          <w14:schemeClr w14:val="tx1"/>
                        </w14:solidFill>
                      </w14:textFill>
                    </w:rPr>
                    <w:t>危废暂存间内设置收集池</w:t>
                  </w:r>
                  <w:r>
                    <w:rPr>
                      <w:rFonts w:hint="eastAsia"/>
                      <w:color w:val="000000" w:themeColor="text1"/>
                      <w:kern w:val="0"/>
                      <w:lang w:eastAsia="zh-CN"/>
                      <w14:textFill>
                        <w14:solidFill>
                          <w14:schemeClr w14:val="tx1"/>
                        </w14:solidFill>
                      </w14:textFill>
                    </w:rPr>
                    <w:t>，</w:t>
                  </w:r>
                  <w:r>
                    <w:rPr>
                      <w:color w:val="000000" w:themeColor="text1"/>
                      <w:kern w:val="0"/>
                      <w14:textFill>
                        <w14:solidFill>
                          <w14:schemeClr w14:val="tx1"/>
                        </w14:solidFill>
                      </w14:textFill>
                    </w:rPr>
                    <w:t>各危险废物进行标识，定期交由有资质单位进行无害化处置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Merge w:val="restart"/>
                  <w:noWrap w:val="0"/>
                  <w:vAlign w:val="center"/>
                </w:tcPr>
                <w:p>
                  <w:pPr>
                    <w:pStyle w:val="72"/>
                    <w:adjustRightInd w:val="0"/>
                    <w:snapToGrid w:val="0"/>
                    <w:rPr>
                      <w:color w:val="000000" w:themeColor="text1"/>
                      <w:kern w:val="0"/>
                      <w:lang w:val="zh-CN"/>
                      <w14:textFill>
                        <w14:solidFill>
                          <w14:schemeClr w14:val="tx1"/>
                        </w14:solidFill>
                      </w14:textFill>
                    </w:rPr>
                  </w:pPr>
                  <w:r>
                    <w:rPr>
                      <w:color w:val="000000" w:themeColor="text1"/>
                      <w:kern w:val="0"/>
                      <w:lang w:val="zh-CN"/>
                      <w14:textFill>
                        <w14:solidFill>
                          <w14:schemeClr w14:val="tx1"/>
                        </w14:solidFill>
                      </w14:textFill>
                    </w:rPr>
                    <w:t>公用工程</w:t>
                  </w:r>
                </w:p>
              </w:tc>
              <w:tc>
                <w:tcPr>
                  <w:tcW w:w="874" w:type="pct"/>
                  <w:noWrap w:val="0"/>
                  <w:vAlign w:val="center"/>
                </w:tcPr>
                <w:p>
                  <w:pPr>
                    <w:pStyle w:val="72"/>
                    <w:adjustRightInd w:val="0"/>
                    <w:snapToGrid w:val="0"/>
                    <w:rPr>
                      <w:color w:val="000000" w:themeColor="text1"/>
                      <w:kern w:val="0"/>
                      <w14:textFill>
                        <w14:solidFill>
                          <w14:schemeClr w14:val="tx1"/>
                        </w14:solidFill>
                      </w14:textFill>
                    </w:rPr>
                  </w:pPr>
                  <w:r>
                    <w:rPr>
                      <w:color w:val="000000" w:themeColor="text1"/>
                      <w:kern w:val="0"/>
                      <w14:textFill>
                        <w14:solidFill>
                          <w14:schemeClr w14:val="tx1"/>
                        </w14:solidFill>
                      </w14:textFill>
                    </w:rPr>
                    <w:t>供水</w:t>
                  </w:r>
                </w:p>
              </w:tc>
              <w:tc>
                <w:tcPr>
                  <w:tcW w:w="3678" w:type="pct"/>
                  <w:noWrap w:val="0"/>
                  <w:vAlign w:val="center"/>
                </w:tcPr>
                <w:p>
                  <w:pPr>
                    <w:pStyle w:val="72"/>
                    <w:adjustRightInd w:val="0"/>
                    <w:snapToGrid w:val="0"/>
                    <w:rPr>
                      <w:rFonts w:hint="default" w:eastAsia="宋体"/>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接供水管网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Merge w:val="continue"/>
                  <w:noWrap w:val="0"/>
                  <w:vAlign w:val="center"/>
                </w:tcPr>
                <w:p>
                  <w:pPr>
                    <w:pStyle w:val="72"/>
                    <w:adjustRightInd w:val="0"/>
                    <w:snapToGrid w:val="0"/>
                    <w:rPr>
                      <w:color w:val="000000" w:themeColor="text1"/>
                      <w:kern w:val="0"/>
                      <w:lang w:val="zh-CN"/>
                      <w14:textFill>
                        <w14:solidFill>
                          <w14:schemeClr w14:val="tx1"/>
                        </w14:solidFill>
                      </w14:textFill>
                    </w:rPr>
                  </w:pPr>
                </w:p>
              </w:tc>
              <w:tc>
                <w:tcPr>
                  <w:tcW w:w="874" w:type="pct"/>
                  <w:noWrap w:val="0"/>
                  <w:vAlign w:val="center"/>
                </w:tcPr>
                <w:p>
                  <w:pPr>
                    <w:pStyle w:val="72"/>
                    <w:adjustRightInd w:val="0"/>
                    <w:snapToGrid w:val="0"/>
                    <w:rPr>
                      <w:color w:val="000000" w:themeColor="text1"/>
                      <w:kern w:val="0"/>
                      <w14:textFill>
                        <w14:solidFill>
                          <w14:schemeClr w14:val="tx1"/>
                        </w14:solidFill>
                      </w14:textFill>
                    </w:rPr>
                  </w:pPr>
                  <w:r>
                    <w:rPr>
                      <w:color w:val="000000" w:themeColor="text1"/>
                      <w:kern w:val="0"/>
                      <w14:textFill>
                        <w14:solidFill>
                          <w14:schemeClr w14:val="tx1"/>
                        </w14:solidFill>
                      </w14:textFill>
                    </w:rPr>
                    <w:t>供电</w:t>
                  </w:r>
                </w:p>
              </w:tc>
              <w:tc>
                <w:tcPr>
                  <w:tcW w:w="3678" w:type="pct"/>
                  <w:noWrap w:val="0"/>
                  <w:vAlign w:val="center"/>
                </w:tcPr>
                <w:p>
                  <w:pPr>
                    <w:pStyle w:val="72"/>
                    <w:adjustRightInd w:val="0"/>
                    <w:snapToGrid w:val="0"/>
                    <w:rPr>
                      <w:color w:val="000000" w:themeColor="text1"/>
                      <w:kern w:val="0"/>
                      <w14:textFill>
                        <w14:solidFill>
                          <w14:schemeClr w14:val="tx1"/>
                        </w14:solidFill>
                      </w14:textFill>
                    </w:rPr>
                  </w:pPr>
                  <w:r>
                    <w:rPr>
                      <w:color w:val="000000" w:themeColor="text1"/>
                      <w:kern w:val="0"/>
                      <w14:textFill>
                        <w14:solidFill>
                          <w14:schemeClr w14:val="tx1"/>
                        </w14:solidFill>
                      </w14:textFill>
                    </w:rPr>
                    <w:t>由国家电网供应。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Merge w:val="continue"/>
                  <w:noWrap w:val="0"/>
                  <w:vAlign w:val="center"/>
                </w:tcPr>
                <w:p>
                  <w:pPr>
                    <w:pStyle w:val="72"/>
                    <w:adjustRightInd w:val="0"/>
                    <w:snapToGrid w:val="0"/>
                    <w:rPr>
                      <w:color w:val="000000" w:themeColor="text1"/>
                      <w:kern w:val="0"/>
                      <w:lang w:val="zh-CN"/>
                      <w14:textFill>
                        <w14:solidFill>
                          <w14:schemeClr w14:val="tx1"/>
                        </w14:solidFill>
                      </w14:textFill>
                    </w:rPr>
                  </w:pPr>
                </w:p>
              </w:tc>
              <w:tc>
                <w:tcPr>
                  <w:tcW w:w="874" w:type="pct"/>
                  <w:noWrap w:val="0"/>
                  <w:vAlign w:val="center"/>
                </w:tcPr>
                <w:p>
                  <w:pPr>
                    <w:pStyle w:val="72"/>
                    <w:adjustRightInd w:val="0"/>
                    <w:snapToGrid w:val="0"/>
                    <w:rPr>
                      <w:color w:val="000000" w:themeColor="text1"/>
                      <w:kern w:val="0"/>
                      <w14:textFill>
                        <w14:solidFill>
                          <w14:schemeClr w14:val="tx1"/>
                        </w14:solidFill>
                      </w14:textFill>
                    </w:rPr>
                  </w:pPr>
                  <w:r>
                    <w:rPr>
                      <w:color w:val="000000" w:themeColor="text1"/>
                      <w:kern w:val="0"/>
                      <w14:textFill>
                        <w14:solidFill>
                          <w14:schemeClr w14:val="tx1"/>
                        </w14:solidFill>
                      </w14:textFill>
                    </w:rPr>
                    <w:t>排水</w:t>
                  </w:r>
                </w:p>
              </w:tc>
              <w:tc>
                <w:tcPr>
                  <w:tcW w:w="3678" w:type="pct"/>
                  <w:noWrap w:val="0"/>
                  <w:vAlign w:val="center"/>
                </w:tcPr>
                <w:p>
                  <w:pPr>
                    <w:pStyle w:val="72"/>
                    <w:adjustRightInd w:val="0"/>
                    <w:snapToGrid w:val="0"/>
                    <w:rPr>
                      <w:rFonts w:hint="default"/>
                      <w:color w:val="000000" w:themeColor="text1"/>
                      <w:kern w:val="0"/>
                      <w14:textFill>
                        <w14:solidFill>
                          <w14:schemeClr w14:val="tx1"/>
                        </w14:solidFill>
                      </w14:textFill>
                    </w:rPr>
                  </w:pPr>
                  <w:r>
                    <w:rPr>
                      <w:rFonts w:hint="default"/>
                      <w:color w:val="000000" w:themeColor="text1"/>
                      <w:kern w:val="0"/>
                      <w14:textFill>
                        <w14:solidFill>
                          <w14:schemeClr w14:val="tx1"/>
                        </w14:solidFill>
                      </w14:textFill>
                    </w:rPr>
                    <w:t>项目废水主要为</w:t>
                  </w:r>
                  <w:r>
                    <w:rPr>
                      <w:rFonts w:hint="eastAsia"/>
                      <w:color w:val="000000" w:themeColor="text1"/>
                      <w:kern w:val="0"/>
                      <w:lang w:eastAsia="zh-CN"/>
                      <w14:textFill>
                        <w14:solidFill>
                          <w14:schemeClr w14:val="tx1"/>
                        </w14:solidFill>
                      </w14:textFill>
                    </w:rPr>
                    <w:t>生活污水</w:t>
                  </w:r>
                  <w:r>
                    <w:rPr>
                      <w:rFonts w:hint="default"/>
                      <w:color w:val="000000" w:themeColor="text1"/>
                      <w:kern w:val="0"/>
                      <w14:textFill>
                        <w14:solidFill>
                          <w14:schemeClr w14:val="tx1"/>
                        </w14:solidFill>
                      </w14:textFill>
                    </w:rPr>
                    <w:t>，</w:t>
                  </w:r>
                  <w:r>
                    <w:rPr>
                      <w:rFonts w:hint="default"/>
                      <w:color w:val="000000" w:themeColor="text1"/>
                      <w:kern w:val="0"/>
                      <w:lang w:val="en-US" w:eastAsia="zh-CN"/>
                      <w14:textFill>
                        <w14:solidFill>
                          <w14:schemeClr w14:val="tx1"/>
                        </w14:solidFill>
                      </w14:textFill>
                    </w:rPr>
                    <w:t>进入</w:t>
                  </w:r>
                  <w:r>
                    <w:rPr>
                      <w:rFonts w:hint="default"/>
                      <w:color w:val="000000" w:themeColor="text1"/>
                      <w:kern w:val="0"/>
                      <w14:textFill>
                        <w14:solidFill>
                          <w14:schemeClr w14:val="tx1"/>
                        </w14:solidFill>
                      </w14:textFill>
                    </w:rPr>
                    <w:t>防渗化粪池</w:t>
                  </w:r>
                  <w:r>
                    <w:rPr>
                      <w:rFonts w:hint="eastAsia"/>
                      <w:color w:val="000000" w:themeColor="text1"/>
                      <w:kern w:val="0"/>
                      <w:lang w:eastAsia="zh-CN"/>
                      <w14:textFill>
                        <w14:solidFill>
                          <w14:schemeClr w14:val="tx1"/>
                        </w14:solidFill>
                      </w14:textFill>
                    </w:rPr>
                    <w:t>（</w:t>
                  </w:r>
                  <w:r>
                    <w:rPr>
                      <w:rFonts w:hint="eastAsia"/>
                      <w:color w:val="000000" w:themeColor="text1"/>
                      <w:kern w:val="0"/>
                      <w:lang w:val="en-US" w:eastAsia="zh-CN"/>
                      <w14:textFill>
                        <w14:solidFill>
                          <w14:schemeClr w14:val="tx1"/>
                        </w14:solidFill>
                      </w14:textFill>
                    </w:rPr>
                    <w:t>50m</w:t>
                  </w:r>
                  <w:r>
                    <w:rPr>
                      <w:rFonts w:hint="eastAsia"/>
                      <w:color w:val="000000" w:themeColor="text1"/>
                      <w:kern w:val="0"/>
                      <w:vertAlign w:val="superscript"/>
                      <w:lang w:val="en-US" w:eastAsia="zh-CN"/>
                      <w14:textFill>
                        <w14:solidFill>
                          <w14:schemeClr w14:val="tx1"/>
                        </w14:solidFill>
                      </w14:textFill>
                    </w:rPr>
                    <w:t>3</w:t>
                  </w:r>
                  <w:r>
                    <w:rPr>
                      <w:rFonts w:hint="eastAsia"/>
                      <w:color w:val="000000" w:themeColor="text1"/>
                      <w:kern w:val="0"/>
                      <w:lang w:eastAsia="zh-CN"/>
                      <w14:textFill>
                        <w14:solidFill>
                          <w14:schemeClr w14:val="tx1"/>
                        </w14:solidFill>
                      </w14:textFill>
                    </w:rPr>
                    <w:t>）</w:t>
                  </w:r>
                  <w:r>
                    <w:rPr>
                      <w:rFonts w:hint="default"/>
                      <w:color w:val="000000" w:themeColor="text1"/>
                      <w:kern w:val="0"/>
                      <w:lang w:val="en-US" w:eastAsia="zh-CN"/>
                      <w14:textFill>
                        <w14:solidFill>
                          <w14:schemeClr w14:val="tx1"/>
                        </w14:solidFill>
                      </w14:textFill>
                    </w:rPr>
                    <w:t>处理后定期由清污车清掏至</w:t>
                  </w:r>
                  <w:r>
                    <w:rPr>
                      <w:rFonts w:hint="eastAsia"/>
                      <w:color w:val="000000" w:themeColor="text1"/>
                      <w:kern w:val="0"/>
                      <w:lang w:val="en-US" w:eastAsia="zh-CN"/>
                      <w14:textFill>
                        <w14:solidFill>
                          <w14:schemeClr w14:val="tx1"/>
                        </w14:solidFill>
                      </w14:textFill>
                    </w:rPr>
                    <w:t>若羌县</w:t>
                  </w:r>
                  <w:r>
                    <w:rPr>
                      <w:rFonts w:hint="default"/>
                      <w:color w:val="000000" w:themeColor="text1"/>
                      <w:kern w:val="0"/>
                      <w:lang w:val="en-US" w:eastAsia="zh-CN"/>
                      <w14:textFill>
                        <w14:solidFill>
                          <w14:schemeClr w14:val="tx1"/>
                        </w14:solidFill>
                      </w14:textFill>
                    </w:rPr>
                    <w:t>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Merge w:val="continue"/>
                  <w:noWrap w:val="0"/>
                  <w:vAlign w:val="center"/>
                </w:tcPr>
                <w:p>
                  <w:pPr>
                    <w:pStyle w:val="72"/>
                    <w:adjustRightInd w:val="0"/>
                    <w:snapToGrid w:val="0"/>
                    <w:rPr>
                      <w:color w:val="000000" w:themeColor="text1"/>
                      <w:kern w:val="0"/>
                      <w:lang w:val="zh-CN"/>
                      <w14:textFill>
                        <w14:solidFill>
                          <w14:schemeClr w14:val="tx1"/>
                        </w14:solidFill>
                      </w14:textFill>
                    </w:rPr>
                  </w:pPr>
                </w:p>
              </w:tc>
              <w:tc>
                <w:tcPr>
                  <w:tcW w:w="874" w:type="pct"/>
                  <w:noWrap w:val="0"/>
                  <w:vAlign w:val="center"/>
                </w:tcPr>
                <w:p>
                  <w:pPr>
                    <w:pStyle w:val="72"/>
                    <w:adjustRightInd w:val="0"/>
                    <w:snapToGrid w:val="0"/>
                    <w:rPr>
                      <w:color w:val="000000" w:themeColor="text1"/>
                      <w:kern w:val="0"/>
                      <w14:textFill>
                        <w14:solidFill>
                          <w14:schemeClr w14:val="tx1"/>
                        </w14:solidFill>
                      </w14:textFill>
                    </w:rPr>
                  </w:pPr>
                  <w:r>
                    <w:rPr>
                      <w:color w:val="000000" w:themeColor="text1"/>
                      <w:kern w:val="0"/>
                      <w14:textFill>
                        <w14:solidFill>
                          <w14:schemeClr w14:val="tx1"/>
                        </w14:solidFill>
                      </w14:textFill>
                    </w:rPr>
                    <w:t>供热</w:t>
                  </w:r>
                </w:p>
              </w:tc>
              <w:tc>
                <w:tcPr>
                  <w:tcW w:w="3678" w:type="pct"/>
                  <w:noWrap w:val="0"/>
                  <w:vAlign w:val="center"/>
                </w:tcPr>
                <w:p>
                  <w:pPr>
                    <w:pStyle w:val="72"/>
                    <w:adjustRightInd w:val="0"/>
                    <w:snapToGrid w:val="0"/>
                    <w:rPr>
                      <w:rFonts w:hint="default"/>
                      <w:color w:val="000000" w:themeColor="text1"/>
                      <w:kern w:val="0"/>
                      <w14:textFill>
                        <w14:solidFill>
                          <w14:schemeClr w14:val="tx1"/>
                        </w14:solidFill>
                      </w14:textFill>
                    </w:rPr>
                  </w:pPr>
                  <w:r>
                    <w:rPr>
                      <w:rFonts w:hint="default"/>
                      <w:color w:val="000000" w:themeColor="text1"/>
                      <w:kern w:val="0"/>
                      <w14:textFill>
                        <w14:solidFill>
                          <w14:schemeClr w14:val="tx1"/>
                        </w14:solidFill>
                      </w14:textFill>
                    </w:rPr>
                    <w:t>项目冬季不生产，不设供暖设施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46" w:type="pct"/>
                  <w:vMerge w:val="restart"/>
                  <w:noWrap w:val="0"/>
                  <w:vAlign w:val="center"/>
                </w:tcPr>
                <w:p>
                  <w:pPr>
                    <w:pStyle w:val="72"/>
                    <w:adjustRightInd w:val="0"/>
                    <w:snapToGrid w:val="0"/>
                    <w:rPr>
                      <w:color w:val="000000" w:themeColor="text1"/>
                      <w:kern w:val="0"/>
                      <w14:textFill>
                        <w14:solidFill>
                          <w14:schemeClr w14:val="tx1"/>
                        </w14:solidFill>
                      </w14:textFill>
                    </w:rPr>
                  </w:pPr>
                  <w:r>
                    <w:rPr>
                      <w:color w:val="000000" w:themeColor="text1"/>
                      <w:kern w:val="0"/>
                      <w:lang w:val="zh-CN"/>
                      <w14:textFill>
                        <w14:solidFill>
                          <w14:schemeClr w14:val="tx1"/>
                        </w14:solidFill>
                      </w14:textFill>
                    </w:rPr>
                    <w:t>环保工程</w:t>
                  </w:r>
                </w:p>
              </w:tc>
              <w:tc>
                <w:tcPr>
                  <w:tcW w:w="874" w:type="pct"/>
                  <w:vMerge w:val="restart"/>
                  <w:noWrap w:val="0"/>
                  <w:vAlign w:val="center"/>
                </w:tcPr>
                <w:p>
                  <w:pPr>
                    <w:pStyle w:val="72"/>
                    <w:adjustRightInd w:val="0"/>
                    <w:snapToGrid w:val="0"/>
                    <w:rPr>
                      <w:color w:val="000000" w:themeColor="text1"/>
                      <w:kern w:val="0"/>
                      <w14:textFill>
                        <w14:solidFill>
                          <w14:schemeClr w14:val="tx1"/>
                        </w14:solidFill>
                      </w14:textFill>
                    </w:rPr>
                  </w:pPr>
                  <w:r>
                    <w:rPr>
                      <w:color w:val="000000" w:themeColor="text1"/>
                      <w:kern w:val="0"/>
                      <w14:textFill>
                        <w14:solidFill>
                          <w14:schemeClr w14:val="tx1"/>
                        </w14:solidFill>
                      </w14:textFill>
                    </w:rPr>
                    <w:t>废气</w:t>
                  </w:r>
                </w:p>
              </w:tc>
              <w:tc>
                <w:tcPr>
                  <w:tcW w:w="3678" w:type="pct"/>
                  <w:noWrap w:val="0"/>
                  <w:vAlign w:val="center"/>
                </w:tcPr>
                <w:p>
                  <w:pPr>
                    <w:pStyle w:val="72"/>
                    <w:adjustRightInd w:val="0"/>
                    <w:snapToGrid w:val="0"/>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eastAsia="宋体" w:cs="Times New Roman"/>
                      <w:color w:val="000000" w:themeColor="text1"/>
                      <w:kern w:val="0"/>
                      <w:lang w:val="en-US" w:eastAsia="zh-CN"/>
                      <w14:textFill>
                        <w14:solidFill>
                          <w14:schemeClr w14:val="tx1"/>
                        </w14:solidFill>
                      </w14:textFill>
                    </w:rPr>
                    <w:t>施工期：</w:t>
                  </w:r>
                  <w:r>
                    <w:rPr>
                      <w:rFonts w:hint="eastAsia" w:ascii="Times New Roman" w:hAnsi="Times New Roman" w:eastAsia="宋体" w:cs="Times New Roman"/>
                      <w:color w:val="000000" w:themeColor="text1"/>
                      <w:kern w:val="0"/>
                      <w:lang w:eastAsia="zh-CN"/>
                      <w14:textFill>
                        <w14:solidFill>
                          <w14:schemeClr w14:val="tx1"/>
                        </w14:solidFill>
                      </w14:textFill>
                    </w:rPr>
                    <w:t>施工现场实行围挡、围护，</w:t>
                  </w:r>
                  <w:r>
                    <w:rPr>
                      <w:rFonts w:hint="eastAsia" w:ascii="Times New Roman" w:hAnsi="Times New Roman" w:eastAsia="宋体" w:cs="Times New Roman"/>
                      <w:color w:val="000000" w:themeColor="text1"/>
                      <w:kern w:val="0"/>
                      <w:lang w:val="en-US" w:eastAsia="zh-CN"/>
                      <w14:textFill>
                        <w14:solidFill>
                          <w14:schemeClr w14:val="tx1"/>
                        </w14:solidFill>
                      </w14:textFill>
                    </w:rPr>
                    <w:t>定期洒水降尘，</w:t>
                  </w:r>
                  <w:r>
                    <w:rPr>
                      <w:rFonts w:hint="eastAsia" w:ascii="Times New Roman" w:hAnsi="Times New Roman" w:eastAsia="宋体" w:cs="Times New Roman"/>
                      <w:color w:val="000000" w:themeColor="text1"/>
                      <w:kern w:val="0"/>
                      <w:lang w:eastAsia="zh-CN"/>
                      <w14:textFill>
                        <w14:solidFill>
                          <w14:schemeClr w14:val="tx1"/>
                        </w14:solidFill>
                      </w14:textFill>
                    </w:rPr>
                    <w:t>禁止混凝土现场搅拌，</w:t>
                  </w:r>
                  <w:r>
                    <w:rPr>
                      <w:rFonts w:hint="eastAsia" w:ascii="Times New Roman" w:hAnsi="Times New Roman" w:eastAsia="宋体" w:cs="Times New Roman"/>
                      <w:color w:val="000000" w:themeColor="text1"/>
                      <w:kern w:val="0"/>
                      <w:lang w:val="en-US" w:eastAsia="zh-CN"/>
                      <w14:textFill>
                        <w14:solidFill>
                          <w14:schemeClr w14:val="tx1"/>
                        </w14:solidFill>
                      </w14:textFill>
                    </w:rPr>
                    <w:t>运输车辆覆盖，大风天气禁止施工。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46" w:type="pct"/>
                  <w:vMerge w:val="continue"/>
                  <w:noWrap w:val="0"/>
                  <w:vAlign w:val="center"/>
                </w:tcPr>
                <w:p>
                  <w:pPr>
                    <w:pStyle w:val="72"/>
                    <w:adjustRightInd w:val="0"/>
                    <w:snapToGrid w:val="0"/>
                    <w:rPr>
                      <w:color w:val="000000" w:themeColor="text1"/>
                      <w:kern w:val="0"/>
                      <w:lang w:val="zh-CN"/>
                      <w14:textFill>
                        <w14:solidFill>
                          <w14:schemeClr w14:val="tx1"/>
                        </w14:solidFill>
                      </w14:textFill>
                    </w:rPr>
                  </w:pPr>
                </w:p>
              </w:tc>
              <w:tc>
                <w:tcPr>
                  <w:tcW w:w="874" w:type="pct"/>
                  <w:vMerge w:val="continue"/>
                  <w:noWrap w:val="0"/>
                  <w:vAlign w:val="center"/>
                </w:tcPr>
                <w:p>
                  <w:pPr>
                    <w:pStyle w:val="72"/>
                    <w:adjustRightInd w:val="0"/>
                    <w:snapToGrid w:val="0"/>
                    <w:rPr>
                      <w:color w:val="000000" w:themeColor="text1"/>
                      <w:kern w:val="0"/>
                      <w14:textFill>
                        <w14:solidFill>
                          <w14:schemeClr w14:val="tx1"/>
                        </w14:solidFill>
                      </w14:textFill>
                    </w:rPr>
                  </w:pPr>
                </w:p>
              </w:tc>
              <w:tc>
                <w:tcPr>
                  <w:tcW w:w="3678" w:type="pct"/>
                  <w:noWrap w:val="0"/>
                  <w:vAlign w:val="center"/>
                </w:tcPr>
                <w:p>
                  <w:pPr>
                    <w:pStyle w:val="72"/>
                    <w:adjustRightInd w:val="0"/>
                    <w:snapToGrid w:val="0"/>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eastAsia="宋体" w:cs="Times New Roman"/>
                      <w:color w:val="000000" w:themeColor="text1"/>
                      <w:kern w:val="0"/>
                      <w:lang w:val="en-US" w:eastAsia="zh-CN"/>
                      <w14:textFill>
                        <w14:solidFill>
                          <w14:schemeClr w14:val="tx1"/>
                        </w14:solidFill>
                      </w14:textFill>
                    </w:rPr>
                    <w:t>运营期：本项目筒仓废气经仓顶脉冲布袋除尘器处理后</w:t>
                  </w:r>
                  <w:r>
                    <w:rPr>
                      <w:rFonts w:hint="eastAsia" w:cs="Times New Roman"/>
                      <w:color w:val="000000" w:themeColor="text1"/>
                      <w:kern w:val="0"/>
                      <w:lang w:val="en-US" w:eastAsia="zh-CN"/>
                      <w14:textFill>
                        <w14:solidFill>
                          <w14:schemeClr w14:val="tx1"/>
                        </w14:solidFill>
                      </w14:textFill>
                    </w:rPr>
                    <w:t>有</w:t>
                  </w:r>
                  <w:r>
                    <w:rPr>
                      <w:rFonts w:hint="eastAsia" w:ascii="Times New Roman" w:hAnsi="Times New Roman" w:eastAsia="宋体" w:cs="Times New Roman"/>
                      <w:color w:val="000000" w:themeColor="text1"/>
                      <w:kern w:val="0"/>
                      <w:lang w:val="en-US" w:eastAsia="zh-CN"/>
                      <w14:textFill>
                        <w14:solidFill>
                          <w14:schemeClr w14:val="tx1"/>
                        </w14:solidFill>
                      </w14:textFill>
                    </w:rPr>
                    <w:t>组织排放；搅拌废气集中收集至布袋除尘器处理，处理后的废气通过15m排气筒排放；上料粉尘洒水抑尘；输送管道采取密闭管道；砂石料堆场采用围挡（防风抑尘墙）+定期洒水，成品堆场进行遮盖+喷洒水。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46" w:type="pct"/>
                  <w:vMerge w:val="continue"/>
                  <w:noWrap w:val="0"/>
                  <w:vAlign w:val="center"/>
                </w:tcPr>
                <w:p>
                  <w:pPr>
                    <w:pStyle w:val="72"/>
                    <w:adjustRightInd w:val="0"/>
                    <w:snapToGrid w:val="0"/>
                    <w:rPr>
                      <w:color w:val="000000" w:themeColor="text1"/>
                      <w:kern w:val="0"/>
                      <w14:textFill>
                        <w14:solidFill>
                          <w14:schemeClr w14:val="tx1"/>
                        </w14:solidFill>
                      </w14:textFill>
                    </w:rPr>
                  </w:pPr>
                </w:p>
              </w:tc>
              <w:tc>
                <w:tcPr>
                  <w:tcW w:w="874" w:type="pct"/>
                  <w:vMerge w:val="restart"/>
                  <w:noWrap w:val="0"/>
                  <w:vAlign w:val="center"/>
                </w:tcPr>
                <w:p>
                  <w:pPr>
                    <w:pStyle w:val="72"/>
                    <w:adjustRightInd w:val="0"/>
                    <w:snapToGrid w:val="0"/>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eastAsia="宋体" w:cs="Times New Roman"/>
                      <w:color w:val="000000" w:themeColor="text1"/>
                      <w:kern w:val="0"/>
                      <w:lang w:val="en-US" w:eastAsia="zh-CN"/>
                      <w14:textFill>
                        <w14:solidFill>
                          <w14:schemeClr w14:val="tx1"/>
                        </w14:solidFill>
                      </w14:textFill>
                    </w:rPr>
                    <w:t>废水</w:t>
                  </w:r>
                </w:p>
              </w:tc>
              <w:tc>
                <w:tcPr>
                  <w:tcW w:w="3678" w:type="pct"/>
                  <w:noWrap w:val="0"/>
                  <w:vAlign w:val="center"/>
                </w:tcPr>
                <w:p>
                  <w:pPr>
                    <w:pStyle w:val="72"/>
                    <w:adjustRightInd w:val="0"/>
                    <w:snapToGrid w:val="0"/>
                    <w:rPr>
                      <w:rFonts w:hint="default"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eastAsia="宋体" w:cs="Times New Roman"/>
                      <w:color w:val="000000" w:themeColor="text1"/>
                      <w:kern w:val="0"/>
                      <w:lang w:val="en-US" w:eastAsia="zh-CN"/>
                      <w14:textFill>
                        <w14:solidFill>
                          <w14:schemeClr w14:val="tx1"/>
                        </w14:solidFill>
                      </w14:textFill>
                    </w:rPr>
                    <w:t>施工期：</w:t>
                  </w:r>
                  <w:r>
                    <w:rPr>
                      <w:rFonts w:hint="default" w:ascii="Times New Roman" w:hAnsi="Times New Roman" w:eastAsia="宋体" w:cs="Times New Roman"/>
                      <w:color w:val="000000" w:themeColor="text1"/>
                      <w:kern w:val="0"/>
                      <w:lang w:val="en-US" w:eastAsia="zh-CN"/>
                      <w14:textFill>
                        <w14:solidFill>
                          <w14:schemeClr w14:val="tx1"/>
                        </w14:solidFill>
                      </w14:textFill>
                    </w:rPr>
                    <w:t>工地设置临时沉淀池，经过沉淀池沉淀后，用于洒水抑尘</w:t>
                  </w:r>
                  <w:r>
                    <w:rPr>
                      <w:rFonts w:hint="eastAsia" w:ascii="Times New Roman" w:hAnsi="Times New Roman" w:eastAsia="宋体" w:cs="Times New Roman"/>
                      <w:color w:val="000000" w:themeColor="text1"/>
                      <w:kern w:val="0"/>
                      <w:lang w:val="en-US" w:eastAsia="zh-CN"/>
                      <w14:textFill>
                        <w14:solidFill>
                          <w14:schemeClr w14:val="tx1"/>
                        </w14:solidFill>
                      </w14:textFill>
                    </w:rPr>
                    <w:t>；生活污水拉运至若羌县污水处理厂处理。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446" w:type="pct"/>
                  <w:vMerge w:val="continue"/>
                  <w:noWrap w:val="0"/>
                  <w:vAlign w:val="center"/>
                </w:tcPr>
                <w:p>
                  <w:pPr>
                    <w:pStyle w:val="72"/>
                    <w:adjustRightInd w:val="0"/>
                    <w:snapToGrid w:val="0"/>
                    <w:rPr>
                      <w:color w:val="000000" w:themeColor="text1"/>
                      <w:kern w:val="0"/>
                      <w14:textFill>
                        <w14:solidFill>
                          <w14:schemeClr w14:val="tx1"/>
                        </w14:solidFill>
                      </w14:textFill>
                    </w:rPr>
                  </w:pPr>
                </w:p>
              </w:tc>
              <w:tc>
                <w:tcPr>
                  <w:tcW w:w="874" w:type="pct"/>
                  <w:vMerge w:val="continue"/>
                  <w:noWrap w:val="0"/>
                  <w:vAlign w:val="center"/>
                </w:tcPr>
                <w:p>
                  <w:pPr>
                    <w:pStyle w:val="72"/>
                    <w:adjustRightInd w:val="0"/>
                    <w:snapToGrid w:val="0"/>
                    <w:rPr>
                      <w:color w:val="000000" w:themeColor="text1"/>
                      <w:kern w:val="0"/>
                      <w14:textFill>
                        <w14:solidFill>
                          <w14:schemeClr w14:val="tx1"/>
                        </w14:solidFill>
                      </w14:textFill>
                    </w:rPr>
                  </w:pPr>
                </w:p>
              </w:tc>
              <w:tc>
                <w:tcPr>
                  <w:tcW w:w="3678" w:type="pct"/>
                  <w:noWrap w:val="0"/>
                  <w:vAlign w:val="center"/>
                </w:tcPr>
                <w:p>
                  <w:pPr>
                    <w:pStyle w:val="72"/>
                    <w:adjustRightInd w:val="0"/>
                    <w:snapToGrid w:val="0"/>
                    <w:rPr>
                      <w:rFonts w:hint="eastAsia" w:ascii="Times New Roman" w:hAnsi="Times New Roman" w:eastAsia="宋体" w:cs="Times New Roman"/>
                      <w:color w:val="000000" w:themeColor="text1"/>
                      <w:kern w:val="0"/>
                      <w:lang w:val="en-US" w:eastAsia="zh-CN"/>
                      <w14:textFill>
                        <w14:solidFill>
                          <w14:schemeClr w14:val="tx1"/>
                        </w14:solidFill>
                      </w14:textFill>
                    </w:rPr>
                  </w:pPr>
                  <w:r>
                    <w:rPr>
                      <w:rFonts w:hint="eastAsia" w:ascii="Times New Roman" w:hAnsi="Times New Roman" w:eastAsia="宋体" w:cs="Times New Roman"/>
                      <w:color w:val="000000" w:themeColor="text1"/>
                      <w:kern w:val="0"/>
                      <w:lang w:val="en-US" w:eastAsia="zh-CN"/>
                      <w14:textFill>
                        <w14:solidFill>
                          <w14:schemeClr w14:val="tx1"/>
                        </w14:solidFill>
                      </w14:textFill>
                    </w:rPr>
                    <w:t>运营期：生产废水进入沉淀池（位于搅拌站南侧，容积为15m</w:t>
                  </w:r>
                  <w:r>
                    <w:rPr>
                      <w:rFonts w:hint="eastAsia" w:ascii="Times New Roman" w:hAnsi="Times New Roman" w:eastAsia="宋体" w:cs="Times New Roman"/>
                      <w:color w:val="000000" w:themeColor="text1"/>
                      <w:kern w:val="0"/>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kern w:val="0"/>
                      <w:lang w:val="en-US" w:eastAsia="zh-CN"/>
                      <w14:textFill>
                        <w14:solidFill>
                          <w14:schemeClr w14:val="tx1"/>
                        </w14:solidFill>
                      </w14:textFill>
                    </w:rPr>
                    <w:t>）沉淀后进入产品，不外排；车辆冲洗废水经沉淀</w:t>
                  </w:r>
                  <w:r>
                    <w:rPr>
                      <w:rFonts w:hint="eastAsia" w:ascii="Times New Roman" w:hAnsi="Times New Roman" w:eastAsia="宋体" w:cs="Times New Roman"/>
                      <w:color w:val="000000" w:themeColor="text1"/>
                      <w:kern w:val="0"/>
                      <w:lang w:eastAsia="zh-CN"/>
                      <w14:textFill>
                        <w14:solidFill>
                          <w14:schemeClr w14:val="tx1"/>
                        </w14:solidFill>
                      </w14:textFill>
                    </w:rPr>
                    <w:t>（</w:t>
                  </w:r>
                  <w:r>
                    <w:rPr>
                      <w:rFonts w:hint="eastAsia" w:ascii="Times New Roman" w:hAnsi="Times New Roman" w:eastAsia="宋体" w:cs="Times New Roman"/>
                      <w:color w:val="000000" w:themeColor="text1"/>
                      <w:kern w:val="0"/>
                      <w:lang w:val="en-US" w:eastAsia="zh-CN"/>
                      <w14:textFill>
                        <w14:solidFill>
                          <w14:schemeClr w14:val="tx1"/>
                        </w14:solidFill>
                      </w14:textFill>
                    </w:rPr>
                    <w:t>沉淀池位于厂区入口处，容积为15m</w:t>
                  </w:r>
                  <w:r>
                    <w:rPr>
                      <w:rFonts w:hint="eastAsia" w:ascii="Times New Roman" w:hAnsi="Times New Roman" w:eastAsia="宋体" w:cs="Times New Roman"/>
                      <w:color w:val="000000" w:themeColor="text1"/>
                      <w:kern w:val="0"/>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kern w:val="0"/>
                      <w:lang w:eastAsia="zh-CN"/>
                      <w14:textFill>
                        <w14:solidFill>
                          <w14:schemeClr w14:val="tx1"/>
                        </w14:solidFill>
                      </w14:textFill>
                    </w:rPr>
                    <w:t>）</w:t>
                  </w:r>
                  <w:r>
                    <w:rPr>
                      <w:rFonts w:hint="eastAsia" w:ascii="Times New Roman" w:hAnsi="Times New Roman" w:eastAsia="宋体" w:cs="Times New Roman"/>
                      <w:color w:val="000000" w:themeColor="text1"/>
                      <w:kern w:val="0"/>
                      <w:lang w:val="en-US" w:eastAsia="zh-CN"/>
                      <w14:textFill>
                        <w14:solidFill>
                          <w14:schemeClr w14:val="tx1"/>
                        </w14:solidFill>
                      </w14:textFill>
                    </w:rPr>
                    <w:t>后用于洒水抑尘，不外排；生活污水进入防渗化粪池收集，定期由清污车清掏至若羌县污水处理厂处理。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pct"/>
                  <w:vMerge w:val="continue"/>
                  <w:noWrap w:val="0"/>
                  <w:vAlign w:val="center"/>
                </w:tcPr>
                <w:p>
                  <w:pPr>
                    <w:pStyle w:val="72"/>
                    <w:adjustRightInd w:val="0"/>
                    <w:snapToGrid w:val="0"/>
                    <w:rPr>
                      <w:color w:val="000000" w:themeColor="text1"/>
                      <w:kern w:val="0"/>
                      <w14:textFill>
                        <w14:solidFill>
                          <w14:schemeClr w14:val="tx1"/>
                        </w14:solidFill>
                      </w14:textFill>
                    </w:rPr>
                  </w:pPr>
                </w:p>
              </w:tc>
              <w:tc>
                <w:tcPr>
                  <w:tcW w:w="874" w:type="pct"/>
                  <w:vMerge w:val="restart"/>
                  <w:noWrap w:val="0"/>
                  <w:vAlign w:val="center"/>
                </w:tcPr>
                <w:p>
                  <w:pPr>
                    <w:pStyle w:val="72"/>
                    <w:adjustRightInd w:val="0"/>
                    <w:snapToGrid w:val="0"/>
                    <w:rPr>
                      <w:color w:val="000000" w:themeColor="text1"/>
                      <w:kern w:val="0"/>
                      <w14:textFill>
                        <w14:solidFill>
                          <w14:schemeClr w14:val="tx1"/>
                        </w14:solidFill>
                      </w14:textFill>
                    </w:rPr>
                  </w:pPr>
                  <w:r>
                    <w:rPr>
                      <w:color w:val="000000" w:themeColor="text1"/>
                      <w:kern w:val="0"/>
                      <w14:textFill>
                        <w14:solidFill>
                          <w14:schemeClr w14:val="tx1"/>
                        </w14:solidFill>
                      </w14:textFill>
                    </w:rPr>
                    <w:t>噪声</w:t>
                  </w:r>
                </w:p>
              </w:tc>
              <w:tc>
                <w:tcPr>
                  <w:tcW w:w="3678" w:type="pct"/>
                  <w:noWrap w:val="0"/>
                  <w:vAlign w:val="center"/>
                </w:tcPr>
                <w:p>
                  <w:pPr>
                    <w:pStyle w:val="72"/>
                    <w:adjustRightInd w:val="0"/>
                    <w:snapToGrid w:val="0"/>
                    <w:rPr>
                      <w:rFonts w:hint="default" w:eastAsia="宋体"/>
                      <w:color w:val="000000" w:themeColor="text1"/>
                      <w:kern w:val="0"/>
                      <w:lang w:val="en-US" w:eastAsia="zh-CN"/>
                      <w14:textFill>
                        <w14:solidFill>
                          <w14:schemeClr w14:val="tx1"/>
                        </w14:solidFill>
                      </w14:textFill>
                    </w:rPr>
                  </w:pPr>
                  <w:r>
                    <w:rPr>
                      <w:rFonts w:hint="eastAsia"/>
                      <w:color w:val="000000" w:themeColor="text1"/>
                      <w:kern w:val="0"/>
                      <w:lang w:val="en-US" w:eastAsia="zh-CN"/>
                      <w14:textFill>
                        <w14:solidFill>
                          <w14:schemeClr w14:val="tx1"/>
                        </w14:solidFill>
                      </w14:textFill>
                    </w:rPr>
                    <w:t>施工期：</w:t>
                  </w:r>
                  <w:r>
                    <w:rPr>
                      <w:rFonts w:hint="default"/>
                      <w:lang w:val="en-US" w:eastAsia="zh-CN"/>
                    </w:rPr>
                    <w:t>避免大量高噪声设备同时施工</w:t>
                  </w:r>
                  <w:r>
                    <w:rPr>
                      <w:rFonts w:hint="eastAsia"/>
                      <w:lang w:val="en-US" w:eastAsia="zh-CN"/>
                    </w:rPr>
                    <w:t>，定期维护，禁止夜间运输。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46" w:type="pct"/>
                  <w:vMerge w:val="continue"/>
                  <w:noWrap w:val="0"/>
                  <w:vAlign w:val="center"/>
                </w:tcPr>
                <w:p>
                  <w:pPr>
                    <w:pStyle w:val="72"/>
                    <w:adjustRightInd w:val="0"/>
                    <w:snapToGrid w:val="0"/>
                    <w:rPr>
                      <w:color w:val="000000" w:themeColor="text1"/>
                      <w:kern w:val="0"/>
                      <w14:textFill>
                        <w14:solidFill>
                          <w14:schemeClr w14:val="tx1"/>
                        </w14:solidFill>
                      </w14:textFill>
                    </w:rPr>
                  </w:pPr>
                </w:p>
              </w:tc>
              <w:tc>
                <w:tcPr>
                  <w:tcW w:w="874" w:type="pct"/>
                  <w:vMerge w:val="continue"/>
                  <w:noWrap w:val="0"/>
                  <w:vAlign w:val="center"/>
                </w:tcPr>
                <w:p>
                  <w:pPr>
                    <w:pStyle w:val="72"/>
                    <w:adjustRightInd w:val="0"/>
                    <w:snapToGrid w:val="0"/>
                    <w:rPr>
                      <w:color w:val="000000" w:themeColor="text1"/>
                      <w:kern w:val="0"/>
                      <w14:textFill>
                        <w14:solidFill>
                          <w14:schemeClr w14:val="tx1"/>
                        </w14:solidFill>
                      </w14:textFill>
                    </w:rPr>
                  </w:pPr>
                </w:p>
              </w:tc>
              <w:tc>
                <w:tcPr>
                  <w:tcW w:w="3678" w:type="pct"/>
                  <w:noWrap w:val="0"/>
                  <w:vAlign w:val="center"/>
                </w:tcPr>
                <w:p>
                  <w:pPr>
                    <w:pStyle w:val="72"/>
                    <w:adjustRightInd w:val="0"/>
                    <w:snapToGrid w:val="0"/>
                    <w:rPr>
                      <w:color w:val="000000" w:themeColor="text1"/>
                      <w:kern w:val="0"/>
                      <w14:textFill>
                        <w14:solidFill>
                          <w14:schemeClr w14:val="tx1"/>
                        </w14:solidFill>
                      </w14:textFill>
                    </w:rPr>
                  </w:pPr>
                  <w:r>
                    <w:rPr>
                      <w:rFonts w:hint="eastAsia"/>
                      <w:color w:val="000000" w:themeColor="text1"/>
                      <w:kern w:val="0"/>
                      <w:lang w:val="en-US" w:eastAsia="zh-CN"/>
                      <w14:textFill>
                        <w14:solidFill>
                          <w14:schemeClr w14:val="tx1"/>
                        </w14:solidFill>
                      </w14:textFill>
                    </w:rPr>
                    <w:t>运营期：</w:t>
                  </w:r>
                  <w:r>
                    <w:rPr>
                      <w:color w:val="000000" w:themeColor="text1"/>
                      <w:kern w:val="0"/>
                      <w14:textFill>
                        <w14:solidFill>
                          <w14:schemeClr w14:val="tx1"/>
                        </w14:solidFill>
                      </w14:textFill>
                    </w:rPr>
                    <w:t>本项目产生的噪声主要为生产过程中各类机械设备，设备噪声主要采用基础减</w:t>
                  </w:r>
                  <w:r>
                    <w:rPr>
                      <w:rFonts w:hint="eastAsia"/>
                      <w:color w:val="000000" w:themeColor="text1"/>
                      <w:kern w:val="0"/>
                      <w:lang w:val="en-US" w:eastAsia="zh-CN"/>
                      <w14:textFill>
                        <w14:solidFill>
                          <w14:schemeClr w14:val="tx1"/>
                        </w14:solidFill>
                      </w14:textFill>
                    </w:rPr>
                    <w:t>振</w:t>
                  </w:r>
                  <w:r>
                    <w:rPr>
                      <w:color w:val="000000" w:themeColor="text1"/>
                      <w:kern w:val="0"/>
                      <w14:textFill>
                        <w14:solidFill>
                          <w14:schemeClr w14:val="tx1"/>
                        </w14:solidFill>
                      </w14:textFill>
                    </w:rPr>
                    <w:t>、厂房隔声、设备维护等减</w:t>
                  </w:r>
                  <w:r>
                    <w:rPr>
                      <w:rFonts w:hint="eastAsia"/>
                      <w:color w:val="000000" w:themeColor="text1"/>
                      <w:kern w:val="0"/>
                      <w:lang w:val="en-US" w:eastAsia="zh-CN"/>
                      <w14:textFill>
                        <w14:solidFill>
                          <w14:schemeClr w14:val="tx1"/>
                        </w14:solidFill>
                      </w14:textFill>
                    </w:rPr>
                    <w:t>振</w:t>
                  </w:r>
                  <w:r>
                    <w:rPr>
                      <w:color w:val="000000" w:themeColor="text1"/>
                      <w:kern w:val="0"/>
                      <w14:textFill>
                        <w14:solidFill>
                          <w14:schemeClr w14:val="tx1"/>
                        </w14:solidFill>
                      </w14:textFill>
                    </w:rPr>
                    <w:t>、降噪措施。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46" w:type="pct"/>
                  <w:vMerge w:val="continue"/>
                  <w:noWrap w:val="0"/>
                  <w:vAlign w:val="center"/>
                </w:tcPr>
                <w:p>
                  <w:pPr>
                    <w:pStyle w:val="72"/>
                    <w:adjustRightInd w:val="0"/>
                    <w:snapToGrid w:val="0"/>
                    <w:rPr>
                      <w:color w:val="000000" w:themeColor="text1"/>
                      <w:kern w:val="0"/>
                      <w14:textFill>
                        <w14:solidFill>
                          <w14:schemeClr w14:val="tx1"/>
                        </w14:solidFill>
                      </w14:textFill>
                    </w:rPr>
                  </w:pPr>
                </w:p>
              </w:tc>
              <w:tc>
                <w:tcPr>
                  <w:tcW w:w="874" w:type="pct"/>
                  <w:vMerge w:val="restart"/>
                  <w:noWrap w:val="0"/>
                  <w:vAlign w:val="center"/>
                </w:tcPr>
                <w:p>
                  <w:pPr>
                    <w:pStyle w:val="6"/>
                    <w:bidi w:val="0"/>
                  </w:pPr>
                  <w:r>
                    <w:t>固废</w:t>
                  </w:r>
                </w:p>
              </w:tc>
              <w:tc>
                <w:tcPr>
                  <w:tcW w:w="3678" w:type="pct"/>
                  <w:noWrap w:val="0"/>
                  <w:vAlign w:val="center"/>
                </w:tcPr>
                <w:p>
                  <w:pPr>
                    <w:pStyle w:val="6"/>
                    <w:bidi w:val="0"/>
                    <w:rPr>
                      <w:rFonts w:hint="default" w:eastAsia="宋体"/>
                      <w:lang w:val="en-US" w:eastAsia="zh-CN"/>
                    </w:rPr>
                  </w:pPr>
                  <w:r>
                    <w:rPr>
                      <w:rFonts w:hint="eastAsia"/>
                      <w:lang w:val="en-US" w:eastAsia="zh-CN"/>
                    </w:rPr>
                    <w:t>施工期：生活垃圾集中收集交由环卫部门集中清运处理；</w:t>
                  </w:r>
                  <w:r>
                    <w:rPr>
                      <w:rFonts w:hint="eastAsia"/>
                      <w:lang w:eastAsia="zh-CN"/>
                    </w:rPr>
                    <w:t>建筑垃圾集中收集后清运至建筑</w:t>
                  </w:r>
                  <w:r>
                    <w:rPr>
                      <w:rFonts w:hint="eastAsia"/>
                      <w:lang w:val="en-US" w:eastAsia="zh-CN"/>
                    </w:rPr>
                    <w:t>部门指定地点处置</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46" w:type="pct"/>
                  <w:vMerge w:val="continue"/>
                  <w:noWrap w:val="0"/>
                  <w:vAlign w:val="center"/>
                </w:tcPr>
                <w:p>
                  <w:pPr>
                    <w:pStyle w:val="72"/>
                    <w:adjustRightInd w:val="0"/>
                    <w:snapToGrid w:val="0"/>
                    <w:rPr>
                      <w:color w:val="000000" w:themeColor="text1"/>
                      <w:kern w:val="0"/>
                      <w14:textFill>
                        <w14:solidFill>
                          <w14:schemeClr w14:val="tx1"/>
                        </w14:solidFill>
                      </w14:textFill>
                    </w:rPr>
                  </w:pPr>
                </w:p>
              </w:tc>
              <w:tc>
                <w:tcPr>
                  <w:tcW w:w="874" w:type="pct"/>
                  <w:vMerge w:val="continue"/>
                  <w:noWrap w:val="0"/>
                  <w:vAlign w:val="center"/>
                </w:tcPr>
                <w:p>
                  <w:pPr>
                    <w:pStyle w:val="6"/>
                    <w:bidi w:val="0"/>
                  </w:pPr>
                </w:p>
              </w:tc>
              <w:tc>
                <w:tcPr>
                  <w:tcW w:w="3678" w:type="pct"/>
                  <w:noWrap w:val="0"/>
                  <w:vAlign w:val="center"/>
                </w:tcPr>
                <w:p>
                  <w:pPr>
                    <w:pStyle w:val="6"/>
                    <w:bidi w:val="0"/>
                    <w:rPr>
                      <w:rFonts w:hint="eastAsia"/>
                      <w:lang w:val="en-US" w:eastAsia="zh-CN"/>
                    </w:rPr>
                  </w:pPr>
                  <w:r>
                    <w:rPr>
                      <w:rFonts w:hint="eastAsia"/>
                      <w:lang w:val="en-US" w:eastAsia="zh-CN"/>
                    </w:rPr>
                    <w:t>运营期：</w:t>
                  </w:r>
                  <w:r>
                    <w:rPr>
                      <w:rFonts w:hint="eastAsia"/>
                    </w:rPr>
                    <w:t>除尘灰、沉降粉尘及沉淀池沉渣收集后定期清理后回用于生产；废布袋、不合格产品及边角料经集中收集处理后定期清运至一般固废填埋场填埋；生活垃圾由厂区设置的垃圾桶收集后，定期交由园区环卫部门处置；含油抹布、劳保用品</w:t>
                  </w:r>
                  <w:r>
                    <w:rPr>
                      <w:rFonts w:hint="eastAsia"/>
                      <w:lang w:eastAsia="zh-CN"/>
                    </w:rPr>
                    <w:t>、</w:t>
                  </w:r>
                  <w:r>
                    <w:rPr>
                      <w:rFonts w:hint="eastAsia"/>
                    </w:rPr>
                    <w:t>废润滑油和废油桶收集暂存于危废暂存间，定期交由有资质的单位处理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Merge w:val="continue"/>
                  <w:noWrap w:val="0"/>
                  <w:vAlign w:val="center"/>
                </w:tcPr>
                <w:p>
                  <w:pPr>
                    <w:pStyle w:val="72"/>
                    <w:adjustRightInd w:val="0"/>
                    <w:snapToGrid w:val="0"/>
                    <w:rPr>
                      <w:color w:val="000000" w:themeColor="text1"/>
                      <w:kern w:val="0"/>
                      <w14:textFill>
                        <w14:solidFill>
                          <w14:schemeClr w14:val="tx1"/>
                        </w14:solidFill>
                      </w14:textFill>
                    </w:rPr>
                  </w:pPr>
                </w:p>
              </w:tc>
              <w:tc>
                <w:tcPr>
                  <w:tcW w:w="874" w:type="pct"/>
                  <w:noWrap w:val="0"/>
                  <w:vAlign w:val="center"/>
                </w:tcPr>
                <w:p>
                  <w:pPr>
                    <w:pStyle w:val="6"/>
                    <w:bidi w:val="0"/>
                    <w:rPr>
                      <w:rFonts w:hint="default" w:eastAsia="宋体"/>
                      <w:lang w:val="en-US" w:eastAsia="zh-CN"/>
                    </w:rPr>
                  </w:pPr>
                  <w:r>
                    <w:rPr>
                      <w:rFonts w:hint="eastAsia"/>
                      <w:lang w:val="en-US" w:eastAsia="zh-CN"/>
                    </w:rPr>
                    <w:t>地下水、土壤</w:t>
                  </w:r>
                </w:p>
              </w:tc>
              <w:tc>
                <w:tcPr>
                  <w:tcW w:w="3678" w:type="pct"/>
                  <w:noWrap w:val="0"/>
                  <w:vAlign w:val="center"/>
                </w:tcPr>
                <w:p>
                  <w:pPr>
                    <w:pStyle w:val="6"/>
                    <w:bidi w:val="0"/>
                    <w:rPr>
                      <w:rFonts w:hint="eastAsia"/>
                    </w:rPr>
                  </w:pPr>
                  <w:r>
                    <w:t>危险废物暂存间</w:t>
                  </w:r>
                  <w:r>
                    <w:rPr>
                      <w:rFonts w:hint="eastAsia"/>
                      <w:lang w:val="en-US" w:eastAsia="zh-CN"/>
                    </w:rPr>
                    <w:t>采取重点防渗措施；</w:t>
                  </w:r>
                  <w:r>
                    <w:rPr>
                      <w:rFonts w:hint="eastAsia"/>
                    </w:rPr>
                    <w:t>生产车间、生活区</w:t>
                  </w:r>
                  <w:r>
                    <w:rPr>
                      <w:rFonts w:hint="eastAsia"/>
                      <w:lang w:eastAsia="zh-CN"/>
                    </w:rPr>
                    <w:t>、</w:t>
                  </w:r>
                  <w:r>
                    <w:rPr>
                      <w:rFonts w:hint="eastAsia"/>
                      <w:lang w:val="en-US" w:eastAsia="zh-CN"/>
                    </w:rPr>
                    <w:t>循环沉淀池</w:t>
                  </w:r>
                  <w:r>
                    <w:rPr>
                      <w:rFonts w:hint="eastAsia"/>
                      <w:lang w:eastAsia="zh-CN"/>
                    </w:rPr>
                    <w:t>、</w:t>
                  </w:r>
                  <w:r>
                    <w:rPr>
                      <w:rFonts w:hint="eastAsia"/>
                      <w:lang w:val="en-US" w:eastAsia="zh-CN"/>
                    </w:rPr>
                    <w:t>防渗化粪池、洗车沉淀池采取一般防渗措施；仓库、一般工业固废暂存间、</w:t>
                  </w:r>
                  <w:r>
                    <w:t>其他区域</w:t>
                  </w:r>
                  <w:r>
                    <w:rPr>
                      <w:rFonts w:hint="eastAsia"/>
                      <w:lang w:val="en-US" w:eastAsia="zh-CN"/>
                    </w:rPr>
                    <w:t>采取简单防渗。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vMerge w:val="continue"/>
                  <w:noWrap w:val="0"/>
                  <w:vAlign w:val="center"/>
                </w:tcPr>
                <w:p>
                  <w:pPr>
                    <w:pStyle w:val="72"/>
                    <w:adjustRightInd w:val="0"/>
                    <w:snapToGrid w:val="0"/>
                    <w:rPr>
                      <w:color w:val="000000" w:themeColor="text1"/>
                      <w:kern w:val="0"/>
                      <w14:textFill>
                        <w14:solidFill>
                          <w14:schemeClr w14:val="tx1"/>
                        </w14:solidFill>
                      </w14:textFill>
                    </w:rPr>
                  </w:pPr>
                </w:p>
              </w:tc>
              <w:tc>
                <w:tcPr>
                  <w:tcW w:w="874" w:type="pct"/>
                  <w:noWrap w:val="0"/>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风险</w:t>
                  </w:r>
                </w:p>
              </w:tc>
              <w:tc>
                <w:tcPr>
                  <w:tcW w:w="3678" w:type="pct"/>
                  <w:noWrap w:val="0"/>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善物料贮存设施、设置围堰，标识标牌，配备应急物资，编制应急预案</w:t>
                  </w:r>
                </w:p>
              </w:tc>
            </w:tr>
          </w:tbl>
          <w:p>
            <w:pPr>
              <w:pStyle w:val="4"/>
              <w:bidi w:val="0"/>
            </w:pPr>
            <w:r>
              <w:rPr>
                <w:rFonts w:hint="eastAsia"/>
                <w:lang w:val="en-US" w:eastAsia="zh-CN"/>
              </w:rPr>
              <w:t>2、</w:t>
            </w:r>
            <w:r>
              <w:t>主要产品产能</w:t>
            </w:r>
          </w:p>
          <w:p>
            <w:pPr>
              <w:ind w:firstLine="420" w:firstLineChars="200"/>
              <w:rPr>
                <w:b/>
                <w:bCs/>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厂区主要生产产品见表</w:t>
            </w:r>
            <w:r>
              <w:rPr>
                <w:rFonts w:hint="eastAsia"/>
                <w:color w:val="000000" w:themeColor="text1"/>
                <w:kern w:val="0"/>
                <w:sz w:val="21"/>
                <w:szCs w:val="21"/>
                <w:lang w:val="en-US" w:eastAsia="zh-CN"/>
                <w14:textFill>
                  <w14:solidFill>
                    <w14:schemeClr w14:val="tx1"/>
                  </w14:solidFill>
                </w14:textFill>
              </w:rPr>
              <w:t>2-2</w:t>
            </w:r>
            <w:r>
              <w:rPr>
                <w:rFonts w:hint="eastAsia"/>
                <w:color w:val="000000" w:themeColor="text1"/>
                <w:kern w:val="0"/>
                <w:sz w:val="21"/>
                <w:szCs w:val="21"/>
                <w14:textFill>
                  <w14:solidFill>
                    <w14:schemeClr w14:val="tx1"/>
                  </w14:solidFill>
                </w14:textFill>
              </w:rPr>
              <w:t>。</w:t>
            </w:r>
          </w:p>
          <w:p>
            <w:pPr>
              <w:adjustRightInd w:val="0"/>
              <w:snapToGrid w:val="0"/>
              <w:spacing w:line="240" w:lineRule="auto"/>
              <w:ind w:firstLine="422" w:firstLineChars="200"/>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表</w:t>
            </w:r>
            <w:r>
              <w:rPr>
                <w:rFonts w:hint="eastAsia"/>
                <w:b/>
                <w:bCs/>
                <w:color w:val="000000" w:themeColor="text1"/>
                <w:kern w:val="0"/>
                <w:sz w:val="21"/>
                <w:szCs w:val="21"/>
                <w:lang w:val="en-US" w:eastAsia="zh-CN"/>
                <w14:textFill>
                  <w14:solidFill>
                    <w14:schemeClr w14:val="tx1"/>
                  </w14:solidFill>
                </w14:textFill>
              </w:rPr>
              <w:t>2-2</w:t>
            </w:r>
            <w:r>
              <w:rPr>
                <w:b/>
                <w:bCs/>
                <w:color w:val="000000" w:themeColor="text1"/>
                <w:kern w:val="0"/>
                <w:sz w:val="21"/>
                <w:szCs w:val="21"/>
                <w14:textFill>
                  <w14:solidFill>
                    <w14:schemeClr w14:val="tx1"/>
                  </w14:solidFill>
                </w14:textFill>
              </w:rPr>
              <w:t xml:space="preserve">                    主要产品产能表</w:t>
            </w:r>
          </w:p>
          <w:tbl>
            <w:tblPr>
              <w:tblStyle w:val="4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515"/>
              <w:gridCol w:w="1692"/>
              <w:gridCol w:w="1572"/>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95" w:type="pct"/>
                  <w:noWrap w:val="0"/>
                  <w:vAlign w:val="center"/>
                </w:tcPr>
                <w:p>
                  <w:pPr>
                    <w:pStyle w:val="6"/>
                    <w:bidi w:val="0"/>
                  </w:pPr>
                  <w:r>
                    <w:t>序号</w:t>
                  </w:r>
                </w:p>
              </w:tc>
              <w:tc>
                <w:tcPr>
                  <w:tcW w:w="973" w:type="pct"/>
                  <w:noWrap w:val="0"/>
                  <w:vAlign w:val="center"/>
                </w:tcPr>
                <w:p>
                  <w:pPr>
                    <w:pStyle w:val="6"/>
                    <w:bidi w:val="0"/>
                  </w:pPr>
                  <w:r>
                    <w:t>名称</w:t>
                  </w:r>
                </w:p>
              </w:tc>
              <w:tc>
                <w:tcPr>
                  <w:tcW w:w="1087" w:type="pct"/>
                  <w:noWrap w:val="0"/>
                  <w:vAlign w:val="center"/>
                </w:tcPr>
                <w:p>
                  <w:pPr>
                    <w:pStyle w:val="6"/>
                    <w:bidi w:val="0"/>
                  </w:pPr>
                  <w:r>
                    <w:t>设计产量</w:t>
                  </w:r>
                </w:p>
              </w:tc>
              <w:tc>
                <w:tcPr>
                  <w:tcW w:w="1010" w:type="pct"/>
                  <w:noWrap w:val="0"/>
                  <w:vAlign w:val="center"/>
                </w:tcPr>
                <w:p>
                  <w:pPr>
                    <w:pStyle w:val="6"/>
                    <w:bidi w:val="0"/>
                    <w:rPr>
                      <w:rFonts w:hint="eastAsia"/>
                      <w:lang w:val="en-US" w:eastAsia="zh-CN"/>
                    </w:rPr>
                  </w:pPr>
                  <w:r>
                    <w:rPr>
                      <w:rFonts w:hint="eastAsia"/>
                      <w:lang w:val="en-US" w:eastAsia="zh-CN"/>
                    </w:rPr>
                    <w:t>单位</w:t>
                  </w:r>
                </w:p>
              </w:tc>
              <w:tc>
                <w:tcPr>
                  <w:tcW w:w="1331" w:type="pct"/>
                  <w:noWrap w:val="0"/>
                  <w:vAlign w:val="center"/>
                </w:tcPr>
                <w:p>
                  <w:pPr>
                    <w:pStyle w:val="6"/>
                    <w:bidi w:val="0"/>
                    <w:rPr>
                      <w:rFonts w:hint="default"/>
                      <w:lang w:val="en-US" w:eastAsia="zh-CN"/>
                    </w:rPr>
                  </w:pPr>
                  <w:r>
                    <w:rPr>
                      <w:rFonts w:hint="eastAsia"/>
                      <w:lang w:val="en-US" w:eastAsia="zh-CN"/>
                    </w:rPr>
                    <w:t>年运行时间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5" w:type="pct"/>
                  <w:noWrap w:val="0"/>
                  <w:vAlign w:val="center"/>
                </w:tcPr>
                <w:p>
                  <w:pPr>
                    <w:pStyle w:val="6"/>
                    <w:bidi w:val="0"/>
                  </w:pPr>
                  <w:r>
                    <w:t>1</w:t>
                  </w:r>
                </w:p>
              </w:tc>
              <w:tc>
                <w:tcPr>
                  <w:tcW w:w="973" w:type="pct"/>
                  <w:shd w:val="clear" w:color="auto" w:fill="auto"/>
                  <w:noWrap w:val="0"/>
                  <w:vAlign w:val="center"/>
                </w:tcPr>
                <w:p>
                  <w:pPr>
                    <w:pStyle w:val="6"/>
                    <w:bidi w:val="0"/>
                    <w:rPr>
                      <w:rFonts w:hint="eastAsia"/>
                      <w:lang w:val="en-US" w:eastAsia="zh-CN"/>
                    </w:rPr>
                  </w:pPr>
                  <w:r>
                    <w:rPr>
                      <w:rFonts w:hint="eastAsia"/>
                      <w:lang w:val="en-US" w:eastAsia="zh-CN"/>
                    </w:rPr>
                    <w:t>标砖</w:t>
                  </w:r>
                </w:p>
              </w:tc>
              <w:tc>
                <w:tcPr>
                  <w:tcW w:w="1087" w:type="pct"/>
                  <w:shd w:val="clear" w:color="auto" w:fill="auto"/>
                  <w:noWrap w:val="0"/>
                  <w:vAlign w:val="center"/>
                </w:tcPr>
                <w:p>
                  <w:pPr>
                    <w:pStyle w:val="6"/>
                    <w:bidi w:val="0"/>
                    <w:rPr>
                      <w:rFonts w:hint="default"/>
                      <w:lang w:val="en-US" w:eastAsia="zh-CN"/>
                    </w:rPr>
                  </w:pPr>
                  <w:r>
                    <w:rPr>
                      <w:rFonts w:hint="eastAsia"/>
                      <w:lang w:val="en-US" w:eastAsia="zh-CN"/>
                    </w:rPr>
                    <w:t>300</w:t>
                  </w:r>
                </w:p>
              </w:tc>
              <w:tc>
                <w:tcPr>
                  <w:tcW w:w="1010" w:type="pct"/>
                  <w:shd w:val="clear" w:color="auto" w:fill="auto"/>
                  <w:noWrap w:val="0"/>
                  <w:vAlign w:val="center"/>
                </w:tcPr>
                <w:p>
                  <w:pPr>
                    <w:pStyle w:val="6"/>
                    <w:bidi w:val="0"/>
                    <w:rPr>
                      <w:rFonts w:hint="eastAsia"/>
                      <w:lang w:val="en-US" w:eastAsia="zh-CN"/>
                    </w:rPr>
                  </w:pPr>
                  <w:r>
                    <w:rPr>
                      <w:rFonts w:hint="eastAsia"/>
                      <w:lang w:val="en-US" w:eastAsia="zh-CN"/>
                    </w:rPr>
                    <w:t>万块/年</w:t>
                  </w:r>
                </w:p>
              </w:tc>
              <w:tc>
                <w:tcPr>
                  <w:tcW w:w="1331" w:type="pct"/>
                  <w:shd w:val="clear" w:color="auto" w:fill="auto"/>
                  <w:noWrap w:val="0"/>
                  <w:vAlign w:val="center"/>
                </w:tcPr>
                <w:p>
                  <w:pPr>
                    <w:pStyle w:val="6"/>
                    <w:bidi w:val="0"/>
                    <w:rPr>
                      <w:rFonts w:hint="default"/>
                      <w:lang w:val="en-US" w:eastAsia="zh-CN"/>
                    </w:rPr>
                  </w:pPr>
                  <w:r>
                    <w:rPr>
                      <w:rFonts w:hint="eastAsia"/>
                      <w:lang w:val="en-US" w:eastAsia="zh-CN"/>
                    </w:rPr>
                    <w:t>1000h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5" w:type="pct"/>
                  <w:noWrap w:val="0"/>
                  <w:vAlign w:val="center"/>
                </w:tcPr>
                <w:p>
                  <w:pPr>
                    <w:pStyle w:val="6"/>
                    <w:bidi w:val="0"/>
                    <w:rPr>
                      <w:rFonts w:hint="eastAsia"/>
                      <w:lang w:val="en-US" w:eastAsia="zh-CN"/>
                    </w:rPr>
                  </w:pPr>
                  <w:r>
                    <w:rPr>
                      <w:rFonts w:hint="eastAsia"/>
                      <w:lang w:val="en-US" w:eastAsia="zh-CN"/>
                    </w:rPr>
                    <w:t>2</w:t>
                  </w:r>
                </w:p>
              </w:tc>
              <w:tc>
                <w:tcPr>
                  <w:tcW w:w="973" w:type="pct"/>
                  <w:shd w:val="clear" w:color="auto" w:fill="auto"/>
                  <w:noWrap w:val="0"/>
                  <w:vAlign w:val="center"/>
                </w:tcPr>
                <w:p>
                  <w:pPr>
                    <w:pStyle w:val="6"/>
                    <w:bidi w:val="0"/>
                    <w:rPr>
                      <w:rFonts w:hint="default"/>
                      <w:lang w:val="en-US" w:eastAsia="zh-CN"/>
                    </w:rPr>
                  </w:pPr>
                  <w:r>
                    <w:rPr>
                      <w:rFonts w:hint="eastAsia"/>
                      <w:lang w:val="en-US" w:eastAsia="zh-CN"/>
                    </w:rPr>
                    <w:t>路面砖</w:t>
                  </w:r>
                </w:p>
              </w:tc>
              <w:tc>
                <w:tcPr>
                  <w:tcW w:w="1087" w:type="pct"/>
                  <w:shd w:val="clear" w:color="auto" w:fill="auto"/>
                  <w:noWrap w:val="0"/>
                  <w:vAlign w:val="center"/>
                </w:tcPr>
                <w:p>
                  <w:pPr>
                    <w:pStyle w:val="6"/>
                    <w:bidi w:val="0"/>
                    <w:rPr>
                      <w:rFonts w:hint="default"/>
                      <w:lang w:val="en-US" w:eastAsia="zh-CN"/>
                    </w:rPr>
                  </w:pPr>
                  <w:r>
                    <w:rPr>
                      <w:rFonts w:hint="eastAsia"/>
                      <w:lang w:val="en-US" w:eastAsia="zh-CN"/>
                    </w:rPr>
                    <w:t>100</w:t>
                  </w:r>
                </w:p>
              </w:tc>
              <w:tc>
                <w:tcPr>
                  <w:tcW w:w="1010" w:type="pct"/>
                  <w:shd w:val="clear" w:color="auto" w:fill="auto"/>
                  <w:noWrap w:val="0"/>
                  <w:vAlign w:val="center"/>
                </w:tcPr>
                <w:p>
                  <w:pPr>
                    <w:pStyle w:val="6"/>
                    <w:bidi w:val="0"/>
                    <w:rPr>
                      <w:rFonts w:hint="eastAsia"/>
                      <w:lang w:val="en-US" w:eastAsia="zh-CN"/>
                    </w:rPr>
                  </w:pPr>
                  <w:r>
                    <w:rPr>
                      <w:rFonts w:hint="eastAsia"/>
                      <w:lang w:val="en-US" w:eastAsia="zh-CN"/>
                    </w:rPr>
                    <w:t>万块/年</w:t>
                  </w:r>
                </w:p>
              </w:tc>
              <w:tc>
                <w:tcPr>
                  <w:tcW w:w="1331" w:type="pct"/>
                  <w:shd w:val="clear" w:color="auto" w:fill="auto"/>
                  <w:noWrap w:val="0"/>
                  <w:vAlign w:val="center"/>
                </w:tcPr>
                <w:p>
                  <w:pPr>
                    <w:pStyle w:val="6"/>
                    <w:bidi w:val="0"/>
                    <w:rPr>
                      <w:rFonts w:hint="default"/>
                      <w:lang w:val="en-US" w:eastAsia="zh-CN"/>
                    </w:rPr>
                  </w:pPr>
                  <w:r>
                    <w:rPr>
                      <w:rFonts w:hint="eastAsia"/>
                      <w:lang w:val="en-US" w:eastAsia="zh-CN"/>
                    </w:rPr>
                    <w:t>600h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5" w:type="pct"/>
                  <w:noWrap w:val="0"/>
                  <w:vAlign w:val="center"/>
                </w:tcPr>
                <w:p>
                  <w:pPr>
                    <w:pStyle w:val="6"/>
                    <w:bidi w:val="0"/>
                    <w:rPr>
                      <w:rFonts w:hint="eastAsia"/>
                      <w:lang w:val="en-US" w:eastAsia="zh-CN"/>
                    </w:rPr>
                  </w:pPr>
                  <w:r>
                    <w:rPr>
                      <w:rFonts w:hint="eastAsia"/>
                      <w:lang w:val="en-US" w:eastAsia="zh-CN"/>
                    </w:rPr>
                    <w:t>3</w:t>
                  </w:r>
                </w:p>
              </w:tc>
              <w:tc>
                <w:tcPr>
                  <w:tcW w:w="973" w:type="pct"/>
                  <w:shd w:val="clear" w:color="auto" w:fill="auto"/>
                  <w:noWrap w:val="0"/>
                  <w:vAlign w:val="center"/>
                </w:tcPr>
                <w:p>
                  <w:pPr>
                    <w:pStyle w:val="6"/>
                    <w:bidi w:val="0"/>
                    <w:rPr>
                      <w:rFonts w:hint="default"/>
                      <w:lang w:val="en-US" w:eastAsia="zh-CN"/>
                    </w:rPr>
                  </w:pPr>
                  <w:r>
                    <w:rPr>
                      <w:rFonts w:hint="eastAsia"/>
                      <w:lang w:val="en-US" w:eastAsia="zh-CN"/>
                    </w:rPr>
                    <w:t>路沿石</w:t>
                  </w:r>
                </w:p>
              </w:tc>
              <w:tc>
                <w:tcPr>
                  <w:tcW w:w="1087" w:type="pct"/>
                  <w:shd w:val="clear" w:color="auto" w:fill="auto"/>
                  <w:noWrap w:val="0"/>
                  <w:vAlign w:val="center"/>
                </w:tcPr>
                <w:p>
                  <w:pPr>
                    <w:pStyle w:val="6"/>
                    <w:bidi w:val="0"/>
                    <w:rPr>
                      <w:rFonts w:hint="default"/>
                      <w:lang w:val="en-US" w:eastAsia="zh-CN"/>
                    </w:rPr>
                  </w:pPr>
                  <w:r>
                    <w:rPr>
                      <w:rFonts w:hint="eastAsia"/>
                      <w:lang w:val="en-US" w:eastAsia="zh-CN"/>
                    </w:rPr>
                    <w:t>10</w:t>
                  </w:r>
                </w:p>
              </w:tc>
              <w:tc>
                <w:tcPr>
                  <w:tcW w:w="1010" w:type="pct"/>
                  <w:shd w:val="clear" w:color="auto" w:fill="auto"/>
                  <w:noWrap w:val="0"/>
                  <w:vAlign w:val="center"/>
                </w:tcPr>
                <w:p>
                  <w:pPr>
                    <w:pStyle w:val="6"/>
                    <w:bidi w:val="0"/>
                    <w:rPr>
                      <w:rFonts w:hint="default"/>
                      <w:lang w:val="en-US" w:eastAsia="zh-CN"/>
                    </w:rPr>
                  </w:pPr>
                  <w:r>
                    <w:rPr>
                      <w:rFonts w:hint="eastAsia"/>
                      <w:lang w:val="en-US" w:eastAsia="zh-CN"/>
                    </w:rPr>
                    <w:t>万块/年</w:t>
                  </w:r>
                </w:p>
              </w:tc>
              <w:tc>
                <w:tcPr>
                  <w:tcW w:w="1331" w:type="pct"/>
                  <w:shd w:val="clear" w:color="auto" w:fill="auto"/>
                  <w:noWrap w:val="0"/>
                  <w:vAlign w:val="center"/>
                </w:tcPr>
                <w:p>
                  <w:pPr>
                    <w:pStyle w:val="6"/>
                    <w:bidi w:val="0"/>
                    <w:rPr>
                      <w:rFonts w:hint="default"/>
                      <w:lang w:val="en-US" w:eastAsia="zh-CN"/>
                    </w:rPr>
                  </w:pPr>
                  <w:r>
                    <w:rPr>
                      <w:rFonts w:hint="eastAsia"/>
                      <w:lang w:val="en-US" w:eastAsia="zh-CN"/>
                    </w:rPr>
                    <w:t>560h</w:t>
                  </w:r>
                </w:p>
              </w:tc>
            </w:tr>
          </w:tbl>
          <w:p>
            <w:pPr>
              <w:pStyle w:val="4"/>
              <w:bidi w:val="0"/>
            </w:pPr>
            <w:r>
              <w:rPr>
                <w:rFonts w:hint="eastAsia"/>
                <w:lang w:val="en-US" w:eastAsia="zh-CN"/>
              </w:rPr>
              <w:t>3、</w:t>
            </w:r>
            <w:r>
              <w:t>主要生产设施及参数</w:t>
            </w:r>
          </w:p>
          <w:p>
            <w:pPr>
              <w:adjustRightInd w:val="0"/>
              <w:snapToGrid w:val="0"/>
              <w:spacing w:line="240" w:lineRule="auto"/>
              <w:ind w:firstLine="422" w:firstLineChars="200"/>
              <w:rPr>
                <w:color w:val="000000" w:themeColor="text1"/>
                <w14:textFill>
                  <w14:solidFill>
                    <w14:schemeClr w14:val="tx1"/>
                  </w14:solidFill>
                </w14:textFill>
              </w:rPr>
            </w:pPr>
            <w:r>
              <w:rPr>
                <w:b/>
                <w:bCs/>
                <w:color w:val="000000" w:themeColor="text1"/>
                <w:kern w:val="0"/>
                <w:sz w:val="21"/>
                <w:szCs w:val="21"/>
                <w14:textFill>
                  <w14:solidFill>
                    <w14:schemeClr w14:val="tx1"/>
                  </w14:solidFill>
                </w14:textFill>
              </w:rPr>
              <w:t>表</w:t>
            </w:r>
            <w:r>
              <w:rPr>
                <w:rFonts w:hint="eastAsia"/>
                <w:b/>
                <w:bCs/>
                <w:color w:val="000000" w:themeColor="text1"/>
                <w:kern w:val="0"/>
                <w:sz w:val="21"/>
                <w:szCs w:val="21"/>
                <w:lang w:val="en-US" w:eastAsia="zh-CN"/>
                <w14:textFill>
                  <w14:solidFill>
                    <w14:schemeClr w14:val="tx1"/>
                  </w14:solidFill>
                </w14:textFill>
              </w:rPr>
              <w:t>2-3</w:t>
            </w:r>
            <w:r>
              <w:rPr>
                <w:b/>
                <w:bCs/>
                <w:color w:val="000000" w:themeColor="text1"/>
                <w:kern w:val="0"/>
                <w:sz w:val="21"/>
                <w:szCs w:val="21"/>
                <w14:textFill>
                  <w14:solidFill>
                    <w14:schemeClr w14:val="tx1"/>
                  </w14:solidFill>
                </w14:textFill>
              </w:rPr>
              <w:t xml:space="preserve">                项目生产设备设施表</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830"/>
              <w:gridCol w:w="1650"/>
              <w:gridCol w:w="173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noWrap w:val="0"/>
                  <w:vAlign w:val="center"/>
                </w:tcPr>
                <w:p>
                  <w:pPr>
                    <w:pStyle w:val="6"/>
                    <w:bidi w:val="0"/>
                    <w:rPr>
                      <w:rFonts w:hint="default"/>
                    </w:rPr>
                  </w:pPr>
                  <w:r>
                    <w:rPr>
                      <w:rFonts w:hint="default"/>
                      <w:lang w:val="en-US" w:eastAsia="zh-CN"/>
                    </w:rPr>
                    <w:t>序号</w:t>
                  </w:r>
                </w:p>
              </w:tc>
              <w:tc>
                <w:tcPr>
                  <w:tcW w:w="1177" w:type="pct"/>
                  <w:noWrap w:val="0"/>
                  <w:vAlign w:val="center"/>
                </w:tcPr>
                <w:p>
                  <w:pPr>
                    <w:pStyle w:val="6"/>
                    <w:bidi w:val="0"/>
                    <w:rPr>
                      <w:rFonts w:hint="default"/>
                    </w:rPr>
                  </w:pPr>
                  <w:r>
                    <w:rPr>
                      <w:rFonts w:hint="default"/>
                      <w:lang w:val="en-US" w:eastAsia="zh-CN"/>
                    </w:rPr>
                    <w:t>设备名称</w:t>
                  </w:r>
                </w:p>
              </w:tc>
              <w:tc>
                <w:tcPr>
                  <w:tcW w:w="1061" w:type="pct"/>
                  <w:noWrap w:val="0"/>
                  <w:vAlign w:val="center"/>
                </w:tcPr>
                <w:p>
                  <w:pPr>
                    <w:pStyle w:val="6"/>
                    <w:bidi w:val="0"/>
                    <w:rPr>
                      <w:rFonts w:hint="default"/>
                    </w:rPr>
                  </w:pPr>
                  <w:r>
                    <w:rPr>
                      <w:rFonts w:hint="default"/>
                      <w:lang w:val="en-US" w:eastAsia="zh-CN"/>
                    </w:rPr>
                    <w:t>型号</w:t>
                  </w:r>
                </w:p>
              </w:tc>
              <w:tc>
                <w:tcPr>
                  <w:tcW w:w="1116" w:type="pct"/>
                  <w:noWrap w:val="0"/>
                  <w:vAlign w:val="center"/>
                </w:tcPr>
                <w:p>
                  <w:pPr>
                    <w:pStyle w:val="6"/>
                    <w:bidi w:val="0"/>
                    <w:rPr>
                      <w:rFonts w:hint="default"/>
                    </w:rPr>
                  </w:pPr>
                  <w:r>
                    <w:rPr>
                      <w:rFonts w:hint="default"/>
                      <w:lang w:val="en-US" w:eastAsia="zh-CN"/>
                    </w:rPr>
                    <w:t>数量</w:t>
                  </w:r>
                </w:p>
              </w:tc>
              <w:tc>
                <w:tcPr>
                  <w:tcW w:w="1116" w:type="pct"/>
                  <w:noWrap w:val="0"/>
                  <w:vAlign w:val="center"/>
                </w:tcPr>
                <w:p>
                  <w:pPr>
                    <w:pStyle w:val="6"/>
                    <w:bidi w:val="0"/>
                    <w:rPr>
                      <w:rFonts w:hint="default"/>
                      <w:lang w:val="en-US" w:eastAsia="zh-CN"/>
                    </w:rPr>
                  </w:pPr>
                  <w:r>
                    <w:rPr>
                      <w:rFonts w:hint="eastAsia"/>
                      <w:lang w:val="en-US" w:eastAsia="zh-CN"/>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noWrap w:val="0"/>
                  <w:vAlign w:val="center"/>
                </w:tcPr>
                <w:p>
                  <w:pPr>
                    <w:pStyle w:val="6"/>
                    <w:bidi w:val="0"/>
                    <w:rPr>
                      <w:rFonts w:hint="default"/>
                      <w:lang w:val="en-US" w:eastAsia="zh-CN"/>
                    </w:rPr>
                  </w:pPr>
                  <w:r>
                    <w:rPr>
                      <w:rFonts w:hint="default"/>
                      <w:lang w:val="en-US" w:eastAsia="zh-CN"/>
                    </w:rPr>
                    <w:t>1</w:t>
                  </w:r>
                </w:p>
              </w:tc>
              <w:tc>
                <w:tcPr>
                  <w:tcW w:w="1177" w:type="pct"/>
                  <w:noWrap w:val="0"/>
                  <w:vAlign w:val="center"/>
                </w:tcPr>
                <w:p>
                  <w:pPr>
                    <w:pStyle w:val="6"/>
                    <w:bidi w:val="0"/>
                    <w:rPr>
                      <w:rFonts w:hint="default"/>
                      <w:lang w:val="en-US" w:eastAsia="zh-CN"/>
                    </w:rPr>
                  </w:pPr>
                  <w:r>
                    <w:rPr>
                      <w:rFonts w:hint="eastAsia"/>
                      <w:lang w:val="en-US" w:eastAsia="zh-CN"/>
                    </w:rPr>
                    <w:t>装载机</w:t>
                  </w:r>
                </w:p>
              </w:tc>
              <w:tc>
                <w:tcPr>
                  <w:tcW w:w="1061" w:type="pct"/>
                  <w:noWrap w:val="0"/>
                  <w:vAlign w:val="center"/>
                </w:tcPr>
                <w:p>
                  <w:pPr>
                    <w:pStyle w:val="6"/>
                    <w:bidi w:val="0"/>
                    <w:rPr>
                      <w:rFonts w:hint="default"/>
                      <w:lang w:val="en-US" w:eastAsia="zh-CN"/>
                    </w:rPr>
                  </w:pPr>
                  <w:r>
                    <w:rPr>
                      <w:rFonts w:hint="eastAsia"/>
                      <w:lang w:val="en-US" w:eastAsia="zh-CN"/>
                    </w:rPr>
                    <w:t>/</w:t>
                  </w:r>
                </w:p>
              </w:tc>
              <w:tc>
                <w:tcPr>
                  <w:tcW w:w="1116" w:type="pct"/>
                  <w:noWrap w:val="0"/>
                  <w:vAlign w:val="center"/>
                </w:tcPr>
                <w:p>
                  <w:pPr>
                    <w:pStyle w:val="6"/>
                    <w:bidi w:val="0"/>
                    <w:rPr>
                      <w:rFonts w:hint="default"/>
                      <w:lang w:val="en-US" w:eastAsia="zh-CN"/>
                    </w:rPr>
                  </w:pPr>
                  <w:r>
                    <w:rPr>
                      <w:rFonts w:hint="eastAsia"/>
                      <w:lang w:val="en-US" w:eastAsia="zh-CN"/>
                    </w:rPr>
                    <w:t>1</w:t>
                  </w:r>
                </w:p>
              </w:tc>
              <w:tc>
                <w:tcPr>
                  <w:tcW w:w="1116" w:type="pct"/>
                  <w:noWrap w:val="0"/>
                  <w:vAlign w:val="center"/>
                </w:tcPr>
                <w:p>
                  <w:pPr>
                    <w:pStyle w:val="6"/>
                    <w:bidi w:val="0"/>
                    <w:rPr>
                      <w:rFonts w:hint="default"/>
                      <w:lang w:val="en-US" w:eastAsia="zh-CN"/>
                    </w:rPr>
                  </w:pPr>
                  <w:r>
                    <w:rPr>
                      <w:rFonts w:hint="eastAsia"/>
                      <w:lang w:val="en-US" w:eastAsia="zh-CN"/>
                    </w:rPr>
                    <w:t>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noWrap w:val="0"/>
                  <w:vAlign w:val="center"/>
                </w:tcPr>
                <w:p>
                  <w:pPr>
                    <w:pStyle w:val="6"/>
                    <w:bidi w:val="0"/>
                    <w:rPr>
                      <w:rFonts w:hint="default"/>
                      <w:lang w:val="en-US" w:eastAsia="zh-CN"/>
                    </w:rPr>
                  </w:pPr>
                  <w:r>
                    <w:rPr>
                      <w:rFonts w:hint="default"/>
                      <w:lang w:val="en-US" w:eastAsia="zh-CN"/>
                    </w:rPr>
                    <w:t>2</w:t>
                  </w:r>
                </w:p>
              </w:tc>
              <w:tc>
                <w:tcPr>
                  <w:tcW w:w="1177" w:type="pct"/>
                  <w:noWrap w:val="0"/>
                  <w:vAlign w:val="center"/>
                </w:tcPr>
                <w:p>
                  <w:pPr>
                    <w:pStyle w:val="6"/>
                    <w:bidi w:val="0"/>
                    <w:rPr>
                      <w:rFonts w:hint="default"/>
                      <w:lang w:val="en-US" w:eastAsia="zh-CN"/>
                    </w:rPr>
                  </w:pPr>
                  <w:r>
                    <w:rPr>
                      <w:rFonts w:hint="default"/>
                      <w:lang w:val="en-US" w:eastAsia="zh-CN"/>
                    </w:rPr>
                    <w:t>水泥罐</w:t>
                  </w:r>
                </w:p>
              </w:tc>
              <w:tc>
                <w:tcPr>
                  <w:tcW w:w="1061" w:type="pct"/>
                  <w:noWrap w:val="0"/>
                  <w:vAlign w:val="center"/>
                </w:tcPr>
                <w:p>
                  <w:pPr>
                    <w:pStyle w:val="6"/>
                    <w:bidi w:val="0"/>
                    <w:rPr>
                      <w:rFonts w:hint="eastAsia"/>
                      <w:lang w:val="en-US" w:eastAsia="zh-CN"/>
                    </w:rPr>
                  </w:pPr>
                  <w:r>
                    <w:rPr>
                      <w:rFonts w:hint="eastAsia"/>
                      <w:lang w:val="en-US" w:eastAsia="zh-CN"/>
                    </w:rPr>
                    <w:t>90t，直径2.5m</w:t>
                  </w:r>
                </w:p>
                <w:p>
                  <w:pPr>
                    <w:pStyle w:val="6"/>
                    <w:bidi w:val="0"/>
                    <w:rPr>
                      <w:rFonts w:hint="default"/>
                      <w:lang w:val="en-US" w:eastAsia="zh-CN"/>
                    </w:rPr>
                  </w:pPr>
                  <w:r>
                    <w:rPr>
                      <w:rFonts w:hint="eastAsia"/>
                      <w:lang w:val="en-US" w:eastAsia="zh-CN"/>
                    </w:rPr>
                    <w:t>高12m</w:t>
                  </w:r>
                </w:p>
              </w:tc>
              <w:tc>
                <w:tcPr>
                  <w:tcW w:w="1116" w:type="pct"/>
                  <w:noWrap w:val="0"/>
                  <w:vAlign w:val="center"/>
                </w:tcPr>
                <w:p>
                  <w:pPr>
                    <w:pStyle w:val="6"/>
                    <w:bidi w:val="0"/>
                    <w:rPr>
                      <w:rFonts w:hint="default"/>
                      <w:lang w:val="en-US" w:eastAsia="zh-CN"/>
                    </w:rPr>
                  </w:pPr>
                  <w:r>
                    <w:rPr>
                      <w:rFonts w:hint="eastAsia"/>
                      <w:lang w:val="en-US" w:eastAsia="zh-CN"/>
                    </w:rPr>
                    <w:t>1</w:t>
                  </w:r>
                </w:p>
              </w:tc>
              <w:tc>
                <w:tcPr>
                  <w:tcW w:w="1116" w:type="pct"/>
                  <w:noWrap w:val="0"/>
                  <w:vAlign w:val="center"/>
                </w:tcPr>
                <w:p>
                  <w:pPr>
                    <w:pStyle w:val="6"/>
                    <w:bidi w:val="0"/>
                    <w:rPr>
                      <w:rFonts w:hint="default"/>
                      <w:lang w:val="en-US" w:eastAsia="zh-CN"/>
                    </w:rPr>
                  </w:pPr>
                  <w:r>
                    <w:rPr>
                      <w:rFonts w:hint="eastAsia"/>
                      <w:lang w:val="en-US" w:eastAsia="zh-CN"/>
                    </w:rPr>
                    <w:t>厂房外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noWrap w:val="0"/>
                  <w:vAlign w:val="center"/>
                </w:tcPr>
                <w:p>
                  <w:pPr>
                    <w:pStyle w:val="6"/>
                    <w:bidi w:val="0"/>
                    <w:rPr>
                      <w:rFonts w:hint="default"/>
                      <w:lang w:val="en-US" w:eastAsia="zh-CN"/>
                    </w:rPr>
                  </w:pPr>
                  <w:r>
                    <w:rPr>
                      <w:rFonts w:hint="default"/>
                      <w:lang w:val="en-US" w:eastAsia="zh-CN"/>
                    </w:rPr>
                    <w:t>3</w:t>
                  </w:r>
                </w:p>
              </w:tc>
              <w:tc>
                <w:tcPr>
                  <w:tcW w:w="1177" w:type="pct"/>
                  <w:noWrap w:val="0"/>
                  <w:vAlign w:val="center"/>
                </w:tcPr>
                <w:p>
                  <w:pPr>
                    <w:pStyle w:val="6"/>
                    <w:bidi w:val="0"/>
                    <w:rPr>
                      <w:rFonts w:hint="default"/>
                      <w:lang w:val="en-US" w:eastAsia="zh-CN"/>
                    </w:rPr>
                  </w:pPr>
                  <w:r>
                    <w:rPr>
                      <w:rFonts w:hint="eastAsia"/>
                      <w:lang w:val="en-US" w:eastAsia="zh-CN"/>
                    </w:rPr>
                    <w:t>配料仓</w:t>
                  </w:r>
                </w:p>
              </w:tc>
              <w:tc>
                <w:tcPr>
                  <w:tcW w:w="1061" w:type="pct"/>
                  <w:noWrap w:val="0"/>
                  <w:vAlign w:val="center"/>
                </w:tcPr>
                <w:p>
                  <w:pPr>
                    <w:pStyle w:val="6"/>
                    <w:bidi w:val="0"/>
                    <w:rPr>
                      <w:rFonts w:hint="default"/>
                      <w:lang w:val="en-US" w:eastAsia="zh-CN"/>
                    </w:rPr>
                  </w:pPr>
                  <w:r>
                    <w:rPr>
                      <w:rFonts w:hint="eastAsia"/>
                      <w:lang w:val="en-US" w:eastAsia="zh-CN"/>
                    </w:rPr>
                    <w:t>/</w:t>
                  </w:r>
                </w:p>
              </w:tc>
              <w:tc>
                <w:tcPr>
                  <w:tcW w:w="1116" w:type="pct"/>
                  <w:noWrap w:val="0"/>
                  <w:vAlign w:val="center"/>
                </w:tcPr>
                <w:p>
                  <w:pPr>
                    <w:pStyle w:val="6"/>
                    <w:bidi w:val="0"/>
                    <w:rPr>
                      <w:rFonts w:hint="default"/>
                      <w:lang w:val="en-US" w:eastAsia="zh-CN"/>
                    </w:rPr>
                  </w:pPr>
                  <w:r>
                    <w:rPr>
                      <w:rFonts w:hint="eastAsia"/>
                      <w:lang w:val="en-US" w:eastAsia="zh-CN"/>
                    </w:rPr>
                    <w:t>1</w:t>
                  </w:r>
                </w:p>
              </w:tc>
              <w:tc>
                <w:tcPr>
                  <w:tcW w:w="1116" w:type="pct"/>
                  <w:noWrap w:val="0"/>
                  <w:vAlign w:val="center"/>
                </w:tcPr>
                <w:p>
                  <w:pPr>
                    <w:pStyle w:val="6"/>
                    <w:bidi w:val="0"/>
                    <w:rPr>
                      <w:rFonts w:hint="default"/>
                      <w:lang w:val="en-US" w:eastAsia="zh-CN"/>
                    </w:rPr>
                  </w:pPr>
                  <w:r>
                    <w:rPr>
                      <w:rFonts w:hint="eastAsia"/>
                      <w:lang w:val="en-US" w:eastAsia="zh-CN"/>
                    </w:rPr>
                    <w:t>1#生产车间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noWrap w:val="0"/>
                  <w:vAlign w:val="center"/>
                </w:tcPr>
                <w:p>
                  <w:pPr>
                    <w:pStyle w:val="6"/>
                    <w:bidi w:val="0"/>
                    <w:rPr>
                      <w:rFonts w:hint="default"/>
                      <w:lang w:val="en-US" w:eastAsia="zh-CN"/>
                    </w:rPr>
                  </w:pPr>
                  <w:r>
                    <w:rPr>
                      <w:rFonts w:hint="default"/>
                      <w:lang w:val="en-US" w:eastAsia="zh-CN"/>
                    </w:rPr>
                    <w:t>4</w:t>
                  </w:r>
                </w:p>
              </w:tc>
              <w:tc>
                <w:tcPr>
                  <w:tcW w:w="1177" w:type="pct"/>
                  <w:noWrap w:val="0"/>
                  <w:vAlign w:val="center"/>
                </w:tcPr>
                <w:p>
                  <w:pPr>
                    <w:pStyle w:val="6"/>
                    <w:bidi w:val="0"/>
                    <w:rPr>
                      <w:rFonts w:hint="default"/>
                      <w:lang w:val="en-US" w:eastAsia="zh-CN"/>
                    </w:rPr>
                  </w:pPr>
                  <w:r>
                    <w:rPr>
                      <w:rFonts w:hint="eastAsia"/>
                      <w:lang w:val="en-US" w:eastAsia="zh-CN"/>
                    </w:rPr>
                    <w:t>卧式搅拌机</w:t>
                  </w:r>
                </w:p>
              </w:tc>
              <w:tc>
                <w:tcPr>
                  <w:tcW w:w="1061" w:type="pct"/>
                  <w:noWrap w:val="0"/>
                  <w:vAlign w:val="center"/>
                </w:tcPr>
                <w:p>
                  <w:pPr>
                    <w:pStyle w:val="6"/>
                    <w:bidi w:val="0"/>
                    <w:rPr>
                      <w:rFonts w:hint="default"/>
                      <w:lang w:val="en-US" w:eastAsia="zh-CN"/>
                    </w:rPr>
                  </w:pPr>
                  <w:r>
                    <w:rPr>
                      <w:rFonts w:hint="eastAsia"/>
                      <w:lang w:val="en-US" w:eastAsia="zh-CN"/>
                    </w:rPr>
                    <w:t>750型搅拌机</w:t>
                  </w:r>
                </w:p>
              </w:tc>
              <w:tc>
                <w:tcPr>
                  <w:tcW w:w="1116" w:type="pct"/>
                  <w:noWrap w:val="0"/>
                  <w:vAlign w:val="center"/>
                </w:tcPr>
                <w:p>
                  <w:pPr>
                    <w:pStyle w:val="6"/>
                    <w:bidi w:val="0"/>
                    <w:rPr>
                      <w:rFonts w:hint="default"/>
                      <w:lang w:val="en-US" w:eastAsia="zh-CN"/>
                    </w:rPr>
                  </w:pPr>
                  <w:r>
                    <w:rPr>
                      <w:rFonts w:hint="eastAsia"/>
                      <w:lang w:val="en-US" w:eastAsia="zh-CN"/>
                    </w:rPr>
                    <w:t>1</w:t>
                  </w:r>
                </w:p>
              </w:tc>
              <w:tc>
                <w:tcPr>
                  <w:tcW w:w="1116" w:type="pct"/>
                  <w:shd w:val="clear" w:color="auto" w:fill="auto"/>
                  <w:noWrap w:val="0"/>
                  <w:vAlign w:val="center"/>
                </w:tcPr>
                <w:p>
                  <w:pPr>
                    <w:pStyle w:val="6"/>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1#生产车间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noWrap w:val="0"/>
                  <w:vAlign w:val="center"/>
                </w:tcPr>
                <w:p>
                  <w:pPr>
                    <w:pStyle w:val="6"/>
                    <w:bidi w:val="0"/>
                    <w:rPr>
                      <w:rFonts w:hint="default"/>
                      <w:lang w:val="en-US" w:eastAsia="zh-CN"/>
                    </w:rPr>
                  </w:pPr>
                  <w:r>
                    <w:rPr>
                      <w:rFonts w:hint="default"/>
                      <w:lang w:val="en-US" w:eastAsia="zh-CN"/>
                    </w:rPr>
                    <w:t>5</w:t>
                  </w:r>
                </w:p>
              </w:tc>
              <w:tc>
                <w:tcPr>
                  <w:tcW w:w="1177" w:type="pct"/>
                  <w:noWrap w:val="0"/>
                  <w:vAlign w:val="center"/>
                </w:tcPr>
                <w:p>
                  <w:pPr>
                    <w:pStyle w:val="6"/>
                    <w:bidi w:val="0"/>
                    <w:rPr>
                      <w:rFonts w:hint="default"/>
                      <w:lang w:val="en-US" w:eastAsia="zh-CN"/>
                    </w:rPr>
                  </w:pPr>
                  <w:r>
                    <w:rPr>
                      <w:rFonts w:hint="eastAsia"/>
                      <w:lang w:val="en-US" w:eastAsia="zh-CN"/>
                    </w:rPr>
                    <w:t>输送带</w:t>
                  </w:r>
                </w:p>
              </w:tc>
              <w:tc>
                <w:tcPr>
                  <w:tcW w:w="1061" w:type="pct"/>
                  <w:noWrap w:val="0"/>
                  <w:vAlign w:val="center"/>
                </w:tcPr>
                <w:p>
                  <w:pPr>
                    <w:pStyle w:val="6"/>
                    <w:bidi w:val="0"/>
                    <w:rPr>
                      <w:rFonts w:hint="default"/>
                      <w:lang w:val="en-US" w:eastAsia="zh-CN"/>
                    </w:rPr>
                  </w:pPr>
                  <w:r>
                    <w:rPr>
                      <w:rFonts w:hint="eastAsia"/>
                      <w:lang w:val="en-US" w:eastAsia="zh-CN"/>
                    </w:rPr>
                    <w:t>6m</w:t>
                  </w:r>
                </w:p>
              </w:tc>
              <w:tc>
                <w:tcPr>
                  <w:tcW w:w="1116" w:type="pct"/>
                  <w:noWrap w:val="0"/>
                  <w:vAlign w:val="center"/>
                </w:tcPr>
                <w:p>
                  <w:pPr>
                    <w:pStyle w:val="6"/>
                    <w:bidi w:val="0"/>
                    <w:rPr>
                      <w:rFonts w:hint="default"/>
                      <w:lang w:val="en-US" w:eastAsia="zh-CN"/>
                    </w:rPr>
                  </w:pPr>
                  <w:r>
                    <w:rPr>
                      <w:rFonts w:hint="eastAsia"/>
                      <w:lang w:val="en-US" w:eastAsia="zh-CN"/>
                    </w:rPr>
                    <w:t>1</w:t>
                  </w:r>
                </w:p>
              </w:tc>
              <w:tc>
                <w:tcPr>
                  <w:tcW w:w="1116" w:type="pct"/>
                  <w:shd w:val="clear" w:color="auto" w:fill="auto"/>
                  <w:noWrap w:val="0"/>
                  <w:vAlign w:val="center"/>
                </w:tcPr>
                <w:p>
                  <w:pPr>
                    <w:pStyle w:val="6"/>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1#生产车间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noWrap w:val="0"/>
                  <w:vAlign w:val="center"/>
                </w:tcPr>
                <w:p>
                  <w:pPr>
                    <w:pStyle w:val="6"/>
                    <w:bidi w:val="0"/>
                    <w:rPr>
                      <w:rFonts w:hint="default"/>
                      <w:lang w:val="en-US" w:eastAsia="zh-CN"/>
                    </w:rPr>
                  </w:pPr>
                  <w:r>
                    <w:rPr>
                      <w:rFonts w:hint="default"/>
                      <w:lang w:val="en-US" w:eastAsia="zh-CN"/>
                    </w:rPr>
                    <w:t>6</w:t>
                  </w:r>
                </w:p>
              </w:tc>
              <w:tc>
                <w:tcPr>
                  <w:tcW w:w="1177" w:type="pct"/>
                  <w:noWrap w:val="0"/>
                  <w:vAlign w:val="center"/>
                </w:tcPr>
                <w:p>
                  <w:pPr>
                    <w:pStyle w:val="6"/>
                    <w:bidi w:val="0"/>
                    <w:rPr>
                      <w:rFonts w:hint="default"/>
                      <w:lang w:val="en-US" w:eastAsia="zh-CN"/>
                    </w:rPr>
                  </w:pPr>
                  <w:r>
                    <w:rPr>
                      <w:rFonts w:hint="eastAsia"/>
                      <w:lang w:val="en-US" w:eastAsia="zh-CN"/>
                    </w:rPr>
                    <w:t>挤压主机</w:t>
                  </w:r>
                </w:p>
              </w:tc>
              <w:tc>
                <w:tcPr>
                  <w:tcW w:w="1061" w:type="pct"/>
                  <w:noWrap w:val="0"/>
                  <w:vAlign w:val="center"/>
                </w:tcPr>
                <w:p>
                  <w:pPr>
                    <w:pStyle w:val="6"/>
                    <w:bidi w:val="0"/>
                    <w:rPr>
                      <w:rFonts w:hint="default"/>
                      <w:lang w:val="en-US" w:eastAsia="zh-CN"/>
                    </w:rPr>
                  </w:pPr>
                  <w:r>
                    <w:rPr>
                      <w:rFonts w:hint="eastAsia" w:cs="Times New Roman"/>
                      <w:color w:val="000000" w:themeColor="text1"/>
                      <w:kern w:val="0"/>
                      <w:sz w:val="21"/>
                      <w:szCs w:val="21"/>
                      <w:lang w:val="en-US" w:eastAsia="zh-CN" w:bidi="ar-SA"/>
                      <w14:textFill>
                        <w14:solidFill>
                          <w14:schemeClr w14:val="tx1"/>
                        </w14:solidFill>
                      </w14:textFill>
                    </w:rPr>
                    <w:t>9型机</w:t>
                  </w:r>
                </w:p>
              </w:tc>
              <w:tc>
                <w:tcPr>
                  <w:tcW w:w="1116" w:type="pct"/>
                  <w:noWrap w:val="0"/>
                  <w:vAlign w:val="center"/>
                </w:tcPr>
                <w:p>
                  <w:pPr>
                    <w:pStyle w:val="6"/>
                    <w:bidi w:val="0"/>
                    <w:rPr>
                      <w:rFonts w:hint="default"/>
                      <w:lang w:val="en-US" w:eastAsia="zh-CN"/>
                    </w:rPr>
                  </w:pPr>
                  <w:r>
                    <w:rPr>
                      <w:rFonts w:hint="eastAsia"/>
                      <w:lang w:val="en-US" w:eastAsia="zh-CN"/>
                    </w:rPr>
                    <w:t>1</w:t>
                  </w:r>
                </w:p>
              </w:tc>
              <w:tc>
                <w:tcPr>
                  <w:tcW w:w="1116" w:type="pct"/>
                  <w:shd w:val="clear" w:color="auto" w:fill="auto"/>
                  <w:noWrap w:val="0"/>
                  <w:vAlign w:val="center"/>
                </w:tcPr>
                <w:p>
                  <w:pPr>
                    <w:pStyle w:val="6"/>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1#生产车间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noWrap w:val="0"/>
                  <w:vAlign w:val="center"/>
                </w:tcPr>
                <w:p>
                  <w:pPr>
                    <w:pStyle w:val="6"/>
                    <w:bidi w:val="0"/>
                    <w:rPr>
                      <w:rFonts w:hint="default"/>
                      <w:lang w:val="en-US" w:eastAsia="zh-CN"/>
                    </w:rPr>
                  </w:pPr>
                  <w:r>
                    <w:rPr>
                      <w:rFonts w:hint="eastAsia"/>
                      <w:lang w:val="en-US" w:eastAsia="zh-CN"/>
                    </w:rPr>
                    <w:t>7</w:t>
                  </w:r>
                </w:p>
              </w:tc>
              <w:tc>
                <w:tcPr>
                  <w:tcW w:w="1177" w:type="pct"/>
                  <w:noWrap w:val="0"/>
                  <w:vAlign w:val="center"/>
                </w:tcPr>
                <w:p>
                  <w:pPr>
                    <w:pStyle w:val="6"/>
                    <w:bidi w:val="0"/>
                    <w:rPr>
                      <w:rFonts w:hint="eastAsia"/>
                      <w:lang w:val="en-US" w:eastAsia="zh-CN"/>
                    </w:rPr>
                  </w:pPr>
                  <w:r>
                    <w:rPr>
                      <w:rFonts w:hint="eastAsia"/>
                      <w:lang w:val="en-US" w:eastAsia="zh-CN"/>
                    </w:rPr>
                    <w:t>叉车</w:t>
                  </w:r>
                </w:p>
              </w:tc>
              <w:tc>
                <w:tcPr>
                  <w:tcW w:w="1061" w:type="pct"/>
                  <w:noWrap w:val="0"/>
                  <w:vAlign w:val="center"/>
                </w:tcPr>
                <w:p>
                  <w:pPr>
                    <w:pStyle w:val="6"/>
                    <w:bidi w:val="0"/>
                    <w:rPr>
                      <w:rFonts w:hint="default"/>
                      <w:lang w:val="en-US" w:eastAsia="zh-CN"/>
                    </w:rPr>
                  </w:pPr>
                  <w:r>
                    <w:rPr>
                      <w:rFonts w:hint="eastAsia"/>
                      <w:lang w:val="en-US" w:eastAsia="zh-CN"/>
                    </w:rPr>
                    <w:t>/</w:t>
                  </w:r>
                </w:p>
              </w:tc>
              <w:tc>
                <w:tcPr>
                  <w:tcW w:w="1116" w:type="pct"/>
                  <w:noWrap w:val="0"/>
                  <w:vAlign w:val="center"/>
                </w:tcPr>
                <w:p>
                  <w:pPr>
                    <w:pStyle w:val="6"/>
                    <w:bidi w:val="0"/>
                    <w:rPr>
                      <w:rFonts w:hint="default"/>
                      <w:lang w:val="en-US" w:eastAsia="zh-CN"/>
                    </w:rPr>
                  </w:pPr>
                  <w:r>
                    <w:rPr>
                      <w:rFonts w:hint="eastAsia"/>
                      <w:lang w:val="en-US" w:eastAsia="zh-CN"/>
                    </w:rPr>
                    <w:t>4</w:t>
                  </w:r>
                </w:p>
              </w:tc>
              <w:tc>
                <w:tcPr>
                  <w:tcW w:w="1116" w:type="pct"/>
                  <w:noWrap w:val="0"/>
                  <w:vAlign w:val="center"/>
                </w:tcPr>
                <w:p>
                  <w:pPr>
                    <w:pStyle w:val="6"/>
                    <w:bidi w:val="0"/>
                    <w:rPr>
                      <w:rFonts w:hint="default"/>
                      <w:lang w:val="en-US" w:eastAsia="zh-CN"/>
                    </w:rPr>
                  </w:pPr>
                  <w:r>
                    <w:rPr>
                      <w:rFonts w:hint="eastAsia"/>
                      <w:lang w:val="en-US" w:eastAsia="zh-CN"/>
                    </w:rPr>
                    <w:t>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noWrap w:val="0"/>
                  <w:vAlign w:val="center"/>
                </w:tcPr>
                <w:p>
                  <w:pPr>
                    <w:pStyle w:val="6"/>
                    <w:bidi w:val="0"/>
                    <w:rPr>
                      <w:rFonts w:hint="default"/>
                      <w:lang w:val="en-US" w:eastAsia="zh-CN"/>
                    </w:rPr>
                  </w:pPr>
                  <w:r>
                    <w:rPr>
                      <w:rFonts w:hint="eastAsia"/>
                      <w:lang w:val="en-US" w:eastAsia="zh-CN"/>
                    </w:rPr>
                    <w:t>8</w:t>
                  </w:r>
                </w:p>
              </w:tc>
              <w:tc>
                <w:tcPr>
                  <w:tcW w:w="1177" w:type="pct"/>
                  <w:noWrap w:val="0"/>
                  <w:vAlign w:val="center"/>
                </w:tcPr>
                <w:p>
                  <w:pPr>
                    <w:pStyle w:val="6"/>
                    <w:bidi w:val="0"/>
                    <w:rPr>
                      <w:rFonts w:hint="eastAsia"/>
                      <w:lang w:val="en-US" w:eastAsia="zh-CN"/>
                    </w:rPr>
                  </w:pPr>
                  <w:r>
                    <w:rPr>
                      <w:rFonts w:hint="eastAsia"/>
                      <w:lang w:val="en-US" w:eastAsia="zh-CN"/>
                    </w:rPr>
                    <w:t>码垛机</w:t>
                  </w:r>
                </w:p>
              </w:tc>
              <w:tc>
                <w:tcPr>
                  <w:tcW w:w="1061" w:type="pct"/>
                  <w:noWrap w:val="0"/>
                  <w:vAlign w:val="center"/>
                </w:tcPr>
                <w:p>
                  <w:pPr>
                    <w:pStyle w:val="6"/>
                    <w:bidi w:val="0"/>
                    <w:rPr>
                      <w:rFonts w:hint="default"/>
                      <w:lang w:val="en-US" w:eastAsia="zh-CN"/>
                    </w:rPr>
                  </w:pPr>
                  <w:r>
                    <w:rPr>
                      <w:rFonts w:hint="eastAsia"/>
                      <w:lang w:val="en-US" w:eastAsia="zh-CN"/>
                    </w:rPr>
                    <w:t>/</w:t>
                  </w:r>
                </w:p>
              </w:tc>
              <w:tc>
                <w:tcPr>
                  <w:tcW w:w="1116" w:type="pct"/>
                  <w:noWrap w:val="0"/>
                  <w:vAlign w:val="center"/>
                </w:tcPr>
                <w:p>
                  <w:pPr>
                    <w:pStyle w:val="6"/>
                    <w:bidi w:val="0"/>
                    <w:rPr>
                      <w:rFonts w:hint="default"/>
                      <w:lang w:val="en-US" w:eastAsia="zh-CN"/>
                    </w:rPr>
                  </w:pPr>
                  <w:r>
                    <w:rPr>
                      <w:rFonts w:hint="eastAsia"/>
                      <w:lang w:val="en-US" w:eastAsia="zh-CN"/>
                    </w:rPr>
                    <w:t>1</w:t>
                  </w:r>
                </w:p>
              </w:tc>
              <w:tc>
                <w:tcPr>
                  <w:tcW w:w="1116" w:type="pct"/>
                  <w:noWrap w:val="0"/>
                  <w:vAlign w:val="center"/>
                </w:tcPr>
                <w:p>
                  <w:pPr>
                    <w:pStyle w:val="6"/>
                    <w:bidi w:val="0"/>
                    <w:rPr>
                      <w:rFonts w:hint="default"/>
                      <w:lang w:val="en-US" w:eastAsia="zh-CN"/>
                    </w:rPr>
                  </w:pPr>
                  <w:r>
                    <w:rPr>
                      <w:rFonts w:hint="eastAsia"/>
                      <w:lang w:val="en-US" w:eastAsia="zh-CN"/>
                    </w:rPr>
                    <w:t>码架机房</w:t>
                  </w:r>
                </w:p>
              </w:tc>
            </w:tr>
          </w:tbl>
          <w:p>
            <w:pPr>
              <w:pStyle w:val="4"/>
              <w:bidi w:val="0"/>
            </w:pPr>
            <w:r>
              <w:rPr>
                <w:rFonts w:hint="eastAsia"/>
                <w:lang w:val="en-US" w:eastAsia="zh-CN"/>
              </w:rPr>
              <w:t>4、</w:t>
            </w:r>
            <w:r>
              <w:t>主要原辅材料及种类</w:t>
            </w:r>
          </w:p>
          <w:p>
            <w:pPr>
              <w:ind w:firstLine="480" w:firstLineChars="200"/>
              <w:rPr>
                <w:color w:val="000000" w:themeColor="text1"/>
                <w:kern w:val="0"/>
                <w14:textFill>
                  <w14:solidFill>
                    <w14:schemeClr w14:val="tx1"/>
                  </w14:solidFill>
                </w14:textFill>
              </w:rPr>
            </w:pPr>
            <w:r>
              <w:rPr>
                <w:color w:val="000000" w:themeColor="text1"/>
                <w:kern w:val="0"/>
                <w14:textFill>
                  <w14:solidFill>
                    <w14:schemeClr w14:val="tx1"/>
                  </w14:solidFill>
                </w14:textFill>
              </w:rPr>
              <w:t>项目主要原辅料及燃料种类见表</w:t>
            </w:r>
            <w:r>
              <w:rPr>
                <w:rFonts w:hint="eastAsia"/>
                <w:color w:val="000000" w:themeColor="text1"/>
                <w:kern w:val="0"/>
                <w:lang w:val="en-US" w:eastAsia="zh-CN"/>
                <w14:textFill>
                  <w14:solidFill>
                    <w14:schemeClr w14:val="tx1"/>
                  </w14:solidFill>
                </w14:textFill>
              </w:rPr>
              <w:t>2-4</w:t>
            </w:r>
            <w:r>
              <w:rPr>
                <w:color w:val="000000" w:themeColor="text1"/>
                <w:kern w:val="0"/>
                <w14:textFill>
                  <w14:solidFill>
                    <w14:schemeClr w14:val="tx1"/>
                  </w14:solidFill>
                </w14:textFill>
              </w:rPr>
              <w:t>。</w:t>
            </w:r>
          </w:p>
          <w:p>
            <w:pPr>
              <w:adjustRightInd w:val="0"/>
              <w:snapToGrid w:val="0"/>
              <w:spacing w:line="240" w:lineRule="auto"/>
              <w:ind w:firstLine="422" w:firstLineChars="200"/>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表</w:t>
            </w:r>
            <w:r>
              <w:rPr>
                <w:rFonts w:hint="eastAsia"/>
                <w:b/>
                <w:bCs/>
                <w:color w:val="000000" w:themeColor="text1"/>
                <w:kern w:val="0"/>
                <w:sz w:val="21"/>
                <w:szCs w:val="21"/>
                <w:lang w:val="en-US" w:eastAsia="zh-CN"/>
                <w14:textFill>
                  <w14:solidFill>
                    <w14:schemeClr w14:val="tx1"/>
                  </w14:solidFill>
                </w14:textFill>
              </w:rPr>
              <w:t>2-4</w:t>
            </w:r>
            <w:r>
              <w:rPr>
                <w:b/>
                <w:bCs/>
                <w:color w:val="000000" w:themeColor="text1"/>
                <w:kern w:val="0"/>
                <w:sz w:val="21"/>
                <w:szCs w:val="21"/>
                <w14:textFill>
                  <w14:solidFill>
                    <w14:schemeClr w14:val="tx1"/>
                  </w14:solidFill>
                </w14:textFill>
              </w:rPr>
              <w:t xml:space="preserve">                 主要原辅材料种类表</w:t>
            </w:r>
          </w:p>
          <w:tbl>
            <w:tblPr>
              <w:tblStyle w:val="40"/>
              <w:tblW w:w="4993"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225"/>
              <w:gridCol w:w="1252"/>
              <w:gridCol w:w="890"/>
              <w:gridCol w:w="1195"/>
              <w:gridCol w:w="1442"/>
              <w:gridCol w:w="1210"/>
              <w:gridCol w:w="155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noWrap w:val="0"/>
                  <w:vAlign w:val="center"/>
                </w:tcPr>
                <w:p>
                  <w:pPr>
                    <w:pStyle w:val="6"/>
                    <w:bidi w:val="0"/>
                  </w:pPr>
                  <w:r>
                    <w:t>序号</w:t>
                  </w:r>
                </w:p>
              </w:tc>
              <w:tc>
                <w:tcPr>
                  <w:tcW w:w="806" w:type="pct"/>
                  <w:noWrap w:val="0"/>
                  <w:vAlign w:val="center"/>
                </w:tcPr>
                <w:p>
                  <w:pPr>
                    <w:pStyle w:val="6"/>
                    <w:bidi w:val="0"/>
                  </w:pPr>
                  <w:r>
                    <w:t>原料名称</w:t>
                  </w:r>
                </w:p>
              </w:tc>
              <w:tc>
                <w:tcPr>
                  <w:tcW w:w="573" w:type="pct"/>
                  <w:noWrap w:val="0"/>
                  <w:vAlign w:val="center"/>
                </w:tcPr>
                <w:p>
                  <w:pPr>
                    <w:pStyle w:val="6"/>
                    <w:bidi w:val="0"/>
                  </w:pPr>
                  <w:r>
                    <w:t>单位</w:t>
                  </w:r>
                </w:p>
              </w:tc>
              <w:tc>
                <w:tcPr>
                  <w:tcW w:w="769" w:type="pct"/>
                  <w:noWrap w:val="0"/>
                  <w:vAlign w:val="center"/>
                </w:tcPr>
                <w:p>
                  <w:pPr>
                    <w:pStyle w:val="6"/>
                    <w:bidi w:val="0"/>
                  </w:pPr>
                  <w:r>
                    <w:t>用量</w:t>
                  </w:r>
                </w:p>
              </w:tc>
              <w:tc>
                <w:tcPr>
                  <w:tcW w:w="928" w:type="pct"/>
                  <w:noWrap w:val="0"/>
                  <w:vAlign w:val="center"/>
                </w:tcPr>
                <w:p>
                  <w:pPr>
                    <w:pStyle w:val="6"/>
                    <w:bidi w:val="0"/>
                    <w:rPr>
                      <w:rFonts w:hint="eastAsia"/>
                      <w:lang w:val="en-US" w:eastAsia="zh-CN"/>
                    </w:rPr>
                  </w:pPr>
                  <w:r>
                    <w:rPr>
                      <w:rFonts w:hint="eastAsia"/>
                      <w:lang w:val="en-US" w:eastAsia="zh-CN"/>
                    </w:rPr>
                    <w:t>规格</w:t>
                  </w:r>
                </w:p>
              </w:tc>
              <w:tc>
                <w:tcPr>
                  <w:tcW w:w="779" w:type="pct"/>
                  <w:noWrap w:val="0"/>
                  <w:vAlign w:val="center"/>
                </w:tcPr>
                <w:p>
                  <w:pPr>
                    <w:pStyle w:val="6"/>
                    <w:bidi w:val="0"/>
                    <w:rPr>
                      <w:rFonts w:hint="default"/>
                      <w:lang w:val="en-US" w:eastAsia="zh-CN"/>
                    </w:rPr>
                  </w:pPr>
                  <w:r>
                    <w:rPr>
                      <w:rFonts w:hint="eastAsia"/>
                      <w:lang w:val="en-US" w:eastAsia="zh-CN"/>
                    </w:rPr>
                    <w:t>包装形式</w:t>
                  </w:r>
                </w:p>
              </w:tc>
              <w:tc>
                <w:tcPr>
                  <w:tcW w:w="997" w:type="pct"/>
                  <w:noWrap w:val="0"/>
                  <w:vAlign w:val="center"/>
                </w:tcPr>
                <w:p>
                  <w:pPr>
                    <w:pStyle w:val="6"/>
                    <w:bidi w:val="0"/>
                    <w:rPr>
                      <w:rFonts w:hint="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noWrap w:val="0"/>
                  <w:vAlign w:val="center"/>
                </w:tcPr>
                <w:p>
                  <w:pPr>
                    <w:pStyle w:val="6"/>
                    <w:bidi w:val="0"/>
                  </w:pPr>
                  <w:r>
                    <w:t>1</w:t>
                  </w:r>
                </w:p>
              </w:tc>
              <w:tc>
                <w:tcPr>
                  <w:tcW w:w="806" w:type="pct"/>
                  <w:shd w:val="clear" w:color="auto" w:fill="auto"/>
                  <w:noWrap w:val="0"/>
                  <w:vAlign w:val="center"/>
                </w:tcPr>
                <w:p>
                  <w:pPr>
                    <w:pStyle w:val="6"/>
                    <w:bidi w:val="0"/>
                    <w:rPr>
                      <w:rFonts w:hint="default"/>
                      <w:lang w:val="en-US" w:eastAsia="zh-CN"/>
                    </w:rPr>
                  </w:pPr>
                  <w:r>
                    <w:rPr>
                      <w:rFonts w:hint="eastAsia"/>
                      <w:lang w:val="en-US" w:eastAsia="zh-CN"/>
                    </w:rPr>
                    <w:t>砂石料</w:t>
                  </w:r>
                </w:p>
              </w:tc>
              <w:tc>
                <w:tcPr>
                  <w:tcW w:w="573" w:type="pct"/>
                  <w:shd w:val="clear" w:color="auto" w:fill="auto"/>
                  <w:noWrap w:val="0"/>
                  <w:vAlign w:val="center"/>
                </w:tcPr>
                <w:p>
                  <w:pPr>
                    <w:pStyle w:val="6"/>
                    <w:bidi w:val="0"/>
                    <w:rPr>
                      <w:lang w:val="en-US" w:eastAsia="zh-CN"/>
                    </w:rPr>
                  </w:pPr>
                  <w:r>
                    <w:t>m</w:t>
                  </w:r>
                  <w:r>
                    <w:rPr>
                      <w:vertAlign w:val="superscript"/>
                    </w:rPr>
                    <w:t>3</w:t>
                  </w:r>
                  <w:r>
                    <w:t>/a</w:t>
                  </w:r>
                </w:p>
              </w:tc>
              <w:tc>
                <w:tcPr>
                  <w:tcW w:w="769" w:type="pct"/>
                  <w:shd w:val="clear" w:color="auto" w:fill="auto"/>
                  <w:noWrap w:val="0"/>
                  <w:vAlign w:val="center"/>
                </w:tcPr>
                <w:p>
                  <w:pPr>
                    <w:pStyle w:val="6"/>
                    <w:bidi w:val="0"/>
                    <w:rPr>
                      <w:rFonts w:hint="default"/>
                      <w:lang w:val="en-US" w:eastAsia="zh-CN"/>
                    </w:rPr>
                  </w:pPr>
                  <w:r>
                    <w:rPr>
                      <w:rFonts w:hint="eastAsia"/>
                      <w:lang w:val="en-US" w:eastAsia="zh-CN"/>
                    </w:rPr>
                    <w:t>10000（约16000t）</w:t>
                  </w:r>
                </w:p>
              </w:tc>
              <w:tc>
                <w:tcPr>
                  <w:tcW w:w="928" w:type="pct"/>
                  <w:shd w:val="clear" w:color="auto" w:fill="auto"/>
                  <w:noWrap w:val="0"/>
                  <w:vAlign w:val="center"/>
                </w:tcPr>
                <w:p>
                  <w:pPr>
                    <w:pStyle w:val="6"/>
                    <w:bidi w:val="0"/>
                    <w:rPr>
                      <w:rFonts w:hint="default"/>
                      <w:lang w:val="en-US" w:eastAsia="zh-CN"/>
                    </w:rPr>
                  </w:pPr>
                  <w:r>
                    <w:rPr>
                      <w:rFonts w:hint="default"/>
                      <w:lang w:val="en-US" w:eastAsia="zh-CN"/>
                    </w:rPr>
                    <w:t>0.</w:t>
                  </w:r>
                  <w:r>
                    <w:rPr>
                      <w:rFonts w:hint="eastAsia"/>
                      <w:lang w:val="en-US" w:eastAsia="zh-CN"/>
                    </w:rPr>
                    <w:t>5</w:t>
                  </w:r>
                  <w:r>
                    <w:rPr>
                      <w:rFonts w:hint="default"/>
                      <w:lang w:val="en-US" w:eastAsia="zh-CN"/>
                    </w:rPr>
                    <w:t>mm</w:t>
                  </w:r>
                  <w:r>
                    <w:rPr>
                      <w:rFonts w:hint="eastAsia"/>
                      <w:lang w:val="en-US" w:eastAsia="zh-CN"/>
                    </w:rPr>
                    <w:t>～10</w:t>
                  </w:r>
                  <w:r>
                    <w:rPr>
                      <w:rFonts w:hint="default"/>
                      <w:lang w:val="en-US" w:eastAsia="zh-CN"/>
                    </w:rPr>
                    <w:t>mm</w:t>
                  </w:r>
                </w:p>
              </w:tc>
              <w:tc>
                <w:tcPr>
                  <w:tcW w:w="779" w:type="pct"/>
                  <w:shd w:val="clear" w:color="auto" w:fill="auto"/>
                  <w:noWrap w:val="0"/>
                  <w:vAlign w:val="center"/>
                </w:tcPr>
                <w:p>
                  <w:pPr>
                    <w:pStyle w:val="6"/>
                    <w:bidi w:val="0"/>
                    <w:rPr>
                      <w:rFonts w:hint="default"/>
                      <w:lang w:val="en-US" w:eastAsia="zh-CN"/>
                    </w:rPr>
                  </w:pPr>
                  <w:r>
                    <w:rPr>
                      <w:rFonts w:hint="eastAsia"/>
                      <w:lang w:val="en-US" w:eastAsia="zh-CN"/>
                    </w:rPr>
                    <w:t>散装</w:t>
                  </w:r>
                </w:p>
              </w:tc>
              <w:tc>
                <w:tcPr>
                  <w:tcW w:w="997" w:type="pct"/>
                  <w:shd w:val="clear" w:color="auto" w:fill="auto"/>
                  <w:noWrap w:val="0"/>
                  <w:vAlign w:val="center"/>
                </w:tcPr>
                <w:p>
                  <w:pPr>
                    <w:pStyle w:val="6"/>
                    <w:bidi w:val="0"/>
                    <w:rPr>
                      <w:rFonts w:hint="eastAsia"/>
                      <w:lang w:val="en-US" w:eastAsia="zh-CN"/>
                    </w:rPr>
                  </w:pPr>
                  <w:r>
                    <w:t>外购</w:t>
                  </w:r>
                  <w:r>
                    <w:rPr>
                      <w:rFonts w:hint="eastAsia"/>
                      <w:lang w:eastAsia="zh-CN"/>
                    </w:rPr>
                    <w:t>，</w:t>
                  </w:r>
                  <w:r>
                    <w:rPr>
                      <w:rFonts w:hint="eastAsia"/>
                      <w:lang w:val="en-US" w:eastAsia="zh-CN"/>
                    </w:rPr>
                    <w:t>暂存于砂石料堆场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noWrap w:val="0"/>
                  <w:vAlign w:val="center"/>
                </w:tcPr>
                <w:p>
                  <w:pPr>
                    <w:pStyle w:val="6"/>
                    <w:bidi w:val="0"/>
                  </w:pPr>
                  <w:r>
                    <w:t>2</w:t>
                  </w:r>
                </w:p>
              </w:tc>
              <w:tc>
                <w:tcPr>
                  <w:tcW w:w="806" w:type="pct"/>
                  <w:shd w:val="clear" w:color="auto" w:fill="auto"/>
                  <w:noWrap w:val="0"/>
                  <w:vAlign w:val="center"/>
                </w:tcPr>
                <w:p>
                  <w:pPr>
                    <w:pStyle w:val="6"/>
                    <w:bidi w:val="0"/>
                    <w:rPr>
                      <w:rFonts w:hint="eastAsia"/>
                      <w:lang w:val="en-US" w:eastAsia="zh-CN"/>
                    </w:rPr>
                  </w:pPr>
                  <w:r>
                    <w:rPr>
                      <w:rFonts w:hint="eastAsia"/>
                      <w:lang w:val="en-US" w:eastAsia="zh-CN"/>
                    </w:rPr>
                    <w:t>水泥</w:t>
                  </w:r>
                </w:p>
              </w:tc>
              <w:tc>
                <w:tcPr>
                  <w:tcW w:w="573" w:type="pct"/>
                  <w:shd w:val="clear" w:color="auto" w:fill="auto"/>
                  <w:noWrap w:val="0"/>
                  <w:vAlign w:val="center"/>
                </w:tcPr>
                <w:p>
                  <w:pPr>
                    <w:pStyle w:val="6"/>
                    <w:bidi w:val="0"/>
                    <w:rPr>
                      <w:lang w:val="en-US" w:eastAsia="zh-CN"/>
                    </w:rPr>
                  </w:pPr>
                  <w:r>
                    <w:t>t/a</w:t>
                  </w:r>
                </w:p>
              </w:tc>
              <w:tc>
                <w:tcPr>
                  <w:tcW w:w="769" w:type="pct"/>
                  <w:shd w:val="clear" w:color="auto" w:fill="auto"/>
                  <w:noWrap w:val="0"/>
                  <w:vAlign w:val="center"/>
                </w:tcPr>
                <w:p>
                  <w:pPr>
                    <w:pStyle w:val="6"/>
                    <w:bidi w:val="0"/>
                    <w:rPr>
                      <w:rFonts w:hint="default"/>
                      <w:lang w:val="en-US" w:eastAsia="zh-CN"/>
                    </w:rPr>
                  </w:pPr>
                  <w:r>
                    <w:rPr>
                      <w:rFonts w:hint="eastAsia"/>
                      <w:lang w:val="en-US" w:eastAsia="zh-CN"/>
                    </w:rPr>
                    <w:t>3000</w:t>
                  </w:r>
                </w:p>
              </w:tc>
              <w:tc>
                <w:tcPr>
                  <w:tcW w:w="928" w:type="pct"/>
                  <w:shd w:val="clear" w:color="auto" w:fill="auto"/>
                  <w:noWrap w:val="0"/>
                  <w:vAlign w:val="center"/>
                </w:tcPr>
                <w:p>
                  <w:pPr>
                    <w:pStyle w:val="6"/>
                    <w:bidi w:val="0"/>
                    <w:rPr>
                      <w:rFonts w:hint="default"/>
                      <w:lang w:val="en-US" w:eastAsia="zh-CN"/>
                    </w:rPr>
                  </w:pPr>
                  <w:r>
                    <w:rPr>
                      <w:rFonts w:hint="eastAsia"/>
                      <w:lang w:val="en-US" w:eastAsia="zh-CN"/>
                    </w:rPr>
                    <w:t>425</w:t>
                  </w:r>
                </w:p>
              </w:tc>
              <w:tc>
                <w:tcPr>
                  <w:tcW w:w="779" w:type="pct"/>
                  <w:shd w:val="clear" w:color="auto" w:fill="auto"/>
                  <w:noWrap w:val="0"/>
                  <w:vAlign w:val="center"/>
                </w:tcPr>
                <w:p>
                  <w:pPr>
                    <w:pStyle w:val="6"/>
                    <w:bidi w:val="0"/>
                    <w:rPr>
                      <w:rFonts w:hint="default"/>
                      <w:lang w:val="en-US" w:eastAsia="zh-CN"/>
                    </w:rPr>
                  </w:pPr>
                  <w:r>
                    <w:rPr>
                      <w:rFonts w:hint="eastAsia"/>
                      <w:lang w:val="en-US" w:eastAsia="zh-CN"/>
                    </w:rPr>
                    <w:t>散装</w:t>
                  </w:r>
                </w:p>
              </w:tc>
              <w:tc>
                <w:tcPr>
                  <w:tcW w:w="997" w:type="pct"/>
                  <w:shd w:val="clear" w:color="auto" w:fill="auto"/>
                  <w:noWrap w:val="0"/>
                  <w:vAlign w:val="center"/>
                </w:tcPr>
                <w:p>
                  <w:pPr>
                    <w:pStyle w:val="6"/>
                    <w:bidi w:val="0"/>
                    <w:rPr>
                      <w:rFonts w:hint="default"/>
                      <w:lang w:val="en-US" w:eastAsia="zh-CN"/>
                    </w:rPr>
                  </w:pPr>
                  <w:r>
                    <w:t>外购</w:t>
                  </w:r>
                  <w:r>
                    <w:rPr>
                      <w:rFonts w:hint="eastAsia"/>
                      <w:lang w:eastAsia="zh-CN"/>
                    </w:rPr>
                    <w:t>，</w:t>
                  </w:r>
                  <w:r>
                    <w:rPr>
                      <w:rFonts w:hint="eastAsia"/>
                      <w:lang w:val="en-US" w:eastAsia="zh-CN"/>
                    </w:rPr>
                    <w:t>暂存于筒仓内</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noWrap w:val="0"/>
                  <w:vAlign w:val="center"/>
                </w:tcPr>
                <w:p>
                  <w:pPr>
                    <w:pStyle w:val="6"/>
                    <w:bidi w:val="0"/>
                    <w:rPr>
                      <w:rFonts w:hint="eastAsia"/>
                      <w:lang w:eastAsia="zh-CN"/>
                    </w:rPr>
                  </w:pPr>
                  <w:r>
                    <w:rPr>
                      <w:rFonts w:hint="eastAsia"/>
                      <w:lang w:eastAsia="zh-CN"/>
                    </w:rPr>
                    <w:t>3</w:t>
                  </w:r>
                </w:p>
              </w:tc>
              <w:tc>
                <w:tcPr>
                  <w:tcW w:w="806" w:type="pct"/>
                  <w:shd w:val="clear" w:color="auto" w:fill="auto"/>
                  <w:noWrap w:val="0"/>
                  <w:vAlign w:val="center"/>
                </w:tcPr>
                <w:p>
                  <w:pPr>
                    <w:pStyle w:val="6"/>
                    <w:bidi w:val="0"/>
                    <w:rPr>
                      <w:rFonts w:hint="eastAsia"/>
                      <w:lang w:val="en-US" w:eastAsia="zh-CN"/>
                    </w:rPr>
                  </w:pPr>
                  <w:r>
                    <w:rPr>
                      <w:rFonts w:hint="eastAsia"/>
                      <w:lang w:val="en-US" w:eastAsia="zh-CN"/>
                    </w:rPr>
                    <w:t>电</w:t>
                  </w:r>
                </w:p>
              </w:tc>
              <w:tc>
                <w:tcPr>
                  <w:tcW w:w="573" w:type="pct"/>
                  <w:shd w:val="clear" w:color="auto" w:fill="auto"/>
                  <w:noWrap w:val="0"/>
                  <w:vAlign w:val="center"/>
                </w:tcPr>
                <w:p>
                  <w:pPr>
                    <w:pStyle w:val="6"/>
                    <w:bidi w:val="0"/>
                    <w:rPr>
                      <w:lang w:val="en-US" w:eastAsia="zh-CN"/>
                    </w:rPr>
                  </w:pPr>
                  <w:r>
                    <w:t>万</w:t>
                  </w:r>
                  <w:r>
                    <w:rPr>
                      <w:rFonts w:hint="eastAsia"/>
                      <w:lang w:eastAsia="zh-CN"/>
                    </w:rPr>
                    <w:t>kW</w:t>
                  </w:r>
                  <w:r>
                    <w:t>·h</w:t>
                  </w:r>
                </w:p>
              </w:tc>
              <w:tc>
                <w:tcPr>
                  <w:tcW w:w="769" w:type="pct"/>
                  <w:shd w:val="clear" w:color="auto" w:fill="auto"/>
                  <w:noWrap w:val="0"/>
                  <w:vAlign w:val="center"/>
                </w:tcPr>
                <w:p>
                  <w:pPr>
                    <w:pStyle w:val="6"/>
                    <w:bidi w:val="0"/>
                    <w:rPr>
                      <w:rFonts w:hint="default"/>
                      <w:lang w:val="en-US" w:eastAsia="zh-CN"/>
                    </w:rPr>
                  </w:pPr>
                  <w:r>
                    <w:rPr>
                      <w:rFonts w:hint="eastAsia"/>
                      <w:lang w:val="en-US" w:eastAsia="zh-CN"/>
                    </w:rPr>
                    <w:t>20</w:t>
                  </w:r>
                </w:p>
              </w:tc>
              <w:tc>
                <w:tcPr>
                  <w:tcW w:w="928" w:type="pct"/>
                  <w:shd w:val="clear" w:color="auto" w:fill="auto"/>
                  <w:noWrap w:val="0"/>
                  <w:vAlign w:val="center"/>
                </w:tcPr>
                <w:p>
                  <w:pPr>
                    <w:pStyle w:val="6"/>
                    <w:bidi w:val="0"/>
                    <w:rPr>
                      <w:rFonts w:hint="default"/>
                      <w:lang w:val="en-US" w:eastAsia="zh-CN"/>
                    </w:rPr>
                  </w:pPr>
                  <w:r>
                    <w:rPr>
                      <w:rFonts w:hint="eastAsia"/>
                      <w:lang w:val="en-US" w:eastAsia="zh-CN"/>
                    </w:rPr>
                    <w:t>/</w:t>
                  </w:r>
                </w:p>
              </w:tc>
              <w:tc>
                <w:tcPr>
                  <w:tcW w:w="779" w:type="pct"/>
                  <w:shd w:val="clear" w:color="auto" w:fill="auto"/>
                  <w:noWrap w:val="0"/>
                  <w:vAlign w:val="center"/>
                </w:tcPr>
                <w:p>
                  <w:pPr>
                    <w:pStyle w:val="6"/>
                    <w:bidi w:val="0"/>
                    <w:rPr>
                      <w:rFonts w:hint="default"/>
                      <w:lang w:val="en-US" w:eastAsia="zh-CN"/>
                    </w:rPr>
                  </w:pPr>
                  <w:r>
                    <w:rPr>
                      <w:rFonts w:hint="eastAsia"/>
                      <w:lang w:val="en-US" w:eastAsia="zh-CN"/>
                    </w:rPr>
                    <w:t>/</w:t>
                  </w:r>
                </w:p>
              </w:tc>
              <w:tc>
                <w:tcPr>
                  <w:tcW w:w="997" w:type="pct"/>
                  <w:shd w:val="clear" w:color="auto" w:fill="auto"/>
                  <w:noWrap w:val="0"/>
                  <w:vAlign w:val="center"/>
                </w:tcPr>
                <w:p>
                  <w:pPr>
                    <w:pStyle w:val="6"/>
                    <w:bidi w:val="0"/>
                    <w:rPr>
                      <w:rFonts w:hint="default"/>
                      <w:lang w:val="en-US" w:eastAsia="zh-CN"/>
                    </w:rPr>
                  </w:pPr>
                  <w:r>
                    <w:rPr>
                      <w:rFonts w:hint="eastAsia"/>
                      <w:lang w:val="en-US" w:eastAsia="zh-CN"/>
                    </w:rPr>
                    <w:t>接国家电网</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145" w:type="pct"/>
                  <w:noWrap w:val="0"/>
                  <w:vAlign w:val="center"/>
                </w:tcPr>
                <w:p>
                  <w:pPr>
                    <w:pStyle w:val="6"/>
                    <w:bidi w:val="0"/>
                    <w:rPr>
                      <w:rFonts w:hint="default"/>
                      <w:lang w:val="en-US" w:eastAsia="zh-CN"/>
                    </w:rPr>
                  </w:pPr>
                  <w:r>
                    <w:rPr>
                      <w:rFonts w:hint="eastAsia"/>
                      <w:lang w:val="en-US" w:eastAsia="zh-CN"/>
                    </w:rPr>
                    <w:t>4</w:t>
                  </w:r>
                </w:p>
              </w:tc>
              <w:tc>
                <w:tcPr>
                  <w:tcW w:w="806" w:type="pct"/>
                  <w:shd w:val="clear" w:color="auto" w:fill="auto"/>
                  <w:noWrap w:val="0"/>
                  <w:vAlign w:val="center"/>
                </w:tcPr>
                <w:p>
                  <w:pPr>
                    <w:pStyle w:val="6"/>
                    <w:bidi w:val="0"/>
                    <w:rPr>
                      <w:rFonts w:hint="eastAsia"/>
                      <w:lang w:val="en-US" w:eastAsia="zh-CN"/>
                    </w:rPr>
                  </w:pPr>
                  <w:r>
                    <w:t>水</w:t>
                  </w:r>
                </w:p>
              </w:tc>
              <w:tc>
                <w:tcPr>
                  <w:tcW w:w="573" w:type="pct"/>
                  <w:shd w:val="clear" w:color="auto" w:fill="auto"/>
                  <w:noWrap w:val="0"/>
                  <w:vAlign w:val="center"/>
                </w:tcPr>
                <w:p>
                  <w:pPr>
                    <w:pStyle w:val="6"/>
                    <w:bidi w:val="0"/>
                    <w:rPr>
                      <w:lang w:val="en-US" w:eastAsia="zh-CN"/>
                    </w:rPr>
                  </w:pPr>
                  <w:r>
                    <w:t>m</w:t>
                  </w:r>
                  <w:r>
                    <w:rPr>
                      <w:vertAlign w:val="superscript"/>
                    </w:rPr>
                    <w:t>3</w:t>
                  </w:r>
                  <w:r>
                    <w:t>/a</w:t>
                  </w:r>
                </w:p>
              </w:tc>
              <w:tc>
                <w:tcPr>
                  <w:tcW w:w="769" w:type="pct"/>
                  <w:shd w:val="clear" w:color="auto" w:fill="auto"/>
                  <w:noWrap w:val="0"/>
                  <w:vAlign w:val="center"/>
                </w:tcPr>
                <w:p>
                  <w:pPr>
                    <w:pStyle w:val="6"/>
                    <w:bidi w:val="0"/>
                    <w:rPr>
                      <w:rFonts w:hint="default"/>
                      <w:lang w:val="en-US" w:eastAsia="zh-CN"/>
                    </w:rPr>
                  </w:pPr>
                  <w:r>
                    <w:rPr>
                      <w:rFonts w:hint="eastAsia"/>
                      <w:color w:val="000000" w:themeColor="text1"/>
                      <w:sz w:val="24"/>
                      <w:szCs w:val="24"/>
                      <w:lang w:val="en-US" w:eastAsia="zh-CN"/>
                      <w14:textFill>
                        <w14:solidFill>
                          <w14:schemeClr w14:val="tx1"/>
                        </w14:solidFill>
                      </w14:textFill>
                    </w:rPr>
                    <w:t>4488.304</w:t>
                  </w:r>
                </w:p>
              </w:tc>
              <w:tc>
                <w:tcPr>
                  <w:tcW w:w="928" w:type="pct"/>
                  <w:shd w:val="clear" w:color="auto" w:fill="auto"/>
                  <w:noWrap w:val="0"/>
                  <w:vAlign w:val="center"/>
                </w:tcPr>
                <w:p>
                  <w:pPr>
                    <w:pStyle w:val="6"/>
                    <w:bidi w:val="0"/>
                    <w:rPr>
                      <w:rFonts w:hint="default"/>
                      <w:lang w:val="en-US" w:eastAsia="zh-CN"/>
                    </w:rPr>
                  </w:pPr>
                  <w:r>
                    <w:rPr>
                      <w:rFonts w:hint="eastAsia"/>
                      <w:lang w:val="en-US" w:eastAsia="zh-CN"/>
                    </w:rPr>
                    <w:t>/</w:t>
                  </w:r>
                </w:p>
              </w:tc>
              <w:tc>
                <w:tcPr>
                  <w:tcW w:w="779" w:type="pct"/>
                  <w:shd w:val="clear" w:color="auto" w:fill="auto"/>
                  <w:noWrap w:val="0"/>
                  <w:vAlign w:val="center"/>
                </w:tcPr>
                <w:p>
                  <w:pPr>
                    <w:pStyle w:val="6"/>
                    <w:bidi w:val="0"/>
                    <w:rPr>
                      <w:rFonts w:hint="default"/>
                      <w:lang w:val="en-US" w:eastAsia="zh-CN"/>
                    </w:rPr>
                  </w:pPr>
                  <w:r>
                    <w:rPr>
                      <w:rFonts w:hint="eastAsia"/>
                      <w:lang w:val="en-US" w:eastAsia="zh-CN"/>
                    </w:rPr>
                    <w:t>/</w:t>
                  </w:r>
                </w:p>
              </w:tc>
              <w:tc>
                <w:tcPr>
                  <w:tcW w:w="997" w:type="pct"/>
                  <w:shd w:val="clear" w:color="auto" w:fill="auto"/>
                  <w:noWrap w:val="0"/>
                  <w:vAlign w:val="center"/>
                </w:tcPr>
                <w:p>
                  <w:pPr>
                    <w:pStyle w:val="6"/>
                    <w:bidi w:val="0"/>
                    <w:rPr>
                      <w:rFonts w:hint="default"/>
                      <w:lang w:val="en-US" w:eastAsia="zh-CN"/>
                    </w:rPr>
                  </w:pPr>
                  <w:r>
                    <w:t>供水管网</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5000" w:type="pct"/>
                  <w:gridSpan w:val="7"/>
                  <w:noWrap w:val="0"/>
                  <w:vAlign w:val="center"/>
                </w:tcPr>
                <w:p>
                  <w:pPr>
                    <w:pStyle w:val="6"/>
                    <w:bidi w:val="0"/>
                  </w:pPr>
                  <w:r>
                    <w:rPr>
                      <w:rFonts w:hint="eastAsia"/>
                      <w:lang w:val="en-US" w:eastAsia="zh-CN"/>
                    </w:rPr>
                    <w:t>备注：本项目原辅材料均不涉及危险化学品。</w:t>
                  </w:r>
                </w:p>
              </w:tc>
            </w:tr>
          </w:tbl>
          <w:p>
            <w:pPr>
              <w:pStyle w:val="4"/>
              <w:bidi w:val="0"/>
            </w:pPr>
            <w:r>
              <w:rPr>
                <w:rFonts w:hint="eastAsia"/>
                <w:lang w:val="en-US" w:eastAsia="zh-CN"/>
              </w:rPr>
              <w:t>5、</w:t>
            </w:r>
            <w:r>
              <w:rPr>
                <w:rFonts w:hint="eastAsia"/>
              </w:rPr>
              <w:t>公用工程</w:t>
            </w:r>
          </w:p>
          <w:p>
            <w:pPr>
              <w:ind w:firstLine="480" w:firstLineChars="200"/>
              <w:rPr>
                <w:color w:val="000000" w:themeColor="text1"/>
                <w:kern w:val="0"/>
                <w14:textFill>
                  <w14:solidFill>
                    <w14:schemeClr w14:val="tx1"/>
                  </w14:solidFill>
                </w14:textFill>
              </w:rPr>
            </w:pPr>
            <w:r>
              <w:rPr>
                <w:rFonts w:hint="eastAsia"/>
                <w:color w:val="000000" w:themeColor="text1"/>
                <w:kern w:val="0"/>
                <w:lang w:eastAsia="zh-CN"/>
                <w14:textFill>
                  <w14:solidFill>
                    <w14:schemeClr w14:val="tx1"/>
                  </w14:solidFill>
                </w14:textFill>
              </w:rPr>
              <w:t>（</w:t>
            </w:r>
            <w:r>
              <w:rPr>
                <w:rFonts w:hint="eastAsia"/>
                <w:color w:val="000000" w:themeColor="text1"/>
                <w:kern w:val="0"/>
                <w:lang w:val="en-US" w:eastAsia="zh-CN"/>
                <w14:textFill>
                  <w14:solidFill>
                    <w14:schemeClr w14:val="tx1"/>
                  </w14:solidFill>
                </w14:textFill>
              </w:rPr>
              <w:t>1</w:t>
            </w:r>
            <w:r>
              <w:rPr>
                <w:rFonts w:hint="eastAsia"/>
                <w:color w:val="000000" w:themeColor="text1"/>
                <w:kern w:val="0"/>
                <w:lang w:eastAsia="zh-CN"/>
                <w14:textFill>
                  <w14:solidFill>
                    <w14:schemeClr w14:val="tx1"/>
                  </w14:solidFill>
                </w14:textFill>
              </w:rPr>
              <w:t>）</w:t>
            </w:r>
            <w:r>
              <w:rPr>
                <w:color w:val="000000" w:themeColor="text1"/>
                <w:kern w:val="0"/>
                <w14:textFill>
                  <w14:solidFill>
                    <w14:schemeClr w14:val="tx1"/>
                  </w14:solidFill>
                </w14:textFill>
              </w:rPr>
              <w:t>供水：</w:t>
            </w:r>
          </w:p>
          <w:p>
            <w:pPr>
              <w:ind w:firstLine="480" w:firstLineChars="200"/>
              <w:rPr>
                <w:rFonts w:hint="default"/>
                <w:color w:val="000000" w:themeColor="text1"/>
                <w:kern w:val="0"/>
                <w:sz w:val="24"/>
                <w:szCs w:val="24"/>
                <w14:textFill>
                  <w14:solidFill>
                    <w14:schemeClr w14:val="tx1"/>
                  </w14:solidFill>
                </w14:textFill>
              </w:rPr>
            </w:pPr>
            <w:r>
              <w:rPr>
                <w:rFonts w:hint="default"/>
                <w:color w:val="000000" w:themeColor="text1"/>
                <w:kern w:val="0"/>
                <w:sz w:val="24"/>
                <w:szCs w:val="24"/>
                <w14:textFill>
                  <w14:solidFill>
                    <w14:schemeClr w14:val="tx1"/>
                  </w14:solidFill>
                </w14:textFill>
              </w:rPr>
              <w:t>本项目用水主要为</w:t>
            </w:r>
            <w:r>
              <w:rPr>
                <w:rFonts w:hint="eastAsia"/>
                <w:color w:val="000000" w:themeColor="text1"/>
                <w:kern w:val="0"/>
                <w:sz w:val="24"/>
                <w:szCs w:val="24"/>
                <w:lang w:eastAsia="zh-CN"/>
                <w14:textFill>
                  <w14:solidFill>
                    <w14:schemeClr w14:val="tx1"/>
                  </w14:solidFill>
                </w14:textFill>
              </w:rPr>
              <w:t>生产用水、</w:t>
            </w:r>
            <w:r>
              <w:rPr>
                <w:rFonts w:hint="default"/>
                <w:color w:val="000000" w:themeColor="text1"/>
                <w:kern w:val="0"/>
                <w:sz w:val="24"/>
                <w:szCs w:val="24"/>
                <w14:textFill>
                  <w14:solidFill>
                    <w14:schemeClr w14:val="tx1"/>
                  </w14:solidFill>
                </w14:textFill>
              </w:rPr>
              <w:t>职工生活用水</w:t>
            </w:r>
            <w:r>
              <w:rPr>
                <w:rFonts w:hint="eastAsia"/>
                <w:color w:val="000000" w:themeColor="text1"/>
                <w:kern w:val="0"/>
                <w:sz w:val="24"/>
                <w:szCs w:val="24"/>
                <w:lang w:eastAsia="zh-CN"/>
                <w14:textFill>
                  <w14:solidFill>
                    <w14:schemeClr w14:val="tx1"/>
                  </w14:solidFill>
                </w14:textFill>
              </w:rPr>
              <w:t>及绿化用水</w:t>
            </w:r>
            <w:r>
              <w:rPr>
                <w:rFonts w:hint="default"/>
                <w:color w:val="000000" w:themeColor="text1"/>
                <w:kern w:val="0"/>
                <w:sz w:val="24"/>
                <w:szCs w:val="24"/>
                <w14:textFill>
                  <w14:solidFill>
                    <w14:schemeClr w14:val="tx1"/>
                  </w14:solidFill>
                </w14:textFill>
              </w:rPr>
              <w:t>，项目</w:t>
            </w:r>
            <w:r>
              <w:rPr>
                <w:rFonts w:hint="default"/>
                <w:color w:val="000000" w:themeColor="text1"/>
                <w:kern w:val="0"/>
                <w:sz w:val="24"/>
                <w:szCs w:val="24"/>
                <w:lang w:val="en-US" w:eastAsia="zh-CN"/>
                <w14:textFill>
                  <w14:solidFill>
                    <w14:schemeClr w14:val="tx1"/>
                  </w14:solidFill>
                </w14:textFill>
              </w:rPr>
              <w:t>用水</w:t>
            </w:r>
            <w:r>
              <w:rPr>
                <w:rFonts w:hint="eastAsia"/>
                <w:color w:val="000000" w:themeColor="text1"/>
                <w:kern w:val="0"/>
                <w:sz w:val="24"/>
                <w:szCs w:val="24"/>
                <w:lang w:val="en-US" w:eastAsia="zh-CN"/>
                <w14:textFill>
                  <w14:solidFill>
                    <w14:schemeClr w14:val="tx1"/>
                  </w14:solidFill>
                </w14:textFill>
              </w:rPr>
              <w:t>接供水管网</w:t>
            </w:r>
            <w:r>
              <w:rPr>
                <w:rFonts w:hint="default"/>
                <w:color w:val="000000" w:themeColor="text1"/>
                <w:kern w:val="0"/>
                <w:sz w:val="24"/>
                <w:szCs w:val="24"/>
                <w14:textFill>
                  <w14:solidFill>
                    <w14:schemeClr w14:val="tx1"/>
                  </w14:solidFill>
                </w14:textFill>
              </w:rPr>
              <w:t>，可满足供水要求。</w:t>
            </w:r>
          </w:p>
          <w:p>
            <w:pPr>
              <w:bidi w:val="0"/>
              <w:rPr>
                <w:rFonts w:hint="default"/>
                <w:lang w:val="en-US" w:eastAsia="zh-CN"/>
              </w:rPr>
            </w:pPr>
            <w:r>
              <w:rPr>
                <w:rFonts w:hint="eastAsia"/>
                <w:lang w:val="en-US" w:eastAsia="zh-CN"/>
              </w:rPr>
              <w:t>①职工生活用水</w:t>
            </w:r>
          </w:p>
          <w:p>
            <w:pPr>
              <w:bidi w:val="0"/>
              <w:rPr>
                <w:rFonts w:hint="eastAsia"/>
                <w:color w:val="000000" w:themeColor="text1"/>
                <w:kern w:val="0"/>
                <w:sz w:val="24"/>
                <w:szCs w:val="24"/>
                <w:lang w:eastAsia="zh-CN"/>
                <w14:textFill>
                  <w14:solidFill>
                    <w14:schemeClr w14:val="tx1"/>
                  </w14:solidFill>
                </w14:textFill>
              </w:rPr>
            </w:pPr>
            <w:r>
              <w:rPr>
                <w:color w:val="000000" w:themeColor="text1"/>
                <w:kern w:val="0"/>
                <w:sz w:val="24"/>
                <w:szCs w:val="24"/>
                <w14:textFill>
                  <w14:solidFill>
                    <w14:schemeClr w14:val="tx1"/>
                  </w14:solidFill>
                </w14:textFill>
              </w:rPr>
              <w:t>项目区人员生活</w:t>
            </w:r>
            <w:r>
              <w:rPr>
                <w:rFonts w:hint="eastAsia"/>
                <w:color w:val="000000" w:themeColor="text1"/>
                <w:kern w:val="0"/>
                <w:sz w:val="24"/>
                <w:szCs w:val="24"/>
                <w:lang w:eastAsia="zh-CN"/>
                <w14:textFill>
                  <w14:solidFill>
                    <w14:schemeClr w14:val="tx1"/>
                  </w14:solidFill>
                </w14:textFill>
              </w:rPr>
              <w:t>供水</w:t>
            </w:r>
            <w:r>
              <w:rPr>
                <w:rFonts w:hint="eastAsia"/>
                <w:color w:val="000000" w:themeColor="text1"/>
                <w:kern w:val="0"/>
                <w:sz w:val="24"/>
                <w:szCs w:val="24"/>
                <w14:textFill>
                  <w14:solidFill>
                    <w14:schemeClr w14:val="tx1"/>
                  </w14:solidFill>
                </w14:textFill>
              </w:rPr>
              <w:t>管网提供</w:t>
            </w:r>
            <w:r>
              <w:rPr>
                <w:color w:val="000000" w:themeColor="text1"/>
                <w:kern w:val="0"/>
                <w:sz w:val="24"/>
                <w:szCs w:val="24"/>
                <w14:textFill>
                  <w14:solidFill>
                    <w14:schemeClr w14:val="tx1"/>
                  </w14:solidFill>
                </w14:textFill>
              </w:rPr>
              <w:t>，人员生活用水依据《</w:t>
            </w:r>
            <w:r>
              <w:rPr>
                <w:rFonts w:hint="eastAsia"/>
                <w:color w:val="000000" w:themeColor="text1"/>
                <w:kern w:val="0"/>
                <w:sz w:val="24"/>
                <w:szCs w:val="24"/>
                <w14:textFill>
                  <w14:solidFill>
                    <w14:schemeClr w14:val="tx1"/>
                  </w14:solidFill>
                </w14:textFill>
              </w:rPr>
              <w:t>新疆维吾尔自治区</w:t>
            </w:r>
            <w:r>
              <w:rPr>
                <w:color w:val="000000" w:themeColor="text1"/>
                <w:kern w:val="0"/>
                <w:sz w:val="24"/>
                <w:szCs w:val="24"/>
                <w14:textFill>
                  <w14:solidFill>
                    <w14:schemeClr w14:val="tx1"/>
                  </w14:solidFill>
                </w14:textFill>
              </w:rPr>
              <w:t>生活用水定额》，每人每天用水定额为</w:t>
            </w:r>
            <w:r>
              <w:rPr>
                <w:rFonts w:hint="eastAsia"/>
                <w:color w:val="000000" w:themeColor="text1"/>
                <w:kern w:val="0"/>
                <w:sz w:val="24"/>
                <w:szCs w:val="24"/>
                <w14:textFill>
                  <w14:solidFill>
                    <w14:schemeClr w14:val="tx1"/>
                  </w14:solidFill>
                </w14:textFill>
              </w:rPr>
              <w:t>80</w:t>
            </w:r>
            <w:r>
              <w:rPr>
                <w:color w:val="000000" w:themeColor="text1"/>
                <w:kern w:val="0"/>
                <w:sz w:val="24"/>
                <w:szCs w:val="24"/>
                <w14:textFill>
                  <w14:solidFill>
                    <w14:schemeClr w14:val="tx1"/>
                  </w14:solidFill>
                </w14:textFill>
              </w:rPr>
              <w:t>L/人·d，项目有效生产天数为</w:t>
            </w:r>
            <w:r>
              <w:rPr>
                <w:rFonts w:hint="eastAsia"/>
                <w:color w:val="000000" w:themeColor="text1"/>
                <w:kern w:val="0"/>
                <w:sz w:val="24"/>
                <w:szCs w:val="24"/>
                <w:lang w:val="en-US" w:eastAsia="zh-CN"/>
                <w14:textFill>
                  <w14:solidFill>
                    <w14:schemeClr w14:val="tx1"/>
                  </w14:solidFill>
                </w14:textFill>
              </w:rPr>
              <w:t>240</w:t>
            </w:r>
            <w:r>
              <w:rPr>
                <w:color w:val="000000" w:themeColor="text1"/>
                <w:kern w:val="0"/>
                <w:sz w:val="24"/>
                <w:szCs w:val="24"/>
                <w14:textFill>
                  <w14:solidFill>
                    <w14:schemeClr w14:val="tx1"/>
                  </w14:solidFill>
                </w14:textFill>
              </w:rPr>
              <w:t>d，厂区劳动定员</w:t>
            </w:r>
            <w:r>
              <w:rPr>
                <w:rFonts w:hint="eastAsia"/>
                <w:color w:val="000000" w:themeColor="text1"/>
                <w:kern w:val="0"/>
                <w:sz w:val="24"/>
                <w:szCs w:val="24"/>
                <w:lang w:val="en-US" w:eastAsia="zh-CN"/>
                <w14:textFill>
                  <w14:solidFill>
                    <w14:schemeClr w14:val="tx1"/>
                  </w14:solidFill>
                </w14:textFill>
              </w:rPr>
              <w:t>20</w:t>
            </w:r>
            <w:r>
              <w:rPr>
                <w:color w:val="000000" w:themeColor="text1"/>
                <w:kern w:val="0"/>
                <w:sz w:val="24"/>
                <w:szCs w:val="24"/>
                <w14:textFill>
                  <w14:solidFill>
                    <w14:schemeClr w14:val="tx1"/>
                  </w14:solidFill>
                </w14:textFill>
              </w:rPr>
              <w:t>人，本项目厂区人员生活用水量为</w:t>
            </w:r>
            <w:r>
              <w:rPr>
                <w:rFonts w:hint="eastAsia"/>
                <w:color w:val="000000" w:themeColor="text1"/>
                <w:kern w:val="0"/>
                <w:sz w:val="24"/>
                <w:szCs w:val="24"/>
                <w:lang w:val="en-US" w:eastAsia="zh-CN"/>
                <w14:textFill>
                  <w14:solidFill>
                    <w14:schemeClr w14:val="tx1"/>
                  </w14:solidFill>
                </w14:textFill>
              </w:rPr>
              <w:t>384</w:t>
            </w:r>
            <w:r>
              <w:rPr>
                <w:color w:val="000000" w:themeColor="text1"/>
                <w:kern w:val="0"/>
                <w:sz w:val="24"/>
                <w:szCs w:val="24"/>
                <w14:textFill>
                  <w14:solidFill>
                    <w14:schemeClr w14:val="tx1"/>
                  </w14:solidFill>
                </w14:textFill>
              </w:rPr>
              <w:t>m</w:t>
            </w:r>
            <w:r>
              <w:rPr>
                <w:color w:val="000000" w:themeColor="text1"/>
                <w:kern w:val="0"/>
                <w:sz w:val="24"/>
                <w:szCs w:val="24"/>
                <w:vertAlign w:val="superscript"/>
                <w14:textFill>
                  <w14:solidFill>
                    <w14:schemeClr w14:val="tx1"/>
                  </w14:solidFill>
                </w14:textFill>
              </w:rPr>
              <w:t>3</w:t>
            </w:r>
            <w:r>
              <w:rPr>
                <w:color w:val="000000" w:themeColor="text1"/>
                <w:kern w:val="0"/>
                <w:sz w:val="24"/>
                <w:szCs w:val="24"/>
                <w14:textFill>
                  <w14:solidFill>
                    <w14:schemeClr w14:val="tx1"/>
                  </w14:solidFill>
                </w14:textFill>
              </w:rPr>
              <w:t>/a</w:t>
            </w:r>
            <w:r>
              <w:rPr>
                <w:rFonts w:hint="eastAsia"/>
                <w:color w:val="000000" w:themeColor="text1"/>
                <w:kern w:val="0"/>
                <w:sz w:val="24"/>
                <w:szCs w:val="24"/>
                <w:lang w:eastAsia="zh-CN"/>
                <w14:textFill>
                  <w14:solidFill>
                    <w14:schemeClr w14:val="tx1"/>
                  </w14:solidFill>
                </w14:textFill>
              </w:rPr>
              <w:t>。</w:t>
            </w:r>
          </w:p>
          <w:p>
            <w:pPr>
              <w:bidi w:val="0"/>
              <w:rPr>
                <w:rFonts w:hint="eastAsia"/>
                <w:lang w:val="en-US" w:eastAsia="zh-CN"/>
              </w:rPr>
            </w:pPr>
            <w:r>
              <w:rPr>
                <w:rFonts w:hint="eastAsia"/>
                <w:lang w:val="en-US" w:eastAsia="zh-CN"/>
              </w:rPr>
              <w:t>②生产用水</w:t>
            </w:r>
          </w:p>
          <w:p>
            <w:pPr>
              <w:bidi w:val="0"/>
              <w:rPr>
                <w:rFonts w:hint="eastAsia"/>
                <w:lang w:val="en-US" w:eastAsia="zh-CN"/>
              </w:rPr>
            </w:pPr>
            <w:r>
              <w:rPr>
                <w:rFonts w:hint="eastAsia"/>
                <w:lang w:val="en-US" w:eastAsia="zh-CN"/>
              </w:rPr>
              <w:t>本项目生产用水主要为生产用水、产品养护用水、设备清洗用水、抑尘用水和车辆冲洗用水。</w:t>
            </w:r>
          </w:p>
          <w:p>
            <w:pPr>
              <w:bidi w:val="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生产原料用水</w:t>
            </w:r>
            <w:r>
              <w:rPr>
                <w:rFonts w:hint="eastAsia"/>
                <w:color w:val="auto"/>
                <w:sz w:val="24"/>
                <w:szCs w:val="24"/>
                <w:lang w:val="en-US" w:eastAsia="zh-CN"/>
              </w:rPr>
              <w:t>：根据业主提供资料，原料用水约占水泥用量的60%，水的用量约1800m</w:t>
            </w:r>
            <w:r>
              <w:rPr>
                <w:rFonts w:hint="eastAsia"/>
                <w:color w:val="auto"/>
                <w:sz w:val="24"/>
                <w:szCs w:val="24"/>
                <w:vertAlign w:val="superscript"/>
                <w:lang w:val="en-US" w:eastAsia="zh-CN"/>
              </w:rPr>
              <w:t>3</w:t>
            </w:r>
            <w:r>
              <w:rPr>
                <w:rFonts w:hint="eastAsia"/>
                <w:color w:val="auto"/>
                <w:sz w:val="24"/>
                <w:szCs w:val="24"/>
                <w:lang w:val="en-US" w:eastAsia="zh-CN"/>
              </w:rPr>
              <w:t>/a，其中回用水约38.4m</w:t>
            </w:r>
            <w:r>
              <w:rPr>
                <w:rFonts w:hint="eastAsia"/>
                <w:color w:val="auto"/>
                <w:sz w:val="24"/>
                <w:szCs w:val="24"/>
                <w:vertAlign w:val="superscript"/>
                <w:lang w:val="en-US" w:eastAsia="zh-CN"/>
              </w:rPr>
              <w:t>3</w:t>
            </w:r>
            <w:r>
              <w:rPr>
                <w:rFonts w:hint="eastAsia"/>
                <w:color w:val="auto"/>
                <w:sz w:val="24"/>
                <w:szCs w:val="24"/>
                <w:lang w:val="en-US" w:eastAsia="zh-CN"/>
              </w:rPr>
              <w:t>/a，新鲜水1761.6m</w:t>
            </w:r>
            <w:r>
              <w:rPr>
                <w:rFonts w:hint="eastAsia"/>
                <w:color w:val="auto"/>
                <w:sz w:val="24"/>
                <w:szCs w:val="24"/>
                <w:vertAlign w:val="superscript"/>
                <w:lang w:val="en-US" w:eastAsia="zh-CN"/>
              </w:rPr>
              <w:t>3</w:t>
            </w:r>
            <w:r>
              <w:rPr>
                <w:rFonts w:hint="eastAsia"/>
                <w:color w:val="auto"/>
                <w:sz w:val="24"/>
                <w:szCs w:val="24"/>
                <w:lang w:val="en-US" w:eastAsia="zh-CN"/>
              </w:rPr>
              <w:t>/a</w:t>
            </w:r>
            <w:r>
              <w:rPr>
                <w:rFonts w:hint="eastAsia"/>
                <w:color w:val="000000" w:themeColor="text1"/>
                <w:sz w:val="24"/>
                <w:szCs w:val="24"/>
                <w:lang w:val="en-US" w:eastAsia="zh-CN"/>
                <w14:textFill>
                  <w14:solidFill>
                    <w14:schemeClr w14:val="tx1"/>
                  </w14:solidFill>
                </w14:textFill>
              </w:rPr>
              <w:t>。</w:t>
            </w:r>
          </w:p>
          <w:p>
            <w:pPr>
              <w:bidi w:val="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产品养护用水：项目产品养护采用自然养护，定期洒水，根据建设单位经验养护用水量约为6m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/d，则年用水量为1440m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/a。</w:t>
            </w:r>
          </w:p>
          <w:p>
            <w:pPr>
              <w:bidi w:val="0"/>
              <w:rPr>
                <w:rFonts w:hint="default"/>
                <w:color w:val="0000FF"/>
                <w:sz w:val="24"/>
                <w:szCs w:val="24"/>
                <w:lang w:val="en-US" w:eastAsia="zh-CN"/>
              </w:rPr>
            </w:pPr>
            <w:r>
              <w:rPr>
                <w:rFonts w:hint="eastAsia"/>
                <w:color w:val="auto"/>
                <w:sz w:val="24"/>
                <w:szCs w:val="24"/>
                <w:lang w:val="en-US" w:eastAsia="zh-CN"/>
              </w:rPr>
              <w:t>设备清洗用水：主要为搅拌机冲洗水，搅拌机每天用完冲洗1次，每次用水量按200kg计算，搅拌机冲洗用水量为0.2m</w:t>
            </w:r>
            <w:r>
              <w:rPr>
                <w:rFonts w:hint="eastAsia"/>
                <w:color w:val="auto"/>
                <w:sz w:val="24"/>
                <w:szCs w:val="24"/>
                <w:vertAlign w:val="superscript"/>
                <w:lang w:val="en-US" w:eastAsia="zh-CN"/>
              </w:rPr>
              <w:t>3</w:t>
            </w:r>
            <w:r>
              <w:rPr>
                <w:rFonts w:hint="eastAsia"/>
                <w:color w:val="auto"/>
                <w:sz w:val="24"/>
                <w:szCs w:val="24"/>
                <w:lang w:val="en-US" w:eastAsia="zh-CN"/>
              </w:rPr>
              <w:t>/d、48m</w:t>
            </w:r>
            <w:r>
              <w:rPr>
                <w:rFonts w:hint="eastAsia"/>
                <w:color w:val="auto"/>
                <w:sz w:val="24"/>
                <w:szCs w:val="24"/>
                <w:vertAlign w:val="superscript"/>
                <w:lang w:val="en-US" w:eastAsia="zh-CN"/>
              </w:rPr>
              <w:t>3</w:t>
            </w:r>
            <w:r>
              <w:rPr>
                <w:rFonts w:hint="eastAsia"/>
                <w:color w:val="auto"/>
                <w:sz w:val="24"/>
                <w:szCs w:val="24"/>
                <w:lang w:val="en-US" w:eastAsia="zh-CN"/>
              </w:rPr>
              <w:t>/a，经沉淀池沉淀后回用于生产，损耗量以20%计，则回用量为38.4m</w:t>
            </w:r>
            <w:r>
              <w:rPr>
                <w:rFonts w:hint="eastAsia"/>
                <w:color w:val="auto"/>
                <w:sz w:val="24"/>
                <w:szCs w:val="24"/>
                <w:vertAlign w:val="superscript"/>
                <w:lang w:val="en-US" w:eastAsia="zh-CN"/>
              </w:rPr>
              <w:t>3</w:t>
            </w:r>
            <w:r>
              <w:rPr>
                <w:rFonts w:hint="eastAsia"/>
                <w:color w:val="auto"/>
                <w:sz w:val="24"/>
                <w:szCs w:val="24"/>
                <w:lang w:val="en-US" w:eastAsia="zh-CN"/>
              </w:rPr>
              <w:t>/a，损耗量9.6m</w:t>
            </w:r>
            <w:r>
              <w:rPr>
                <w:rFonts w:hint="eastAsia"/>
                <w:color w:val="auto"/>
                <w:sz w:val="24"/>
                <w:szCs w:val="24"/>
                <w:vertAlign w:val="superscript"/>
                <w:lang w:val="en-US" w:eastAsia="zh-CN"/>
              </w:rPr>
              <w:t>3</w:t>
            </w:r>
            <w:r>
              <w:rPr>
                <w:rFonts w:hint="eastAsia"/>
                <w:color w:val="auto"/>
                <w:sz w:val="24"/>
                <w:szCs w:val="24"/>
                <w:lang w:val="en-US" w:eastAsia="zh-CN"/>
              </w:rPr>
              <w:t>/a。</w:t>
            </w:r>
          </w:p>
          <w:p>
            <w:pPr>
              <w:bidi w:val="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抑尘用水：本项目砂石料堆场、成品堆场、厂区内道路定期洒水抑尘，抑尘用水自然挥发，不外排。抑尘用水量为3</w:t>
            </w:r>
            <w:r>
              <w:rPr>
                <w:rFonts w:hint="eastAsia" w:ascii="Times New Roman" w:eastAsia="宋体"/>
                <w:color w:val="000000" w:themeColor="text1"/>
                <w:sz w:val="24"/>
                <w:szCs w:val="24"/>
                <w:lang w:val="en-US" w:eastAsia="zh-CN"/>
                <w14:textFill>
                  <w14:solidFill>
                    <w14:schemeClr w14:val="tx1"/>
                  </w14:solidFill>
                </w14:textFill>
              </w:rPr>
              <w:t>m</w:t>
            </w:r>
            <w:r>
              <w:rPr>
                <w:rFonts w:hint="eastAsia" w:ascii="Times New Roman" w:eastAsia="宋体"/>
                <w:color w:val="000000" w:themeColor="text1"/>
                <w:sz w:val="24"/>
                <w:szCs w:val="24"/>
                <w:vertAlign w:val="superscript"/>
                <w:lang w:val="en-US" w:eastAsia="zh-CN"/>
                <w14:textFill>
                  <w14:solidFill>
                    <w14:schemeClr w14:val="tx1"/>
                  </w14:solidFill>
                </w14:textFill>
              </w:rPr>
              <w:t>3</w:t>
            </w:r>
            <w:r>
              <w:rPr>
                <w:rFonts w:hint="eastAsia" w:ascii="Times New Roman" w:eastAsia="宋体"/>
                <w:color w:val="000000" w:themeColor="text1"/>
                <w:sz w:val="24"/>
                <w:szCs w:val="24"/>
                <w:lang w:val="en-US" w:eastAsia="zh-CN"/>
                <w14:textFill>
                  <w14:solidFill>
                    <w14:schemeClr w14:val="tx1"/>
                  </w14:solidFill>
                </w14:textFill>
              </w:rPr>
              <w:t>/d、720m</w:t>
            </w:r>
            <w:r>
              <w:rPr>
                <w:rFonts w:hint="eastAsia" w:ascii="Times New Roman" w:eastAsia="宋体"/>
                <w:color w:val="000000" w:themeColor="text1"/>
                <w:sz w:val="24"/>
                <w:szCs w:val="24"/>
                <w:vertAlign w:val="superscript"/>
                <w:lang w:val="en-US" w:eastAsia="zh-CN"/>
                <w14:textFill>
                  <w14:solidFill>
                    <w14:schemeClr w14:val="tx1"/>
                  </w14:solidFill>
                </w14:textFill>
              </w:rPr>
              <w:t>3</w:t>
            </w:r>
            <w:r>
              <w:rPr>
                <w:rFonts w:hint="eastAsia" w:ascii="Times New Roman" w:eastAsia="宋体"/>
                <w:color w:val="000000" w:themeColor="text1"/>
                <w:sz w:val="24"/>
                <w:szCs w:val="24"/>
                <w:lang w:val="en-US" w:eastAsia="zh-CN"/>
                <w14:textFill>
                  <w14:solidFill>
                    <w14:schemeClr w14:val="tx1"/>
                  </w14:solidFill>
                </w14:textFill>
              </w:rPr>
              <w:t>/a。</w:t>
            </w:r>
          </w:p>
          <w:p>
            <w:pPr>
              <w:bidi w:val="0"/>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车辆</w:t>
            </w:r>
            <w:r>
              <w:rPr>
                <w:rFonts w:hint="eastAsia" w:cs="Times New Roman"/>
                <w:snapToGrid w:val="0"/>
                <w:color w:val="auto"/>
                <w:kern w:val="0"/>
                <w:sz w:val="24"/>
                <w:szCs w:val="24"/>
                <w:highlight w:val="none"/>
                <w:lang w:val="en-US" w:eastAsia="zh-CN"/>
              </w:rPr>
              <w:t>清洗</w:t>
            </w:r>
            <w:r>
              <w:rPr>
                <w:rFonts w:hint="default" w:ascii="Times New Roman" w:hAnsi="Times New Roman" w:eastAsia="宋体" w:cs="Times New Roman"/>
                <w:snapToGrid w:val="0"/>
                <w:color w:val="auto"/>
                <w:kern w:val="0"/>
                <w:sz w:val="24"/>
                <w:szCs w:val="24"/>
                <w:highlight w:val="none"/>
                <w:lang w:val="en-US" w:eastAsia="zh-CN"/>
              </w:rPr>
              <w:t>用水：厂区进口设</w:t>
            </w:r>
            <w:r>
              <w:rPr>
                <w:rFonts w:hint="eastAsia" w:cs="Times New Roman"/>
                <w:snapToGrid w:val="0"/>
                <w:color w:val="auto"/>
                <w:kern w:val="0"/>
                <w:sz w:val="24"/>
                <w:szCs w:val="24"/>
                <w:highlight w:val="none"/>
                <w:lang w:val="en-US" w:eastAsia="zh-CN"/>
              </w:rPr>
              <w:t>过水</w:t>
            </w:r>
            <w:r>
              <w:rPr>
                <w:rFonts w:hint="default" w:ascii="Times New Roman" w:hAnsi="Times New Roman" w:eastAsia="宋体" w:cs="Times New Roman"/>
                <w:snapToGrid w:val="0"/>
                <w:color w:val="auto"/>
                <w:kern w:val="0"/>
                <w:sz w:val="24"/>
                <w:szCs w:val="24"/>
                <w:highlight w:val="none"/>
                <w:lang w:val="en-US" w:eastAsia="zh-CN"/>
              </w:rPr>
              <w:t>区，用于进入车辆的</w:t>
            </w:r>
            <w:r>
              <w:rPr>
                <w:rFonts w:hint="eastAsia" w:cs="Times New Roman"/>
                <w:snapToGrid w:val="0"/>
                <w:color w:val="auto"/>
                <w:kern w:val="0"/>
                <w:sz w:val="24"/>
                <w:szCs w:val="24"/>
                <w:highlight w:val="none"/>
                <w:lang w:val="en-US" w:eastAsia="zh-CN"/>
              </w:rPr>
              <w:t>轮胎清洗</w:t>
            </w:r>
            <w:r>
              <w:rPr>
                <w:rFonts w:hint="default" w:ascii="Times New Roman" w:hAnsi="Times New Roman" w:eastAsia="宋体" w:cs="Times New Roman"/>
                <w:snapToGrid w:val="0"/>
                <w:color w:val="auto"/>
                <w:kern w:val="0"/>
                <w:sz w:val="24"/>
                <w:szCs w:val="24"/>
                <w:highlight w:val="none"/>
                <w:lang w:val="en-US" w:eastAsia="zh-CN"/>
              </w:rPr>
              <w:t>，车辆冲洗用水量参考《建筑给水排水设计规范》中用水定额，车辆用水按80L/辆·次计，按核载3</w:t>
            </w:r>
            <w:r>
              <w:rPr>
                <w:rFonts w:hint="eastAsia" w:cs="Times New Roman"/>
                <w:snapToGrid w:val="0"/>
                <w:color w:val="auto"/>
                <w:kern w:val="0"/>
                <w:sz w:val="24"/>
                <w:szCs w:val="24"/>
                <w:highlight w:val="none"/>
                <w:lang w:val="en-US" w:eastAsia="zh-CN"/>
              </w:rPr>
              <w:t>2</w:t>
            </w:r>
            <w:r>
              <w:rPr>
                <w:rFonts w:hint="default" w:ascii="Times New Roman" w:hAnsi="Times New Roman" w:eastAsia="宋体" w:cs="Times New Roman"/>
                <w:snapToGrid w:val="0"/>
                <w:color w:val="auto"/>
                <w:kern w:val="0"/>
                <w:sz w:val="24"/>
                <w:szCs w:val="24"/>
                <w:highlight w:val="none"/>
                <w:lang w:val="en-US" w:eastAsia="zh-CN"/>
              </w:rPr>
              <w:t>t/辆的运输汽车每年需拉运</w:t>
            </w:r>
            <w:r>
              <w:rPr>
                <w:rFonts w:hint="eastAsia" w:ascii="Times New Roman" w:hAnsi="Times New Roman" w:eastAsia="宋体" w:cs="Times New Roman"/>
                <w:snapToGrid w:val="0"/>
                <w:color w:val="auto"/>
                <w:kern w:val="0"/>
                <w:sz w:val="24"/>
                <w:szCs w:val="24"/>
                <w:highlight w:val="none"/>
                <w:lang w:val="en-US" w:eastAsia="zh-CN"/>
              </w:rPr>
              <w:t>约</w:t>
            </w:r>
            <w:r>
              <w:rPr>
                <w:rFonts w:hint="eastAsia" w:cs="Times New Roman"/>
                <w:snapToGrid w:val="0"/>
                <w:color w:val="auto"/>
                <w:kern w:val="0"/>
                <w:sz w:val="24"/>
                <w:szCs w:val="24"/>
                <w:highlight w:val="none"/>
                <w:lang w:val="en-US" w:eastAsia="zh-CN"/>
              </w:rPr>
              <w:t>1219</w:t>
            </w:r>
            <w:r>
              <w:rPr>
                <w:rFonts w:hint="default" w:ascii="Times New Roman" w:hAnsi="Times New Roman" w:eastAsia="宋体" w:cs="Times New Roman"/>
                <w:snapToGrid w:val="0"/>
                <w:color w:val="auto"/>
                <w:kern w:val="0"/>
                <w:sz w:val="24"/>
                <w:szCs w:val="24"/>
                <w:highlight w:val="none"/>
                <w:lang w:val="en-US" w:eastAsia="zh-CN"/>
              </w:rPr>
              <w:t>辆·次，</w:t>
            </w:r>
            <w:r>
              <w:rPr>
                <w:rFonts w:hint="eastAsia" w:ascii="Times New Roman" w:hAnsi="Times New Roman" w:eastAsia="宋体" w:cs="Times New Roman"/>
                <w:snapToGrid w:val="0"/>
                <w:color w:val="auto"/>
                <w:kern w:val="0"/>
                <w:sz w:val="24"/>
                <w:szCs w:val="24"/>
                <w:highlight w:val="none"/>
                <w:lang w:val="en-US" w:eastAsia="zh-CN"/>
              </w:rPr>
              <w:t>则本项目理论用水总量为</w:t>
            </w:r>
            <w:r>
              <w:rPr>
                <w:rFonts w:hint="eastAsia" w:cs="Times New Roman"/>
                <w:snapToGrid w:val="0"/>
                <w:color w:val="auto"/>
                <w:kern w:val="0"/>
                <w:sz w:val="24"/>
                <w:szCs w:val="24"/>
                <w:highlight w:val="none"/>
                <w:lang w:val="en-US" w:eastAsia="zh-CN"/>
              </w:rPr>
              <w:t>97.52</w:t>
            </w:r>
            <w:r>
              <w:rPr>
                <w:rFonts w:hint="default" w:ascii="Times New Roman" w:hAnsi="Times New Roman" w:eastAsia="宋体" w:cs="Times New Roman"/>
                <w:snapToGrid w:val="0"/>
                <w:color w:val="auto"/>
                <w:kern w:val="0"/>
                <w:sz w:val="24"/>
                <w:szCs w:val="24"/>
                <w:highlight w:val="none"/>
                <w:lang w:val="en-US" w:eastAsia="zh-CN"/>
              </w:rPr>
              <w:t>m</w:t>
            </w:r>
            <w:r>
              <w:rPr>
                <w:rFonts w:hint="default" w:ascii="Times New Roman" w:hAnsi="Times New Roman" w:eastAsia="宋体" w:cs="Times New Roman"/>
                <w:snapToGrid w:val="0"/>
                <w:color w:val="auto"/>
                <w:kern w:val="0"/>
                <w:sz w:val="24"/>
                <w:szCs w:val="24"/>
                <w:highlight w:val="none"/>
                <w:vertAlign w:val="superscript"/>
                <w:lang w:val="en-US" w:eastAsia="zh-CN"/>
              </w:rPr>
              <w:t>3</w:t>
            </w:r>
            <w:r>
              <w:rPr>
                <w:rFonts w:hint="default" w:ascii="Times New Roman" w:hAnsi="Times New Roman" w:eastAsia="宋体" w:cs="Times New Roman"/>
                <w:snapToGrid w:val="0"/>
                <w:color w:val="auto"/>
                <w:kern w:val="0"/>
                <w:sz w:val="24"/>
                <w:szCs w:val="24"/>
                <w:highlight w:val="none"/>
                <w:lang w:val="en-US" w:eastAsia="zh-CN"/>
              </w:rPr>
              <w:t>/a</w:t>
            </w:r>
            <w:r>
              <w:rPr>
                <w:rFonts w:hint="eastAsia" w:ascii="Times New Roman" w:hAnsi="Times New Roman" w:eastAsia="宋体" w:cs="Times New Roman"/>
                <w:snapToGrid w:val="0"/>
                <w:color w:val="auto"/>
                <w:kern w:val="0"/>
                <w:sz w:val="24"/>
                <w:szCs w:val="24"/>
                <w:highlight w:val="none"/>
                <w:lang w:val="en-US" w:eastAsia="zh-CN"/>
              </w:rPr>
              <w:t>，</w:t>
            </w:r>
            <w:r>
              <w:rPr>
                <w:rFonts w:hint="eastAsia" w:cs="Times New Roman"/>
                <w:snapToGrid w:val="0"/>
                <w:color w:val="auto"/>
                <w:kern w:val="0"/>
                <w:sz w:val="24"/>
                <w:szCs w:val="24"/>
                <w:highlight w:val="none"/>
                <w:lang w:val="en-US" w:eastAsia="zh-CN"/>
              </w:rPr>
              <w:t>车辆清洗</w:t>
            </w:r>
            <w:r>
              <w:rPr>
                <w:rFonts w:hint="default" w:ascii="Times New Roman" w:hAnsi="Times New Roman" w:eastAsia="宋体" w:cs="Times New Roman"/>
                <w:snapToGrid w:val="0"/>
                <w:color w:val="auto"/>
                <w:kern w:val="0"/>
                <w:sz w:val="24"/>
                <w:szCs w:val="24"/>
                <w:highlight w:val="none"/>
                <w:lang w:val="en-US" w:eastAsia="zh-CN"/>
              </w:rPr>
              <w:t>水</w:t>
            </w:r>
            <w:r>
              <w:rPr>
                <w:rFonts w:hint="eastAsia" w:ascii="Times New Roman" w:hAnsi="Times New Roman" w:eastAsia="宋体" w:cs="Times New Roman"/>
                <w:snapToGrid w:val="0"/>
                <w:color w:val="auto"/>
                <w:kern w:val="0"/>
                <w:sz w:val="24"/>
                <w:szCs w:val="24"/>
                <w:highlight w:val="none"/>
                <w:lang w:val="en-US" w:eastAsia="zh-CN"/>
              </w:rPr>
              <w:t>损耗按</w:t>
            </w:r>
            <w:r>
              <w:rPr>
                <w:rFonts w:hint="default" w:ascii="Times New Roman" w:hAnsi="Times New Roman" w:eastAsia="宋体" w:cs="Times New Roman"/>
                <w:snapToGrid w:val="0"/>
                <w:color w:val="auto"/>
                <w:kern w:val="0"/>
                <w:sz w:val="24"/>
                <w:szCs w:val="24"/>
                <w:highlight w:val="none"/>
                <w:lang w:val="en-US" w:eastAsia="zh-CN"/>
              </w:rPr>
              <w:t>20%</w:t>
            </w:r>
            <w:r>
              <w:rPr>
                <w:rFonts w:hint="eastAsia" w:ascii="Times New Roman" w:hAnsi="Times New Roman" w:eastAsia="宋体" w:cs="Times New Roman"/>
                <w:snapToGrid w:val="0"/>
                <w:color w:val="auto"/>
                <w:kern w:val="0"/>
                <w:sz w:val="24"/>
                <w:szCs w:val="24"/>
                <w:highlight w:val="none"/>
                <w:lang w:val="en-US" w:eastAsia="zh-CN"/>
              </w:rPr>
              <w:t>计，</w:t>
            </w:r>
            <w:r>
              <w:rPr>
                <w:rFonts w:hint="eastAsia" w:ascii="Times New Roman" w:hAnsi="Times New Roman" w:cs="Times New Roman"/>
                <w:snapToGrid w:val="0"/>
                <w:color w:val="auto"/>
                <w:kern w:val="0"/>
                <w:sz w:val="24"/>
                <w:szCs w:val="24"/>
                <w:highlight w:val="none"/>
                <w:lang w:val="en-US" w:eastAsia="zh-CN"/>
              </w:rPr>
              <w:t>补水量</w:t>
            </w:r>
            <w:r>
              <w:rPr>
                <w:rFonts w:hint="eastAsia" w:cs="Times New Roman"/>
                <w:snapToGrid w:val="0"/>
                <w:color w:val="auto"/>
                <w:kern w:val="0"/>
                <w:sz w:val="24"/>
                <w:szCs w:val="24"/>
                <w:highlight w:val="none"/>
                <w:lang w:val="en-US" w:eastAsia="zh-CN"/>
              </w:rPr>
              <w:t>19.504</w:t>
            </w:r>
            <w:r>
              <w:rPr>
                <w:rFonts w:hint="eastAsia" w:ascii="Times New Roman" w:hAnsi="Times New Roman" w:cs="Times New Roman"/>
                <w:snapToGrid w:val="0"/>
                <w:color w:val="auto"/>
                <w:kern w:val="0"/>
                <w:sz w:val="24"/>
                <w:szCs w:val="24"/>
                <w:highlight w:val="none"/>
                <w:lang w:val="en-US" w:eastAsia="zh-CN"/>
              </w:rPr>
              <w:t>m</w:t>
            </w:r>
            <w:r>
              <w:rPr>
                <w:rFonts w:hint="eastAsia" w:ascii="Times New Roman" w:hAnsi="Times New Roman" w:cs="Times New Roman"/>
                <w:snapToGrid w:val="0"/>
                <w:color w:val="auto"/>
                <w:kern w:val="0"/>
                <w:sz w:val="24"/>
                <w:szCs w:val="24"/>
                <w:highlight w:val="none"/>
                <w:vertAlign w:val="superscript"/>
                <w:lang w:val="en-US" w:eastAsia="zh-CN"/>
              </w:rPr>
              <w:t>3</w:t>
            </w:r>
            <w:r>
              <w:rPr>
                <w:rFonts w:hint="eastAsia" w:ascii="Times New Roman" w:hAnsi="Times New Roman" w:cs="Times New Roman"/>
                <w:snapToGrid w:val="0"/>
                <w:color w:val="auto"/>
                <w:kern w:val="0"/>
                <w:sz w:val="24"/>
                <w:szCs w:val="24"/>
                <w:highlight w:val="none"/>
                <w:lang w:val="en-US" w:eastAsia="zh-CN"/>
              </w:rPr>
              <w:t>/a，</w:t>
            </w:r>
            <w:r>
              <w:rPr>
                <w:rFonts w:hint="eastAsia" w:ascii="Times New Roman" w:hAnsi="Times New Roman" w:eastAsia="宋体" w:cs="Times New Roman"/>
                <w:snapToGrid w:val="0"/>
                <w:color w:val="auto"/>
                <w:kern w:val="0"/>
                <w:sz w:val="24"/>
                <w:szCs w:val="24"/>
                <w:highlight w:val="none"/>
                <w:lang w:val="en-US" w:eastAsia="zh-CN"/>
              </w:rPr>
              <w:t>经</w:t>
            </w:r>
            <w:r>
              <w:rPr>
                <w:rFonts w:hint="default" w:ascii="Times New Roman" w:hAnsi="Times New Roman" w:eastAsia="宋体" w:cs="Times New Roman"/>
                <w:snapToGrid w:val="0"/>
                <w:color w:val="auto"/>
                <w:kern w:val="0"/>
                <w:sz w:val="24"/>
                <w:szCs w:val="24"/>
                <w:highlight w:val="none"/>
                <w:lang w:val="en-US" w:eastAsia="zh-CN"/>
              </w:rPr>
              <w:t>沉淀处理后循环使用，</w:t>
            </w:r>
            <w:r>
              <w:rPr>
                <w:rFonts w:hint="eastAsia" w:ascii="Times New Roman" w:hAnsi="Times New Roman" w:cs="Times New Roman"/>
                <w:snapToGrid w:val="0"/>
                <w:color w:val="auto"/>
                <w:kern w:val="0"/>
                <w:sz w:val="24"/>
                <w:szCs w:val="24"/>
                <w:highlight w:val="none"/>
                <w:lang w:val="en-US" w:eastAsia="zh-CN"/>
              </w:rPr>
              <w:t>洗车沉淀池15m</w:t>
            </w:r>
            <w:r>
              <w:rPr>
                <w:rFonts w:hint="eastAsia" w:ascii="Times New Roman" w:hAnsi="Times New Roman" w:cs="Times New Roman"/>
                <w:snapToGrid w:val="0"/>
                <w:color w:val="auto"/>
                <w:kern w:val="0"/>
                <w:sz w:val="24"/>
                <w:szCs w:val="24"/>
                <w:highlight w:val="none"/>
                <w:vertAlign w:val="superscript"/>
                <w:lang w:val="en-US" w:eastAsia="zh-CN"/>
              </w:rPr>
              <w:t>3</w:t>
            </w:r>
            <w:r>
              <w:rPr>
                <w:rFonts w:hint="eastAsia" w:ascii="Times New Roman" w:hAnsi="Times New Roman" w:cs="Times New Roman"/>
                <w:snapToGrid w:val="0"/>
                <w:color w:val="auto"/>
                <w:kern w:val="0"/>
                <w:sz w:val="24"/>
                <w:szCs w:val="24"/>
                <w:highlight w:val="none"/>
                <w:vertAlign w:val="baseline"/>
                <w:lang w:val="en-US" w:eastAsia="zh-CN"/>
              </w:rPr>
              <w:t>，</w:t>
            </w:r>
            <w:r>
              <w:rPr>
                <w:rFonts w:hint="eastAsia" w:ascii="Times New Roman" w:hAnsi="Times New Roman" w:cs="Times New Roman"/>
                <w:snapToGrid w:val="0"/>
                <w:color w:val="auto"/>
                <w:kern w:val="0"/>
                <w:sz w:val="24"/>
                <w:szCs w:val="24"/>
                <w:highlight w:val="none"/>
                <w:lang w:val="en-US" w:eastAsia="zh-CN"/>
              </w:rPr>
              <w:t>循环水约</w:t>
            </w:r>
            <w:r>
              <w:rPr>
                <w:rFonts w:hint="eastAsia" w:cs="Times New Roman"/>
                <w:snapToGrid w:val="0"/>
                <w:color w:val="auto"/>
                <w:kern w:val="0"/>
                <w:sz w:val="24"/>
                <w:szCs w:val="24"/>
                <w:highlight w:val="none"/>
                <w:lang w:val="en-US" w:eastAsia="zh-CN"/>
              </w:rPr>
              <w:t>78.016</w:t>
            </w:r>
            <w:r>
              <w:rPr>
                <w:rFonts w:hint="eastAsia" w:ascii="Times New Roman" w:hAnsi="Times New Roman" w:cs="Times New Roman"/>
                <w:snapToGrid w:val="0"/>
                <w:color w:val="auto"/>
                <w:kern w:val="0"/>
                <w:sz w:val="24"/>
                <w:szCs w:val="24"/>
                <w:highlight w:val="none"/>
                <w:lang w:val="en-US" w:eastAsia="zh-CN"/>
              </w:rPr>
              <w:t>m</w:t>
            </w:r>
            <w:r>
              <w:rPr>
                <w:rFonts w:hint="eastAsia" w:ascii="Times New Roman" w:hAnsi="Times New Roman" w:cs="Times New Roman"/>
                <w:snapToGrid w:val="0"/>
                <w:color w:val="auto"/>
                <w:kern w:val="0"/>
                <w:sz w:val="24"/>
                <w:szCs w:val="24"/>
                <w:highlight w:val="none"/>
                <w:vertAlign w:val="superscript"/>
                <w:lang w:val="en-US" w:eastAsia="zh-CN"/>
              </w:rPr>
              <w:t>3</w:t>
            </w:r>
            <w:r>
              <w:rPr>
                <w:rFonts w:hint="default" w:ascii="Times New Roman" w:hAnsi="Times New Roman" w:eastAsia="宋体" w:cs="Times New Roman"/>
                <w:snapToGrid w:val="0"/>
                <w:color w:val="auto"/>
                <w:kern w:val="0"/>
                <w:sz w:val="24"/>
                <w:szCs w:val="24"/>
                <w:highlight w:val="none"/>
                <w:lang w:val="en-US" w:eastAsia="zh-CN"/>
              </w:rPr>
              <w:t>。</w:t>
            </w:r>
          </w:p>
          <w:p>
            <w:pPr>
              <w:bidi w:val="0"/>
              <w:rPr>
                <w:rFonts w:hint="eastAsia"/>
                <w:lang w:val="en-US" w:eastAsia="zh-CN"/>
              </w:rPr>
            </w:pPr>
            <w:r>
              <w:rPr>
                <w:rFonts w:hint="eastAsia"/>
                <w:lang w:val="en-US" w:eastAsia="zh-CN"/>
              </w:rPr>
              <w:t>③绿化用水</w:t>
            </w:r>
          </w:p>
          <w:p>
            <w:pPr>
              <w:bidi w:val="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根据现场实际情况，</w:t>
            </w:r>
            <w:r>
              <w:rPr>
                <w:rFonts w:hint="default"/>
                <w:color w:val="000000" w:themeColor="text1"/>
                <w:sz w:val="24"/>
                <w:szCs w:val="24"/>
                <w:lang w:val="en-US" w:eastAsia="zh-CN"/>
                <w14:textFill>
                  <w14:solidFill>
                    <w14:schemeClr w14:val="tx1"/>
                  </w14:solidFill>
                </w14:textFill>
              </w:rPr>
              <w:t>本项目绿化面积</w:t>
            </w:r>
            <w:r>
              <w:rPr>
                <w:rFonts w:hint="eastAsia"/>
                <w:color w:val="000000" w:themeColor="text1"/>
                <w:sz w:val="24"/>
                <w:szCs w:val="24"/>
                <w:lang w:val="en-US" w:eastAsia="zh-CN"/>
                <w14:textFill>
                  <w14:solidFill>
                    <w14:schemeClr w14:val="tx1"/>
                  </w14:solidFill>
                </w14:textFill>
              </w:rPr>
              <w:t>约</w:t>
            </w:r>
            <w:r>
              <w:rPr>
                <w:rFonts w:hint="default"/>
                <w:color w:val="000000" w:themeColor="text1"/>
                <w:sz w:val="24"/>
                <w:szCs w:val="24"/>
                <w:lang w:val="en-US" w:eastAsia="zh-CN"/>
                <w14:textFill>
                  <w14:solidFill>
                    <w14:schemeClr w14:val="tx1"/>
                  </w14:solidFill>
                </w14:textFill>
              </w:rPr>
              <w:t>为</w:t>
            </w:r>
            <w:r>
              <w:rPr>
                <w:rFonts w:hint="eastAsia"/>
                <w:color w:val="000000" w:themeColor="text1"/>
                <w:sz w:val="24"/>
                <w:szCs w:val="24"/>
                <w:lang w:val="en-US" w:eastAsia="zh-CN"/>
                <w14:textFill>
                  <w14:solidFill>
                    <w14:schemeClr w14:val="tx1"/>
                  </w14:solidFill>
                </w14:textFill>
              </w:rPr>
              <w:t>114</w:t>
            </w:r>
            <w:r>
              <w:rPr>
                <w:rFonts w:hint="default"/>
                <w:color w:val="000000" w:themeColor="text1"/>
                <w:sz w:val="24"/>
                <w:szCs w:val="24"/>
                <w:lang w:val="en-US" w:eastAsia="zh-CN"/>
                <w14:textFill>
                  <w14:solidFill>
                    <w14:schemeClr w14:val="tx1"/>
                  </w14:solidFill>
                </w14:textFill>
              </w:rPr>
              <w:t>m</w:t>
            </w:r>
            <w:r>
              <w:rPr>
                <w:rFonts w:hint="default"/>
                <w:color w:val="000000" w:themeColor="text1"/>
                <w:sz w:val="24"/>
                <w:szCs w:val="24"/>
                <w:vertAlign w:val="superscript"/>
                <w:lang w:val="en-US" w:eastAsia="zh-CN"/>
                <w14:textFill>
                  <w14:solidFill>
                    <w14:schemeClr w14:val="tx1"/>
                  </w14:solidFill>
                </w14:textFill>
              </w:rPr>
              <w:t>2</w:t>
            </w:r>
            <w:r>
              <w:rPr>
                <w:rFonts w:hint="eastAsia"/>
                <w:color w:val="000000" w:themeColor="text1"/>
                <w:sz w:val="24"/>
                <w:szCs w:val="24"/>
                <w:vertAlign w:val="baseline"/>
                <w:lang w:val="en-US" w:eastAsia="zh-CN"/>
                <w14:textFill>
                  <w14:solidFill>
                    <w14:schemeClr w14:val="tx1"/>
                  </w14:solidFill>
                </w14:textFill>
              </w:rPr>
              <w:t>（合0.167亩）</w:t>
            </w:r>
            <w:r>
              <w:rPr>
                <w:rFonts w:hint="default"/>
                <w:color w:val="000000" w:themeColor="text1"/>
                <w:sz w:val="24"/>
                <w:szCs w:val="24"/>
                <w:lang w:val="en-US" w:eastAsia="zh-CN"/>
                <w14:textFill>
                  <w14:solidFill>
                    <w14:schemeClr w14:val="tx1"/>
                  </w14:solidFill>
                </w14:textFill>
              </w:rPr>
              <w:t>，根据《新疆维吾尔自治区生活用水定额》中规定绿地用水量为500-600m</w:t>
            </w:r>
            <w:r>
              <w:rPr>
                <w:rFonts w:hint="default"/>
                <w:color w:val="000000" w:themeColor="text1"/>
                <w:sz w:val="24"/>
                <w:szCs w:val="24"/>
                <w:vertAlign w:val="superscript"/>
                <w:lang w:val="en-US" w:eastAsia="zh-CN"/>
                <w14:textFill>
                  <w14:solidFill>
                    <w14:schemeClr w14:val="tx1"/>
                  </w14:solidFill>
                </w14:textFill>
              </w:rPr>
              <w:t>3</w:t>
            </w:r>
            <w:r>
              <w:rPr>
                <w:rFonts w:hint="default"/>
                <w:color w:val="000000" w:themeColor="text1"/>
                <w:sz w:val="24"/>
                <w:szCs w:val="24"/>
                <w:lang w:val="en-US" w:eastAsia="zh-CN"/>
                <w14:textFill>
                  <w14:solidFill>
                    <w14:schemeClr w14:val="tx1"/>
                  </w14:solidFill>
                </w14:textFill>
              </w:rPr>
              <w:t>/亩·a</w:t>
            </w:r>
            <w:r>
              <w:rPr>
                <w:rFonts w:hint="eastAsia"/>
                <w:color w:val="000000" w:themeColor="text1"/>
                <w:sz w:val="24"/>
                <w:szCs w:val="24"/>
                <w:lang w:val="en-US" w:eastAsia="zh-CN"/>
                <w14:textFill>
                  <w14:solidFill>
                    <w14:schemeClr w14:val="tx1"/>
                  </w14:solidFill>
                </w14:textFill>
              </w:rPr>
              <w:t>（本项目取600m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/亩·a）</w:t>
            </w:r>
            <w:r>
              <w:rPr>
                <w:rFonts w:hint="default"/>
                <w:color w:val="000000" w:themeColor="text1"/>
                <w:sz w:val="24"/>
                <w:szCs w:val="24"/>
                <w:lang w:val="en-US" w:eastAsia="zh-CN"/>
                <w14:textFill>
                  <w14:solidFill>
                    <w14:schemeClr w14:val="tx1"/>
                  </w14:solidFill>
                </w14:textFill>
              </w:rPr>
              <w:t>，计算绿化用水量为</w:t>
            </w:r>
            <w:r>
              <w:rPr>
                <w:rFonts w:hint="eastAsia"/>
                <w:color w:val="000000" w:themeColor="text1"/>
                <w:sz w:val="24"/>
                <w:szCs w:val="24"/>
                <w:lang w:val="en-US" w:eastAsia="zh-CN"/>
                <w14:textFill>
                  <w14:solidFill>
                    <w14:schemeClr w14:val="tx1"/>
                  </w14:solidFill>
                </w14:textFill>
              </w:rPr>
              <w:t>100.2</w:t>
            </w:r>
            <w:r>
              <w:rPr>
                <w:rFonts w:hint="default"/>
                <w:color w:val="000000" w:themeColor="text1"/>
                <w:sz w:val="24"/>
                <w:szCs w:val="24"/>
                <w:lang w:val="en-US" w:eastAsia="zh-CN"/>
                <w14:textFill>
                  <w14:solidFill>
                    <w14:schemeClr w14:val="tx1"/>
                  </w14:solidFill>
                </w14:textFill>
              </w:rPr>
              <w:t>m</w:t>
            </w:r>
            <w:r>
              <w:rPr>
                <w:rFonts w:hint="default"/>
                <w:color w:val="000000" w:themeColor="text1"/>
                <w:sz w:val="24"/>
                <w:szCs w:val="24"/>
                <w:vertAlign w:val="superscript"/>
                <w:lang w:val="en-US" w:eastAsia="zh-CN"/>
                <w14:textFill>
                  <w14:solidFill>
                    <w14:schemeClr w14:val="tx1"/>
                  </w14:solidFill>
                </w14:textFill>
              </w:rPr>
              <w:t>3</w:t>
            </w:r>
            <w:r>
              <w:rPr>
                <w:rFonts w:hint="default"/>
                <w:color w:val="000000" w:themeColor="text1"/>
                <w:sz w:val="24"/>
                <w:szCs w:val="24"/>
                <w:lang w:val="en-US" w:eastAsia="zh-CN"/>
                <w14:textFill>
                  <w14:solidFill>
                    <w14:schemeClr w14:val="tx1"/>
                  </w14:solidFill>
                </w14:textFill>
              </w:rPr>
              <w:t>/a。</w:t>
            </w:r>
          </w:p>
          <w:p>
            <w:pPr>
              <w:bidi w:val="0"/>
              <w:rPr>
                <w:rFonts w:hint="default"/>
                <w:color w:val="000000" w:themeColor="text1"/>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综上所述，本项目新鲜水总用量为4488.304m</w:t>
            </w:r>
            <w:r>
              <w:rPr>
                <w:rFonts w:hint="eastAsia"/>
                <w:color w:val="000000" w:themeColor="text1"/>
                <w:sz w:val="24"/>
                <w:szCs w:val="24"/>
                <w:vertAlign w:val="superscript"/>
                <w:lang w:val="en-US" w:eastAsia="zh-CN"/>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/a。</w:t>
            </w:r>
          </w:p>
          <w:p>
            <w:pPr>
              <w:ind w:firstLine="480" w:firstLineChars="200"/>
              <w:rPr>
                <w:rFonts w:hint="default"/>
                <w:color w:val="000000" w:themeColor="text1"/>
                <w:kern w:val="0"/>
                <w:lang w:val="en-US" w:eastAsia="zh-CN"/>
                <w14:textFill>
                  <w14:solidFill>
                    <w14:schemeClr w14:val="tx1"/>
                  </w14:solidFill>
                </w14:textFill>
              </w:rPr>
            </w:pPr>
            <w:r>
              <w:rPr>
                <w:rFonts w:hint="eastAsia"/>
                <w:color w:val="000000" w:themeColor="text1"/>
                <w:kern w:val="0"/>
                <w:lang w:eastAsia="zh-CN"/>
                <w14:textFill>
                  <w14:solidFill>
                    <w14:schemeClr w14:val="tx1"/>
                  </w14:solidFill>
                </w14:textFill>
              </w:rPr>
              <w:t>（</w:t>
            </w:r>
            <w:r>
              <w:rPr>
                <w:rFonts w:hint="eastAsia"/>
                <w:color w:val="000000" w:themeColor="text1"/>
                <w:kern w:val="0"/>
                <w:lang w:val="en-US" w:eastAsia="zh-CN"/>
                <w14:textFill>
                  <w14:solidFill>
                    <w14:schemeClr w14:val="tx1"/>
                  </w14:solidFill>
                </w14:textFill>
              </w:rPr>
              <w:t>2</w:t>
            </w:r>
            <w:r>
              <w:rPr>
                <w:rFonts w:hint="eastAsia"/>
                <w:color w:val="000000" w:themeColor="text1"/>
                <w:kern w:val="0"/>
                <w:lang w:eastAsia="zh-CN"/>
                <w14:textFill>
                  <w14:solidFill>
                    <w14:schemeClr w14:val="tx1"/>
                  </w14:solidFill>
                </w14:textFill>
              </w:rPr>
              <w:t>）</w:t>
            </w:r>
            <w:r>
              <w:rPr>
                <w:rFonts w:hint="eastAsia"/>
                <w:color w:val="000000" w:themeColor="text1"/>
                <w:kern w:val="0"/>
                <w:lang w:val="en-US" w:eastAsia="zh-CN"/>
                <w14:textFill>
                  <w14:solidFill>
                    <w14:schemeClr w14:val="tx1"/>
                  </w14:solidFill>
                </w14:textFill>
              </w:rPr>
              <w:t>排水</w:t>
            </w:r>
          </w:p>
          <w:p>
            <w:pPr>
              <w:ind w:firstLine="480" w:firstLineChars="200"/>
              <w:rPr>
                <w:rFonts w:hint="eastAsia"/>
                <w:color w:val="000000" w:themeColor="text1"/>
                <w:kern w:val="0"/>
                <w14:textFill>
                  <w14:solidFill>
                    <w14:schemeClr w14:val="tx1"/>
                  </w14:solidFill>
                </w14:textFill>
              </w:rPr>
            </w:pPr>
            <w:r>
              <w:rPr>
                <w:rFonts w:hint="eastAsia"/>
                <w:color w:val="000000" w:themeColor="text1"/>
                <w:kern w:val="0"/>
                <w:lang w:val="en-US" w:eastAsia="zh-CN"/>
                <w14:textFill>
                  <w14:solidFill>
                    <w14:schemeClr w14:val="tx1"/>
                  </w14:solidFill>
                </w14:textFill>
              </w:rPr>
              <w:t>生产废水：本项目无生产废水外排</w:t>
            </w:r>
            <w:r>
              <w:rPr>
                <w:rFonts w:hint="eastAsia"/>
                <w:color w:val="000000" w:themeColor="text1"/>
                <w:kern w:val="0"/>
                <w14:textFill>
                  <w14:solidFill>
                    <w14:schemeClr w14:val="tx1"/>
                  </w14:solidFill>
                </w14:textFill>
              </w:rPr>
              <w:t>；</w:t>
            </w:r>
          </w:p>
          <w:p>
            <w:pPr>
              <w:ind w:firstLine="480" w:firstLineChars="200"/>
              <w:rPr>
                <w:color w:val="000000" w:themeColor="text1"/>
                <w:kern w:val="0"/>
                <w:szCs w:val="21"/>
                <w14:textFill>
                  <w14:solidFill>
                    <w14:schemeClr w14:val="tx1"/>
                  </w14:solidFill>
                </w14:textFill>
              </w:rPr>
            </w:pPr>
            <w:r>
              <w:rPr>
                <w:rFonts w:hint="eastAsia"/>
                <w:color w:val="000000" w:themeColor="text1"/>
                <w:kern w:val="0"/>
                <w:lang w:val="en-US" w:eastAsia="zh-CN"/>
                <w14:textFill>
                  <w14:solidFill>
                    <w14:schemeClr w14:val="tx1"/>
                  </w14:solidFill>
                </w14:textFill>
              </w:rPr>
              <w:t>生活污水：</w:t>
            </w:r>
            <w:r>
              <w:rPr>
                <w:rFonts w:hint="eastAsia"/>
                <w:color w:val="auto"/>
                <w:highlight w:val="none"/>
                <w:lang w:val="en-US" w:eastAsia="zh-CN"/>
              </w:rPr>
              <w:t>本项目生活用水</w:t>
            </w:r>
            <w:r>
              <w:rPr>
                <w:rFonts w:hint="eastAsia"/>
                <w:color w:val="000000" w:themeColor="text1"/>
                <w:kern w:val="0"/>
                <w:sz w:val="24"/>
                <w:szCs w:val="24"/>
                <w:lang w:val="en-US" w:eastAsia="zh-CN"/>
                <w14:textFill>
                  <w14:solidFill>
                    <w14:schemeClr w14:val="tx1"/>
                  </w14:solidFill>
                </w14:textFill>
              </w:rPr>
              <w:t>384</w:t>
            </w:r>
            <w:r>
              <w:rPr>
                <w:color w:val="000000" w:themeColor="text1"/>
                <w:kern w:val="0"/>
                <w:sz w:val="24"/>
                <w:szCs w:val="24"/>
                <w14:textFill>
                  <w14:solidFill>
                    <w14:schemeClr w14:val="tx1"/>
                  </w14:solidFill>
                </w14:textFill>
              </w:rPr>
              <w:t>m</w:t>
            </w:r>
            <w:r>
              <w:rPr>
                <w:color w:val="000000" w:themeColor="text1"/>
                <w:kern w:val="0"/>
                <w:sz w:val="24"/>
                <w:szCs w:val="24"/>
                <w:vertAlign w:val="superscript"/>
                <w14:textFill>
                  <w14:solidFill>
                    <w14:schemeClr w14:val="tx1"/>
                  </w14:solidFill>
                </w14:textFill>
              </w:rPr>
              <w:t>3</w:t>
            </w:r>
            <w:r>
              <w:rPr>
                <w:color w:val="000000" w:themeColor="text1"/>
                <w:kern w:val="0"/>
                <w:sz w:val="24"/>
                <w:szCs w:val="24"/>
                <w14:textFill>
                  <w14:solidFill>
                    <w14:schemeClr w14:val="tx1"/>
                  </w14:solidFill>
                </w14:textFill>
              </w:rPr>
              <w:t>/a</w:t>
            </w:r>
            <w:r>
              <w:rPr>
                <w:rFonts w:hint="eastAsia" w:eastAsia="宋体" w:cs="Times New Roman"/>
                <w:b w:val="0"/>
                <w:bCs/>
                <w:color w:val="auto"/>
                <w:sz w:val="24"/>
                <w:szCs w:val="24"/>
                <w:highlight w:val="none"/>
                <w:shd w:val="clear" w:color="auto" w:fill="auto"/>
                <w:lang w:eastAsia="zh-CN"/>
              </w:rPr>
              <w:t>，</w:t>
            </w:r>
            <w:r>
              <w:rPr>
                <w:rFonts w:hint="default"/>
              </w:rPr>
              <w:t>排水量按用水量80%计，则排水量</w:t>
            </w:r>
            <w:r>
              <w:rPr>
                <w:rFonts w:hint="default"/>
                <w:lang w:eastAsia="zh-CN"/>
              </w:rPr>
              <w:t>为</w:t>
            </w:r>
            <w:r>
              <w:rPr>
                <w:rFonts w:hint="eastAsia"/>
                <w:lang w:val="en-US" w:eastAsia="zh-CN"/>
              </w:rPr>
              <w:t>307.2</w:t>
            </w:r>
            <w:r>
              <w:rPr>
                <w:rFonts w:hint="default"/>
              </w:rPr>
              <w:t>m</w:t>
            </w:r>
            <w:r>
              <w:rPr>
                <w:rFonts w:hint="default"/>
                <w:vertAlign w:val="superscript"/>
              </w:rPr>
              <w:t>3</w:t>
            </w:r>
            <w:r>
              <w:rPr>
                <w:rFonts w:hint="default"/>
              </w:rPr>
              <w:t>/a。</w:t>
            </w:r>
            <w:r>
              <w:rPr>
                <w:rFonts w:hint="eastAsia"/>
                <w:color w:val="auto"/>
                <w:highlight w:val="none"/>
                <w:lang w:val="en-US" w:eastAsia="zh-CN"/>
              </w:rPr>
              <w:t>本项目</w:t>
            </w:r>
            <w:r>
              <w:rPr>
                <w:rFonts w:hint="eastAsia" w:ascii="Times New Roman" w:hAnsi="Times New Roman" w:eastAsia="宋体" w:cs="Times New Roman"/>
                <w:b w:val="0"/>
                <w:bCs w:val="0"/>
                <w:color w:val="auto"/>
                <w:sz w:val="24"/>
                <w:szCs w:val="24"/>
                <w:highlight w:val="none"/>
                <w:lang w:val="en-US" w:eastAsia="zh-CN"/>
              </w:rPr>
              <w:t>生活污水</w:t>
            </w:r>
            <w:r>
              <w:rPr>
                <w:rFonts w:hint="eastAsia" w:ascii="Times New Roman" w:hAnsi="Times New Roman" w:eastAsia="宋体" w:cs="Times New Roman"/>
                <w:color w:val="auto"/>
                <w:sz w:val="24"/>
                <w:szCs w:val="24"/>
                <w:highlight w:val="none"/>
                <w:lang w:eastAsia="zh-CN"/>
              </w:rPr>
              <w:t>排入</w:t>
            </w:r>
            <w:r>
              <w:rPr>
                <w:rFonts w:hint="eastAsia" w:cs="Times New Roman"/>
                <w:color w:val="auto"/>
                <w:sz w:val="24"/>
                <w:szCs w:val="24"/>
                <w:highlight w:val="none"/>
                <w:lang w:val="en-US" w:eastAsia="zh-CN"/>
              </w:rPr>
              <w:t>厂区</w:t>
            </w:r>
            <w:r>
              <w:rPr>
                <w:rFonts w:hint="eastAsia" w:ascii="Times New Roman" w:hAnsi="Times New Roman" w:eastAsia="宋体" w:cs="Times New Roman"/>
                <w:color w:val="auto"/>
                <w:sz w:val="24"/>
                <w:szCs w:val="24"/>
                <w:highlight w:val="none"/>
                <w:lang w:val="en-US" w:eastAsia="zh-CN"/>
              </w:rPr>
              <w:t>防渗化</w:t>
            </w:r>
            <w:r>
              <w:rPr>
                <w:rFonts w:hint="eastAsia" w:ascii="Times New Roman" w:hAnsi="Times New Roman" w:eastAsia="宋体" w:cs="Times New Roman"/>
                <w:color w:val="auto"/>
                <w:highlight w:val="none"/>
                <w:lang w:val="en-US" w:eastAsia="zh-CN"/>
              </w:rPr>
              <w:t>粪池（50m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），定期由清污车清掏至若羌县污水处理厂处理。</w:t>
            </w:r>
          </w:p>
          <w:p>
            <w:pPr>
              <w:ind w:left="0" w:leftChars="0" w:firstLine="0" w:firstLineChars="0"/>
              <w:jc w:val="both"/>
              <w:rPr>
                <w:rFonts w:hint="eastAsia" w:eastAsia="宋体"/>
                <w:color w:val="000000" w:themeColor="text1"/>
                <w:kern w:val="0"/>
                <w:sz w:val="21"/>
                <w:szCs w:val="21"/>
                <w:lang w:eastAsia="zh-CN"/>
                <w14:textFill>
                  <w14:solidFill>
                    <w14:schemeClr w14:val="tx1"/>
                  </w14:solidFill>
                </w14:textFill>
              </w:rPr>
            </w:pPr>
            <w:r>
              <w:rPr>
                <w:rFonts w:hint="eastAsia" w:eastAsia="宋体"/>
                <w:color w:val="000000" w:themeColor="text1"/>
                <w:kern w:val="0"/>
                <w:sz w:val="21"/>
                <w:szCs w:val="21"/>
                <w:lang w:eastAsia="zh-CN"/>
                <w14:textFill>
                  <w14:solidFill>
                    <w14:schemeClr w14:val="tx1"/>
                  </w14:solidFill>
                </w14:textFill>
              </w:rPr>
              <w:drawing>
                <wp:inline distT="0" distB="0" distL="114300" distR="114300">
                  <wp:extent cx="4676140" cy="3938270"/>
                  <wp:effectExtent l="0" t="0" r="0" b="0"/>
                  <wp:docPr id="2" name="ECB019B1-382A-4266-B25C-5B523AA43C14-1" descr="C:/Users/MyPC/AppData/Local/Temp/wps.osyHr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MyPC/AppData/Local/Temp/wps.osyHrswps"/>
                          <pic:cNvPicPr>
                            <a:picLocks noChangeAspect="1"/>
                          </pic:cNvPicPr>
                        </pic:nvPicPr>
                        <pic:blipFill>
                          <a:blip r:embed="rId9"/>
                          <a:stretch>
                            <a:fillRect/>
                          </a:stretch>
                        </pic:blipFill>
                        <pic:spPr>
                          <a:xfrm>
                            <a:off x="0" y="0"/>
                            <a:ext cx="4676140" cy="3938270"/>
                          </a:xfrm>
                          <a:prstGeom prst="rect">
                            <a:avLst/>
                          </a:prstGeom>
                        </pic:spPr>
                      </pic:pic>
                    </a:graphicData>
                  </a:graphic>
                </wp:inline>
              </w:drawing>
            </w:r>
          </w:p>
          <w:p>
            <w:pPr>
              <w:ind w:firstLine="422" w:firstLineChars="200"/>
              <w:jc w:val="center"/>
              <w:rPr>
                <w:b/>
                <w:bCs/>
                <w:color w:val="000000" w:themeColor="text1"/>
                <w:kern w:val="0"/>
                <w:sz w:val="21"/>
                <w:szCs w:val="21"/>
                <w14:textFill>
                  <w14:solidFill>
                    <w14:schemeClr w14:val="tx1"/>
                  </w14:solidFill>
                </w14:textFill>
              </w:rPr>
            </w:pPr>
            <w:r>
              <w:rPr>
                <w:b/>
                <w:bCs/>
                <w:color w:val="000000" w:themeColor="text1"/>
                <w:kern w:val="0"/>
                <w:sz w:val="21"/>
                <w:szCs w:val="21"/>
                <w14:textFill>
                  <w14:solidFill>
                    <w14:schemeClr w14:val="tx1"/>
                  </w14:solidFill>
                </w14:textFill>
              </w:rPr>
              <w:t>图</w:t>
            </w:r>
            <w:r>
              <w:rPr>
                <w:rFonts w:hint="eastAsia"/>
                <w:b/>
                <w:bCs/>
                <w:color w:val="000000" w:themeColor="text1"/>
                <w:kern w:val="0"/>
                <w:sz w:val="21"/>
                <w:szCs w:val="21"/>
                <w:lang w:val="en-US" w:eastAsia="zh-CN"/>
                <w14:textFill>
                  <w14:solidFill>
                    <w14:schemeClr w14:val="tx1"/>
                  </w14:solidFill>
                </w14:textFill>
              </w:rPr>
              <w:t>2-1</w:t>
            </w:r>
            <w:r>
              <w:rPr>
                <w:b/>
                <w:bCs/>
                <w:color w:val="000000" w:themeColor="text1"/>
                <w:kern w:val="0"/>
                <w:sz w:val="21"/>
                <w:szCs w:val="21"/>
                <w14:textFill>
                  <w14:solidFill>
                    <w14:schemeClr w14:val="tx1"/>
                  </w14:solidFill>
                </w14:textFill>
              </w:rPr>
              <w:t xml:space="preserve">    项目水平衡图（m</w:t>
            </w:r>
            <w:r>
              <w:rPr>
                <w:b/>
                <w:bCs/>
                <w:color w:val="000000" w:themeColor="text1"/>
                <w:kern w:val="0"/>
                <w:sz w:val="21"/>
                <w:szCs w:val="21"/>
                <w:vertAlign w:val="superscript"/>
                <w14:textFill>
                  <w14:solidFill>
                    <w14:schemeClr w14:val="tx1"/>
                  </w14:solidFill>
                </w14:textFill>
              </w:rPr>
              <w:t>3</w:t>
            </w:r>
            <w:r>
              <w:rPr>
                <w:b/>
                <w:bCs/>
                <w:color w:val="000000" w:themeColor="text1"/>
                <w:kern w:val="0"/>
                <w:sz w:val="21"/>
                <w:szCs w:val="21"/>
                <w14:textFill>
                  <w14:solidFill>
                    <w14:schemeClr w14:val="tx1"/>
                  </w14:solidFill>
                </w14:textFill>
              </w:rPr>
              <w:t>/a）</w:t>
            </w:r>
          </w:p>
          <w:p>
            <w:pPr>
              <w:pStyle w:val="4"/>
              <w:bidi w:val="0"/>
            </w:pPr>
            <w:r>
              <w:rPr>
                <w:rFonts w:hint="eastAsia"/>
                <w:lang w:val="en-US" w:eastAsia="zh-CN"/>
              </w:rPr>
              <w:t>6</w:t>
            </w:r>
            <w:r>
              <w:rPr>
                <w:rFonts w:hint="eastAsia"/>
                <w:lang w:eastAsia="zh-CN"/>
              </w:rPr>
              <w:t>、</w:t>
            </w:r>
            <w:r>
              <w:t>劳动定员</w:t>
            </w:r>
          </w:p>
          <w:p>
            <w:pPr>
              <w:ind w:firstLine="480" w:firstLineChars="200"/>
              <w:rPr>
                <w:color w:val="000000" w:themeColor="text1"/>
                <w:kern w:val="0"/>
                <w:sz w:val="21"/>
                <w:szCs w:val="21"/>
                <w14:textFill>
                  <w14:solidFill>
                    <w14:schemeClr w14:val="tx1"/>
                  </w14:solidFill>
                </w14:textFill>
              </w:rPr>
            </w:pPr>
            <w:r>
              <w:rPr>
                <w:color w:val="000000" w:themeColor="text1"/>
                <w:kern w:val="0"/>
                <w14:textFill>
                  <w14:solidFill>
                    <w14:schemeClr w14:val="tx1"/>
                  </w14:solidFill>
                </w14:textFill>
              </w:rPr>
              <w:t>全厂职工定员</w:t>
            </w:r>
            <w:r>
              <w:rPr>
                <w:rFonts w:hint="eastAsia"/>
                <w:color w:val="000000" w:themeColor="text1"/>
                <w:kern w:val="0"/>
                <w:lang w:val="en-US" w:eastAsia="zh-CN"/>
                <w14:textFill>
                  <w14:solidFill>
                    <w14:schemeClr w14:val="tx1"/>
                  </w14:solidFill>
                </w14:textFill>
              </w:rPr>
              <w:t>2</w:t>
            </w:r>
            <w:r>
              <w:rPr>
                <w:rFonts w:hint="eastAsia"/>
                <w:color w:val="000000" w:themeColor="text1"/>
                <w:kern w:val="0"/>
                <w14:textFill>
                  <w14:solidFill>
                    <w14:schemeClr w14:val="tx1"/>
                  </w14:solidFill>
                </w14:textFill>
              </w:rPr>
              <w:t>0</w:t>
            </w:r>
            <w:r>
              <w:rPr>
                <w:color w:val="000000" w:themeColor="text1"/>
                <w:kern w:val="0"/>
                <w14:textFill>
                  <w14:solidFill>
                    <w14:schemeClr w14:val="tx1"/>
                  </w14:solidFill>
                </w14:textFill>
              </w:rPr>
              <w:t>人，所有人员均在项目区内食宿，年工作</w:t>
            </w:r>
            <w:r>
              <w:rPr>
                <w:rFonts w:hint="eastAsia"/>
                <w:color w:val="000000" w:themeColor="text1"/>
                <w:kern w:val="0"/>
                <w:lang w:val="en-US" w:eastAsia="zh-CN"/>
                <w14:textFill>
                  <w14:solidFill>
                    <w14:schemeClr w14:val="tx1"/>
                  </w14:solidFill>
                </w14:textFill>
              </w:rPr>
              <w:t>240</w:t>
            </w:r>
            <w:r>
              <w:rPr>
                <w:rFonts w:hint="eastAsia"/>
                <w:color w:val="000000" w:themeColor="text1"/>
                <w:kern w:val="0"/>
                <w14:textFill>
                  <w14:solidFill>
                    <w14:schemeClr w14:val="tx1"/>
                  </w14:solidFill>
                </w14:textFill>
              </w:rPr>
              <w:t>d</w:t>
            </w:r>
            <w:r>
              <w:rPr>
                <w:color w:val="000000" w:themeColor="text1"/>
                <w:kern w:val="0"/>
                <w14:textFill>
                  <w14:solidFill>
                    <w14:schemeClr w14:val="tx1"/>
                  </w14:solidFill>
                </w14:textFill>
              </w:rPr>
              <w:t>，员工实行</w:t>
            </w:r>
            <w:r>
              <w:rPr>
                <w:rFonts w:hint="eastAsia"/>
                <w:color w:val="000000" w:themeColor="text1"/>
                <w:kern w:val="0"/>
                <w:lang w:val="en-US" w:eastAsia="zh-CN"/>
                <w14:textFill>
                  <w14:solidFill>
                    <w14:schemeClr w14:val="tx1"/>
                  </w14:solidFill>
                </w14:textFill>
              </w:rPr>
              <w:t>1</w:t>
            </w:r>
            <w:r>
              <w:rPr>
                <w:color w:val="000000" w:themeColor="text1"/>
                <w:kern w:val="0"/>
                <w14:textFill>
                  <w14:solidFill>
                    <w14:schemeClr w14:val="tx1"/>
                  </w14:solidFill>
                </w14:textFill>
              </w:rPr>
              <w:t>班工作制，每班8小时</w:t>
            </w:r>
            <w:r>
              <w:rPr>
                <w:rFonts w:hint="eastAsia"/>
                <w:color w:val="000000" w:themeColor="text1"/>
                <w:kern w:val="0"/>
                <w:lang w:eastAsia="zh-CN"/>
                <w14:textFill>
                  <w14:solidFill>
                    <w14:schemeClr w14:val="tx1"/>
                  </w14:solidFill>
                </w14:textFill>
              </w:rPr>
              <w:t>，</w:t>
            </w:r>
            <w:r>
              <w:rPr>
                <w:rFonts w:hint="eastAsia"/>
                <w:color w:val="000000" w:themeColor="text1"/>
                <w:kern w:val="0"/>
                <w:lang w:val="en-US" w:eastAsia="zh-CN"/>
                <w14:textFill>
                  <w14:solidFill>
                    <w14:schemeClr w14:val="tx1"/>
                  </w14:solidFill>
                </w14:textFill>
              </w:rPr>
              <w:t>年运行1920h</w:t>
            </w:r>
            <w:r>
              <w:rPr>
                <w:color w:val="000000" w:themeColor="text1"/>
                <w:kern w:val="0"/>
                <w14:textFill>
                  <w14:solidFill>
                    <w14:schemeClr w14:val="tx1"/>
                  </w14:solidFill>
                </w14:textFill>
              </w:rPr>
              <w:t>。</w:t>
            </w:r>
          </w:p>
          <w:p>
            <w:pPr>
              <w:pStyle w:val="4"/>
              <w:bidi w:val="0"/>
            </w:pPr>
            <w:r>
              <w:rPr>
                <w:rFonts w:hint="eastAsia"/>
              </w:rPr>
              <w:t>7</w:t>
            </w:r>
            <w:r>
              <w:rPr>
                <w:rFonts w:hint="eastAsia"/>
                <w:lang w:eastAsia="zh-CN"/>
              </w:rPr>
              <w:t>、</w:t>
            </w:r>
            <w:r>
              <w:t>厂区平面布置</w:t>
            </w:r>
          </w:p>
          <w:p>
            <w:pPr>
              <w:adjustRightInd w:val="0"/>
              <w:snapToGrid w:val="0"/>
              <w:ind w:firstLine="480" w:firstLineChars="200"/>
              <w:rPr>
                <w:rFonts w:hint="eastAsia"/>
                <w:color w:val="000000" w:themeColor="text1"/>
                <w:kern w:val="0"/>
                <w14:textFill>
                  <w14:solidFill>
                    <w14:schemeClr w14:val="tx1"/>
                  </w14:solidFill>
                </w14:textFill>
              </w:rPr>
            </w:pPr>
            <w:r>
              <w:rPr>
                <w:color w:val="000000" w:themeColor="text1"/>
                <w:kern w:val="0"/>
                <w14:textFill>
                  <w14:solidFill>
                    <w14:schemeClr w14:val="tx1"/>
                  </w14:solidFill>
                </w14:textFill>
              </w:rPr>
              <w:t>项目区</w:t>
            </w:r>
            <w:r>
              <w:rPr>
                <w:rFonts w:hint="eastAsia"/>
                <w:color w:val="000000" w:themeColor="text1"/>
                <w:kern w:val="0"/>
                <w14:textFill>
                  <w14:solidFill>
                    <w14:schemeClr w14:val="tx1"/>
                  </w14:solidFill>
                </w14:textFill>
              </w:rPr>
              <w:t>主入口位于项目区</w:t>
            </w:r>
            <w:r>
              <w:rPr>
                <w:rFonts w:hint="eastAsia"/>
                <w:color w:val="000000" w:themeColor="text1"/>
                <w:kern w:val="0"/>
                <w:lang w:val="en-US" w:eastAsia="zh-CN"/>
                <w14:textFill>
                  <w14:solidFill>
                    <w14:schemeClr w14:val="tx1"/>
                  </w14:solidFill>
                </w14:textFill>
              </w:rPr>
              <w:t>北</w:t>
            </w:r>
            <w:r>
              <w:rPr>
                <w:rFonts w:hint="eastAsia"/>
                <w:color w:val="000000" w:themeColor="text1"/>
                <w:kern w:val="0"/>
                <w14:textFill>
                  <w14:solidFill>
                    <w14:schemeClr w14:val="tx1"/>
                  </w14:solidFill>
                </w14:textFill>
              </w:rPr>
              <w:t>侧</w:t>
            </w:r>
            <w:r>
              <w:rPr>
                <w:rFonts w:hint="eastAsia"/>
                <w:color w:val="000000" w:themeColor="text1"/>
                <w:kern w:val="0"/>
                <w:lang w:val="en-US" w:eastAsia="zh-CN"/>
                <w14:textFill>
                  <w14:solidFill>
                    <w14:schemeClr w14:val="tx1"/>
                  </w14:solidFill>
                </w14:textFill>
              </w:rPr>
              <w:t>中部</w:t>
            </w:r>
            <w:r>
              <w:rPr>
                <w:rFonts w:hint="eastAsia"/>
                <w:color w:val="000000" w:themeColor="text1"/>
                <w:kern w:val="0"/>
                <w14:textFill>
                  <w14:solidFill>
                    <w14:schemeClr w14:val="tx1"/>
                  </w14:solidFill>
                </w14:textFill>
              </w:rPr>
              <w:t>，</w:t>
            </w:r>
            <w:r>
              <w:rPr>
                <w:rFonts w:hint="eastAsia"/>
                <w:color w:val="000000" w:themeColor="text1"/>
                <w:kern w:val="0"/>
                <w:lang w:val="en-US" w:eastAsia="zh-CN"/>
                <w14:textFill>
                  <w14:solidFill>
                    <w14:schemeClr w14:val="tx1"/>
                  </w14:solidFill>
                </w14:textFill>
              </w:rPr>
              <w:t>项目区自西至东依次为宿舍、办公室、库房，1#生产车间</w:t>
            </w:r>
            <w:r>
              <w:rPr>
                <w:rFonts w:hint="eastAsia"/>
                <w:lang w:val="en-US" w:eastAsia="zh-CN"/>
              </w:rPr>
              <w:t>位于厂区中部，码架机房位于项目区东南角</w:t>
            </w:r>
            <w:r>
              <w:rPr>
                <w:rFonts w:hint="eastAsia"/>
                <w:color w:val="000000" w:themeColor="text1"/>
                <w:kern w:val="0"/>
                <w:lang w:val="en-US" w:eastAsia="zh-CN"/>
                <w14:textFill>
                  <w14:solidFill>
                    <w14:schemeClr w14:val="tx1"/>
                  </w14:solidFill>
                </w14:textFill>
              </w:rPr>
              <w:t>。办公生活区位于项目区北侧，项目区主导风向为东北风，办公生活区位于车间的侧风向。</w:t>
            </w:r>
            <w:r>
              <w:rPr>
                <w:color w:val="000000" w:themeColor="text1"/>
                <w:kern w:val="0"/>
                <w14:textFill>
                  <w14:solidFill>
                    <w14:schemeClr w14:val="tx1"/>
                  </w14:solidFill>
                </w14:textFill>
              </w:rPr>
              <w:t>从环境防护角度，项目平面布局合理，项目平面布置</w:t>
            </w:r>
            <w:r>
              <w:rPr>
                <w:rFonts w:hint="eastAsia"/>
                <w:color w:val="000000" w:themeColor="text1"/>
                <w:kern w:val="0"/>
                <w:lang w:val="en-US" w:eastAsia="zh-CN"/>
                <w14:textFill>
                  <w14:solidFill>
                    <w14:schemeClr w14:val="tx1"/>
                  </w14:solidFill>
                </w14:textFill>
              </w:rPr>
              <w:t>详见</w:t>
            </w:r>
            <w:r>
              <w:rPr>
                <w:color w:val="000000" w:themeColor="text1"/>
                <w:kern w:val="0"/>
                <w14:textFill>
                  <w14:solidFill>
                    <w14:schemeClr w14:val="tx1"/>
                  </w14:solidFill>
                </w14:textFill>
              </w:rPr>
              <w:t>附图</w:t>
            </w:r>
            <w:r>
              <w:rPr>
                <w:rFonts w:hint="eastAsia"/>
                <w:color w:val="000000" w:themeColor="text1"/>
                <w:kern w:val="0"/>
                <w:lang w:val="en-US" w:eastAsia="zh-CN"/>
                <w14:textFill>
                  <w14:solidFill>
                    <w14:schemeClr w14:val="tx1"/>
                  </w14:solidFill>
                </w14:textFill>
              </w:rPr>
              <w:t>3</w:t>
            </w:r>
            <w:r>
              <w:rPr>
                <w:rFonts w:hint="eastAsia"/>
                <w:color w:val="000000" w:themeColor="text1"/>
                <w:kern w:val="0"/>
                <w14:textFill>
                  <w14:solidFill>
                    <w14:schemeClr w14:val="tx1"/>
                  </w14:solidFill>
                </w14:textFill>
              </w:rPr>
              <w:t>。</w:t>
            </w:r>
          </w:p>
          <w:p>
            <w:pPr>
              <w:pStyle w:val="4"/>
              <w:bidi w:val="0"/>
            </w:pPr>
            <w:r>
              <w:rPr>
                <w:rFonts w:hint="eastAsia"/>
              </w:rPr>
              <w:t>8、</w:t>
            </w:r>
            <w:r>
              <w:t>环保投资</w:t>
            </w:r>
          </w:p>
          <w:p>
            <w:pPr>
              <w:pStyle w:val="85"/>
              <w:adjustRightInd w:val="0"/>
              <w:snapToGrid w:val="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项目</w:t>
            </w:r>
            <w:r>
              <w:rPr>
                <w:rFonts w:hint="eastAsia" w:cs="Times New Roman"/>
                <w:color w:val="000000" w:themeColor="text1"/>
                <w14:textFill>
                  <w14:solidFill>
                    <w14:schemeClr w14:val="tx1"/>
                  </w14:solidFill>
                </w14:textFill>
              </w:rPr>
              <w:t>环保</w:t>
            </w:r>
            <w:r>
              <w:rPr>
                <w:rFonts w:cs="Times New Roman"/>
                <w:color w:val="000000" w:themeColor="text1"/>
                <w14:textFill>
                  <w14:solidFill>
                    <w14:schemeClr w14:val="tx1"/>
                  </w14:solidFill>
                </w14:textFill>
              </w:rPr>
              <w:t>投资</w:t>
            </w:r>
            <w:r>
              <w:rPr>
                <w:rFonts w:hint="eastAsia" w:cs="Times New Roman"/>
                <w:color w:val="000000" w:themeColor="text1"/>
                <w:lang w:val="en-US" w:eastAsia="zh-CN"/>
                <w14:textFill>
                  <w14:solidFill>
                    <w14:schemeClr w14:val="tx1"/>
                  </w14:solidFill>
                </w14:textFill>
              </w:rPr>
              <w:t>1700</w:t>
            </w:r>
            <w:r>
              <w:rPr>
                <w:rFonts w:cs="Times New Roman"/>
                <w:color w:val="000000" w:themeColor="text1"/>
                <w14:textFill>
                  <w14:solidFill>
                    <w14:schemeClr w14:val="tx1"/>
                  </w14:solidFill>
                </w14:textFill>
              </w:rPr>
              <w:t>万元，</w:t>
            </w:r>
            <w:r>
              <w:rPr>
                <w:rFonts w:hint="eastAsia" w:cs="Times New Roman"/>
                <w:color w:val="000000" w:themeColor="text1"/>
                <w:lang w:val="en-US" w:eastAsia="zh-CN"/>
                <w14:textFill>
                  <w14:solidFill>
                    <w14:schemeClr w14:val="tx1"/>
                  </w14:solidFill>
                </w14:textFill>
              </w:rPr>
              <w:t>环保投资50.5万元，</w:t>
            </w:r>
            <w:r>
              <w:rPr>
                <w:rFonts w:cs="Times New Roman"/>
                <w:color w:val="000000" w:themeColor="text1"/>
                <w14:textFill>
                  <w14:solidFill>
                    <w14:schemeClr w14:val="tx1"/>
                  </w14:solidFill>
                </w14:textFill>
              </w:rPr>
              <w:t>占总投资的</w:t>
            </w:r>
            <w:r>
              <w:rPr>
                <w:rFonts w:hint="eastAsia" w:cs="Times New Roman"/>
                <w:color w:val="000000" w:themeColor="text1"/>
                <w:lang w:val="en-US" w:eastAsia="zh-CN"/>
                <w14:textFill>
                  <w14:solidFill>
                    <w14:schemeClr w14:val="tx1"/>
                  </w14:solidFill>
                </w14:textFill>
              </w:rPr>
              <w:t>2.97</w:t>
            </w:r>
            <w:r>
              <w:rPr>
                <w:rFonts w:cs="Times New Roman"/>
                <w:color w:val="000000" w:themeColor="text1"/>
                <w14:textFill>
                  <w14:solidFill>
                    <w14:schemeClr w14:val="tx1"/>
                  </w14:solidFill>
                </w14:textFill>
              </w:rPr>
              <w:t>%，本项目环保设施及投资见下表。</w:t>
            </w:r>
          </w:p>
          <w:p>
            <w:pPr>
              <w:pStyle w:val="85"/>
              <w:adjustRightInd w:val="0"/>
              <w:snapToGrid w:val="0"/>
              <w:spacing w:line="240" w:lineRule="auto"/>
              <w:ind w:firstLine="422"/>
              <w:rPr>
                <w:rFonts w:cs="Times New Roman"/>
                <w:b/>
                <w:bCs/>
                <w:color w:val="000000" w:themeColor="text1"/>
                <w:sz w:val="21"/>
                <w:szCs w:val="21"/>
                <w14:textFill>
                  <w14:solidFill>
                    <w14:schemeClr w14:val="tx1"/>
                  </w14:solidFill>
                </w14:textFill>
              </w:rPr>
            </w:pPr>
            <w:r>
              <w:rPr>
                <w:rFonts w:cs="Times New Roman"/>
                <w:b/>
                <w:bCs/>
                <w:color w:val="000000" w:themeColor="text1"/>
                <w:sz w:val="21"/>
                <w:szCs w:val="21"/>
                <w14:textFill>
                  <w14:solidFill>
                    <w14:schemeClr w14:val="tx1"/>
                  </w14:solidFill>
                </w14:textFill>
              </w:rPr>
              <w:t>表</w:t>
            </w:r>
            <w:r>
              <w:rPr>
                <w:rFonts w:hint="eastAsia" w:cs="Times New Roman"/>
                <w:b/>
                <w:bCs/>
                <w:color w:val="000000" w:themeColor="text1"/>
                <w:sz w:val="21"/>
                <w:szCs w:val="21"/>
                <w:lang w:val="en-US" w:eastAsia="zh-CN"/>
                <w14:textFill>
                  <w14:solidFill>
                    <w14:schemeClr w14:val="tx1"/>
                  </w14:solidFill>
                </w14:textFill>
              </w:rPr>
              <w:t>2-5</w:t>
            </w:r>
            <w:r>
              <w:rPr>
                <w:rFonts w:cs="Times New Roman"/>
                <w:b/>
                <w:bCs/>
                <w:color w:val="000000" w:themeColor="text1"/>
                <w:sz w:val="21"/>
                <w:szCs w:val="21"/>
                <w14:textFill>
                  <w14:solidFill>
                    <w14:schemeClr w14:val="tx1"/>
                  </w14:solidFill>
                </w14:textFill>
              </w:rPr>
              <w:t xml:space="preserve">  </w:t>
            </w:r>
            <w:r>
              <w:rPr>
                <w:rFonts w:hint="eastAsia" w:cs="Times New Roman"/>
                <w:b/>
                <w:bCs/>
                <w:color w:val="000000" w:themeColor="text1"/>
                <w:sz w:val="21"/>
                <w:szCs w:val="21"/>
                <w14:textFill>
                  <w14:solidFill>
                    <w14:schemeClr w14:val="tx1"/>
                  </w14:solidFill>
                </w14:textFill>
              </w:rPr>
              <w:t xml:space="preserve">                环保设施及投资一览表</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975"/>
              <w:gridCol w:w="1400"/>
              <w:gridCol w:w="3147"/>
              <w:gridCol w:w="902"/>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noWrap w:val="0"/>
                  <w:vAlign w:val="center"/>
                </w:tcPr>
                <w:p>
                  <w:pPr>
                    <w:pStyle w:val="6"/>
                    <w:bidi w:val="0"/>
                  </w:pPr>
                  <w:r>
                    <w:t>序号</w:t>
                  </w:r>
                </w:p>
              </w:tc>
              <w:tc>
                <w:tcPr>
                  <w:tcW w:w="626" w:type="pct"/>
                  <w:noWrap w:val="0"/>
                  <w:vAlign w:val="center"/>
                </w:tcPr>
                <w:p>
                  <w:pPr>
                    <w:pStyle w:val="6"/>
                    <w:bidi w:val="0"/>
                  </w:pPr>
                  <w:r>
                    <w:t>类别</w:t>
                  </w:r>
                </w:p>
              </w:tc>
              <w:tc>
                <w:tcPr>
                  <w:tcW w:w="2924" w:type="pct"/>
                  <w:gridSpan w:val="2"/>
                  <w:noWrap w:val="0"/>
                  <w:vAlign w:val="center"/>
                </w:tcPr>
                <w:p>
                  <w:pPr>
                    <w:pStyle w:val="6"/>
                    <w:bidi w:val="0"/>
                  </w:pPr>
                  <w:r>
                    <w:t>内容</w:t>
                  </w:r>
                </w:p>
              </w:tc>
              <w:tc>
                <w:tcPr>
                  <w:tcW w:w="580" w:type="pct"/>
                  <w:noWrap w:val="0"/>
                  <w:vAlign w:val="center"/>
                </w:tcPr>
                <w:p>
                  <w:pPr>
                    <w:pStyle w:val="6"/>
                    <w:bidi w:val="0"/>
                  </w:pPr>
                  <w:r>
                    <w:t>环保投资（万元）</w:t>
                  </w:r>
                </w:p>
              </w:tc>
              <w:tc>
                <w:tcPr>
                  <w:tcW w:w="580" w:type="pct"/>
                  <w:noWrap w:val="0"/>
                  <w:vAlign w:val="center"/>
                </w:tcPr>
                <w:p>
                  <w:pPr>
                    <w:pStyle w:val="6"/>
                    <w:bidi w:val="0"/>
                    <w:rPr>
                      <w:rFonts w:hint="eastAsia" w:eastAsia="宋体"/>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Merge w:val="restart"/>
                  <w:noWrap w:val="0"/>
                  <w:vAlign w:val="center"/>
                </w:tcPr>
                <w:p>
                  <w:pPr>
                    <w:pStyle w:val="6"/>
                    <w:bidi w:val="0"/>
                  </w:pPr>
                  <w:r>
                    <w:rPr>
                      <w:rFonts w:hint="eastAsia"/>
                    </w:rPr>
                    <w:t>施工期</w:t>
                  </w:r>
                </w:p>
              </w:tc>
              <w:tc>
                <w:tcPr>
                  <w:tcW w:w="626" w:type="pct"/>
                  <w:noWrap w:val="0"/>
                  <w:vAlign w:val="center"/>
                </w:tcPr>
                <w:p>
                  <w:pPr>
                    <w:pStyle w:val="6"/>
                    <w:bidi w:val="0"/>
                  </w:pPr>
                  <w:r>
                    <w:t>废气治理</w:t>
                  </w:r>
                </w:p>
              </w:tc>
              <w:tc>
                <w:tcPr>
                  <w:tcW w:w="2924" w:type="pct"/>
                  <w:gridSpan w:val="2"/>
                  <w:noWrap w:val="0"/>
                  <w:vAlign w:val="center"/>
                </w:tcPr>
                <w:p>
                  <w:pPr>
                    <w:pStyle w:val="6"/>
                    <w:bidi w:val="0"/>
                  </w:pPr>
                  <w:r>
                    <w:t>洒水抑尘</w:t>
                  </w:r>
                </w:p>
              </w:tc>
              <w:tc>
                <w:tcPr>
                  <w:tcW w:w="580" w:type="pct"/>
                  <w:noWrap w:val="0"/>
                  <w:vAlign w:val="center"/>
                </w:tcPr>
                <w:p>
                  <w:pPr>
                    <w:pStyle w:val="6"/>
                    <w:bidi w:val="0"/>
                  </w:pPr>
                  <w:r>
                    <w:t>1</w:t>
                  </w:r>
                </w:p>
              </w:tc>
              <w:tc>
                <w:tcPr>
                  <w:tcW w:w="580" w:type="pct"/>
                  <w:noWrap w:val="0"/>
                  <w:vAlign w:val="center"/>
                </w:tcPr>
                <w:p>
                  <w:pPr>
                    <w:pStyle w:val="6"/>
                    <w:bidi w:val="0"/>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Merge w:val="continue"/>
                  <w:noWrap w:val="0"/>
                  <w:vAlign w:val="center"/>
                </w:tcPr>
                <w:p>
                  <w:pPr>
                    <w:pStyle w:val="6"/>
                    <w:bidi w:val="0"/>
                    <w:rPr>
                      <w:rFonts w:hint="eastAsia"/>
                    </w:rPr>
                  </w:pPr>
                </w:p>
              </w:tc>
              <w:tc>
                <w:tcPr>
                  <w:tcW w:w="626" w:type="pct"/>
                  <w:shd w:val="clear" w:color="auto" w:fill="auto"/>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8"/>
                      <w:highlight w:val="none"/>
                      <w:lang w:val="en-US" w:eastAsia="zh-CN" w:bidi="ar-SA"/>
                    </w:rPr>
                  </w:pPr>
                  <w:r>
                    <w:rPr>
                      <w:rFonts w:hint="eastAsia" w:ascii="Times New Roman" w:hAnsi="Times New Roman" w:eastAsia="宋体" w:cs="Times New Roman"/>
                      <w:color w:val="auto"/>
                      <w:highlight w:val="none"/>
                      <w:lang w:val="en-US" w:eastAsia="zh-CN"/>
                    </w:rPr>
                    <w:t>废水治理</w:t>
                  </w:r>
                </w:p>
              </w:tc>
              <w:tc>
                <w:tcPr>
                  <w:tcW w:w="2924" w:type="pct"/>
                  <w:gridSpan w:val="2"/>
                  <w:shd w:val="clear" w:color="auto" w:fill="auto"/>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8"/>
                      <w:highlight w:val="none"/>
                      <w:lang w:val="en-US" w:eastAsia="zh-CN" w:bidi="ar-SA"/>
                    </w:rPr>
                  </w:pPr>
                  <w:r>
                    <w:rPr>
                      <w:rFonts w:hint="eastAsia" w:ascii="Times New Roman" w:hAnsi="Times New Roman" w:eastAsia="宋体" w:cs="Times New Roman"/>
                      <w:color w:val="auto"/>
                      <w:highlight w:val="none"/>
                      <w:lang w:val="en-US" w:eastAsia="zh-CN"/>
                    </w:rPr>
                    <w:t>临时</w:t>
                  </w:r>
                  <w:r>
                    <w:rPr>
                      <w:rFonts w:hint="eastAsia" w:cs="Times New Roman"/>
                      <w:color w:val="auto"/>
                      <w:highlight w:val="none"/>
                      <w:lang w:val="en-US" w:eastAsia="zh-CN"/>
                    </w:rPr>
                    <w:t>沉沙池、防渗化粪池</w:t>
                  </w:r>
                </w:p>
              </w:tc>
              <w:tc>
                <w:tcPr>
                  <w:tcW w:w="580" w:type="pct"/>
                  <w:shd w:val="clear" w:color="auto" w:fill="auto"/>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8"/>
                      <w:highlight w:val="none"/>
                      <w:lang w:val="en-US" w:eastAsia="zh-CN" w:bidi="ar-SA"/>
                    </w:rPr>
                  </w:pPr>
                  <w:r>
                    <w:rPr>
                      <w:rFonts w:hint="eastAsia"/>
                      <w:color w:val="auto"/>
                      <w:highlight w:val="none"/>
                      <w:lang w:val="en-US" w:eastAsia="zh-CN"/>
                    </w:rPr>
                    <w:t>1</w:t>
                  </w:r>
                </w:p>
              </w:tc>
              <w:tc>
                <w:tcPr>
                  <w:tcW w:w="580" w:type="pct"/>
                  <w:shd w:val="clear" w:color="auto" w:fill="auto"/>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Merge w:val="continue"/>
                  <w:noWrap w:val="0"/>
                  <w:vAlign w:val="center"/>
                </w:tcPr>
                <w:p>
                  <w:pPr>
                    <w:pStyle w:val="6"/>
                    <w:bidi w:val="0"/>
                    <w:rPr>
                      <w:rFonts w:hint="eastAsia"/>
                    </w:rPr>
                  </w:pPr>
                </w:p>
              </w:tc>
              <w:tc>
                <w:tcPr>
                  <w:tcW w:w="626" w:type="pct"/>
                  <w:shd w:val="clear" w:color="auto" w:fill="auto"/>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8"/>
                      <w:highlight w:val="none"/>
                      <w:lang w:val="en-US" w:eastAsia="zh-CN" w:bidi="ar-SA"/>
                    </w:rPr>
                  </w:pPr>
                  <w:r>
                    <w:rPr>
                      <w:rFonts w:hint="eastAsia"/>
                      <w:color w:val="auto"/>
                      <w:highlight w:val="none"/>
                      <w:lang w:val="en-US" w:eastAsia="zh-CN"/>
                    </w:rPr>
                    <w:t>噪声治理</w:t>
                  </w:r>
                </w:p>
              </w:tc>
              <w:tc>
                <w:tcPr>
                  <w:tcW w:w="2924" w:type="pct"/>
                  <w:gridSpan w:val="2"/>
                  <w:shd w:val="clear" w:color="auto" w:fill="auto"/>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8"/>
                      <w:highlight w:val="none"/>
                      <w:lang w:val="en-US" w:eastAsia="zh-CN" w:bidi="ar-SA"/>
                    </w:rPr>
                  </w:pPr>
                  <w:r>
                    <w:rPr>
                      <w:rFonts w:hint="eastAsia"/>
                      <w:color w:val="auto"/>
                      <w:highlight w:val="none"/>
                      <w:lang w:val="en-US" w:eastAsia="zh-CN"/>
                    </w:rPr>
                    <w:t>选用低噪音设备、合理安排施工时间，合理布置施工平面图，加强管理等</w:t>
                  </w:r>
                </w:p>
              </w:tc>
              <w:tc>
                <w:tcPr>
                  <w:tcW w:w="580" w:type="pct"/>
                  <w:shd w:val="clear" w:color="auto" w:fill="auto"/>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8"/>
                      <w:highlight w:val="none"/>
                      <w:lang w:val="en-US" w:eastAsia="zh-CN" w:bidi="ar-SA"/>
                    </w:rPr>
                  </w:pPr>
                  <w:r>
                    <w:rPr>
                      <w:rFonts w:hint="eastAsia"/>
                      <w:color w:val="auto"/>
                      <w:highlight w:val="none"/>
                      <w:lang w:val="en-US" w:eastAsia="zh-CN"/>
                    </w:rPr>
                    <w:t>1</w:t>
                  </w:r>
                </w:p>
              </w:tc>
              <w:tc>
                <w:tcPr>
                  <w:tcW w:w="580" w:type="pct"/>
                  <w:shd w:val="clear" w:color="auto" w:fill="auto"/>
                  <w:noWrap w:val="0"/>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Merge w:val="continue"/>
                  <w:noWrap w:val="0"/>
                  <w:vAlign w:val="center"/>
                </w:tcPr>
                <w:p>
                  <w:pPr>
                    <w:pStyle w:val="6"/>
                    <w:bidi w:val="0"/>
                  </w:pPr>
                </w:p>
              </w:tc>
              <w:tc>
                <w:tcPr>
                  <w:tcW w:w="626" w:type="pct"/>
                  <w:vMerge w:val="restart"/>
                  <w:noWrap w:val="0"/>
                  <w:vAlign w:val="center"/>
                </w:tcPr>
                <w:p>
                  <w:pPr>
                    <w:pStyle w:val="6"/>
                    <w:bidi w:val="0"/>
                  </w:pPr>
                  <w:r>
                    <w:t>固废治理</w:t>
                  </w:r>
                </w:p>
              </w:tc>
              <w:tc>
                <w:tcPr>
                  <w:tcW w:w="900" w:type="pct"/>
                  <w:noWrap w:val="0"/>
                  <w:vAlign w:val="center"/>
                </w:tcPr>
                <w:p>
                  <w:pPr>
                    <w:pStyle w:val="6"/>
                    <w:bidi w:val="0"/>
                  </w:pPr>
                  <w:r>
                    <w:t>建筑垃圾</w:t>
                  </w:r>
                </w:p>
              </w:tc>
              <w:tc>
                <w:tcPr>
                  <w:tcW w:w="2024" w:type="pct"/>
                  <w:noWrap w:val="0"/>
                  <w:vAlign w:val="center"/>
                </w:tcPr>
                <w:p>
                  <w:pPr>
                    <w:pStyle w:val="6"/>
                    <w:bidi w:val="0"/>
                  </w:pPr>
                  <w:r>
                    <w:t>回收利用，不能回收的定时清运</w:t>
                  </w:r>
                </w:p>
              </w:tc>
              <w:tc>
                <w:tcPr>
                  <w:tcW w:w="580" w:type="pct"/>
                  <w:noWrap w:val="0"/>
                  <w:vAlign w:val="center"/>
                </w:tcPr>
                <w:p>
                  <w:pPr>
                    <w:pStyle w:val="6"/>
                    <w:bidi w:val="0"/>
                  </w:pPr>
                  <w:r>
                    <w:t>0.5</w:t>
                  </w:r>
                </w:p>
              </w:tc>
              <w:tc>
                <w:tcPr>
                  <w:tcW w:w="580" w:type="pct"/>
                  <w:noWrap w:val="0"/>
                  <w:vAlign w:val="center"/>
                </w:tcPr>
                <w:p>
                  <w:pPr>
                    <w:pStyle w:val="6"/>
                    <w:bidi w:val="0"/>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Merge w:val="continue"/>
                  <w:noWrap w:val="0"/>
                  <w:vAlign w:val="center"/>
                </w:tcPr>
                <w:p>
                  <w:pPr>
                    <w:pStyle w:val="6"/>
                    <w:bidi w:val="0"/>
                  </w:pPr>
                </w:p>
              </w:tc>
              <w:tc>
                <w:tcPr>
                  <w:tcW w:w="626" w:type="pct"/>
                  <w:vMerge w:val="continue"/>
                  <w:noWrap w:val="0"/>
                  <w:vAlign w:val="center"/>
                </w:tcPr>
                <w:p>
                  <w:pPr>
                    <w:pStyle w:val="6"/>
                    <w:bidi w:val="0"/>
                  </w:pPr>
                </w:p>
              </w:tc>
              <w:tc>
                <w:tcPr>
                  <w:tcW w:w="900" w:type="pct"/>
                  <w:noWrap w:val="0"/>
                  <w:vAlign w:val="center"/>
                </w:tcPr>
                <w:p>
                  <w:pPr>
                    <w:pStyle w:val="6"/>
                    <w:bidi w:val="0"/>
                  </w:pPr>
                  <w:r>
                    <w:t>生活垃圾</w:t>
                  </w:r>
                </w:p>
              </w:tc>
              <w:tc>
                <w:tcPr>
                  <w:tcW w:w="2024" w:type="pct"/>
                  <w:noWrap w:val="0"/>
                  <w:vAlign w:val="center"/>
                </w:tcPr>
                <w:p>
                  <w:pPr>
                    <w:pStyle w:val="6"/>
                    <w:bidi w:val="0"/>
                  </w:pPr>
                  <w:r>
                    <w:t>施工场地设置垃圾桶及清运</w:t>
                  </w:r>
                </w:p>
              </w:tc>
              <w:tc>
                <w:tcPr>
                  <w:tcW w:w="580" w:type="pct"/>
                  <w:noWrap w:val="0"/>
                  <w:vAlign w:val="center"/>
                </w:tcPr>
                <w:p>
                  <w:pPr>
                    <w:pStyle w:val="6"/>
                    <w:bidi w:val="0"/>
                  </w:pPr>
                  <w:r>
                    <w:t>0.5</w:t>
                  </w:r>
                </w:p>
              </w:tc>
              <w:tc>
                <w:tcPr>
                  <w:tcW w:w="580" w:type="pct"/>
                  <w:noWrap w:val="0"/>
                  <w:vAlign w:val="center"/>
                </w:tcPr>
                <w:p>
                  <w:pPr>
                    <w:pStyle w:val="6"/>
                    <w:bidi w:val="0"/>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Merge w:val="restart"/>
                  <w:noWrap w:val="0"/>
                  <w:vAlign w:val="center"/>
                </w:tcPr>
                <w:p>
                  <w:pPr>
                    <w:pStyle w:val="6"/>
                    <w:bidi w:val="0"/>
                  </w:pPr>
                  <w:r>
                    <w:t>运营期</w:t>
                  </w:r>
                </w:p>
              </w:tc>
              <w:tc>
                <w:tcPr>
                  <w:tcW w:w="626" w:type="pct"/>
                  <w:noWrap w:val="0"/>
                  <w:vAlign w:val="center"/>
                </w:tcPr>
                <w:p>
                  <w:pPr>
                    <w:pStyle w:val="6"/>
                    <w:bidi w:val="0"/>
                  </w:pPr>
                  <w:r>
                    <w:t>废气治理</w:t>
                  </w:r>
                </w:p>
              </w:tc>
              <w:tc>
                <w:tcPr>
                  <w:tcW w:w="2924" w:type="pct"/>
                  <w:gridSpan w:val="2"/>
                  <w:noWrap w:val="0"/>
                  <w:vAlign w:val="center"/>
                </w:tcPr>
                <w:p>
                  <w:pPr>
                    <w:pStyle w:val="6"/>
                    <w:bidi w:val="0"/>
                    <w:rPr>
                      <w:rFonts w:hint="default"/>
                      <w:lang w:val="en-US" w:eastAsia="zh-CN"/>
                    </w:rPr>
                  </w:pPr>
                  <w:r>
                    <w:rPr>
                      <w:rFonts w:hint="eastAsia"/>
                      <w:lang w:val="en-US" w:eastAsia="zh-CN"/>
                    </w:rPr>
                    <w:t>布袋除尘器</w:t>
                  </w:r>
                  <w:r>
                    <w:rPr>
                      <w:rFonts w:hint="eastAsia" w:ascii="Times New Roman" w:hAnsi="Times New Roman" w:eastAsia="宋体" w:cs="Times New Roman"/>
                      <w:lang w:val="en-US" w:eastAsia="zh-CN"/>
                    </w:rPr>
                    <w:t>（2套）、围挡（防风抑尘墙）、洒水抑尘、防尘网、运营维</w:t>
                  </w:r>
                  <w:r>
                    <w:rPr>
                      <w:rFonts w:hint="eastAsia"/>
                      <w:lang w:val="en-US" w:eastAsia="zh-CN"/>
                    </w:rPr>
                    <w:t>护</w:t>
                  </w:r>
                </w:p>
              </w:tc>
              <w:tc>
                <w:tcPr>
                  <w:tcW w:w="580" w:type="pct"/>
                  <w:noWrap w:val="0"/>
                  <w:vAlign w:val="center"/>
                </w:tcPr>
                <w:p>
                  <w:pPr>
                    <w:pStyle w:val="6"/>
                    <w:bidi w:val="0"/>
                    <w:rPr>
                      <w:rFonts w:hint="default"/>
                      <w:lang w:val="en-US" w:eastAsia="zh-CN"/>
                    </w:rPr>
                  </w:pPr>
                  <w:r>
                    <w:rPr>
                      <w:rFonts w:hint="eastAsia"/>
                      <w:lang w:val="en-US" w:eastAsia="zh-CN"/>
                    </w:rPr>
                    <w:t>15</w:t>
                  </w:r>
                </w:p>
              </w:tc>
              <w:tc>
                <w:tcPr>
                  <w:tcW w:w="580" w:type="pct"/>
                  <w:noWrap w:val="0"/>
                  <w:vAlign w:val="center"/>
                </w:tcPr>
                <w:p>
                  <w:pPr>
                    <w:pStyle w:val="6"/>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Merge w:val="continue"/>
                  <w:noWrap w:val="0"/>
                  <w:vAlign w:val="center"/>
                </w:tcPr>
                <w:p>
                  <w:pPr>
                    <w:pStyle w:val="6"/>
                    <w:bidi w:val="0"/>
                  </w:pPr>
                </w:p>
              </w:tc>
              <w:tc>
                <w:tcPr>
                  <w:tcW w:w="626" w:type="pct"/>
                  <w:noWrap w:val="0"/>
                  <w:vAlign w:val="center"/>
                </w:tcPr>
                <w:p>
                  <w:pPr>
                    <w:pStyle w:val="6"/>
                    <w:bidi w:val="0"/>
                  </w:pPr>
                  <w:r>
                    <w:t>噪声治理</w:t>
                  </w:r>
                </w:p>
              </w:tc>
              <w:tc>
                <w:tcPr>
                  <w:tcW w:w="2924" w:type="pct"/>
                  <w:gridSpan w:val="2"/>
                  <w:noWrap w:val="0"/>
                  <w:vAlign w:val="center"/>
                </w:tcPr>
                <w:p>
                  <w:pPr>
                    <w:pStyle w:val="6"/>
                    <w:bidi w:val="0"/>
                    <w:rPr>
                      <w:rFonts w:hint="default" w:eastAsia="宋体"/>
                      <w:lang w:val="en-US" w:eastAsia="zh-CN"/>
                    </w:rPr>
                  </w:pPr>
                  <w:r>
                    <w:t>采取对设备基础减振、车间隔声等降噪措施</w:t>
                  </w:r>
                  <w:r>
                    <w:rPr>
                      <w:rFonts w:hint="eastAsia"/>
                      <w:lang w:eastAsia="zh-CN"/>
                    </w:rPr>
                    <w:t>、</w:t>
                  </w:r>
                  <w:r>
                    <w:rPr>
                      <w:rFonts w:hint="eastAsia"/>
                      <w:lang w:val="en-US" w:eastAsia="zh-CN"/>
                    </w:rPr>
                    <w:t>定期维护</w:t>
                  </w:r>
                </w:p>
              </w:tc>
              <w:tc>
                <w:tcPr>
                  <w:tcW w:w="580" w:type="pct"/>
                  <w:noWrap w:val="0"/>
                  <w:vAlign w:val="center"/>
                </w:tcPr>
                <w:p>
                  <w:pPr>
                    <w:pStyle w:val="6"/>
                    <w:bidi w:val="0"/>
                  </w:pPr>
                  <w:r>
                    <w:rPr>
                      <w:rFonts w:hint="eastAsia"/>
                    </w:rPr>
                    <w:t>2</w:t>
                  </w:r>
                </w:p>
              </w:tc>
              <w:tc>
                <w:tcPr>
                  <w:tcW w:w="580" w:type="pct"/>
                  <w:noWrap w:val="0"/>
                  <w:vAlign w:val="center"/>
                </w:tcPr>
                <w:p>
                  <w:pPr>
                    <w:pStyle w:val="6"/>
                    <w:bidi w:val="0"/>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Merge w:val="continue"/>
                  <w:noWrap w:val="0"/>
                  <w:vAlign w:val="center"/>
                </w:tcPr>
                <w:p>
                  <w:pPr>
                    <w:pStyle w:val="6"/>
                    <w:bidi w:val="0"/>
                  </w:pPr>
                </w:p>
              </w:tc>
              <w:tc>
                <w:tcPr>
                  <w:tcW w:w="626" w:type="pct"/>
                  <w:noWrap w:val="0"/>
                  <w:vAlign w:val="center"/>
                </w:tcPr>
                <w:p>
                  <w:pPr>
                    <w:pStyle w:val="6"/>
                    <w:bidi w:val="0"/>
                  </w:pPr>
                  <w:r>
                    <w:t>废水治理</w:t>
                  </w:r>
                </w:p>
              </w:tc>
              <w:tc>
                <w:tcPr>
                  <w:tcW w:w="2924" w:type="pct"/>
                  <w:gridSpan w:val="2"/>
                  <w:noWrap w:val="0"/>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循环沉淀池、</w:t>
                  </w:r>
                  <w:r>
                    <w:rPr>
                      <w:rFonts w:hint="eastAsia" w:cs="Times New Roman"/>
                      <w:lang w:val="en-US" w:eastAsia="zh-CN"/>
                    </w:rPr>
                    <w:t>车辆清洗沉淀池、</w:t>
                  </w:r>
                  <w:r>
                    <w:rPr>
                      <w:rFonts w:ascii="Times New Roman" w:hAnsi="Times New Roman" w:eastAsia="宋体" w:cs="Times New Roman"/>
                    </w:rPr>
                    <w:t>防渗化粪池</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生活污水处置费</w:t>
                  </w:r>
                </w:p>
              </w:tc>
              <w:tc>
                <w:tcPr>
                  <w:tcW w:w="580" w:type="pct"/>
                  <w:noWrap w:val="0"/>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w:t>
                  </w:r>
                </w:p>
              </w:tc>
              <w:tc>
                <w:tcPr>
                  <w:tcW w:w="580" w:type="pct"/>
                  <w:noWrap w:val="0"/>
                  <w:vAlign w:val="center"/>
                </w:tcPr>
                <w:p>
                  <w:pPr>
                    <w:pStyle w:val="6"/>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Merge w:val="continue"/>
                  <w:noWrap w:val="0"/>
                  <w:vAlign w:val="center"/>
                </w:tcPr>
                <w:p>
                  <w:pPr>
                    <w:pStyle w:val="6"/>
                    <w:bidi w:val="0"/>
                  </w:pPr>
                </w:p>
              </w:tc>
              <w:tc>
                <w:tcPr>
                  <w:tcW w:w="626" w:type="pct"/>
                  <w:vMerge w:val="restart"/>
                  <w:noWrap w:val="0"/>
                  <w:vAlign w:val="center"/>
                </w:tcPr>
                <w:p>
                  <w:pPr>
                    <w:pStyle w:val="6"/>
                    <w:bidi w:val="0"/>
                  </w:pPr>
                  <w:r>
                    <w:t>固废治理</w:t>
                  </w:r>
                </w:p>
              </w:tc>
              <w:tc>
                <w:tcPr>
                  <w:tcW w:w="900" w:type="pct"/>
                  <w:noWrap w:val="0"/>
                  <w:vAlign w:val="center"/>
                </w:tcPr>
                <w:p>
                  <w:pPr>
                    <w:pStyle w:val="6"/>
                    <w:bidi w:val="0"/>
                  </w:pPr>
                  <w:r>
                    <w:t>生活垃圾</w:t>
                  </w:r>
                </w:p>
              </w:tc>
              <w:tc>
                <w:tcPr>
                  <w:tcW w:w="2024" w:type="pct"/>
                  <w:noWrap w:val="0"/>
                  <w:vAlign w:val="center"/>
                </w:tcPr>
                <w:p>
                  <w:pPr>
                    <w:pStyle w:val="6"/>
                    <w:bidi w:val="0"/>
                  </w:pPr>
                  <w:r>
                    <w:t>垃圾箱集中收集，委托环卫部门清理</w:t>
                  </w:r>
                </w:p>
              </w:tc>
              <w:tc>
                <w:tcPr>
                  <w:tcW w:w="580" w:type="pct"/>
                  <w:noWrap w:val="0"/>
                  <w:vAlign w:val="center"/>
                </w:tcPr>
                <w:p>
                  <w:pPr>
                    <w:pStyle w:val="6"/>
                    <w:bidi w:val="0"/>
                  </w:pPr>
                  <w:r>
                    <w:t>0.5</w:t>
                  </w:r>
                </w:p>
              </w:tc>
              <w:tc>
                <w:tcPr>
                  <w:tcW w:w="580" w:type="pct"/>
                  <w:noWrap w:val="0"/>
                  <w:vAlign w:val="center"/>
                </w:tcPr>
                <w:p>
                  <w:pPr>
                    <w:pStyle w:val="6"/>
                    <w:bidi w:val="0"/>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Merge w:val="continue"/>
                  <w:noWrap w:val="0"/>
                  <w:vAlign w:val="center"/>
                </w:tcPr>
                <w:p>
                  <w:pPr>
                    <w:pStyle w:val="6"/>
                    <w:bidi w:val="0"/>
                  </w:pPr>
                </w:p>
              </w:tc>
              <w:tc>
                <w:tcPr>
                  <w:tcW w:w="626" w:type="pct"/>
                  <w:vMerge w:val="continue"/>
                  <w:noWrap w:val="0"/>
                  <w:vAlign w:val="center"/>
                </w:tcPr>
                <w:p>
                  <w:pPr>
                    <w:pStyle w:val="6"/>
                    <w:bidi w:val="0"/>
                  </w:pPr>
                </w:p>
              </w:tc>
              <w:tc>
                <w:tcPr>
                  <w:tcW w:w="900" w:type="pct"/>
                  <w:noWrap w:val="0"/>
                  <w:vAlign w:val="center"/>
                </w:tcPr>
                <w:p>
                  <w:pPr>
                    <w:pStyle w:val="6"/>
                    <w:bidi w:val="0"/>
                  </w:pPr>
                  <w:r>
                    <w:t>一般工业固废</w:t>
                  </w:r>
                </w:p>
              </w:tc>
              <w:tc>
                <w:tcPr>
                  <w:tcW w:w="2024" w:type="pct"/>
                  <w:noWrap w:val="0"/>
                  <w:vAlign w:val="center"/>
                </w:tcPr>
                <w:p>
                  <w:pPr>
                    <w:pStyle w:val="6"/>
                    <w:bidi w:val="0"/>
                    <w:rPr>
                      <w:rFonts w:hint="default" w:eastAsia="宋体"/>
                      <w:lang w:val="en-US" w:eastAsia="zh-CN"/>
                    </w:rPr>
                  </w:pPr>
                  <w:r>
                    <w:rPr>
                      <w:rFonts w:hint="eastAsia"/>
                    </w:rPr>
                    <w:t>一般固废堆场</w:t>
                  </w:r>
                  <w:r>
                    <w:rPr>
                      <w:rFonts w:hint="eastAsia"/>
                      <w:lang w:eastAsia="zh-CN"/>
                    </w:rPr>
                    <w:t>、</w:t>
                  </w:r>
                  <w:r>
                    <w:rPr>
                      <w:rFonts w:hint="eastAsia"/>
                      <w:lang w:val="en-US" w:eastAsia="zh-CN"/>
                    </w:rPr>
                    <w:t>处置费用、标识标牌</w:t>
                  </w:r>
                </w:p>
              </w:tc>
              <w:tc>
                <w:tcPr>
                  <w:tcW w:w="580" w:type="pct"/>
                  <w:noWrap w:val="0"/>
                  <w:vAlign w:val="center"/>
                </w:tcPr>
                <w:p>
                  <w:pPr>
                    <w:pStyle w:val="6"/>
                    <w:bidi w:val="0"/>
                  </w:pPr>
                  <w:r>
                    <w:t>4</w:t>
                  </w:r>
                </w:p>
              </w:tc>
              <w:tc>
                <w:tcPr>
                  <w:tcW w:w="580" w:type="pct"/>
                  <w:noWrap w:val="0"/>
                  <w:vAlign w:val="center"/>
                </w:tcPr>
                <w:p>
                  <w:pPr>
                    <w:pStyle w:val="6"/>
                    <w:bidi w:val="0"/>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vMerge w:val="continue"/>
                  <w:noWrap w:val="0"/>
                  <w:vAlign w:val="center"/>
                </w:tcPr>
                <w:p>
                  <w:pPr>
                    <w:pStyle w:val="6"/>
                    <w:bidi w:val="0"/>
                  </w:pPr>
                </w:p>
              </w:tc>
              <w:tc>
                <w:tcPr>
                  <w:tcW w:w="626" w:type="pct"/>
                  <w:vMerge w:val="continue"/>
                  <w:noWrap w:val="0"/>
                  <w:vAlign w:val="center"/>
                </w:tcPr>
                <w:p>
                  <w:pPr>
                    <w:pStyle w:val="6"/>
                    <w:bidi w:val="0"/>
                  </w:pPr>
                </w:p>
              </w:tc>
              <w:tc>
                <w:tcPr>
                  <w:tcW w:w="900" w:type="pct"/>
                  <w:noWrap w:val="0"/>
                  <w:vAlign w:val="center"/>
                </w:tcPr>
                <w:p>
                  <w:pPr>
                    <w:pStyle w:val="6"/>
                    <w:bidi w:val="0"/>
                  </w:pPr>
                  <w:r>
                    <w:t>危险废物</w:t>
                  </w:r>
                </w:p>
              </w:tc>
              <w:tc>
                <w:tcPr>
                  <w:tcW w:w="2024" w:type="pct"/>
                  <w:noWrap w:val="0"/>
                  <w:vAlign w:val="center"/>
                </w:tcPr>
                <w:p>
                  <w:pPr>
                    <w:pStyle w:val="6"/>
                    <w:bidi w:val="0"/>
                    <w:rPr>
                      <w:rFonts w:hint="default" w:eastAsia="宋体"/>
                      <w:lang w:val="en-US" w:eastAsia="zh-CN"/>
                    </w:rPr>
                  </w:pPr>
                  <w:r>
                    <w:rPr>
                      <w:rFonts w:hint="eastAsia"/>
                      <w:lang w:val="en-US" w:eastAsia="zh-CN"/>
                    </w:rPr>
                    <w:t>危废暂存间、处置费用、标识标牌</w:t>
                  </w:r>
                </w:p>
              </w:tc>
              <w:tc>
                <w:tcPr>
                  <w:tcW w:w="580" w:type="pct"/>
                  <w:noWrap w:val="0"/>
                  <w:vAlign w:val="center"/>
                </w:tcPr>
                <w:p>
                  <w:pPr>
                    <w:pStyle w:val="6"/>
                    <w:bidi w:val="0"/>
                  </w:pPr>
                  <w:r>
                    <w:t>5</w:t>
                  </w:r>
                </w:p>
              </w:tc>
              <w:tc>
                <w:tcPr>
                  <w:tcW w:w="580" w:type="pct"/>
                  <w:noWrap w:val="0"/>
                  <w:vAlign w:val="center"/>
                </w:tcPr>
                <w:p>
                  <w:pPr>
                    <w:pStyle w:val="6"/>
                    <w:bidi w:val="0"/>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noWrap w:val="0"/>
                  <w:vAlign w:val="center"/>
                </w:tcPr>
                <w:p>
                  <w:pPr>
                    <w:pStyle w:val="6"/>
                    <w:bidi w:val="0"/>
                  </w:pPr>
                </w:p>
              </w:tc>
              <w:tc>
                <w:tcPr>
                  <w:tcW w:w="626" w:type="pct"/>
                  <w:noWrap w:val="0"/>
                  <w:vAlign w:val="center"/>
                </w:tcPr>
                <w:p>
                  <w:pPr>
                    <w:pStyle w:val="6"/>
                    <w:bidi w:val="0"/>
                    <w:rPr>
                      <w:rFonts w:hint="default" w:eastAsia="宋体"/>
                      <w:lang w:val="en-US" w:eastAsia="zh-CN"/>
                    </w:rPr>
                  </w:pPr>
                  <w:r>
                    <w:rPr>
                      <w:rFonts w:hint="eastAsia"/>
                      <w:lang w:val="en-US" w:eastAsia="zh-CN"/>
                    </w:rPr>
                    <w:t>土壤、地下水</w:t>
                  </w:r>
                </w:p>
              </w:tc>
              <w:tc>
                <w:tcPr>
                  <w:tcW w:w="2924" w:type="pct"/>
                  <w:gridSpan w:val="2"/>
                  <w:noWrap w:val="0"/>
                  <w:vAlign w:val="center"/>
                </w:tcPr>
                <w:p>
                  <w:pPr>
                    <w:pStyle w:val="6"/>
                    <w:bidi w:val="0"/>
                    <w:rPr>
                      <w:rFonts w:hint="default"/>
                      <w:lang w:val="en-US" w:eastAsia="zh-CN"/>
                    </w:rPr>
                  </w:pPr>
                  <w:r>
                    <w:rPr>
                      <w:rFonts w:hint="eastAsia"/>
                      <w:lang w:val="en-US" w:eastAsia="zh-CN"/>
                    </w:rPr>
                    <w:t>分区防渗，定期检查维护</w:t>
                  </w:r>
                </w:p>
              </w:tc>
              <w:tc>
                <w:tcPr>
                  <w:tcW w:w="580" w:type="pct"/>
                  <w:noWrap w:val="0"/>
                  <w:vAlign w:val="center"/>
                </w:tcPr>
                <w:p>
                  <w:pPr>
                    <w:pStyle w:val="6"/>
                    <w:bidi w:val="0"/>
                    <w:rPr>
                      <w:rFonts w:hint="default" w:eastAsia="宋体"/>
                      <w:lang w:val="en-US" w:eastAsia="zh-CN"/>
                    </w:rPr>
                  </w:pPr>
                  <w:r>
                    <w:rPr>
                      <w:rFonts w:hint="eastAsia"/>
                      <w:lang w:val="en-US" w:eastAsia="zh-CN"/>
                    </w:rPr>
                    <w:t>10</w:t>
                  </w:r>
                </w:p>
              </w:tc>
              <w:tc>
                <w:tcPr>
                  <w:tcW w:w="580" w:type="pct"/>
                  <w:noWrap w:val="0"/>
                  <w:vAlign w:val="center"/>
                </w:tcPr>
                <w:p>
                  <w:pPr>
                    <w:pStyle w:val="6"/>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noWrap w:val="0"/>
                  <w:vAlign w:val="center"/>
                </w:tcPr>
                <w:p>
                  <w:pPr>
                    <w:pStyle w:val="6"/>
                    <w:bidi w:val="0"/>
                  </w:pPr>
                </w:p>
              </w:tc>
              <w:tc>
                <w:tcPr>
                  <w:tcW w:w="626" w:type="pct"/>
                  <w:noWrap w:val="0"/>
                  <w:vAlign w:val="center"/>
                </w:tcPr>
                <w:p>
                  <w:pPr>
                    <w:pStyle w:val="6"/>
                    <w:bidi w:val="0"/>
                    <w:rPr>
                      <w:rFonts w:hint="eastAsia" w:eastAsia="宋体"/>
                      <w:lang w:val="en-US" w:eastAsia="zh-CN"/>
                    </w:rPr>
                  </w:pPr>
                  <w:r>
                    <w:rPr>
                      <w:rFonts w:hint="eastAsia"/>
                      <w:lang w:val="en-US" w:eastAsia="zh-CN"/>
                    </w:rPr>
                    <w:t>风险</w:t>
                  </w:r>
                </w:p>
              </w:tc>
              <w:tc>
                <w:tcPr>
                  <w:tcW w:w="2924" w:type="pct"/>
                  <w:gridSpan w:val="2"/>
                  <w:noWrap w:val="0"/>
                  <w:vAlign w:val="center"/>
                </w:tcPr>
                <w:p>
                  <w:pPr>
                    <w:pStyle w:val="6"/>
                    <w:bidi w:val="0"/>
                    <w:rPr>
                      <w:rFonts w:hint="default"/>
                      <w:lang w:val="en-US" w:eastAsia="zh-CN"/>
                    </w:rPr>
                  </w:pPr>
                  <w:r>
                    <w:rPr>
                      <w:rFonts w:hint="eastAsia"/>
                      <w:lang w:val="en-US" w:eastAsia="zh-CN"/>
                    </w:rPr>
                    <w:t>围堰、标识标牌、应急物资、应急预案、管理制度</w:t>
                  </w:r>
                </w:p>
              </w:tc>
              <w:tc>
                <w:tcPr>
                  <w:tcW w:w="580" w:type="pct"/>
                  <w:noWrap w:val="0"/>
                  <w:vAlign w:val="center"/>
                </w:tcPr>
                <w:p>
                  <w:pPr>
                    <w:pStyle w:val="6"/>
                    <w:bidi w:val="0"/>
                    <w:rPr>
                      <w:rFonts w:hint="eastAsia" w:eastAsia="宋体"/>
                      <w:lang w:val="en-US" w:eastAsia="zh-CN"/>
                    </w:rPr>
                  </w:pPr>
                  <w:r>
                    <w:rPr>
                      <w:rFonts w:hint="eastAsia"/>
                      <w:lang w:val="en-US" w:eastAsia="zh-CN"/>
                    </w:rPr>
                    <w:t>5</w:t>
                  </w:r>
                </w:p>
              </w:tc>
              <w:tc>
                <w:tcPr>
                  <w:tcW w:w="580" w:type="pct"/>
                  <w:noWrap w:val="0"/>
                  <w:vAlign w:val="center"/>
                </w:tcPr>
                <w:p>
                  <w:pPr>
                    <w:pStyle w:val="6"/>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gridSpan w:val="2"/>
                  <w:noWrap w:val="0"/>
                  <w:vAlign w:val="center"/>
                </w:tcPr>
                <w:p>
                  <w:pPr>
                    <w:pStyle w:val="6"/>
                    <w:bidi w:val="0"/>
                  </w:pPr>
                  <w:r>
                    <w:t>总计</w:t>
                  </w:r>
                </w:p>
              </w:tc>
              <w:tc>
                <w:tcPr>
                  <w:tcW w:w="3504" w:type="pct"/>
                  <w:gridSpan w:val="3"/>
                  <w:noWrap w:val="0"/>
                  <w:vAlign w:val="center"/>
                </w:tcPr>
                <w:p>
                  <w:pPr>
                    <w:pStyle w:val="6"/>
                    <w:bidi w:val="0"/>
                    <w:rPr>
                      <w:rFonts w:hint="default"/>
                      <w:lang w:val="en-US" w:eastAsia="zh-CN"/>
                    </w:rPr>
                  </w:pPr>
                  <w:r>
                    <w:rPr>
                      <w:rFonts w:hint="eastAsia"/>
                      <w:lang w:val="en-US" w:eastAsia="zh-CN"/>
                    </w:rPr>
                    <w:t>50.5</w:t>
                  </w:r>
                </w:p>
              </w:tc>
              <w:tc>
                <w:tcPr>
                  <w:tcW w:w="580" w:type="pct"/>
                  <w:noWrap w:val="0"/>
                  <w:vAlign w:val="center"/>
                </w:tcPr>
                <w:p>
                  <w:pPr>
                    <w:pStyle w:val="6"/>
                    <w:bidi w:val="0"/>
                    <w:rPr>
                      <w:rFonts w:hint="eastAsia"/>
                      <w:lang w:val="en-US" w:eastAsia="zh-CN"/>
                    </w:rPr>
                  </w:pPr>
                </w:p>
              </w:tc>
            </w:tr>
          </w:tbl>
          <w:p>
            <w:pPr>
              <w:ind w:firstLine="480" w:firstLineChars="200"/>
              <w:rPr>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36"/>
              <w:adjustRightInd w:val="0"/>
              <w:snapToGrid w:val="0"/>
              <w:spacing w:before="0" w:beforeAutospacing="0" w:after="0" w:afterAutospacing="0"/>
              <w:ind w:left="0" w:leftChars="0" w:firstLine="0" w:firstLineChars="0"/>
              <w:jc w:val="both"/>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工艺流程和产排污环节</w:t>
            </w:r>
          </w:p>
        </w:tc>
        <w:tc>
          <w:tcPr>
            <w:tcW w:w="0" w:type="auto"/>
            <w:noWrap w:val="0"/>
            <w:vAlign w:val="top"/>
          </w:tcPr>
          <w:p>
            <w:pPr>
              <w:pStyle w:val="4"/>
              <w:bidi w:val="0"/>
            </w:pPr>
            <w:r>
              <w:rPr>
                <w:rFonts w:hint="eastAsia"/>
                <w:lang w:val="en-US" w:eastAsia="zh-CN"/>
              </w:rPr>
              <w:t>1、</w:t>
            </w:r>
            <w:r>
              <w:t>施工期工艺流程和产排污环节</w:t>
            </w:r>
          </w:p>
          <w:p>
            <w:pPr>
              <w:pStyle w:val="4"/>
              <w:bidi w:val="0"/>
              <w:ind w:left="0" w:leftChars="0" w:firstLine="0" w:firstLineChars="0"/>
              <w:rPr>
                <w:rFonts w:hint="eastAsia" w:eastAsia="宋体"/>
                <w:b/>
                <w:bCs/>
                <w:color w:val="auto"/>
                <w:sz w:val="24"/>
                <w:szCs w:val="24"/>
                <w:highlight w:val="none"/>
                <w:lang w:eastAsia="zh-CN"/>
              </w:rPr>
            </w:pPr>
            <w:r>
              <w:rPr>
                <w:rFonts w:hint="eastAsia" w:eastAsia="宋体"/>
                <w:b/>
                <w:bCs/>
                <w:color w:val="auto"/>
                <w:sz w:val="24"/>
                <w:szCs w:val="24"/>
                <w:highlight w:val="none"/>
                <w:lang w:eastAsia="zh-CN"/>
              </w:rPr>
              <w:drawing>
                <wp:inline distT="0" distB="0" distL="114300" distR="114300">
                  <wp:extent cx="4528185" cy="1783715"/>
                  <wp:effectExtent l="0" t="0" r="5715" b="6985"/>
                  <wp:docPr id="16" name="图片 1" descr="QQ截图20210329164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QQ截图20210329164818"/>
                          <pic:cNvPicPr>
                            <a:picLocks noChangeAspect="1"/>
                          </pic:cNvPicPr>
                        </pic:nvPicPr>
                        <pic:blipFill>
                          <a:blip r:embed="rId10"/>
                          <a:stretch>
                            <a:fillRect/>
                          </a:stretch>
                        </pic:blipFill>
                        <pic:spPr>
                          <a:xfrm>
                            <a:off x="0" y="0"/>
                            <a:ext cx="4528185" cy="1783715"/>
                          </a:xfrm>
                          <a:prstGeom prst="rect">
                            <a:avLst/>
                          </a:prstGeom>
                          <a:noFill/>
                          <a:ln>
                            <a:noFill/>
                          </a:ln>
                        </pic:spPr>
                      </pic:pic>
                    </a:graphicData>
                  </a:graphic>
                </wp:inline>
              </w:drawing>
            </w:r>
          </w:p>
          <w:p>
            <w:pPr>
              <w:pStyle w:val="10"/>
              <w:bidi w:val="0"/>
              <w:ind w:left="0" w:leftChars="0" w:firstLine="0" w:firstLineChars="0"/>
              <w:jc w:val="center"/>
            </w:pPr>
            <w:r>
              <w:t>图</w:t>
            </w:r>
            <w:r>
              <w:rPr>
                <w:rFonts w:hint="eastAsia"/>
              </w:rPr>
              <w:t>2</w:t>
            </w:r>
            <w:r>
              <w:rPr>
                <w:rFonts w:hint="eastAsia"/>
                <w:lang w:val="en-US" w:eastAsia="zh-CN"/>
              </w:rPr>
              <w:t>-2</w:t>
            </w:r>
            <w:r>
              <w:rPr>
                <w:rFonts w:hint="eastAsia"/>
              </w:rPr>
              <w:t xml:space="preserve"> </w:t>
            </w:r>
            <w:r>
              <w:t xml:space="preserve">  施工工艺</w:t>
            </w:r>
            <w:r>
              <w:rPr>
                <w:rFonts w:hint="eastAsia"/>
              </w:rPr>
              <w:t>流程</w:t>
            </w:r>
            <w:r>
              <w:t>及产污环节图</w:t>
            </w:r>
          </w:p>
          <w:p>
            <w:pPr>
              <w:pStyle w:val="4"/>
              <w:bidi w:val="0"/>
            </w:pPr>
            <w:r>
              <w:rPr>
                <w:rFonts w:hint="eastAsia"/>
                <w:lang w:val="en-US" w:eastAsia="zh-CN"/>
              </w:rPr>
              <w:t>2、</w:t>
            </w:r>
            <w:r>
              <w:t>运营期工艺流程和产排污环节</w:t>
            </w:r>
          </w:p>
          <w:p>
            <w:pPr>
              <w:adjustRightInd w:val="0"/>
              <w:snapToGrid w:val="0"/>
              <w:ind w:left="0" w:leftChars="0" w:firstLine="0" w:firstLineChars="0"/>
              <w:jc w:val="center"/>
              <w:rPr>
                <w:rFonts w:hint="eastAsia" w:eastAsia="宋体"/>
                <w:color w:val="000000" w:themeColor="text1"/>
                <w:kern w:val="0"/>
                <w:lang w:eastAsia="zh-CN"/>
                <w14:textFill>
                  <w14:solidFill>
                    <w14:schemeClr w14:val="tx1"/>
                  </w14:solidFill>
                </w14:textFill>
              </w:rPr>
            </w:pPr>
            <w:r>
              <w:rPr>
                <w:rFonts w:hint="eastAsia" w:eastAsia="宋体"/>
                <w:color w:val="000000" w:themeColor="text1"/>
                <w:kern w:val="0"/>
                <w:lang w:eastAsia="zh-CN"/>
                <w14:textFill>
                  <w14:solidFill>
                    <w14:schemeClr w14:val="tx1"/>
                  </w14:solidFill>
                </w14:textFill>
              </w:rPr>
              <w:drawing>
                <wp:inline distT="0" distB="0" distL="114300" distR="114300">
                  <wp:extent cx="3570605" cy="4386580"/>
                  <wp:effectExtent l="0" t="0" r="0" b="0"/>
                  <wp:docPr id="17" name="ECB019B1-382A-4266-B25C-5B523AA43C14-2" descr="C:/Users/MyPC/AppData/Local/Temp/wps.Rvuxf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CB019B1-382A-4266-B25C-5B523AA43C14-2" descr="C:/Users/MyPC/AppData/Local/Temp/wps.RvuxfQwps"/>
                          <pic:cNvPicPr>
                            <a:picLocks noChangeAspect="1"/>
                          </pic:cNvPicPr>
                        </pic:nvPicPr>
                        <pic:blipFill>
                          <a:blip r:embed="rId11"/>
                          <a:stretch>
                            <a:fillRect/>
                          </a:stretch>
                        </pic:blipFill>
                        <pic:spPr>
                          <a:xfrm>
                            <a:off x="0" y="0"/>
                            <a:ext cx="3570605" cy="4386580"/>
                          </a:xfrm>
                          <a:prstGeom prst="rect">
                            <a:avLst/>
                          </a:prstGeom>
                        </pic:spPr>
                      </pic:pic>
                    </a:graphicData>
                  </a:graphic>
                </wp:inline>
              </w:drawing>
            </w:r>
          </w:p>
          <w:p>
            <w:pPr>
              <w:adjustRightInd w:val="0"/>
              <w:snapToGrid w:val="0"/>
              <w:jc w:val="center"/>
              <w:rPr>
                <w:b/>
                <w:bCs/>
                <w:color w:val="000000" w:themeColor="text1"/>
                <w:kern w:val="0"/>
                <w:sz w:val="21"/>
                <w:szCs w:val="21"/>
                <w14:textFill>
                  <w14:solidFill>
                    <w14:schemeClr w14:val="tx1"/>
                  </w14:solidFill>
                </w14:textFill>
              </w:rPr>
            </w:pPr>
            <w:r>
              <w:rPr>
                <w:rFonts w:hint="eastAsia"/>
                <w:b/>
                <w:bCs/>
                <w:color w:val="000000" w:themeColor="text1"/>
                <w:kern w:val="0"/>
                <w:sz w:val="21"/>
                <w:szCs w:val="21"/>
                <w14:textFill>
                  <w14:solidFill>
                    <w14:schemeClr w14:val="tx1"/>
                  </w14:solidFill>
                </w14:textFill>
              </w:rPr>
              <w:t>图</w:t>
            </w:r>
            <w:r>
              <w:rPr>
                <w:rFonts w:hint="eastAsia"/>
                <w:b/>
                <w:bCs/>
                <w:color w:val="000000" w:themeColor="text1"/>
                <w:kern w:val="0"/>
                <w:sz w:val="21"/>
                <w:szCs w:val="21"/>
                <w:lang w:val="en-US" w:eastAsia="zh-CN"/>
                <w14:textFill>
                  <w14:solidFill>
                    <w14:schemeClr w14:val="tx1"/>
                  </w14:solidFill>
                </w14:textFill>
              </w:rPr>
              <w:t>2-</w:t>
            </w:r>
            <w:r>
              <w:rPr>
                <w:rFonts w:hint="eastAsia"/>
                <w:b/>
                <w:bCs/>
                <w:color w:val="000000" w:themeColor="text1"/>
                <w:kern w:val="0"/>
                <w:sz w:val="21"/>
                <w:szCs w:val="21"/>
                <w14:textFill>
                  <w14:solidFill>
                    <w14:schemeClr w14:val="tx1"/>
                  </w14:solidFill>
                </w14:textFill>
              </w:rPr>
              <w:t>3    工艺流程及产污环节图</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firstLine="48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项目原料包括水泥、砂石料和水，其中砂石料存于砂石料堆场，水泥由外购厂家用密闭罐车运输直接送入厂内筒仓储存，水由供水管道。 </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firstLine="48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砂石物料经人工计量后由铲车上料至搅拌机内，水泥经计量后由封闭管道直接上料至搅拌机内，搅拌用水经计量器后由水泵提升至搅拌机内。各物料在搅拌机内充分混合搅拌，搅拌成型后的物料由皮带输送机输送至成型机挤压成所需尺寸的砖块，码垛后由叉车转移至养护区施水养护，养护完成后对工件抽检，不合格品运至一般固废堆场暂存，合格的成品运至成品堆场贮存。</w:t>
            </w:r>
          </w:p>
          <w:p>
            <w:pPr>
              <w:rPr>
                <w:rFonts w:hint="default"/>
                <w:lang w:val="en-US" w:eastAsia="zh-CN"/>
              </w:rPr>
            </w:pPr>
            <w:r>
              <w:rPr>
                <w:rFonts w:hint="eastAsia" w:ascii="宋体" w:hAnsi="宋体" w:eastAsia="宋体" w:cs="宋体"/>
                <w:sz w:val="24"/>
                <w:szCs w:val="24"/>
                <w:lang w:val="en-US" w:eastAsia="zh-CN"/>
              </w:rPr>
              <w:t>该项目</w:t>
            </w:r>
            <w:r>
              <w:rPr>
                <w:rFonts w:ascii="宋体" w:hAnsi="宋体" w:eastAsia="宋体" w:cs="宋体"/>
                <w:sz w:val="24"/>
                <w:szCs w:val="24"/>
              </w:rPr>
              <w:t>运营过程会产生粉尘、废水、噪声、固废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详见下表</w:t>
            </w:r>
            <w:r>
              <w:rPr>
                <w:rFonts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表2-</w:t>
            </w:r>
            <w:r>
              <w:rPr>
                <w:rFonts w:hint="eastAsia"/>
                <w:b/>
                <w:bCs/>
                <w:color w:val="000000" w:themeColor="text1"/>
                <w:sz w:val="21"/>
                <w:szCs w:val="21"/>
                <w:lang w:val="en-US" w:eastAsia="zh-CN"/>
                <w14:textFill>
                  <w14:solidFill>
                    <w14:schemeClr w14:val="tx1"/>
                  </w14:solidFill>
                </w14:textFill>
              </w:rPr>
              <w:t>6</w:t>
            </w:r>
            <w:r>
              <w:rPr>
                <w:rFonts w:hint="eastAsia"/>
                <w:b/>
                <w:bCs/>
                <w:color w:val="000000" w:themeColor="text1"/>
                <w:sz w:val="21"/>
                <w:szCs w:val="21"/>
                <w14:textFill>
                  <w14:solidFill>
                    <w14:schemeClr w14:val="tx1"/>
                  </w14:solidFill>
                </w14:textFill>
              </w:rPr>
              <w:t xml:space="preserve">    </w:t>
            </w:r>
            <w:r>
              <w:rPr>
                <w:rFonts w:hint="eastAsia"/>
                <w:b/>
                <w:bCs/>
                <w:color w:val="000000" w:themeColor="text1"/>
                <w:sz w:val="21"/>
                <w:szCs w:val="21"/>
                <w:lang w:val="en-US" w:eastAsia="zh-CN"/>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主要污染工序表</w:t>
            </w:r>
          </w:p>
          <w:tbl>
            <w:tblPr>
              <w:tblStyle w:val="4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541"/>
              <w:gridCol w:w="1058"/>
              <w:gridCol w:w="1250"/>
              <w:gridCol w:w="1942"/>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tcBorders>
                    <w:tl2br w:val="nil"/>
                    <w:tr2bl w:val="nil"/>
                  </w:tcBorders>
                  <w:vAlign w:val="center"/>
                </w:tcPr>
                <w:p>
                  <w:pPr>
                    <w:pStyle w:val="6"/>
                    <w:bidi w:val="0"/>
                    <w:rPr>
                      <w:rFonts w:hint="default"/>
                      <w:lang w:val="en-US" w:eastAsia="zh-CN"/>
                    </w:rPr>
                  </w:pPr>
                  <w:r>
                    <w:rPr>
                      <w:rFonts w:hint="eastAsia"/>
                      <w:lang w:val="en-US" w:eastAsia="zh-CN"/>
                    </w:rPr>
                    <w:t>生产线</w:t>
                  </w:r>
                </w:p>
              </w:tc>
              <w:tc>
                <w:tcPr>
                  <w:tcW w:w="0" w:type="auto"/>
                  <w:tcBorders>
                    <w:tl2br w:val="nil"/>
                    <w:tr2bl w:val="nil"/>
                  </w:tcBorders>
                  <w:vAlign w:val="center"/>
                </w:tcPr>
                <w:p>
                  <w:pPr>
                    <w:pStyle w:val="6"/>
                    <w:bidi w:val="0"/>
                    <w:rPr>
                      <w:rFonts w:hint="default"/>
                    </w:rPr>
                  </w:pPr>
                  <w:r>
                    <w:rPr>
                      <w:rFonts w:hint="eastAsia"/>
                    </w:rPr>
                    <w:t>项目</w:t>
                  </w:r>
                </w:p>
              </w:tc>
              <w:tc>
                <w:tcPr>
                  <w:tcW w:w="0" w:type="auto"/>
                  <w:tcBorders>
                    <w:tl2br w:val="nil"/>
                    <w:tr2bl w:val="nil"/>
                  </w:tcBorders>
                  <w:vAlign w:val="center"/>
                </w:tcPr>
                <w:p>
                  <w:pPr>
                    <w:pStyle w:val="6"/>
                    <w:bidi w:val="0"/>
                    <w:rPr>
                      <w:rFonts w:hint="default"/>
                    </w:rPr>
                  </w:pPr>
                  <w:r>
                    <w:rPr>
                      <w:rFonts w:hint="eastAsia"/>
                    </w:rPr>
                    <w:t>产生工序</w:t>
                  </w:r>
                </w:p>
              </w:tc>
              <w:tc>
                <w:tcPr>
                  <w:tcW w:w="0" w:type="auto"/>
                  <w:tcBorders>
                    <w:tl2br w:val="nil"/>
                    <w:tr2bl w:val="nil"/>
                  </w:tcBorders>
                  <w:vAlign w:val="center"/>
                </w:tcPr>
                <w:p>
                  <w:pPr>
                    <w:pStyle w:val="6"/>
                    <w:bidi w:val="0"/>
                    <w:rPr>
                      <w:rFonts w:hint="default"/>
                    </w:rPr>
                  </w:pPr>
                  <w:r>
                    <w:rPr>
                      <w:rFonts w:hint="eastAsia"/>
                    </w:rPr>
                    <w:t>污染物</w:t>
                  </w:r>
                </w:p>
              </w:tc>
              <w:tc>
                <w:tcPr>
                  <w:tcW w:w="1942" w:type="dxa"/>
                  <w:tcBorders>
                    <w:tl2br w:val="nil"/>
                    <w:tr2bl w:val="nil"/>
                  </w:tcBorders>
                  <w:vAlign w:val="center"/>
                </w:tcPr>
                <w:p>
                  <w:pPr>
                    <w:pStyle w:val="6"/>
                    <w:bidi w:val="0"/>
                    <w:rPr>
                      <w:rFonts w:hint="default"/>
                    </w:rPr>
                  </w:pPr>
                  <w:r>
                    <w:rPr>
                      <w:rFonts w:hint="eastAsia"/>
                    </w:rPr>
                    <w:t>处理措施</w:t>
                  </w:r>
                </w:p>
              </w:tc>
              <w:tc>
                <w:tcPr>
                  <w:tcW w:w="2369" w:type="dxa"/>
                  <w:tcBorders>
                    <w:tl2br w:val="nil"/>
                    <w:tr2bl w:val="nil"/>
                  </w:tcBorders>
                  <w:vAlign w:val="center"/>
                </w:tcPr>
                <w:p>
                  <w:pPr>
                    <w:pStyle w:val="6"/>
                    <w:bidi w:val="0"/>
                    <w:rPr>
                      <w:rFonts w:hint="default"/>
                      <w:lang w:val="en-US" w:eastAsia="zh-CN"/>
                    </w:rPr>
                  </w:pPr>
                  <w:r>
                    <w:rPr>
                      <w:rFonts w:hint="eastAsia"/>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0" w:type="auto"/>
                  <w:vMerge w:val="restart"/>
                  <w:tcBorders>
                    <w:tl2br w:val="nil"/>
                    <w:tr2bl w:val="nil"/>
                  </w:tcBorders>
                  <w:vAlign w:val="center"/>
                </w:tcPr>
                <w:p>
                  <w:pPr>
                    <w:pStyle w:val="6"/>
                    <w:bidi w:val="0"/>
                    <w:rPr>
                      <w:rFonts w:hint="default"/>
                      <w:lang w:val="en-US" w:eastAsia="zh-CN"/>
                    </w:rPr>
                  </w:pPr>
                  <w:r>
                    <w:rPr>
                      <w:rFonts w:hint="eastAsia"/>
                      <w:lang w:val="en-US" w:eastAsia="zh-CN"/>
                    </w:rPr>
                    <w:t>水泥砖生产线</w:t>
                  </w:r>
                </w:p>
              </w:tc>
              <w:tc>
                <w:tcPr>
                  <w:tcW w:w="0" w:type="auto"/>
                  <w:vMerge w:val="restart"/>
                  <w:tcBorders>
                    <w:tl2br w:val="nil"/>
                    <w:tr2bl w:val="nil"/>
                  </w:tcBorders>
                  <w:vAlign w:val="center"/>
                </w:tcPr>
                <w:p>
                  <w:pPr>
                    <w:pStyle w:val="6"/>
                    <w:bidi w:val="0"/>
                    <w:rPr>
                      <w:rFonts w:hint="default"/>
                      <w:lang w:val="en-US" w:eastAsia="zh-CN"/>
                    </w:rPr>
                  </w:pPr>
                  <w:r>
                    <w:rPr>
                      <w:rFonts w:hint="eastAsia"/>
                      <w:lang w:val="en-US" w:eastAsia="zh-CN"/>
                    </w:rPr>
                    <w:t>废气</w:t>
                  </w:r>
                </w:p>
              </w:tc>
              <w:tc>
                <w:tcPr>
                  <w:tcW w:w="0" w:type="auto"/>
                  <w:tcBorders>
                    <w:tl2br w:val="nil"/>
                    <w:tr2bl w:val="nil"/>
                  </w:tcBorders>
                  <w:vAlign w:val="center"/>
                </w:tcPr>
                <w:p>
                  <w:pPr>
                    <w:pStyle w:val="6"/>
                    <w:bidi w:val="0"/>
                    <w:rPr>
                      <w:rFonts w:hint="default"/>
                      <w:lang w:val="en-US" w:eastAsia="zh-CN"/>
                    </w:rPr>
                  </w:pPr>
                  <w:r>
                    <w:rPr>
                      <w:rFonts w:hint="eastAsia"/>
                      <w:lang w:val="en-US" w:eastAsia="zh-CN"/>
                    </w:rPr>
                    <w:t>物料输送、储存</w:t>
                  </w:r>
                </w:p>
              </w:tc>
              <w:tc>
                <w:tcPr>
                  <w:tcW w:w="0" w:type="auto"/>
                  <w:tcBorders>
                    <w:tl2br w:val="nil"/>
                    <w:tr2bl w:val="nil"/>
                  </w:tcBorders>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颗粒物</w:t>
                  </w:r>
                </w:p>
              </w:tc>
              <w:tc>
                <w:tcPr>
                  <w:tcW w:w="1942" w:type="dxa"/>
                  <w:tcBorders>
                    <w:tl2br w:val="nil"/>
                    <w:tr2bl w:val="nil"/>
                  </w:tcBorders>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砂石料堆场围挡（防风抑尘墙）+洒水降尘、成品堆场遮盖+喷洒水、车辆冲洗、筒仓袋式除尘</w:t>
                  </w:r>
                </w:p>
              </w:tc>
              <w:tc>
                <w:tcPr>
                  <w:tcW w:w="2369" w:type="dxa"/>
                  <w:vMerge w:val="restart"/>
                  <w:tcBorders>
                    <w:tl2br w:val="nil"/>
                    <w:tr2bl w:val="nil"/>
                  </w:tcBorders>
                  <w:vAlign w:val="center"/>
                </w:tcPr>
                <w:p>
                  <w:pPr>
                    <w:pStyle w:val="6"/>
                    <w:bidi w:val="0"/>
                    <w:rPr>
                      <w:rFonts w:hint="default"/>
                      <w:lang w:val="en-US" w:eastAsia="zh-CN"/>
                    </w:rPr>
                  </w:pPr>
                  <w:r>
                    <w:rPr>
                      <w:rFonts w:hint="default"/>
                      <w:lang w:val="en-US" w:eastAsia="zh-CN"/>
                    </w:rPr>
                    <w:t>《水泥工业大气污染物排放标准》（GB4915-2013）</w:t>
                  </w:r>
                  <w:r>
                    <w:rPr>
                      <w:rFonts w:hint="eastAsia"/>
                      <w:lang w:val="en-US" w:eastAsia="zh-CN"/>
                    </w:rPr>
                    <w:t>中的限值要求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Merge w:val="continue"/>
                  <w:tcBorders>
                    <w:tl2br w:val="nil"/>
                    <w:tr2bl w:val="nil"/>
                  </w:tcBorders>
                  <w:vAlign w:val="center"/>
                </w:tcPr>
                <w:p>
                  <w:pPr>
                    <w:pStyle w:val="6"/>
                    <w:bidi w:val="0"/>
                    <w:rPr>
                      <w:rFonts w:hint="eastAsia"/>
                      <w:lang w:val="en-US" w:eastAsia="zh-CN"/>
                    </w:rPr>
                  </w:pPr>
                </w:p>
              </w:tc>
              <w:tc>
                <w:tcPr>
                  <w:tcW w:w="0" w:type="auto"/>
                  <w:vMerge w:val="continue"/>
                  <w:tcBorders>
                    <w:tl2br w:val="nil"/>
                    <w:tr2bl w:val="nil"/>
                  </w:tcBorders>
                  <w:vAlign w:val="center"/>
                </w:tcPr>
                <w:p>
                  <w:pPr>
                    <w:pStyle w:val="6"/>
                    <w:bidi w:val="0"/>
                    <w:rPr>
                      <w:rFonts w:hint="eastAsia"/>
                      <w:lang w:val="en-US" w:eastAsia="zh-CN"/>
                    </w:rPr>
                  </w:pPr>
                </w:p>
              </w:tc>
              <w:tc>
                <w:tcPr>
                  <w:tcW w:w="0" w:type="auto"/>
                  <w:tcBorders>
                    <w:tl2br w:val="nil"/>
                    <w:tr2bl w:val="nil"/>
                  </w:tcBorders>
                  <w:vAlign w:val="center"/>
                </w:tcPr>
                <w:p>
                  <w:pPr>
                    <w:pStyle w:val="6"/>
                    <w:bidi w:val="0"/>
                    <w:rPr>
                      <w:rFonts w:hint="default"/>
                      <w:lang w:val="en-US" w:eastAsia="zh-CN"/>
                    </w:rPr>
                  </w:pPr>
                  <w:r>
                    <w:rPr>
                      <w:rFonts w:hint="eastAsia"/>
                      <w:lang w:val="en-US" w:eastAsia="zh-CN"/>
                    </w:rPr>
                    <w:t>搅拌</w:t>
                  </w:r>
                </w:p>
              </w:tc>
              <w:tc>
                <w:tcPr>
                  <w:tcW w:w="0" w:type="auto"/>
                  <w:tcBorders>
                    <w:tl2br w:val="nil"/>
                    <w:tr2bl w:val="nil"/>
                  </w:tcBorders>
                  <w:vAlign w:val="center"/>
                </w:tcPr>
                <w:p>
                  <w:pPr>
                    <w:pStyle w:val="6"/>
                    <w:bidi w:val="0"/>
                    <w:rPr>
                      <w:rFonts w:hint="eastAsia"/>
                      <w:lang w:val="en-US" w:eastAsia="zh-CN"/>
                    </w:rPr>
                  </w:pPr>
                  <w:r>
                    <w:rPr>
                      <w:rFonts w:hint="eastAsia"/>
                      <w:lang w:val="en-US" w:eastAsia="zh-CN"/>
                    </w:rPr>
                    <w:t>颗粒物</w:t>
                  </w:r>
                </w:p>
              </w:tc>
              <w:tc>
                <w:tcPr>
                  <w:tcW w:w="1942" w:type="dxa"/>
                  <w:tcBorders>
                    <w:tl2br w:val="nil"/>
                    <w:tr2bl w:val="nil"/>
                  </w:tcBorders>
                  <w:vAlign w:val="center"/>
                </w:tcPr>
                <w:p>
                  <w:pPr>
                    <w:pStyle w:val="6"/>
                    <w:bidi w:val="0"/>
                    <w:rPr>
                      <w:rFonts w:hint="default"/>
                      <w:lang w:val="en-US" w:eastAsia="zh-CN"/>
                    </w:rPr>
                  </w:pPr>
                  <w:r>
                    <w:rPr>
                      <w:rFonts w:hint="eastAsia"/>
                      <w:lang w:val="en-US" w:eastAsia="zh-CN"/>
                    </w:rPr>
                    <w:t>袋式除尘</w:t>
                  </w:r>
                </w:p>
              </w:tc>
              <w:tc>
                <w:tcPr>
                  <w:tcW w:w="2369" w:type="dxa"/>
                  <w:vMerge w:val="continue"/>
                  <w:tcBorders>
                    <w:tl2br w:val="nil"/>
                    <w:tr2bl w:val="nil"/>
                  </w:tcBorders>
                  <w:vAlign w:val="center"/>
                </w:tcPr>
                <w:p>
                  <w:pPr>
                    <w:pStyle w:val="6"/>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tcBorders>
                    <w:tl2br w:val="nil"/>
                    <w:tr2bl w:val="nil"/>
                  </w:tcBorders>
                  <w:vAlign w:val="center"/>
                </w:tcPr>
                <w:p>
                  <w:pPr>
                    <w:pStyle w:val="6"/>
                    <w:bidi w:val="0"/>
                    <w:rPr>
                      <w:rFonts w:hint="eastAsia"/>
                      <w:lang w:val="en-US" w:eastAsia="zh-CN"/>
                    </w:rPr>
                  </w:pPr>
                </w:p>
              </w:tc>
              <w:tc>
                <w:tcPr>
                  <w:tcW w:w="0" w:type="auto"/>
                  <w:tcBorders>
                    <w:tl2br w:val="nil"/>
                    <w:tr2bl w:val="nil"/>
                  </w:tcBorders>
                  <w:vAlign w:val="center"/>
                </w:tcPr>
                <w:p>
                  <w:pPr>
                    <w:pStyle w:val="6"/>
                    <w:bidi w:val="0"/>
                    <w:rPr>
                      <w:rFonts w:hint="default"/>
                      <w:lang w:val="en-US" w:eastAsia="zh-CN"/>
                    </w:rPr>
                  </w:pPr>
                  <w:r>
                    <w:rPr>
                      <w:rFonts w:hint="eastAsia"/>
                      <w:lang w:val="en-US" w:eastAsia="zh-CN"/>
                    </w:rPr>
                    <w:t>噪声</w:t>
                  </w:r>
                </w:p>
              </w:tc>
              <w:tc>
                <w:tcPr>
                  <w:tcW w:w="0" w:type="auto"/>
                  <w:tcBorders>
                    <w:tl2br w:val="nil"/>
                    <w:tr2bl w:val="nil"/>
                  </w:tcBorders>
                  <w:vAlign w:val="center"/>
                </w:tcPr>
                <w:p>
                  <w:pPr>
                    <w:pStyle w:val="6"/>
                    <w:bidi w:val="0"/>
                    <w:rPr>
                      <w:rFonts w:hint="default"/>
                      <w:lang w:val="en-US" w:eastAsia="zh-CN"/>
                    </w:rPr>
                  </w:pPr>
                  <w:r>
                    <w:rPr>
                      <w:rFonts w:hint="eastAsia"/>
                      <w:lang w:val="en-US" w:eastAsia="zh-CN"/>
                    </w:rPr>
                    <w:t>上料、搅拌、输送、泵、风机</w:t>
                  </w:r>
                </w:p>
              </w:tc>
              <w:tc>
                <w:tcPr>
                  <w:tcW w:w="0" w:type="auto"/>
                  <w:tcBorders>
                    <w:tl2br w:val="nil"/>
                    <w:tr2bl w:val="nil"/>
                  </w:tcBorders>
                  <w:vAlign w:val="center"/>
                </w:tcPr>
                <w:p>
                  <w:pPr>
                    <w:pStyle w:val="6"/>
                    <w:bidi w:val="0"/>
                    <w:rPr>
                      <w:rFonts w:hint="default"/>
                      <w:lang w:val="en-US" w:eastAsia="zh-CN"/>
                    </w:rPr>
                  </w:pPr>
                  <w:r>
                    <w:rPr>
                      <w:rFonts w:hint="eastAsia"/>
                      <w:lang w:val="en-US" w:eastAsia="zh-CN"/>
                    </w:rPr>
                    <w:t>设备噪声</w:t>
                  </w:r>
                </w:p>
              </w:tc>
              <w:tc>
                <w:tcPr>
                  <w:tcW w:w="1942" w:type="dxa"/>
                  <w:tcBorders>
                    <w:tl2br w:val="nil"/>
                    <w:tr2bl w:val="nil"/>
                  </w:tcBorders>
                  <w:vAlign w:val="center"/>
                </w:tcPr>
                <w:p>
                  <w:pPr>
                    <w:pStyle w:val="6"/>
                    <w:bidi w:val="0"/>
                    <w:rPr>
                      <w:rFonts w:hint="default"/>
                      <w:lang w:val="en-US" w:eastAsia="zh-CN"/>
                    </w:rPr>
                  </w:pPr>
                  <w:r>
                    <w:rPr>
                      <w:rFonts w:hint="eastAsia"/>
                    </w:rPr>
                    <w:t>基础减振、厂房隔音</w:t>
                  </w:r>
                </w:p>
              </w:tc>
              <w:tc>
                <w:tcPr>
                  <w:tcW w:w="2369" w:type="dxa"/>
                  <w:tcBorders>
                    <w:tl2br w:val="nil"/>
                    <w:tr2bl w:val="nil"/>
                  </w:tcBorders>
                  <w:vAlign w:val="center"/>
                </w:tcPr>
                <w:p>
                  <w:pPr>
                    <w:pStyle w:val="6"/>
                    <w:bidi w:val="0"/>
                    <w:rPr>
                      <w:rFonts w:hint="eastAsia"/>
                    </w:rPr>
                  </w:pPr>
                  <w:r>
                    <w:rPr>
                      <w:rFonts w:hint="default"/>
                      <w:lang w:eastAsia="zh-CN"/>
                    </w:rPr>
                    <w:t>《工业企业厂界环境噪声排放标准》（GB 12348-2008）中</w:t>
                  </w:r>
                  <w:r>
                    <w:rPr>
                      <w:rFonts w:hint="eastAsia"/>
                      <w:lang w:val="en-US" w:eastAsia="zh-CN"/>
                    </w:rPr>
                    <w:t>2</w:t>
                  </w:r>
                  <w:r>
                    <w:rPr>
                      <w:rFonts w:hint="default"/>
                      <w:lang w:eastAsia="zh-CN"/>
                    </w:rPr>
                    <w:t>类</w:t>
                  </w:r>
                  <w:r>
                    <w:rPr>
                      <w:rFonts w:hint="eastAsia"/>
                      <w:lang w:val="en-US" w:eastAsia="zh-CN"/>
                    </w:rPr>
                    <w:t>区</w:t>
                  </w:r>
                  <w:r>
                    <w:rPr>
                      <w:rFonts w:hint="default"/>
                      <w:lang w:eastAsia="zh-CN"/>
                    </w:rPr>
                    <w:t>标准</w:t>
                  </w:r>
                  <w:r>
                    <w:rPr>
                      <w:rFonts w:hint="eastAsia"/>
                      <w:lang w:val="en-US" w:eastAsia="zh-CN"/>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tcBorders>
                    <w:tl2br w:val="nil"/>
                    <w:tr2bl w:val="nil"/>
                  </w:tcBorders>
                  <w:vAlign w:val="center"/>
                </w:tcPr>
                <w:p>
                  <w:pPr>
                    <w:pStyle w:val="6"/>
                    <w:bidi w:val="0"/>
                    <w:rPr>
                      <w:rFonts w:hint="default"/>
                    </w:rPr>
                  </w:pPr>
                </w:p>
              </w:tc>
              <w:tc>
                <w:tcPr>
                  <w:tcW w:w="0" w:type="auto"/>
                  <w:vMerge w:val="restart"/>
                  <w:tcBorders>
                    <w:tl2br w:val="nil"/>
                    <w:tr2bl w:val="nil"/>
                  </w:tcBorders>
                  <w:vAlign w:val="center"/>
                </w:tcPr>
                <w:p>
                  <w:pPr>
                    <w:pStyle w:val="6"/>
                    <w:bidi w:val="0"/>
                    <w:rPr>
                      <w:rFonts w:hint="eastAsia"/>
                      <w:lang w:val="en-US" w:eastAsia="zh-CN"/>
                    </w:rPr>
                  </w:pPr>
                  <w:r>
                    <w:rPr>
                      <w:rFonts w:hint="eastAsia"/>
                      <w:lang w:val="en-US" w:eastAsia="zh-CN"/>
                    </w:rPr>
                    <w:t>固废</w:t>
                  </w:r>
                </w:p>
              </w:tc>
              <w:tc>
                <w:tcPr>
                  <w:tcW w:w="0" w:type="auto"/>
                  <w:tcBorders>
                    <w:tl2br w:val="nil"/>
                    <w:tr2bl w:val="nil"/>
                  </w:tcBorders>
                  <w:shd w:val="clear" w:color="auto" w:fill="auto"/>
                  <w:vAlign w:val="center"/>
                </w:tcPr>
                <w:p>
                  <w:pPr>
                    <w:pStyle w:val="6"/>
                    <w:bidi w:val="0"/>
                    <w:rPr>
                      <w:rFonts w:hint="default"/>
                      <w:lang w:val="en-US" w:eastAsia="zh-CN"/>
                    </w:rPr>
                  </w:pPr>
                  <w:r>
                    <w:rPr>
                      <w:rFonts w:hint="eastAsia"/>
                      <w:lang w:val="en-US" w:eastAsia="zh-CN"/>
                    </w:rPr>
                    <w:t>养护、检测</w:t>
                  </w:r>
                </w:p>
              </w:tc>
              <w:tc>
                <w:tcPr>
                  <w:tcW w:w="0" w:type="auto"/>
                  <w:tcBorders>
                    <w:tl2br w:val="nil"/>
                    <w:tr2bl w:val="nil"/>
                  </w:tcBorders>
                  <w:vAlign w:val="center"/>
                </w:tcPr>
                <w:p>
                  <w:pPr>
                    <w:pStyle w:val="6"/>
                    <w:bidi w:val="0"/>
                    <w:rPr>
                      <w:rFonts w:hint="default"/>
                      <w:lang w:val="en-US" w:eastAsia="zh-CN"/>
                    </w:rPr>
                  </w:pPr>
                  <w:r>
                    <w:rPr>
                      <w:rFonts w:hint="eastAsia"/>
                      <w:lang w:val="en-US" w:eastAsia="zh-CN"/>
                    </w:rPr>
                    <w:t>不合格产品</w:t>
                  </w:r>
                </w:p>
              </w:tc>
              <w:tc>
                <w:tcPr>
                  <w:tcW w:w="1942" w:type="dxa"/>
                  <w:tcBorders>
                    <w:tl2br w:val="nil"/>
                    <w:tr2bl w:val="nil"/>
                  </w:tcBorders>
                  <w:shd w:val="clear" w:color="auto" w:fill="auto"/>
                  <w:vAlign w:val="center"/>
                </w:tcPr>
                <w:p>
                  <w:pPr>
                    <w:pStyle w:val="6"/>
                    <w:bidi w:val="0"/>
                    <w:rPr>
                      <w:rFonts w:hint="eastAsia"/>
                      <w:lang w:val="en-US" w:eastAsia="zh-CN"/>
                    </w:rPr>
                  </w:pPr>
                  <w:r>
                    <w:rPr>
                      <w:rFonts w:hint="eastAsia"/>
                      <w:color w:val="000000"/>
                      <w:spacing w:val="0"/>
                      <w:kern w:val="0"/>
                      <w:lang w:val="en-US" w:eastAsia="zh-CN"/>
                    </w:rPr>
                    <w:t>清运至</w:t>
                  </w:r>
                  <w:r>
                    <w:rPr>
                      <w:rFonts w:hint="eastAsia"/>
                      <w:lang w:val="en-US" w:eastAsia="zh-CN"/>
                    </w:rPr>
                    <w:t>一般工业固废填埋场处置</w:t>
                  </w:r>
                </w:p>
              </w:tc>
              <w:tc>
                <w:tcPr>
                  <w:tcW w:w="2369" w:type="dxa"/>
                  <w:tcBorders>
                    <w:tl2br w:val="nil"/>
                    <w:tr2bl w:val="nil"/>
                  </w:tcBorders>
                  <w:shd w:val="clear" w:color="auto" w:fill="auto"/>
                  <w:vAlign w:val="center"/>
                </w:tcPr>
                <w:p>
                  <w:pPr>
                    <w:pStyle w:val="6"/>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tcBorders>
                    <w:tl2br w:val="nil"/>
                    <w:tr2bl w:val="nil"/>
                  </w:tcBorders>
                  <w:vAlign w:val="center"/>
                </w:tcPr>
                <w:p>
                  <w:pPr>
                    <w:pStyle w:val="6"/>
                    <w:bidi w:val="0"/>
                    <w:rPr>
                      <w:rFonts w:hint="default"/>
                    </w:rPr>
                  </w:pPr>
                </w:p>
              </w:tc>
              <w:tc>
                <w:tcPr>
                  <w:tcW w:w="0" w:type="auto"/>
                  <w:vMerge w:val="continue"/>
                  <w:tcBorders>
                    <w:tl2br w:val="nil"/>
                    <w:tr2bl w:val="nil"/>
                  </w:tcBorders>
                  <w:vAlign w:val="center"/>
                </w:tcPr>
                <w:p>
                  <w:pPr>
                    <w:pStyle w:val="6"/>
                    <w:bidi w:val="0"/>
                    <w:rPr>
                      <w:rFonts w:hint="eastAsia"/>
                      <w:lang w:val="en-US" w:eastAsia="zh-CN"/>
                    </w:rPr>
                  </w:pPr>
                </w:p>
              </w:tc>
              <w:tc>
                <w:tcPr>
                  <w:tcW w:w="0" w:type="auto"/>
                  <w:tcBorders>
                    <w:tl2br w:val="nil"/>
                    <w:tr2bl w:val="nil"/>
                  </w:tcBorders>
                  <w:shd w:val="clear" w:color="auto" w:fill="auto"/>
                  <w:vAlign w:val="center"/>
                </w:tcPr>
                <w:p>
                  <w:pPr>
                    <w:pStyle w:val="6"/>
                    <w:bidi w:val="0"/>
                    <w:rPr>
                      <w:rFonts w:hint="eastAsia"/>
                      <w:lang w:val="en-US" w:eastAsia="zh-CN"/>
                    </w:rPr>
                  </w:pPr>
                  <w:r>
                    <w:rPr>
                      <w:rFonts w:hint="eastAsia"/>
                      <w:lang w:val="en-US" w:eastAsia="zh-CN"/>
                    </w:rPr>
                    <w:t>废气治理设施</w:t>
                  </w:r>
                </w:p>
              </w:tc>
              <w:tc>
                <w:tcPr>
                  <w:tcW w:w="0" w:type="auto"/>
                  <w:tcBorders>
                    <w:tl2br w:val="nil"/>
                    <w:tr2bl w:val="nil"/>
                  </w:tcBorders>
                  <w:shd w:val="clear" w:color="auto" w:fill="auto"/>
                  <w:vAlign w:val="center"/>
                </w:tcPr>
                <w:p>
                  <w:pPr>
                    <w:pStyle w:val="6"/>
                    <w:bidi w:val="0"/>
                    <w:rPr>
                      <w:rFonts w:hint="default"/>
                      <w:lang w:val="en-US" w:eastAsia="zh-CN"/>
                    </w:rPr>
                  </w:pPr>
                  <w:r>
                    <w:rPr>
                      <w:rFonts w:hint="eastAsia"/>
                      <w:lang w:val="en-US" w:eastAsia="zh-CN"/>
                    </w:rPr>
                    <w:t>除尘灰、车间沉降粉尘</w:t>
                  </w:r>
                </w:p>
              </w:tc>
              <w:tc>
                <w:tcPr>
                  <w:tcW w:w="1942" w:type="dxa"/>
                  <w:tcBorders>
                    <w:tl2br w:val="nil"/>
                    <w:tr2bl w:val="nil"/>
                  </w:tcBorders>
                  <w:shd w:val="clear" w:color="auto" w:fill="auto"/>
                  <w:vAlign w:val="center"/>
                </w:tcPr>
                <w:p>
                  <w:pPr>
                    <w:pStyle w:val="6"/>
                    <w:bidi w:val="0"/>
                    <w:rPr>
                      <w:rFonts w:hint="eastAsia"/>
                      <w:lang w:val="en-US" w:eastAsia="zh-CN"/>
                    </w:rPr>
                  </w:pPr>
                  <w:r>
                    <w:rPr>
                      <w:rFonts w:hint="eastAsia"/>
                      <w:lang w:val="en-US" w:eastAsia="zh-CN"/>
                    </w:rPr>
                    <w:t>回用于生产线</w:t>
                  </w:r>
                </w:p>
              </w:tc>
              <w:tc>
                <w:tcPr>
                  <w:tcW w:w="2369" w:type="dxa"/>
                  <w:tcBorders>
                    <w:tl2br w:val="nil"/>
                    <w:tr2bl w:val="nil"/>
                  </w:tcBorders>
                  <w:shd w:val="clear" w:color="auto" w:fill="auto"/>
                  <w:vAlign w:val="center"/>
                </w:tcPr>
                <w:p>
                  <w:pPr>
                    <w:pStyle w:val="6"/>
                    <w:bidi w:val="0"/>
                    <w:rPr>
                      <w:rFonts w:hint="eastAsia"/>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0" w:type="auto"/>
                  <w:vMerge w:val="restart"/>
                  <w:vAlign w:val="center"/>
                </w:tcPr>
                <w:p>
                  <w:pPr>
                    <w:pStyle w:val="6"/>
                    <w:bidi w:val="0"/>
                    <w:rPr>
                      <w:rFonts w:hint="eastAsia"/>
                      <w:lang w:val="en-US" w:eastAsia="zh-CN"/>
                    </w:rPr>
                  </w:pPr>
                  <w:r>
                    <w:rPr>
                      <w:rFonts w:hint="eastAsia"/>
                      <w:lang w:val="en-US" w:eastAsia="zh-CN"/>
                    </w:rPr>
                    <w:t>其他</w:t>
                  </w:r>
                </w:p>
              </w:tc>
              <w:tc>
                <w:tcPr>
                  <w:tcW w:w="0" w:type="auto"/>
                  <w:vMerge w:val="restart"/>
                  <w:vAlign w:val="center"/>
                </w:tcPr>
                <w:p>
                  <w:pPr>
                    <w:pStyle w:val="6"/>
                    <w:bidi w:val="0"/>
                    <w:rPr>
                      <w:rFonts w:hint="eastAsia"/>
                      <w:lang w:val="en-US" w:eastAsia="zh-CN"/>
                    </w:rPr>
                  </w:pPr>
                  <w:r>
                    <w:rPr>
                      <w:rFonts w:hint="eastAsia"/>
                      <w:lang w:val="en-US" w:eastAsia="zh-CN"/>
                    </w:rPr>
                    <w:t>废水</w:t>
                  </w:r>
                </w:p>
              </w:tc>
              <w:tc>
                <w:tcPr>
                  <w:tcW w:w="0" w:type="auto"/>
                  <w:vAlign w:val="center"/>
                </w:tcPr>
                <w:p>
                  <w:pPr>
                    <w:pStyle w:val="6"/>
                    <w:bidi w:val="0"/>
                    <w:rPr>
                      <w:rFonts w:hint="default"/>
                      <w:lang w:val="en-US" w:eastAsia="zh-CN"/>
                    </w:rPr>
                  </w:pPr>
                  <w:r>
                    <w:rPr>
                      <w:rFonts w:hint="eastAsia"/>
                      <w:lang w:val="en-US" w:eastAsia="zh-CN"/>
                    </w:rPr>
                    <w:t>生活人员</w:t>
                  </w:r>
                </w:p>
              </w:tc>
              <w:tc>
                <w:tcPr>
                  <w:tcW w:w="0" w:type="auto"/>
                  <w:vAlign w:val="center"/>
                </w:tcPr>
                <w:p>
                  <w:pPr>
                    <w:pStyle w:val="6"/>
                    <w:bidi w:val="0"/>
                    <w:rPr>
                      <w:rFonts w:hint="default"/>
                      <w:lang w:val="en-US" w:eastAsia="zh-CN"/>
                    </w:rPr>
                  </w:pPr>
                  <w:r>
                    <w:rPr>
                      <w:rFonts w:hint="eastAsia"/>
                      <w:lang w:val="en-US" w:eastAsia="zh-CN"/>
                    </w:rPr>
                    <w:t>生活污水</w:t>
                  </w:r>
                </w:p>
              </w:tc>
              <w:tc>
                <w:tcPr>
                  <w:tcW w:w="1942" w:type="dxa"/>
                  <w:vAlign w:val="center"/>
                </w:tcPr>
                <w:p>
                  <w:pPr>
                    <w:pStyle w:val="6"/>
                    <w:bidi w:val="0"/>
                    <w:rPr>
                      <w:rFonts w:hint="default"/>
                      <w:lang w:val="en-US" w:eastAsia="zh-CN"/>
                    </w:rPr>
                  </w:pPr>
                  <w:r>
                    <w:rPr>
                      <w:rFonts w:hint="eastAsia"/>
                      <w:lang w:val="en-US" w:eastAsia="zh-CN"/>
                    </w:rPr>
                    <w:t>收集至防渗化粪池，定期拉运至若羌县污水处理厂处理</w:t>
                  </w:r>
                </w:p>
              </w:tc>
              <w:tc>
                <w:tcPr>
                  <w:tcW w:w="2369" w:type="dxa"/>
                  <w:vAlign w:val="center"/>
                </w:tcPr>
                <w:p>
                  <w:pPr>
                    <w:pStyle w:val="6"/>
                    <w:bidi w:val="0"/>
                    <w:rPr>
                      <w:rFonts w:hint="eastAsia"/>
                      <w:lang w:val="en-US" w:eastAsia="zh-CN"/>
                    </w:rPr>
                  </w:pPr>
                  <w:r>
                    <w:rPr>
                      <w:rFonts w:hint="default"/>
                    </w:rPr>
                    <w:t>《污水综合排放标准》（GB8978-1996）中三级标准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0" w:type="auto"/>
                  <w:vMerge w:val="continue"/>
                  <w:vAlign w:val="center"/>
                </w:tcPr>
                <w:p>
                  <w:pPr>
                    <w:pStyle w:val="6"/>
                    <w:bidi w:val="0"/>
                    <w:rPr>
                      <w:rFonts w:hint="eastAsia"/>
                      <w:lang w:val="en-US" w:eastAsia="zh-CN"/>
                    </w:rPr>
                  </w:pPr>
                </w:p>
              </w:tc>
              <w:tc>
                <w:tcPr>
                  <w:tcW w:w="0" w:type="auto"/>
                  <w:vMerge w:val="continue"/>
                  <w:vAlign w:val="center"/>
                </w:tcPr>
                <w:p>
                  <w:pPr>
                    <w:pStyle w:val="6"/>
                    <w:bidi w:val="0"/>
                    <w:rPr>
                      <w:rFonts w:hint="eastAsia"/>
                      <w:lang w:val="en-US" w:eastAsia="zh-CN"/>
                    </w:rPr>
                  </w:pPr>
                </w:p>
              </w:tc>
              <w:tc>
                <w:tcPr>
                  <w:tcW w:w="0" w:type="auto"/>
                  <w:vAlign w:val="center"/>
                </w:tcPr>
                <w:p>
                  <w:pPr>
                    <w:pStyle w:val="6"/>
                    <w:bidi w:val="0"/>
                    <w:rPr>
                      <w:rFonts w:hint="default"/>
                      <w:lang w:val="en-US" w:eastAsia="zh-CN"/>
                    </w:rPr>
                  </w:pPr>
                  <w:r>
                    <w:rPr>
                      <w:rFonts w:hint="eastAsia"/>
                      <w:lang w:val="en-US" w:eastAsia="zh-CN"/>
                    </w:rPr>
                    <w:t>设备清洗水</w:t>
                  </w:r>
                </w:p>
              </w:tc>
              <w:tc>
                <w:tcPr>
                  <w:tcW w:w="0" w:type="auto"/>
                  <w:vAlign w:val="center"/>
                </w:tcPr>
                <w:p>
                  <w:pPr>
                    <w:pStyle w:val="6"/>
                    <w:bidi w:val="0"/>
                    <w:rPr>
                      <w:rFonts w:hint="default"/>
                      <w:lang w:val="en-US" w:eastAsia="zh-CN"/>
                    </w:rPr>
                  </w:pPr>
                  <w:r>
                    <w:rPr>
                      <w:rFonts w:hint="eastAsia"/>
                      <w:lang w:val="en-US" w:eastAsia="zh-CN"/>
                    </w:rPr>
                    <w:t>SS</w:t>
                  </w:r>
                </w:p>
              </w:tc>
              <w:tc>
                <w:tcPr>
                  <w:tcW w:w="1942" w:type="dxa"/>
                  <w:vAlign w:val="center"/>
                </w:tcPr>
                <w:p>
                  <w:pPr>
                    <w:pStyle w:val="6"/>
                    <w:bidi w:val="0"/>
                    <w:rPr>
                      <w:rFonts w:hint="default"/>
                      <w:lang w:val="en-US" w:eastAsia="zh-CN"/>
                    </w:rPr>
                  </w:pPr>
                  <w:r>
                    <w:rPr>
                      <w:rFonts w:hint="eastAsia"/>
                      <w:lang w:val="en-US" w:eastAsia="zh-CN"/>
                    </w:rPr>
                    <w:t>循环使用，不外排</w:t>
                  </w:r>
                </w:p>
              </w:tc>
              <w:tc>
                <w:tcPr>
                  <w:tcW w:w="2369" w:type="dxa"/>
                  <w:vAlign w:val="center"/>
                </w:tcPr>
                <w:p>
                  <w:pPr>
                    <w:pStyle w:val="6"/>
                    <w:bidi w:val="0"/>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0" w:type="auto"/>
                  <w:vMerge w:val="continue"/>
                  <w:vAlign w:val="center"/>
                </w:tcPr>
                <w:p>
                  <w:pPr>
                    <w:pStyle w:val="6"/>
                    <w:bidi w:val="0"/>
                    <w:rPr>
                      <w:rFonts w:hint="eastAsia"/>
                      <w:lang w:val="en-US" w:eastAsia="zh-CN"/>
                    </w:rPr>
                  </w:pPr>
                </w:p>
              </w:tc>
              <w:tc>
                <w:tcPr>
                  <w:tcW w:w="0" w:type="auto"/>
                  <w:vMerge w:val="continue"/>
                  <w:vAlign w:val="center"/>
                </w:tcPr>
                <w:p>
                  <w:pPr>
                    <w:pStyle w:val="6"/>
                    <w:bidi w:val="0"/>
                    <w:rPr>
                      <w:rFonts w:hint="eastAsia"/>
                      <w:lang w:val="en-US" w:eastAsia="zh-CN"/>
                    </w:rPr>
                  </w:pPr>
                </w:p>
              </w:tc>
              <w:tc>
                <w:tcPr>
                  <w:tcW w:w="0" w:type="auto"/>
                  <w:vAlign w:val="center"/>
                </w:tcPr>
                <w:p>
                  <w:pPr>
                    <w:pStyle w:val="6"/>
                    <w:bidi w:val="0"/>
                    <w:rPr>
                      <w:rFonts w:hint="default"/>
                      <w:lang w:val="en-US" w:eastAsia="zh-CN"/>
                    </w:rPr>
                  </w:pPr>
                  <w:r>
                    <w:rPr>
                      <w:rFonts w:hint="eastAsia"/>
                      <w:lang w:val="en-US" w:eastAsia="zh-CN"/>
                    </w:rPr>
                    <w:t>车辆清洗水</w:t>
                  </w:r>
                </w:p>
              </w:tc>
              <w:tc>
                <w:tcPr>
                  <w:tcW w:w="0" w:type="auto"/>
                  <w:vAlign w:val="center"/>
                </w:tcPr>
                <w:p>
                  <w:pPr>
                    <w:pStyle w:val="6"/>
                    <w:bidi w:val="0"/>
                    <w:rPr>
                      <w:rFonts w:hint="default"/>
                      <w:lang w:val="en-US" w:eastAsia="zh-CN"/>
                    </w:rPr>
                  </w:pPr>
                  <w:r>
                    <w:rPr>
                      <w:rFonts w:hint="eastAsia"/>
                      <w:lang w:val="en-US" w:eastAsia="zh-CN"/>
                    </w:rPr>
                    <w:t>SS</w:t>
                  </w:r>
                </w:p>
              </w:tc>
              <w:tc>
                <w:tcPr>
                  <w:tcW w:w="1942" w:type="dxa"/>
                  <w:vAlign w:val="center"/>
                </w:tcPr>
                <w:p>
                  <w:pPr>
                    <w:pStyle w:val="6"/>
                    <w:bidi w:val="0"/>
                    <w:rPr>
                      <w:rFonts w:hint="default"/>
                      <w:lang w:val="en-US" w:eastAsia="zh-CN"/>
                    </w:rPr>
                  </w:pPr>
                  <w:r>
                    <w:rPr>
                      <w:rFonts w:hint="eastAsia"/>
                      <w:lang w:val="en-US" w:eastAsia="zh-CN"/>
                    </w:rPr>
                    <w:t>循环使用，不外排</w:t>
                  </w:r>
                </w:p>
              </w:tc>
              <w:tc>
                <w:tcPr>
                  <w:tcW w:w="2369" w:type="dxa"/>
                  <w:vAlign w:val="center"/>
                </w:tcPr>
                <w:p>
                  <w:pPr>
                    <w:pStyle w:val="6"/>
                    <w:bidi w:val="0"/>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vAlign w:val="center"/>
                </w:tcPr>
                <w:p>
                  <w:pPr>
                    <w:pStyle w:val="6"/>
                    <w:bidi w:val="0"/>
                    <w:rPr>
                      <w:rFonts w:hint="eastAsia"/>
                      <w:lang w:val="en-US" w:eastAsia="zh-CN"/>
                    </w:rPr>
                  </w:pPr>
                </w:p>
              </w:tc>
              <w:tc>
                <w:tcPr>
                  <w:tcW w:w="0" w:type="auto"/>
                  <w:vAlign w:val="center"/>
                </w:tcPr>
                <w:p>
                  <w:pPr>
                    <w:pStyle w:val="6"/>
                    <w:bidi w:val="0"/>
                    <w:rPr>
                      <w:rFonts w:hint="default"/>
                      <w:lang w:val="en-US" w:eastAsia="zh-CN"/>
                    </w:rPr>
                  </w:pPr>
                  <w:r>
                    <w:rPr>
                      <w:rFonts w:hint="eastAsia"/>
                      <w:lang w:val="en-US" w:eastAsia="zh-CN"/>
                    </w:rPr>
                    <w:t>废气</w:t>
                  </w:r>
                </w:p>
              </w:tc>
              <w:tc>
                <w:tcPr>
                  <w:tcW w:w="0" w:type="auto"/>
                  <w:vAlign w:val="center"/>
                </w:tcPr>
                <w:p>
                  <w:pPr>
                    <w:pStyle w:val="6"/>
                    <w:bidi w:val="0"/>
                    <w:rPr>
                      <w:rFonts w:hint="default"/>
                      <w:lang w:val="en-US" w:eastAsia="zh-CN"/>
                    </w:rPr>
                  </w:pPr>
                  <w:r>
                    <w:rPr>
                      <w:rFonts w:hint="eastAsia"/>
                      <w:lang w:val="en-US" w:eastAsia="zh-CN"/>
                    </w:rPr>
                    <w:t>厂界</w:t>
                  </w:r>
                </w:p>
              </w:tc>
              <w:tc>
                <w:tcPr>
                  <w:tcW w:w="0" w:type="auto"/>
                  <w:shd w:val="clear" w:color="auto" w:fill="auto"/>
                  <w:vAlign w:val="center"/>
                </w:tcPr>
                <w:p>
                  <w:pPr>
                    <w:pStyle w:val="6"/>
                    <w:bidi w:val="0"/>
                    <w:rPr>
                      <w:rFonts w:hint="default"/>
                      <w:lang w:val="en-US" w:eastAsia="zh-CN"/>
                    </w:rPr>
                  </w:pPr>
                  <w:r>
                    <w:rPr>
                      <w:rFonts w:hint="eastAsia"/>
                      <w:lang w:val="en-US" w:eastAsia="zh-CN"/>
                    </w:rPr>
                    <w:t>颗粒物</w:t>
                  </w:r>
                </w:p>
              </w:tc>
              <w:tc>
                <w:tcPr>
                  <w:tcW w:w="1942" w:type="dxa"/>
                  <w:shd w:val="clear" w:color="auto" w:fill="auto"/>
                  <w:vAlign w:val="center"/>
                </w:tcPr>
                <w:p>
                  <w:pPr>
                    <w:pStyle w:val="6"/>
                    <w:bidi w:val="0"/>
                    <w:rPr>
                      <w:rFonts w:hint="default"/>
                      <w:lang w:val="en-US" w:eastAsia="zh-CN"/>
                    </w:rPr>
                  </w:pPr>
                  <w:r>
                    <w:rPr>
                      <w:rFonts w:hint="eastAsia"/>
                      <w:lang w:val="en-US" w:eastAsia="zh-CN"/>
                    </w:rPr>
                    <w:t>洒水降尘</w:t>
                  </w:r>
                </w:p>
              </w:tc>
              <w:tc>
                <w:tcPr>
                  <w:tcW w:w="2369" w:type="dxa"/>
                  <w:shd w:val="clear" w:color="auto" w:fill="auto"/>
                  <w:vAlign w:val="center"/>
                </w:tcPr>
                <w:p>
                  <w:pPr>
                    <w:pStyle w:val="6"/>
                    <w:bidi w:val="0"/>
                    <w:rPr>
                      <w:rFonts w:hint="eastAsia"/>
                      <w:lang w:val="en-US" w:eastAsia="zh-CN"/>
                    </w:rPr>
                  </w:pPr>
                  <w:r>
                    <w:rPr>
                      <w:rFonts w:hint="default"/>
                      <w:lang w:val="en-US" w:eastAsia="zh-CN"/>
                    </w:rPr>
                    <w:t>《水泥工业大气污染物排放标准》（GB4915-2013）表</w:t>
                  </w:r>
                  <w:r>
                    <w:rPr>
                      <w:rFonts w:hint="eastAsia"/>
                      <w:lang w:val="en-US" w:eastAsia="zh-CN"/>
                    </w:rPr>
                    <w:t>3</w:t>
                  </w:r>
                  <w:r>
                    <w:rPr>
                      <w:rFonts w:hint="default"/>
                      <w:lang w:val="en-US" w:eastAsia="zh-CN"/>
                    </w:rPr>
                    <w:t>大气污染物排放限值要求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0" w:type="auto"/>
                  <w:vMerge w:val="continue"/>
                  <w:vAlign w:val="center"/>
                </w:tcPr>
                <w:p>
                  <w:pPr>
                    <w:pStyle w:val="6"/>
                    <w:bidi w:val="0"/>
                    <w:rPr>
                      <w:rFonts w:hint="eastAsia"/>
                      <w:lang w:val="en-US" w:eastAsia="zh-CN"/>
                    </w:rPr>
                  </w:pPr>
                </w:p>
              </w:tc>
              <w:tc>
                <w:tcPr>
                  <w:tcW w:w="0" w:type="auto"/>
                  <w:vMerge w:val="restart"/>
                  <w:vAlign w:val="center"/>
                </w:tcPr>
                <w:p>
                  <w:pPr>
                    <w:pStyle w:val="6"/>
                    <w:bidi w:val="0"/>
                    <w:rPr>
                      <w:rFonts w:hint="default"/>
                      <w:lang w:val="en-US" w:eastAsia="zh-CN"/>
                    </w:rPr>
                  </w:pPr>
                  <w:r>
                    <w:rPr>
                      <w:rFonts w:hint="eastAsia"/>
                      <w:lang w:val="en-US" w:eastAsia="zh-CN"/>
                    </w:rPr>
                    <w:t>固废</w:t>
                  </w:r>
                </w:p>
              </w:tc>
              <w:tc>
                <w:tcPr>
                  <w:tcW w:w="0" w:type="auto"/>
                  <w:vAlign w:val="center"/>
                </w:tcPr>
                <w:p>
                  <w:pPr>
                    <w:pStyle w:val="6"/>
                    <w:bidi w:val="0"/>
                    <w:rPr>
                      <w:rFonts w:hint="default"/>
                      <w:lang w:val="en-US" w:eastAsia="zh-CN"/>
                    </w:rPr>
                  </w:pPr>
                  <w:r>
                    <w:rPr>
                      <w:rFonts w:hint="eastAsia"/>
                      <w:lang w:val="en-US" w:eastAsia="zh-CN"/>
                    </w:rPr>
                    <w:t>生活垃圾</w:t>
                  </w:r>
                </w:p>
              </w:tc>
              <w:tc>
                <w:tcPr>
                  <w:tcW w:w="0" w:type="auto"/>
                  <w:vAlign w:val="center"/>
                </w:tcPr>
                <w:p>
                  <w:pPr>
                    <w:pStyle w:val="6"/>
                    <w:bidi w:val="0"/>
                    <w:rPr>
                      <w:rFonts w:hint="default"/>
                      <w:lang w:val="en-US" w:eastAsia="zh-CN"/>
                    </w:rPr>
                  </w:pPr>
                  <w:r>
                    <w:rPr>
                      <w:rFonts w:hint="eastAsia"/>
                      <w:lang w:val="en-US" w:eastAsia="zh-CN"/>
                    </w:rPr>
                    <w:t>生活垃圾</w:t>
                  </w:r>
                </w:p>
              </w:tc>
              <w:tc>
                <w:tcPr>
                  <w:tcW w:w="1942" w:type="dxa"/>
                  <w:vAlign w:val="center"/>
                </w:tcPr>
                <w:p>
                  <w:pPr>
                    <w:pStyle w:val="6"/>
                    <w:bidi w:val="0"/>
                    <w:rPr>
                      <w:rFonts w:hint="default"/>
                      <w:lang w:val="en-US" w:eastAsia="zh-CN"/>
                    </w:rPr>
                  </w:pPr>
                  <w:r>
                    <w:rPr>
                      <w:rFonts w:hint="eastAsia"/>
                      <w:lang w:val="en-US" w:eastAsia="zh-CN"/>
                    </w:rPr>
                    <w:t>集中收集至垃圾箱，委托环卫部门定期清运</w:t>
                  </w:r>
                </w:p>
              </w:tc>
              <w:tc>
                <w:tcPr>
                  <w:tcW w:w="2369" w:type="dxa"/>
                  <w:vAlign w:val="center"/>
                </w:tcPr>
                <w:p>
                  <w:pPr>
                    <w:pStyle w:val="6"/>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0" w:type="auto"/>
                  <w:vMerge w:val="continue"/>
                  <w:vAlign w:val="center"/>
                </w:tcPr>
                <w:p>
                  <w:pPr>
                    <w:pStyle w:val="6"/>
                    <w:bidi w:val="0"/>
                    <w:rPr>
                      <w:rFonts w:hint="eastAsia"/>
                      <w:lang w:val="en-US" w:eastAsia="zh-CN"/>
                    </w:rPr>
                  </w:pPr>
                </w:p>
              </w:tc>
              <w:tc>
                <w:tcPr>
                  <w:tcW w:w="0" w:type="auto"/>
                  <w:vMerge w:val="continue"/>
                  <w:vAlign w:val="center"/>
                </w:tcPr>
                <w:p>
                  <w:pPr>
                    <w:pStyle w:val="6"/>
                    <w:bidi w:val="0"/>
                    <w:rPr>
                      <w:rFonts w:hint="eastAsia"/>
                      <w:lang w:val="en-US" w:eastAsia="zh-CN"/>
                    </w:rPr>
                  </w:pPr>
                </w:p>
              </w:tc>
              <w:tc>
                <w:tcPr>
                  <w:tcW w:w="0" w:type="auto"/>
                  <w:vAlign w:val="center"/>
                </w:tcPr>
                <w:p>
                  <w:pPr>
                    <w:pStyle w:val="6"/>
                    <w:bidi w:val="0"/>
                    <w:rPr>
                      <w:rFonts w:hint="default"/>
                      <w:lang w:val="en-US" w:eastAsia="zh-CN"/>
                    </w:rPr>
                  </w:pPr>
                  <w:r>
                    <w:rPr>
                      <w:rFonts w:hint="eastAsia"/>
                      <w:lang w:val="en-US" w:eastAsia="zh-CN"/>
                    </w:rPr>
                    <w:t>沉淀池</w:t>
                  </w:r>
                </w:p>
              </w:tc>
              <w:tc>
                <w:tcPr>
                  <w:tcW w:w="0" w:type="auto"/>
                  <w:vAlign w:val="center"/>
                </w:tcPr>
                <w:p>
                  <w:pPr>
                    <w:pStyle w:val="6"/>
                    <w:bidi w:val="0"/>
                    <w:rPr>
                      <w:rFonts w:hint="eastAsia"/>
                      <w:lang w:val="en-US" w:eastAsia="zh-CN"/>
                    </w:rPr>
                  </w:pPr>
                  <w:r>
                    <w:rPr>
                      <w:rFonts w:hint="eastAsia"/>
                      <w:lang w:val="en-US" w:eastAsia="zh-CN"/>
                    </w:rPr>
                    <w:t>沉淀池沉渣</w:t>
                  </w:r>
                </w:p>
              </w:tc>
              <w:tc>
                <w:tcPr>
                  <w:tcW w:w="1942" w:type="dxa"/>
                  <w:vAlign w:val="center"/>
                </w:tcPr>
                <w:p>
                  <w:pPr>
                    <w:pStyle w:val="6"/>
                    <w:bidi w:val="0"/>
                    <w:rPr>
                      <w:rFonts w:hint="default"/>
                      <w:lang w:val="en-US" w:eastAsia="zh-CN"/>
                    </w:rPr>
                  </w:pPr>
                  <w:r>
                    <w:rPr>
                      <w:rFonts w:hint="eastAsia"/>
                      <w:lang w:val="en-US" w:eastAsia="zh-CN"/>
                    </w:rPr>
                    <w:t>回用于生产线</w:t>
                  </w:r>
                </w:p>
              </w:tc>
              <w:tc>
                <w:tcPr>
                  <w:tcW w:w="2369" w:type="dxa"/>
                  <w:vAlign w:val="center"/>
                </w:tcPr>
                <w:p>
                  <w:pPr>
                    <w:pStyle w:val="6"/>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0" w:type="auto"/>
                  <w:vMerge w:val="continue"/>
                  <w:vAlign w:val="center"/>
                </w:tcPr>
                <w:p>
                  <w:pPr>
                    <w:pStyle w:val="6"/>
                    <w:bidi w:val="0"/>
                    <w:rPr>
                      <w:rFonts w:hint="eastAsia"/>
                      <w:lang w:val="en-US" w:eastAsia="zh-CN"/>
                    </w:rPr>
                  </w:pPr>
                </w:p>
              </w:tc>
              <w:tc>
                <w:tcPr>
                  <w:tcW w:w="0" w:type="auto"/>
                  <w:vMerge w:val="continue"/>
                  <w:vAlign w:val="center"/>
                </w:tcPr>
                <w:p>
                  <w:pPr>
                    <w:pStyle w:val="6"/>
                    <w:bidi w:val="0"/>
                    <w:rPr>
                      <w:rFonts w:hint="eastAsia"/>
                      <w:lang w:val="en-US" w:eastAsia="zh-CN"/>
                    </w:rPr>
                  </w:pPr>
                </w:p>
              </w:tc>
              <w:tc>
                <w:tcPr>
                  <w:tcW w:w="0" w:type="auto"/>
                  <w:vAlign w:val="center"/>
                </w:tcPr>
                <w:p>
                  <w:pPr>
                    <w:pStyle w:val="6"/>
                    <w:bidi w:val="0"/>
                    <w:rPr>
                      <w:rFonts w:hint="default"/>
                      <w:lang w:val="en-US" w:eastAsia="zh-CN"/>
                    </w:rPr>
                  </w:pPr>
                  <w:r>
                    <w:rPr>
                      <w:rFonts w:hint="eastAsia"/>
                      <w:lang w:val="en-US" w:eastAsia="zh-CN"/>
                    </w:rPr>
                    <w:t>废气治理设施</w:t>
                  </w:r>
                </w:p>
              </w:tc>
              <w:tc>
                <w:tcPr>
                  <w:tcW w:w="0" w:type="auto"/>
                  <w:vAlign w:val="center"/>
                </w:tcPr>
                <w:p>
                  <w:pPr>
                    <w:pStyle w:val="6"/>
                    <w:bidi w:val="0"/>
                    <w:rPr>
                      <w:rFonts w:hint="eastAsia"/>
                      <w:lang w:val="en-US" w:eastAsia="zh-CN"/>
                    </w:rPr>
                  </w:pPr>
                  <w:r>
                    <w:rPr>
                      <w:rFonts w:hint="eastAsia"/>
                      <w:lang w:val="en-US" w:eastAsia="zh-CN"/>
                    </w:rPr>
                    <w:t>废布袋</w:t>
                  </w:r>
                </w:p>
              </w:tc>
              <w:tc>
                <w:tcPr>
                  <w:tcW w:w="1942" w:type="dxa"/>
                  <w:vAlign w:val="center"/>
                </w:tcPr>
                <w:p>
                  <w:pPr>
                    <w:pStyle w:val="6"/>
                    <w:bidi w:val="0"/>
                    <w:rPr>
                      <w:rFonts w:hint="eastAsia"/>
                      <w:lang w:val="en-US" w:eastAsia="zh-CN"/>
                    </w:rPr>
                  </w:pPr>
                  <w:r>
                    <w:rPr>
                      <w:rFonts w:hint="eastAsia"/>
                      <w:color w:val="000000"/>
                      <w:spacing w:val="0"/>
                      <w:kern w:val="0"/>
                      <w:lang w:val="en-US" w:eastAsia="zh-CN"/>
                    </w:rPr>
                    <w:t>清运至一般固废填埋场填埋</w:t>
                  </w:r>
                </w:p>
              </w:tc>
              <w:tc>
                <w:tcPr>
                  <w:tcW w:w="2369" w:type="dxa"/>
                  <w:vAlign w:val="center"/>
                </w:tcPr>
                <w:p>
                  <w:pPr>
                    <w:pStyle w:val="6"/>
                    <w:bidi w:val="0"/>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vMerge w:val="continue"/>
                  <w:vAlign w:val="center"/>
                </w:tcPr>
                <w:p>
                  <w:pPr>
                    <w:pStyle w:val="6"/>
                    <w:bidi w:val="0"/>
                    <w:rPr>
                      <w:rFonts w:hint="eastAsia"/>
                      <w:lang w:val="en-US" w:eastAsia="zh-CN"/>
                    </w:rPr>
                  </w:pPr>
                </w:p>
              </w:tc>
              <w:tc>
                <w:tcPr>
                  <w:tcW w:w="0" w:type="auto"/>
                  <w:vAlign w:val="center"/>
                </w:tcPr>
                <w:p>
                  <w:pPr>
                    <w:pStyle w:val="6"/>
                    <w:bidi w:val="0"/>
                    <w:rPr>
                      <w:rFonts w:hint="default"/>
                      <w:lang w:val="en-US" w:eastAsia="zh-CN"/>
                    </w:rPr>
                  </w:pPr>
                  <w:r>
                    <w:rPr>
                      <w:rFonts w:hint="eastAsia"/>
                      <w:lang w:val="en-US" w:eastAsia="zh-CN"/>
                    </w:rPr>
                    <w:t>危险废物</w:t>
                  </w:r>
                </w:p>
              </w:tc>
              <w:tc>
                <w:tcPr>
                  <w:tcW w:w="0" w:type="auto"/>
                  <w:vAlign w:val="center"/>
                </w:tcPr>
                <w:p>
                  <w:pPr>
                    <w:pStyle w:val="6"/>
                    <w:bidi w:val="0"/>
                    <w:rPr>
                      <w:rFonts w:hint="default"/>
                      <w:lang w:val="en-US" w:eastAsia="zh-CN"/>
                    </w:rPr>
                  </w:pPr>
                  <w:r>
                    <w:rPr>
                      <w:rFonts w:hint="eastAsia"/>
                      <w:lang w:val="en-US" w:eastAsia="zh-CN"/>
                    </w:rPr>
                    <w:t>设备维护</w:t>
                  </w:r>
                </w:p>
              </w:tc>
              <w:tc>
                <w:tcPr>
                  <w:tcW w:w="0" w:type="auto"/>
                  <w:vAlign w:val="center"/>
                </w:tcPr>
                <w:p>
                  <w:pPr>
                    <w:pStyle w:val="6"/>
                    <w:bidi w:val="0"/>
                    <w:rPr>
                      <w:rFonts w:hint="default"/>
                      <w:lang w:val="en-US" w:eastAsia="zh-CN"/>
                    </w:rPr>
                  </w:pPr>
                  <w:r>
                    <w:rPr>
                      <w:rFonts w:hint="eastAsia"/>
                      <w:lang w:val="en-US" w:eastAsia="zh-CN"/>
                    </w:rPr>
                    <w:t>废润滑油、废油桶、</w:t>
                  </w:r>
                  <w:r>
                    <w:rPr>
                      <w:rFonts w:hint="eastAsia"/>
                    </w:rPr>
                    <w:t>含油抹布、劳保用品</w:t>
                  </w:r>
                </w:p>
              </w:tc>
              <w:tc>
                <w:tcPr>
                  <w:tcW w:w="1942" w:type="dxa"/>
                  <w:vAlign w:val="center"/>
                </w:tcPr>
                <w:p>
                  <w:pPr>
                    <w:pStyle w:val="6"/>
                    <w:bidi w:val="0"/>
                    <w:rPr>
                      <w:rFonts w:hint="default"/>
                      <w:lang w:val="en-US" w:eastAsia="zh-CN"/>
                    </w:rPr>
                  </w:pPr>
                  <w:r>
                    <w:rPr>
                      <w:rFonts w:hint="eastAsia"/>
                      <w:lang w:val="en-US" w:eastAsia="zh-CN"/>
                    </w:rPr>
                    <w:t>集中收集暂存于危废贮存间，委托有资质单位处置</w:t>
                  </w:r>
                </w:p>
              </w:tc>
              <w:tc>
                <w:tcPr>
                  <w:tcW w:w="2369" w:type="dxa"/>
                  <w:vAlign w:val="center"/>
                </w:tcPr>
                <w:p>
                  <w:pPr>
                    <w:pStyle w:val="6"/>
                    <w:bidi w:val="0"/>
                    <w:rPr>
                      <w:rFonts w:hint="eastAsia"/>
                      <w:lang w:val="en-US" w:eastAsia="zh-CN"/>
                    </w:rPr>
                  </w:pPr>
                  <w:r>
                    <w:rPr>
                      <w:rFonts w:hint="eastAsia"/>
                      <w:lang w:val="en-US" w:eastAsia="zh-CN"/>
                    </w:rPr>
                    <w:t>《危险废物贮存污染控制标准》（GB18597-2023）</w:t>
                  </w:r>
                </w:p>
              </w:tc>
            </w:tr>
          </w:tbl>
          <w:p>
            <w:pPr>
              <w:widowControl/>
              <w:adjustRightInd w:val="0"/>
              <w:snapToGrid w:val="0"/>
              <w:spacing w:line="240" w:lineRule="auto"/>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w:t>
            </w:r>
            <w:r>
              <w:rPr>
                <w:rFonts w:hint="eastAsia"/>
                <w:b/>
                <w:bCs/>
                <w:color w:val="000000" w:themeColor="text1"/>
                <w:sz w:val="21"/>
                <w:szCs w:val="21"/>
                <w:lang w:val="en-US" w:eastAsia="zh-CN"/>
                <w14:textFill>
                  <w14:solidFill>
                    <w14:schemeClr w14:val="tx1"/>
                  </w14:solidFill>
                </w14:textFill>
              </w:rPr>
              <w:t>2-7</w:t>
            </w:r>
            <w:r>
              <w:rPr>
                <w:rFonts w:hint="eastAsia"/>
                <w:b/>
                <w:bCs/>
                <w:color w:val="000000" w:themeColor="text1"/>
                <w:sz w:val="21"/>
                <w:szCs w:val="21"/>
                <w14:textFill>
                  <w14:solidFill>
                    <w14:schemeClr w14:val="tx1"/>
                  </w14:solidFill>
                </w14:textFill>
              </w:rPr>
              <w:t xml:space="preserve">                      物料平衡一览表</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249"/>
              <w:gridCol w:w="1253"/>
              <w:gridCol w:w="3126"/>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restart"/>
                  <w:noWrap w:val="0"/>
                  <w:vAlign w:val="center"/>
                </w:tcPr>
                <w:p>
                  <w:pPr>
                    <w:pStyle w:val="6"/>
                    <w:bidi w:val="0"/>
                    <w:rPr>
                      <w:rFonts w:hint="default"/>
                    </w:rPr>
                  </w:pPr>
                  <w:r>
                    <w:rPr>
                      <w:rFonts w:hint="default"/>
                    </w:rPr>
                    <w:t>序号</w:t>
                  </w:r>
                </w:p>
              </w:tc>
              <w:tc>
                <w:tcPr>
                  <w:tcW w:w="1609" w:type="pct"/>
                  <w:gridSpan w:val="2"/>
                  <w:noWrap w:val="0"/>
                  <w:vAlign w:val="center"/>
                </w:tcPr>
                <w:p>
                  <w:pPr>
                    <w:pStyle w:val="6"/>
                    <w:bidi w:val="0"/>
                    <w:rPr>
                      <w:rFonts w:hint="default"/>
                    </w:rPr>
                  </w:pPr>
                  <w:r>
                    <w:rPr>
                      <w:rFonts w:hint="default"/>
                    </w:rPr>
                    <w:t>投入</w:t>
                  </w:r>
                </w:p>
              </w:tc>
              <w:tc>
                <w:tcPr>
                  <w:tcW w:w="2945" w:type="pct"/>
                  <w:gridSpan w:val="2"/>
                  <w:noWrap w:val="0"/>
                  <w:vAlign w:val="center"/>
                </w:tcPr>
                <w:p>
                  <w:pPr>
                    <w:pStyle w:val="6"/>
                    <w:bidi w:val="0"/>
                    <w:rPr>
                      <w:rFonts w:hint="default"/>
                    </w:rPr>
                  </w:pPr>
                  <w:r>
                    <w:rPr>
                      <w:rFonts w:hint="default"/>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vMerge w:val="continue"/>
                  <w:noWrap w:val="0"/>
                  <w:vAlign w:val="center"/>
                </w:tcPr>
                <w:p>
                  <w:pPr>
                    <w:pStyle w:val="6"/>
                    <w:bidi w:val="0"/>
                    <w:rPr>
                      <w:rFonts w:hint="default"/>
                    </w:rPr>
                  </w:pPr>
                </w:p>
              </w:tc>
              <w:tc>
                <w:tcPr>
                  <w:tcW w:w="803" w:type="pct"/>
                  <w:noWrap w:val="0"/>
                  <w:vAlign w:val="center"/>
                </w:tcPr>
                <w:p>
                  <w:pPr>
                    <w:pStyle w:val="6"/>
                    <w:bidi w:val="0"/>
                    <w:rPr>
                      <w:rFonts w:hint="default"/>
                    </w:rPr>
                  </w:pPr>
                  <w:r>
                    <w:rPr>
                      <w:rFonts w:hint="default"/>
                    </w:rPr>
                    <w:t>名称</w:t>
                  </w:r>
                </w:p>
              </w:tc>
              <w:tc>
                <w:tcPr>
                  <w:tcW w:w="805" w:type="pct"/>
                  <w:noWrap w:val="0"/>
                  <w:vAlign w:val="center"/>
                </w:tcPr>
                <w:p>
                  <w:pPr>
                    <w:pStyle w:val="6"/>
                    <w:bidi w:val="0"/>
                    <w:rPr>
                      <w:rFonts w:hint="default"/>
                    </w:rPr>
                  </w:pPr>
                  <w:r>
                    <w:rPr>
                      <w:rFonts w:hint="default"/>
                    </w:rPr>
                    <w:t>数量（t）</w:t>
                  </w:r>
                </w:p>
              </w:tc>
              <w:tc>
                <w:tcPr>
                  <w:tcW w:w="2010" w:type="pct"/>
                  <w:noWrap w:val="0"/>
                  <w:vAlign w:val="center"/>
                </w:tcPr>
                <w:p>
                  <w:pPr>
                    <w:pStyle w:val="6"/>
                    <w:bidi w:val="0"/>
                    <w:rPr>
                      <w:rFonts w:hint="default"/>
                    </w:rPr>
                  </w:pPr>
                  <w:r>
                    <w:rPr>
                      <w:rFonts w:hint="default"/>
                    </w:rPr>
                    <w:t>名称</w:t>
                  </w:r>
                </w:p>
              </w:tc>
              <w:tc>
                <w:tcPr>
                  <w:tcW w:w="934" w:type="pct"/>
                  <w:noWrap w:val="0"/>
                  <w:vAlign w:val="center"/>
                </w:tcPr>
                <w:p>
                  <w:pPr>
                    <w:pStyle w:val="6"/>
                    <w:bidi w:val="0"/>
                    <w:rPr>
                      <w:rFonts w:hint="default"/>
                    </w:rPr>
                  </w:pPr>
                  <w:r>
                    <w:rPr>
                      <w:rFonts w:hint="default"/>
                    </w:rPr>
                    <w:t>数量（t）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noWrap w:val="0"/>
                  <w:vAlign w:val="center"/>
                </w:tcPr>
                <w:p>
                  <w:pPr>
                    <w:pStyle w:val="6"/>
                    <w:bidi w:val="0"/>
                    <w:rPr>
                      <w:rFonts w:hint="default"/>
                      <w:lang w:val="en-US" w:eastAsia="zh-CN"/>
                    </w:rPr>
                  </w:pPr>
                  <w:r>
                    <w:rPr>
                      <w:rFonts w:hint="default"/>
                      <w:lang w:val="en-US" w:eastAsia="zh-CN"/>
                    </w:rPr>
                    <w:t>1</w:t>
                  </w:r>
                </w:p>
              </w:tc>
              <w:tc>
                <w:tcPr>
                  <w:tcW w:w="803" w:type="pct"/>
                  <w:noWrap w:val="0"/>
                  <w:vAlign w:val="center"/>
                </w:tcPr>
                <w:p>
                  <w:pPr>
                    <w:pStyle w:val="6"/>
                    <w:bidi w:val="0"/>
                    <w:rPr>
                      <w:rFonts w:hint="default"/>
                      <w:lang w:val="en-US" w:eastAsia="zh-CN"/>
                    </w:rPr>
                  </w:pPr>
                  <w:r>
                    <w:rPr>
                      <w:rFonts w:hint="eastAsia"/>
                      <w:lang w:val="en-US" w:eastAsia="zh-CN"/>
                    </w:rPr>
                    <w:t>砂石料</w:t>
                  </w:r>
                </w:p>
              </w:tc>
              <w:tc>
                <w:tcPr>
                  <w:tcW w:w="805" w:type="pct"/>
                  <w:noWrap w:val="0"/>
                  <w:vAlign w:val="center"/>
                </w:tcPr>
                <w:p>
                  <w:pPr>
                    <w:pStyle w:val="6"/>
                    <w:bidi w:val="0"/>
                    <w:rPr>
                      <w:rFonts w:hint="default"/>
                      <w:lang w:val="en-US" w:eastAsia="zh-CN"/>
                    </w:rPr>
                  </w:pPr>
                  <w:r>
                    <w:rPr>
                      <w:rFonts w:hint="eastAsia"/>
                      <w:lang w:val="en-US" w:eastAsia="zh-CN"/>
                    </w:rPr>
                    <w:t>16000</w:t>
                  </w:r>
                </w:p>
              </w:tc>
              <w:tc>
                <w:tcPr>
                  <w:tcW w:w="2010" w:type="pct"/>
                  <w:noWrap w:val="0"/>
                  <w:vAlign w:val="center"/>
                </w:tcPr>
                <w:p>
                  <w:pPr>
                    <w:pStyle w:val="6"/>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水泥砖</w:t>
                  </w:r>
                </w:p>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（标砖、路面砖、路沿石）</w:t>
                  </w:r>
                </w:p>
              </w:tc>
              <w:tc>
                <w:tcPr>
                  <w:tcW w:w="934" w:type="pct"/>
                  <w:shd w:val="clear" w:color="auto" w:fill="auto"/>
                  <w:noWrap w:val="0"/>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45" w:type="pct"/>
                  <w:noWrap w:val="0"/>
                  <w:vAlign w:val="center"/>
                </w:tcPr>
                <w:p>
                  <w:pPr>
                    <w:pStyle w:val="6"/>
                    <w:bidi w:val="0"/>
                    <w:rPr>
                      <w:rFonts w:hint="default"/>
                      <w:lang w:val="en-US" w:eastAsia="zh-CN"/>
                    </w:rPr>
                  </w:pPr>
                  <w:r>
                    <w:rPr>
                      <w:rFonts w:hint="default"/>
                      <w:lang w:val="en-US" w:eastAsia="zh-CN"/>
                    </w:rPr>
                    <w:t>2</w:t>
                  </w:r>
                </w:p>
              </w:tc>
              <w:tc>
                <w:tcPr>
                  <w:tcW w:w="803" w:type="pct"/>
                  <w:noWrap w:val="0"/>
                  <w:vAlign w:val="center"/>
                </w:tcPr>
                <w:p>
                  <w:pPr>
                    <w:pStyle w:val="6"/>
                    <w:bidi w:val="0"/>
                    <w:rPr>
                      <w:rFonts w:hint="default"/>
                      <w:lang w:val="en-US" w:eastAsia="zh-CN"/>
                    </w:rPr>
                  </w:pPr>
                  <w:r>
                    <w:rPr>
                      <w:rFonts w:hint="eastAsia"/>
                      <w:lang w:val="en-US" w:eastAsia="zh-CN"/>
                    </w:rPr>
                    <w:t>水泥</w:t>
                  </w:r>
                </w:p>
              </w:tc>
              <w:tc>
                <w:tcPr>
                  <w:tcW w:w="805" w:type="pct"/>
                  <w:noWrap w:val="0"/>
                  <w:vAlign w:val="center"/>
                </w:tcPr>
                <w:p>
                  <w:pPr>
                    <w:pStyle w:val="6"/>
                    <w:bidi w:val="0"/>
                    <w:rPr>
                      <w:rFonts w:hint="default"/>
                      <w:lang w:val="en-US" w:eastAsia="zh-CN"/>
                    </w:rPr>
                  </w:pPr>
                  <w:r>
                    <w:rPr>
                      <w:rFonts w:hint="eastAsia"/>
                      <w:lang w:val="en-US" w:eastAsia="zh-CN"/>
                    </w:rPr>
                    <w:t>3000</w:t>
                  </w:r>
                </w:p>
              </w:tc>
              <w:tc>
                <w:tcPr>
                  <w:tcW w:w="2010" w:type="pct"/>
                  <w:shd w:val="clear" w:color="auto" w:fill="auto"/>
                  <w:noWrap w:val="0"/>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不合格产品</w:t>
                  </w:r>
                </w:p>
              </w:tc>
              <w:tc>
                <w:tcPr>
                  <w:tcW w:w="934" w:type="pct"/>
                  <w:shd w:val="clear" w:color="auto" w:fill="auto"/>
                  <w:noWrap w:val="0"/>
                  <w:vAlign w:val="center"/>
                </w:tcPr>
                <w:p>
                  <w:pPr>
                    <w:pStyle w:val="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noWrap w:val="0"/>
                  <w:vAlign w:val="center"/>
                </w:tcPr>
                <w:p>
                  <w:pPr>
                    <w:pStyle w:val="6"/>
                    <w:bidi w:val="0"/>
                    <w:rPr>
                      <w:rFonts w:hint="default"/>
                      <w:lang w:val="en-US" w:eastAsia="zh-CN"/>
                    </w:rPr>
                  </w:pPr>
                  <w:r>
                    <w:rPr>
                      <w:rFonts w:hint="default"/>
                      <w:lang w:val="en-US" w:eastAsia="zh-CN"/>
                    </w:rPr>
                    <w:t>3</w:t>
                  </w:r>
                </w:p>
              </w:tc>
              <w:tc>
                <w:tcPr>
                  <w:tcW w:w="803" w:type="pct"/>
                  <w:noWrap w:val="0"/>
                  <w:vAlign w:val="center"/>
                </w:tcPr>
                <w:p>
                  <w:pPr>
                    <w:pStyle w:val="6"/>
                    <w:bidi w:val="0"/>
                    <w:rPr>
                      <w:rFonts w:hint="default"/>
                      <w:lang w:val="en-US" w:eastAsia="zh-CN"/>
                    </w:rPr>
                  </w:pPr>
                  <w:r>
                    <w:rPr>
                      <w:rFonts w:hint="eastAsia"/>
                      <w:lang w:val="en-US" w:eastAsia="zh-CN"/>
                    </w:rPr>
                    <w:t>水</w:t>
                  </w:r>
                </w:p>
              </w:tc>
              <w:tc>
                <w:tcPr>
                  <w:tcW w:w="805" w:type="pct"/>
                  <w:noWrap w:val="0"/>
                  <w:vAlign w:val="center"/>
                </w:tcPr>
                <w:p>
                  <w:pPr>
                    <w:pStyle w:val="6"/>
                    <w:bidi w:val="0"/>
                    <w:rPr>
                      <w:rFonts w:hint="default"/>
                      <w:lang w:val="en-US" w:eastAsia="zh-CN"/>
                    </w:rPr>
                  </w:pPr>
                  <w:r>
                    <w:rPr>
                      <w:rFonts w:hint="eastAsia"/>
                      <w:lang w:val="en-US" w:eastAsia="zh-CN"/>
                    </w:rPr>
                    <w:t>1800</w:t>
                  </w:r>
                </w:p>
              </w:tc>
              <w:tc>
                <w:tcPr>
                  <w:tcW w:w="2010" w:type="pct"/>
                  <w:shd w:val="clear" w:color="auto" w:fill="auto"/>
                  <w:noWrap w:val="0"/>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粉尘排放</w:t>
                  </w:r>
                </w:p>
              </w:tc>
              <w:tc>
                <w:tcPr>
                  <w:tcW w:w="934" w:type="pct"/>
                  <w:shd w:val="clear" w:color="auto" w:fill="auto"/>
                  <w:noWrap w:val="0"/>
                  <w:vAlign w:val="center"/>
                </w:tcPr>
                <w:p>
                  <w:pPr>
                    <w:pStyle w:val="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0.</w:t>
                  </w:r>
                  <w:r>
                    <w:rPr>
                      <w:rFonts w:hint="eastAsia" w:cs="Times New Roman"/>
                      <w:lang w:val="en-US" w:eastAsia="zh-CN"/>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noWrap w:val="0"/>
                  <w:vAlign w:val="center"/>
                </w:tcPr>
                <w:p>
                  <w:pPr>
                    <w:pStyle w:val="6"/>
                    <w:bidi w:val="0"/>
                    <w:rPr>
                      <w:rFonts w:hint="default"/>
                      <w:lang w:val="en-US" w:eastAsia="zh-CN"/>
                    </w:rPr>
                  </w:pPr>
                  <w:r>
                    <w:rPr>
                      <w:rFonts w:hint="eastAsia"/>
                      <w:lang w:val="en-US" w:eastAsia="zh-CN"/>
                    </w:rPr>
                    <w:t>4</w:t>
                  </w:r>
                </w:p>
              </w:tc>
              <w:tc>
                <w:tcPr>
                  <w:tcW w:w="803" w:type="pct"/>
                  <w:noWrap w:val="0"/>
                  <w:vAlign w:val="center"/>
                </w:tcPr>
                <w:p>
                  <w:pPr>
                    <w:pStyle w:val="6"/>
                    <w:bidi w:val="0"/>
                    <w:rPr>
                      <w:rFonts w:hint="default"/>
                      <w:lang w:val="en-US" w:eastAsia="zh-CN"/>
                    </w:rPr>
                  </w:pPr>
                  <w:r>
                    <w:rPr>
                      <w:rFonts w:hint="eastAsia"/>
                      <w:lang w:val="en-US" w:eastAsia="zh-CN"/>
                    </w:rPr>
                    <w:t>/</w:t>
                  </w:r>
                </w:p>
              </w:tc>
              <w:tc>
                <w:tcPr>
                  <w:tcW w:w="805" w:type="pct"/>
                  <w:noWrap w:val="0"/>
                  <w:vAlign w:val="center"/>
                </w:tcPr>
                <w:p>
                  <w:pPr>
                    <w:pStyle w:val="6"/>
                    <w:bidi w:val="0"/>
                    <w:rPr>
                      <w:rFonts w:hint="default"/>
                      <w:lang w:val="en-US" w:eastAsia="zh-CN"/>
                    </w:rPr>
                  </w:pPr>
                  <w:r>
                    <w:rPr>
                      <w:rFonts w:hint="eastAsia"/>
                      <w:lang w:val="en-US" w:eastAsia="zh-CN"/>
                    </w:rPr>
                    <w:t>/</w:t>
                  </w:r>
                </w:p>
              </w:tc>
              <w:tc>
                <w:tcPr>
                  <w:tcW w:w="2010" w:type="pct"/>
                  <w:shd w:val="clear" w:color="auto" w:fill="auto"/>
                  <w:noWrap w:val="0"/>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除尘灰和沉降粉尘</w:t>
                  </w:r>
                </w:p>
              </w:tc>
              <w:tc>
                <w:tcPr>
                  <w:tcW w:w="934" w:type="pct"/>
                  <w:shd w:val="clear" w:color="auto" w:fill="auto"/>
                  <w:noWrap w:val="0"/>
                  <w:vAlign w:val="center"/>
                </w:tcPr>
                <w:p>
                  <w:pPr>
                    <w:pStyle w:val="6"/>
                    <w:bidi w:val="0"/>
                    <w:rPr>
                      <w:rFonts w:hint="default" w:ascii="Times New Roman" w:hAnsi="Times New Roman" w:eastAsia="宋体" w:cs="Times New Roman"/>
                      <w:lang w:val="en-US" w:eastAsia="zh-CN"/>
                    </w:rPr>
                  </w:pPr>
                  <w:r>
                    <w:rPr>
                      <w:rFonts w:hint="eastAsia" w:cs="Times New Roman"/>
                      <w:lang w:val="en-US" w:eastAsia="zh-CN"/>
                    </w:rPr>
                    <w:t>12.745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noWrap w:val="0"/>
                  <w:vAlign w:val="center"/>
                </w:tcPr>
                <w:p>
                  <w:pPr>
                    <w:pStyle w:val="6"/>
                    <w:bidi w:val="0"/>
                    <w:rPr>
                      <w:rFonts w:hint="eastAsia"/>
                      <w:lang w:val="en-US" w:eastAsia="zh-CN"/>
                    </w:rPr>
                  </w:pPr>
                  <w:r>
                    <w:rPr>
                      <w:rFonts w:hint="eastAsia"/>
                      <w:lang w:val="en-US" w:eastAsia="zh-CN"/>
                    </w:rPr>
                    <w:t>5</w:t>
                  </w:r>
                </w:p>
              </w:tc>
              <w:tc>
                <w:tcPr>
                  <w:tcW w:w="803" w:type="pct"/>
                  <w:shd w:val="clear" w:color="auto" w:fill="auto"/>
                  <w:noWrap w:val="0"/>
                  <w:vAlign w:val="center"/>
                </w:tcPr>
                <w:p>
                  <w:pPr>
                    <w:pStyle w:val="6"/>
                    <w:bidi w:val="0"/>
                    <w:rPr>
                      <w:rFonts w:hint="default"/>
                      <w:lang w:val="en-US" w:eastAsia="zh-CN"/>
                    </w:rPr>
                  </w:pPr>
                  <w:r>
                    <w:rPr>
                      <w:rFonts w:hint="eastAsia"/>
                      <w:lang w:val="en-US" w:eastAsia="zh-CN"/>
                    </w:rPr>
                    <w:t>/</w:t>
                  </w:r>
                </w:p>
              </w:tc>
              <w:tc>
                <w:tcPr>
                  <w:tcW w:w="805" w:type="pct"/>
                  <w:shd w:val="clear" w:color="auto" w:fill="auto"/>
                  <w:noWrap w:val="0"/>
                  <w:vAlign w:val="center"/>
                </w:tcPr>
                <w:p>
                  <w:pPr>
                    <w:pStyle w:val="6"/>
                    <w:bidi w:val="0"/>
                    <w:rPr>
                      <w:rFonts w:hint="default"/>
                      <w:lang w:val="en-US" w:eastAsia="zh-CN"/>
                    </w:rPr>
                  </w:pPr>
                  <w:r>
                    <w:rPr>
                      <w:rFonts w:hint="eastAsia"/>
                      <w:lang w:val="en-US" w:eastAsia="zh-CN"/>
                    </w:rPr>
                    <w:t>/</w:t>
                  </w:r>
                </w:p>
              </w:tc>
              <w:tc>
                <w:tcPr>
                  <w:tcW w:w="2010" w:type="pct"/>
                  <w:shd w:val="clear" w:color="auto" w:fill="auto"/>
                  <w:noWrap w:val="0"/>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水损耗</w:t>
                  </w:r>
                </w:p>
              </w:tc>
              <w:tc>
                <w:tcPr>
                  <w:tcW w:w="934" w:type="pct"/>
                  <w:shd w:val="clear" w:color="auto" w:fill="auto"/>
                  <w:noWrap w:val="0"/>
                  <w:vAlign w:val="center"/>
                </w:tcPr>
                <w:p>
                  <w:pPr>
                    <w:pStyle w:val="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776.</w:t>
                  </w:r>
                  <w:r>
                    <w:rPr>
                      <w:rFonts w:hint="eastAsia" w:cs="Times New Roman"/>
                      <w:lang w:val="en-US" w:eastAsia="zh-CN"/>
                    </w:rP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pct"/>
                  <w:noWrap w:val="0"/>
                  <w:vAlign w:val="center"/>
                </w:tcPr>
                <w:p>
                  <w:pPr>
                    <w:pStyle w:val="6"/>
                    <w:bidi w:val="0"/>
                    <w:rPr>
                      <w:rFonts w:hint="default"/>
                    </w:rPr>
                  </w:pPr>
                </w:p>
              </w:tc>
              <w:tc>
                <w:tcPr>
                  <w:tcW w:w="803" w:type="pct"/>
                  <w:shd w:val="clear" w:color="auto" w:fill="auto"/>
                  <w:noWrap w:val="0"/>
                  <w:vAlign w:val="center"/>
                </w:tcPr>
                <w:p>
                  <w:pPr>
                    <w:pStyle w:val="6"/>
                    <w:bidi w:val="0"/>
                    <w:rPr>
                      <w:rFonts w:hint="default"/>
                      <w:lang w:val="en-US" w:eastAsia="zh-CN"/>
                    </w:rPr>
                  </w:pPr>
                  <w:r>
                    <w:rPr>
                      <w:rFonts w:hint="default"/>
                    </w:rPr>
                    <w:t>合计</w:t>
                  </w:r>
                </w:p>
              </w:tc>
              <w:tc>
                <w:tcPr>
                  <w:tcW w:w="805" w:type="pct"/>
                  <w:shd w:val="clear" w:color="auto" w:fill="auto"/>
                  <w:noWrap w:val="0"/>
                  <w:vAlign w:val="center"/>
                </w:tcPr>
                <w:p>
                  <w:pPr>
                    <w:pStyle w:val="6"/>
                    <w:bidi w:val="0"/>
                    <w:rPr>
                      <w:rFonts w:hint="eastAsia"/>
                      <w:lang w:val="en-US" w:eastAsia="zh-CN"/>
                    </w:rPr>
                  </w:pPr>
                  <w:r>
                    <w:rPr>
                      <w:rFonts w:hint="eastAsia"/>
                      <w:lang w:val="en-US" w:eastAsia="zh-CN"/>
                    </w:rPr>
                    <w:t>20800</w:t>
                  </w:r>
                </w:p>
              </w:tc>
              <w:tc>
                <w:tcPr>
                  <w:tcW w:w="2010" w:type="pct"/>
                  <w:shd w:val="clear" w:color="auto" w:fill="auto"/>
                  <w:noWrap w:val="0"/>
                  <w:vAlign w:val="center"/>
                </w:tcPr>
                <w:p>
                  <w:pPr>
                    <w:pStyle w:val="6"/>
                    <w:bidi w:val="0"/>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合计</w:t>
                  </w:r>
                </w:p>
              </w:tc>
              <w:tc>
                <w:tcPr>
                  <w:tcW w:w="934" w:type="pct"/>
                  <w:shd w:val="clear" w:color="auto" w:fill="auto"/>
                  <w:noWrap w:val="0"/>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20800</w:t>
                  </w:r>
                </w:p>
              </w:tc>
            </w:tr>
          </w:tbl>
          <w:p>
            <w:pPr>
              <w:pStyle w:val="22"/>
              <w:numPr>
                <w:ilvl w:val="0"/>
                <w:numId w:val="0"/>
              </w:numPr>
              <w:adjustRightInd w:val="0"/>
              <w:snapToGrid w:val="0"/>
              <w:ind w:firstLine="422" w:firstLineChars="200"/>
              <w:rPr>
                <w:b/>
                <w:bCs/>
                <w:color w:val="000000" w:themeColor="text1"/>
                <w:kern w:val="0"/>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5"/>
              <w:bidi w:val="0"/>
              <w:rPr>
                <w:b/>
                <w:bCs/>
                <w:color w:val="000000" w:themeColor="text1"/>
                <w:kern w:val="0"/>
                <w14:textFill>
                  <w14:solidFill>
                    <w14:schemeClr w14:val="tx1"/>
                  </w14:solidFill>
                </w14:textFill>
              </w:rPr>
            </w:pPr>
            <w:r>
              <w:t>与项目有关的原有环境污染问题</w:t>
            </w:r>
          </w:p>
        </w:tc>
        <w:tc>
          <w:tcPr>
            <w:tcW w:w="0" w:type="auto"/>
            <w:noWrap w:val="0"/>
            <w:vAlign w:val="top"/>
          </w:tcPr>
          <w:p>
            <w:pPr>
              <w:ind w:firstLine="480" w:firstLineChars="200"/>
              <w:rPr>
                <w:color w:val="000000" w:themeColor="text1"/>
                <w:kern w:val="0"/>
                <w14:textFill>
                  <w14:solidFill>
                    <w14:schemeClr w14:val="tx1"/>
                  </w14:solidFill>
                </w14:textFill>
              </w:rPr>
            </w:pPr>
            <w:r>
              <w:rPr>
                <w:rFonts w:hint="eastAsia"/>
                <w:color w:val="000000" w:themeColor="text1"/>
                <w:kern w:val="0"/>
                <w:lang w:val="en-US" w:eastAsia="zh-CN"/>
                <w14:textFill>
                  <w14:solidFill>
                    <w14:schemeClr w14:val="tx1"/>
                  </w14:solidFill>
                </w14:textFill>
              </w:rPr>
              <w:t>无</w:t>
            </w:r>
          </w:p>
          <w:p>
            <w:pPr>
              <w:ind w:firstLine="480" w:firstLineChars="200"/>
              <w:rPr>
                <w:color w:val="000000" w:themeColor="text1"/>
                <w:kern w:val="0"/>
                <w14:textFill>
                  <w14:solidFill>
                    <w14:schemeClr w14:val="tx1"/>
                  </w14:solidFill>
                </w14:textFill>
              </w:rPr>
            </w:pPr>
          </w:p>
          <w:p>
            <w:pPr>
              <w:ind w:firstLine="480" w:firstLineChars="200"/>
              <w:rPr>
                <w:color w:val="000000" w:themeColor="text1"/>
                <w:kern w:val="0"/>
                <w14:textFill>
                  <w14:solidFill>
                    <w14:schemeClr w14:val="tx1"/>
                  </w14:solidFill>
                </w14:textFill>
              </w:rPr>
            </w:pPr>
          </w:p>
          <w:p>
            <w:pPr>
              <w:ind w:left="0" w:leftChars="0" w:firstLine="0" w:firstLineChars="0"/>
              <w:rPr>
                <w:color w:val="000000" w:themeColor="text1"/>
                <w:kern w:val="0"/>
                <w14:textFill>
                  <w14:solidFill>
                    <w14:schemeClr w14:val="tx1"/>
                  </w14:solidFill>
                </w14:textFill>
              </w:rPr>
            </w:pPr>
          </w:p>
          <w:p>
            <w:pPr>
              <w:pStyle w:val="57"/>
              <w:jc w:val="both"/>
              <w:rPr>
                <w:color w:val="000000" w:themeColor="text1"/>
                <w14:textFill>
                  <w14:solidFill>
                    <w14:schemeClr w14:val="tx1"/>
                  </w14:solidFill>
                </w14:textFill>
              </w:rPr>
            </w:pPr>
          </w:p>
        </w:tc>
      </w:tr>
    </w:tbl>
    <w:p>
      <w:pPr>
        <w:pStyle w:val="36"/>
        <w:jc w:val="center"/>
        <w:rPr>
          <w:rFonts w:ascii="Times New Roman" w:hAnsi="Times New Roman" w:eastAsia="黑体"/>
          <w:snapToGrid w:val="0"/>
          <w:sz w:val="36"/>
          <w:szCs w:val="36"/>
        </w:rPr>
        <w:sectPr>
          <w:pgSz w:w="11906" w:h="16838"/>
          <w:pgMar w:top="1440" w:right="1803" w:bottom="1440" w:left="1803" w:header="851" w:footer="851" w:gutter="0"/>
          <w:pgBorders>
            <w:top w:val="none" w:sz="0" w:space="0"/>
            <w:left w:val="none" w:sz="0" w:space="0"/>
            <w:bottom w:val="none" w:sz="0" w:space="0"/>
            <w:right w:val="none" w:sz="0" w:space="0"/>
          </w:pgBorders>
          <w:cols w:space="720" w:num="1"/>
          <w:docGrid w:linePitch="312" w:charSpace="0"/>
        </w:sectPr>
      </w:pPr>
    </w:p>
    <w:p>
      <w:pPr>
        <w:pStyle w:val="3"/>
        <w:bidi w:val="0"/>
      </w:pPr>
      <w:bookmarkStart w:id="3" w:name="_Toc30740"/>
      <w:r>
        <w:t>三、区域环境质量现状、环境保护目标及评价标准</w:t>
      </w:r>
      <w:bookmarkEnd w:id="3"/>
    </w:p>
    <w:tbl>
      <w:tblPr>
        <w:tblStyle w:val="4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82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8" w:type="pct"/>
            <w:noWrap w:val="0"/>
            <w:vAlign w:val="center"/>
          </w:tcPr>
          <w:p>
            <w:pPr>
              <w:pStyle w:val="5"/>
              <w:bidi w:val="0"/>
              <w:jc w:val="both"/>
            </w:pPr>
            <w:r>
              <w:t>区域</w:t>
            </w:r>
          </w:p>
          <w:p>
            <w:pPr>
              <w:pStyle w:val="5"/>
              <w:bidi w:val="0"/>
            </w:pPr>
            <w:r>
              <w:t>环境</w:t>
            </w:r>
          </w:p>
          <w:p>
            <w:pPr>
              <w:pStyle w:val="5"/>
              <w:bidi w:val="0"/>
            </w:pPr>
            <w:r>
              <w:t>质量</w:t>
            </w:r>
          </w:p>
          <w:p>
            <w:pPr>
              <w:pStyle w:val="5"/>
              <w:bidi w:val="0"/>
              <w:rPr>
                <w:b/>
                <w:bCs/>
                <w:color w:val="000000"/>
                <w:kern w:val="0"/>
                <w:szCs w:val="21"/>
              </w:rPr>
            </w:pPr>
            <w:r>
              <w:t>现状</w:t>
            </w:r>
          </w:p>
        </w:tc>
        <w:tc>
          <w:tcPr>
            <w:tcW w:w="4571" w:type="pct"/>
            <w:noWrap w:val="0"/>
            <w:vAlign w:val="center"/>
          </w:tcPr>
          <w:p>
            <w:pPr>
              <w:pStyle w:val="4"/>
              <w:bidi w:val="0"/>
            </w:pPr>
            <w:r>
              <w:t>1</w:t>
            </w:r>
            <w:r>
              <w:rPr>
                <w:rFonts w:hint="eastAsia"/>
                <w:lang w:eastAsia="zh-CN"/>
              </w:rPr>
              <w:t>、</w:t>
            </w:r>
            <w:r>
              <w:t>环境空气</w:t>
            </w:r>
          </w:p>
          <w:p>
            <w:pPr>
              <w:pStyle w:val="4"/>
              <w:bidi w:val="0"/>
              <w:rPr>
                <w:rFonts w:hint="eastAsia"/>
              </w:rPr>
            </w:pPr>
            <w:r>
              <w:rPr>
                <w:rFonts w:hint="eastAsia"/>
              </w:rPr>
              <w:t>1.1达标区判定</w:t>
            </w:r>
          </w:p>
          <w:p>
            <w:pPr>
              <w:bidi w:val="0"/>
              <w:rPr>
                <w:rFonts w:hint="default" w:ascii="Times New Roman" w:hAnsi="Times New Roman" w:eastAsia="宋体" w:cs="Times New Roman"/>
                <w:color w:val="000000"/>
                <w:sz w:val="24"/>
                <w:lang w:val="en-US" w:eastAsia="zh-CN"/>
              </w:rPr>
            </w:pPr>
            <w:r>
              <w:rPr>
                <w:rFonts w:hint="default" w:ascii="Times New Roman" w:hAnsi="Times New Roman" w:eastAsia="宋体" w:cs="Times New Roman"/>
                <w:color w:val="000000"/>
                <w:sz w:val="24"/>
                <w:lang w:val="en-US" w:eastAsia="zh-CN"/>
              </w:rPr>
              <w:t>根据《建设项目环境影响报告表编制技术指南（污染影响类）（试行）</w:t>
            </w:r>
            <w:r>
              <w:rPr>
                <w:rFonts w:hint="eastAsia" w:ascii="Times New Roman" w:hAnsi="Times New Roman" w:eastAsia="宋体" w:cs="Times New Roman"/>
                <w:color w:val="000000"/>
                <w:sz w:val="24"/>
                <w:lang w:val="en-US" w:eastAsia="zh-CN"/>
              </w:rPr>
              <w:t>》</w:t>
            </w:r>
            <w:r>
              <w:rPr>
                <w:rFonts w:hint="default" w:ascii="Times New Roman" w:hAnsi="Times New Roman" w:eastAsia="宋体" w:cs="Times New Roman"/>
                <w:color w:val="000000"/>
                <w:sz w:val="24"/>
                <w:lang w:val="en-US" w:eastAsia="zh-CN"/>
              </w:rPr>
              <w:t>要求。本次环境空气质量现状采用</w:t>
            </w:r>
            <w:r>
              <w:rPr>
                <w:rFonts w:hint="eastAsia" w:ascii="Times New Roman" w:hAnsi="Times New Roman" w:eastAsia="宋体" w:cs="Times New Roman"/>
                <w:color w:val="000000"/>
                <w:sz w:val="24"/>
                <w:lang w:val="en-US" w:eastAsia="zh-CN"/>
              </w:rPr>
              <w:t>2023年若羌县自动监测站</w:t>
            </w:r>
            <w:r>
              <w:rPr>
                <w:rFonts w:hint="default" w:ascii="Times New Roman" w:hAnsi="Times New Roman" w:eastAsia="宋体" w:cs="Times New Roman"/>
                <w:color w:val="000000"/>
                <w:sz w:val="24"/>
                <w:lang w:val="en-US" w:eastAsia="zh-CN"/>
              </w:rPr>
              <w:t>SO</w:t>
            </w:r>
            <w:r>
              <w:rPr>
                <w:rFonts w:hint="default" w:ascii="Times New Roman" w:hAnsi="Times New Roman" w:eastAsia="宋体" w:cs="Times New Roman"/>
                <w:color w:val="000000"/>
                <w:sz w:val="24"/>
                <w:vertAlign w:val="subscript"/>
                <w:lang w:val="en-US" w:eastAsia="zh-CN"/>
              </w:rPr>
              <w:t>2</w:t>
            </w:r>
            <w:r>
              <w:rPr>
                <w:rFonts w:hint="default" w:ascii="Times New Roman" w:hAnsi="Times New Roman" w:eastAsia="宋体" w:cs="Times New Roman"/>
                <w:color w:val="000000"/>
                <w:sz w:val="24"/>
                <w:lang w:val="en-US" w:eastAsia="zh-CN"/>
              </w:rPr>
              <w:t>、NO</w:t>
            </w:r>
            <w:r>
              <w:rPr>
                <w:rFonts w:hint="default" w:ascii="Times New Roman" w:hAnsi="Times New Roman" w:eastAsia="宋体" w:cs="Times New Roman"/>
                <w:color w:val="000000"/>
                <w:sz w:val="24"/>
                <w:vertAlign w:val="subscript"/>
                <w:lang w:val="en-US" w:eastAsia="zh-CN"/>
              </w:rPr>
              <w:t>2</w:t>
            </w:r>
            <w:r>
              <w:rPr>
                <w:rFonts w:hint="default" w:ascii="Times New Roman" w:hAnsi="Times New Roman" w:eastAsia="宋体" w:cs="Times New Roman"/>
                <w:color w:val="000000"/>
                <w:sz w:val="24"/>
                <w:lang w:val="en-US" w:eastAsia="zh-CN"/>
              </w:rPr>
              <w:t>、CO、O</w:t>
            </w:r>
            <w:r>
              <w:rPr>
                <w:rFonts w:hint="default" w:ascii="Times New Roman" w:hAnsi="Times New Roman" w:eastAsia="宋体" w:cs="Times New Roman"/>
                <w:color w:val="000000"/>
                <w:sz w:val="24"/>
                <w:vertAlign w:val="subscript"/>
                <w:lang w:val="en-US" w:eastAsia="zh-CN"/>
              </w:rPr>
              <w:t>3</w:t>
            </w:r>
            <w:r>
              <w:rPr>
                <w:rFonts w:hint="default" w:ascii="Times New Roman" w:hAnsi="Times New Roman" w:eastAsia="宋体" w:cs="Times New Roman"/>
                <w:color w:val="000000"/>
                <w:sz w:val="24"/>
                <w:lang w:val="en-US" w:eastAsia="zh-CN"/>
              </w:rPr>
              <w:t>、PM</w:t>
            </w:r>
            <w:r>
              <w:rPr>
                <w:rFonts w:hint="default" w:ascii="Times New Roman" w:hAnsi="Times New Roman" w:eastAsia="宋体" w:cs="Times New Roman"/>
                <w:color w:val="000000"/>
                <w:sz w:val="24"/>
                <w:vertAlign w:val="subscript"/>
                <w:lang w:val="en-US" w:eastAsia="zh-CN"/>
              </w:rPr>
              <w:t>10</w:t>
            </w:r>
            <w:r>
              <w:rPr>
                <w:rFonts w:hint="default" w:ascii="Times New Roman" w:hAnsi="Times New Roman" w:eastAsia="宋体" w:cs="Times New Roman"/>
                <w:color w:val="000000"/>
                <w:sz w:val="24"/>
                <w:lang w:val="en-US" w:eastAsia="zh-CN"/>
              </w:rPr>
              <w:t>、PM</w:t>
            </w:r>
            <w:r>
              <w:rPr>
                <w:rFonts w:hint="eastAsia" w:ascii="Times New Roman" w:hAnsi="Times New Roman" w:eastAsia="宋体" w:cs="Times New Roman"/>
                <w:color w:val="000000"/>
                <w:sz w:val="24"/>
                <w:vertAlign w:val="subscript"/>
                <w:lang w:val="en-US" w:eastAsia="zh-CN"/>
              </w:rPr>
              <w:t>2.5</w:t>
            </w:r>
            <w:r>
              <w:rPr>
                <w:rFonts w:hint="eastAsia" w:ascii="Times New Roman" w:hAnsi="Times New Roman" w:eastAsia="宋体" w:cs="Times New Roman"/>
                <w:color w:val="000000"/>
                <w:sz w:val="24"/>
                <w:lang w:val="en-US" w:eastAsia="zh-CN"/>
              </w:rPr>
              <w:t>等</w:t>
            </w:r>
            <w:r>
              <w:rPr>
                <w:rFonts w:hint="default" w:ascii="Times New Roman" w:hAnsi="Times New Roman" w:eastAsia="宋体" w:cs="Times New Roman"/>
                <w:color w:val="000000"/>
                <w:sz w:val="24"/>
                <w:lang w:val="en-US" w:eastAsia="zh-CN"/>
              </w:rPr>
              <w:t>六项基本污染物环境空气质量现状数据</w:t>
            </w:r>
            <w:r>
              <w:rPr>
                <w:rFonts w:hint="eastAsia" w:ascii="Times New Roman" w:hAnsi="Times New Roman" w:eastAsia="宋体" w:cs="Times New Roman"/>
                <w:color w:val="000000"/>
                <w:sz w:val="24"/>
                <w:lang w:val="en-US" w:eastAsia="zh-CN"/>
              </w:rPr>
              <w:t>，详见下表</w:t>
            </w:r>
            <w:r>
              <w:rPr>
                <w:rFonts w:hint="default" w:ascii="Times New Roman" w:hAnsi="Times New Roman" w:eastAsia="宋体" w:cs="Times New Roman"/>
                <w:color w:val="000000"/>
                <w:sz w:val="24"/>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both"/>
              <w:outlineLvl w:val="3"/>
              <w:rPr>
                <w:rFonts w:hint="default"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表3-1                 若羌县2023年环境空气质量数据       单位：</w:t>
            </w:r>
            <w:r>
              <w:rPr>
                <w:rFonts w:ascii="Times New Roman" w:hAnsi="Times New Roman" w:eastAsia="宋体" w:cs="Times New Roman"/>
                <w:b/>
                <w:bCs/>
                <w:kern w:val="2"/>
                <w:sz w:val="21"/>
                <w:szCs w:val="28"/>
                <w:lang w:val="en-US" w:eastAsia="zh-CN" w:bidi="ar-SA"/>
              </w:rPr>
              <w:t>μ</w:t>
            </w:r>
            <w:r>
              <w:rPr>
                <w:rFonts w:hint="eastAsia" w:ascii="Times New Roman" w:hAnsi="Times New Roman" w:eastAsia="宋体" w:cs="Times New Roman"/>
                <w:b/>
                <w:bCs/>
                <w:kern w:val="2"/>
                <w:sz w:val="21"/>
                <w:szCs w:val="28"/>
                <w:lang w:val="en-US" w:eastAsia="zh-CN" w:bidi="ar-SA"/>
              </w:rPr>
              <w:t>g</w:t>
            </w:r>
            <w:r>
              <w:rPr>
                <w:rFonts w:ascii="Times New Roman" w:hAnsi="Times New Roman" w:eastAsia="宋体" w:cs="Times New Roman"/>
                <w:b/>
                <w:bCs/>
                <w:kern w:val="2"/>
                <w:sz w:val="21"/>
                <w:szCs w:val="28"/>
                <w:lang w:val="en-US" w:eastAsia="zh-CN" w:bidi="ar-SA"/>
              </w:rPr>
              <w:t>/m</w:t>
            </w:r>
            <w:r>
              <w:rPr>
                <w:rFonts w:ascii="Times New Roman" w:hAnsi="Times New Roman" w:eastAsia="宋体" w:cs="Times New Roman"/>
                <w:b/>
                <w:bCs/>
                <w:kern w:val="2"/>
                <w:sz w:val="21"/>
                <w:szCs w:val="28"/>
                <w:vertAlign w:val="superscript"/>
                <w:lang w:val="en-US" w:eastAsia="zh-CN" w:bidi="ar-SA"/>
              </w:rPr>
              <w:t>3</w:t>
            </w:r>
          </w:p>
          <w:tbl>
            <w:tblPr>
              <w:tblStyle w:val="41"/>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2429"/>
              <w:gridCol w:w="1070"/>
              <w:gridCol w:w="1199"/>
              <w:gridCol w:w="1150"/>
              <w:gridCol w:w="10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5" w:type="pct"/>
                  <w:tcBorders>
                    <w:tl2br w:val="nil"/>
                    <w:tr2bl w:val="nil"/>
                  </w:tcBorders>
                  <w:noWrap w:val="0"/>
                  <w:vAlign w:val="center"/>
                </w:tcPr>
                <w:p>
                  <w:pPr>
                    <w:pStyle w:val="6"/>
                    <w:bidi w:val="0"/>
                    <w:rPr>
                      <w:lang w:val="en-US" w:eastAsia="zh-CN"/>
                    </w:rPr>
                  </w:pPr>
                  <w:r>
                    <w:rPr>
                      <w:rFonts w:hint="eastAsia"/>
                      <w:lang w:val="en-US" w:eastAsia="zh-CN"/>
                    </w:rPr>
                    <w:t>污染物</w:t>
                  </w:r>
                </w:p>
              </w:tc>
              <w:tc>
                <w:tcPr>
                  <w:tcW w:w="1511" w:type="pct"/>
                  <w:tcBorders>
                    <w:tl2br w:val="nil"/>
                    <w:tr2bl w:val="nil"/>
                  </w:tcBorders>
                  <w:noWrap w:val="0"/>
                  <w:vAlign w:val="center"/>
                </w:tcPr>
                <w:p>
                  <w:pPr>
                    <w:pStyle w:val="6"/>
                    <w:bidi w:val="0"/>
                    <w:rPr>
                      <w:lang w:val="en-US" w:eastAsia="zh-CN"/>
                    </w:rPr>
                  </w:pPr>
                  <w:r>
                    <w:rPr>
                      <w:rFonts w:hint="eastAsia"/>
                      <w:lang w:val="en-US" w:eastAsia="zh-CN"/>
                    </w:rPr>
                    <w:t>评价项目</w:t>
                  </w:r>
                </w:p>
              </w:tc>
              <w:tc>
                <w:tcPr>
                  <w:tcW w:w="669" w:type="pct"/>
                  <w:tcBorders>
                    <w:tl2br w:val="nil"/>
                    <w:tr2bl w:val="nil"/>
                  </w:tcBorders>
                  <w:noWrap w:val="0"/>
                  <w:vAlign w:val="center"/>
                </w:tcPr>
                <w:p>
                  <w:pPr>
                    <w:pStyle w:val="6"/>
                    <w:bidi w:val="0"/>
                    <w:rPr>
                      <w:lang w:val="en-US" w:eastAsia="zh-CN"/>
                    </w:rPr>
                  </w:pPr>
                  <w:r>
                    <w:rPr>
                      <w:lang w:val="en-US" w:eastAsia="zh-CN"/>
                    </w:rPr>
                    <w:t>浓度</w:t>
                  </w:r>
                </w:p>
              </w:tc>
              <w:tc>
                <w:tcPr>
                  <w:tcW w:w="748" w:type="pct"/>
                  <w:tcBorders>
                    <w:tl2br w:val="nil"/>
                    <w:tr2bl w:val="nil"/>
                  </w:tcBorders>
                  <w:noWrap w:val="0"/>
                  <w:vAlign w:val="center"/>
                </w:tcPr>
                <w:p>
                  <w:pPr>
                    <w:pStyle w:val="6"/>
                    <w:bidi w:val="0"/>
                    <w:rPr>
                      <w:rFonts w:hint="eastAsia"/>
                      <w:lang w:val="en-US" w:eastAsia="zh-CN"/>
                    </w:rPr>
                  </w:pPr>
                  <w:r>
                    <w:rPr>
                      <w:rFonts w:hint="eastAsia"/>
                      <w:lang w:val="en-US" w:eastAsia="zh-CN"/>
                    </w:rPr>
                    <w:t>标准</w:t>
                  </w:r>
                </w:p>
                <w:p>
                  <w:pPr>
                    <w:pStyle w:val="6"/>
                    <w:bidi w:val="0"/>
                    <w:rPr>
                      <w:lang w:val="en-US" w:eastAsia="zh-CN"/>
                    </w:rPr>
                  </w:pPr>
                  <w:r>
                    <w:rPr>
                      <w:rFonts w:hint="eastAsia"/>
                      <w:lang w:val="en-US" w:eastAsia="zh-CN"/>
                    </w:rPr>
                    <w:t>（二级）</w:t>
                  </w:r>
                </w:p>
              </w:tc>
              <w:tc>
                <w:tcPr>
                  <w:tcW w:w="718" w:type="pct"/>
                  <w:tcBorders>
                    <w:tl2br w:val="nil"/>
                    <w:tr2bl w:val="nil"/>
                  </w:tcBorders>
                  <w:noWrap w:val="0"/>
                  <w:vAlign w:val="center"/>
                </w:tcPr>
                <w:p>
                  <w:pPr>
                    <w:pStyle w:val="6"/>
                    <w:bidi w:val="0"/>
                    <w:rPr>
                      <w:rFonts w:hint="default"/>
                      <w:lang w:val="en-US" w:eastAsia="zh-CN"/>
                    </w:rPr>
                  </w:pPr>
                  <w:r>
                    <w:rPr>
                      <w:rFonts w:hint="eastAsia"/>
                      <w:lang w:val="en-US" w:eastAsia="zh-CN"/>
                    </w:rPr>
                    <w:t>占标率%</w:t>
                  </w:r>
                </w:p>
              </w:tc>
              <w:tc>
                <w:tcPr>
                  <w:tcW w:w="638" w:type="pct"/>
                  <w:tcBorders>
                    <w:tl2br w:val="nil"/>
                    <w:tr2bl w:val="nil"/>
                  </w:tcBorders>
                  <w:noWrap w:val="0"/>
                  <w:vAlign w:val="center"/>
                </w:tcPr>
                <w:p>
                  <w:pPr>
                    <w:pStyle w:val="6"/>
                    <w:bidi w:val="0"/>
                    <w:rPr>
                      <w:rFonts w:hint="eastAsia"/>
                      <w:lang w:val="en-US" w:eastAsia="zh-CN"/>
                    </w:rPr>
                  </w:pPr>
                  <w:r>
                    <w:rPr>
                      <w:rFonts w:hint="eastAsia"/>
                      <w:lang w:val="en-US"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5" w:type="pct"/>
                  <w:vMerge w:val="restart"/>
                  <w:tcBorders>
                    <w:tl2br w:val="nil"/>
                    <w:tr2bl w:val="nil"/>
                  </w:tcBorders>
                  <w:noWrap w:val="0"/>
                  <w:vAlign w:val="center"/>
                </w:tcPr>
                <w:p>
                  <w:pPr>
                    <w:pStyle w:val="6"/>
                    <w:bidi w:val="0"/>
                    <w:rPr>
                      <w:lang w:val="en-US" w:eastAsia="zh-CN"/>
                    </w:rPr>
                  </w:pPr>
                  <w:r>
                    <w:rPr>
                      <w:rFonts w:hint="eastAsia"/>
                      <w:lang w:val="en-US" w:eastAsia="zh-CN"/>
                    </w:rPr>
                    <w:t>SO</w:t>
                  </w:r>
                  <w:r>
                    <w:rPr>
                      <w:rFonts w:hint="eastAsia"/>
                      <w:vertAlign w:val="subscript"/>
                      <w:lang w:val="en-US" w:eastAsia="zh-CN"/>
                    </w:rPr>
                    <w:t>2</w:t>
                  </w:r>
                </w:p>
              </w:tc>
              <w:tc>
                <w:tcPr>
                  <w:tcW w:w="1511" w:type="pct"/>
                  <w:tcBorders>
                    <w:tl2br w:val="nil"/>
                    <w:tr2bl w:val="nil"/>
                  </w:tcBorders>
                  <w:noWrap w:val="0"/>
                  <w:vAlign w:val="center"/>
                </w:tcPr>
                <w:p>
                  <w:pPr>
                    <w:pStyle w:val="6"/>
                    <w:bidi w:val="0"/>
                    <w:rPr>
                      <w:rFonts w:hint="default"/>
                      <w:lang w:val="en-US" w:eastAsia="zh-CN"/>
                    </w:rPr>
                  </w:pPr>
                  <w:r>
                    <w:rPr>
                      <w:rFonts w:hint="eastAsia"/>
                      <w:lang w:val="en-US" w:eastAsia="zh-CN"/>
                    </w:rPr>
                    <w:t>年平均</w:t>
                  </w:r>
                </w:p>
              </w:tc>
              <w:tc>
                <w:tcPr>
                  <w:tcW w:w="669" w:type="pct"/>
                  <w:tcBorders>
                    <w:tl2br w:val="nil"/>
                    <w:tr2bl w:val="nil"/>
                  </w:tcBorders>
                  <w:noWrap w:val="0"/>
                  <w:vAlign w:val="center"/>
                </w:tcPr>
                <w:p>
                  <w:pPr>
                    <w:pStyle w:val="6"/>
                    <w:bidi w:val="0"/>
                    <w:rPr>
                      <w:rFonts w:hint="default"/>
                      <w:lang w:val="en-US" w:eastAsia="zh-CN"/>
                    </w:rPr>
                  </w:pPr>
                  <w:r>
                    <w:rPr>
                      <w:rFonts w:hint="eastAsia"/>
                      <w:lang w:val="en-US" w:eastAsia="zh-CN"/>
                    </w:rPr>
                    <w:t>5</w:t>
                  </w:r>
                </w:p>
              </w:tc>
              <w:tc>
                <w:tcPr>
                  <w:tcW w:w="748" w:type="pct"/>
                  <w:tcBorders>
                    <w:tl2br w:val="nil"/>
                    <w:tr2bl w:val="nil"/>
                  </w:tcBorders>
                  <w:noWrap w:val="0"/>
                  <w:vAlign w:val="center"/>
                </w:tcPr>
                <w:p>
                  <w:pPr>
                    <w:pStyle w:val="6"/>
                    <w:bidi w:val="0"/>
                    <w:rPr>
                      <w:lang w:val="en-US" w:eastAsia="zh-CN"/>
                    </w:rPr>
                  </w:pPr>
                  <w:r>
                    <w:rPr>
                      <w:rFonts w:hint="eastAsia"/>
                      <w:lang w:val="en-US" w:eastAsia="zh-CN"/>
                    </w:rPr>
                    <w:t>60</w:t>
                  </w:r>
                </w:p>
              </w:tc>
              <w:tc>
                <w:tcPr>
                  <w:tcW w:w="718" w:type="pct"/>
                  <w:tcBorders>
                    <w:tl2br w:val="nil"/>
                    <w:tr2bl w:val="nil"/>
                  </w:tcBorders>
                  <w:noWrap w:val="0"/>
                  <w:vAlign w:val="center"/>
                </w:tcPr>
                <w:p>
                  <w:pPr>
                    <w:pStyle w:val="6"/>
                    <w:bidi w:val="0"/>
                    <w:rPr>
                      <w:rFonts w:hint="default"/>
                      <w:lang w:val="en-US" w:eastAsia="zh-CN"/>
                    </w:rPr>
                  </w:pPr>
                  <w:r>
                    <w:rPr>
                      <w:rFonts w:hint="eastAsia"/>
                      <w:lang w:val="en-US" w:eastAsia="zh-CN"/>
                    </w:rPr>
                    <w:t>8.3</w:t>
                  </w:r>
                </w:p>
              </w:tc>
              <w:tc>
                <w:tcPr>
                  <w:tcW w:w="638" w:type="pct"/>
                  <w:tcBorders>
                    <w:tl2br w:val="nil"/>
                    <w:tr2bl w:val="nil"/>
                  </w:tcBorders>
                  <w:noWrap w:val="0"/>
                  <w:vAlign w:val="center"/>
                </w:tcPr>
                <w:p>
                  <w:pPr>
                    <w:pStyle w:val="6"/>
                    <w:bidi w:val="0"/>
                    <w:rPr>
                      <w:rFonts w:hint="eastAsia"/>
                      <w:lang w:val="en-US" w:eastAsia="zh-CN"/>
                    </w:rPr>
                  </w:pPr>
                  <w:r>
                    <w:rPr>
                      <w:rFonts w:hint="eastAsia"/>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5" w:type="pct"/>
                  <w:vMerge w:val="continue"/>
                  <w:tcBorders>
                    <w:tl2br w:val="nil"/>
                    <w:tr2bl w:val="nil"/>
                  </w:tcBorders>
                  <w:noWrap w:val="0"/>
                  <w:vAlign w:val="center"/>
                </w:tcPr>
                <w:p>
                  <w:pPr>
                    <w:pStyle w:val="6"/>
                    <w:bidi w:val="0"/>
                    <w:rPr>
                      <w:lang w:val="en-US" w:eastAsia="zh-CN"/>
                    </w:rPr>
                  </w:pPr>
                </w:p>
              </w:tc>
              <w:tc>
                <w:tcPr>
                  <w:tcW w:w="1511" w:type="pct"/>
                  <w:tcBorders>
                    <w:tl2br w:val="nil"/>
                    <w:tr2bl w:val="nil"/>
                  </w:tcBorders>
                  <w:noWrap w:val="0"/>
                  <w:vAlign w:val="center"/>
                </w:tcPr>
                <w:p>
                  <w:pPr>
                    <w:pStyle w:val="6"/>
                    <w:bidi w:val="0"/>
                    <w:rPr>
                      <w:rFonts w:hint="default"/>
                      <w:lang w:val="en-US" w:eastAsia="zh-CN"/>
                    </w:rPr>
                  </w:pPr>
                  <w:r>
                    <w:rPr>
                      <w:rFonts w:hint="eastAsia"/>
                      <w:lang w:val="en-US" w:eastAsia="zh-CN"/>
                    </w:rPr>
                    <w:t>24h平均第98百分位数</w:t>
                  </w:r>
                </w:p>
              </w:tc>
              <w:tc>
                <w:tcPr>
                  <w:tcW w:w="669" w:type="pct"/>
                  <w:tcBorders>
                    <w:tl2br w:val="nil"/>
                    <w:tr2bl w:val="nil"/>
                  </w:tcBorders>
                  <w:noWrap w:val="0"/>
                  <w:vAlign w:val="center"/>
                </w:tcPr>
                <w:p>
                  <w:pPr>
                    <w:pStyle w:val="6"/>
                    <w:bidi w:val="0"/>
                    <w:rPr>
                      <w:rFonts w:hint="default"/>
                      <w:lang w:val="en-US" w:eastAsia="zh-CN"/>
                    </w:rPr>
                  </w:pPr>
                  <w:r>
                    <w:rPr>
                      <w:rFonts w:hint="eastAsia"/>
                      <w:lang w:val="en-US" w:eastAsia="zh-CN"/>
                    </w:rPr>
                    <w:t>6</w:t>
                  </w:r>
                </w:p>
              </w:tc>
              <w:tc>
                <w:tcPr>
                  <w:tcW w:w="748" w:type="pct"/>
                  <w:tcBorders>
                    <w:tl2br w:val="nil"/>
                    <w:tr2bl w:val="nil"/>
                  </w:tcBorders>
                  <w:noWrap w:val="0"/>
                  <w:vAlign w:val="center"/>
                </w:tcPr>
                <w:p>
                  <w:pPr>
                    <w:pStyle w:val="6"/>
                    <w:bidi w:val="0"/>
                    <w:rPr>
                      <w:lang w:val="en-US" w:eastAsia="zh-CN"/>
                    </w:rPr>
                  </w:pPr>
                  <w:r>
                    <w:rPr>
                      <w:rFonts w:hint="eastAsia"/>
                      <w:lang w:val="en-US" w:eastAsia="zh-CN"/>
                    </w:rPr>
                    <w:t>150</w:t>
                  </w:r>
                </w:p>
              </w:tc>
              <w:tc>
                <w:tcPr>
                  <w:tcW w:w="718" w:type="pct"/>
                  <w:tcBorders>
                    <w:tl2br w:val="nil"/>
                    <w:tr2bl w:val="nil"/>
                  </w:tcBorders>
                  <w:noWrap w:val="0"/>
                  <w:vAlign w:val="center"/>
                </w:tcPr>
                <w:p>
                  <w:pPr>
                    <w:pStyle w:val="6"/>
                    <w:bidi w:val="0"/>
                    <w:rPr>
                      <w:rFonts w:hint="default"/>
                      <w:lang w:val="en-US" w:eastAsia="zh-CN"/>
                    </w:rPr>
                  </w:pPr>
                  <w:r>
                    <w:rPr>
                      <w:rFonts w:hint="eastAsia"/>
                      <w:lang w:val="en-US" w:eastAsia="zh-CN"/>
                    </w:rPr>
                    <w:t>4</w:t>
                  </w:r>
                </w:p>
              </w:tc>
              <w:tc>
                <w:tcPr>
                  <w:tcW w:w="638" w:type="pct"/>
                  <w:tcBorders>
                    <w:tl2br w:val="nil"/>
                    <w:tr2bl w:val="nil"/>
                  </w:tcBorders>
                  <w:noWrap w:val="0"/>
                  <w:vAlign w:val="center"/>
                </w:tcPr>
                <w:p>
                  <w:pPr>
                    <w:pStyle w:val="6"/>
                    <w:bidi w:val="0"/>
                    <w:rPr>
                      <w:rFonts w:hint="eastAsia"/>
                      <w:lang w:val="en-US" w:eastAsia="zh-CN"/>
                    </w:rPr>
                  </w:pPr>
                  <w:r>
                    <w:rPr>
                      <w:rFonts w:hint="eastAsia"/>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5" w:type="pct"/>
                  <w:vMerge w:val="restart"/>
                  <w:tcBorders>
                    <w:tl2br w:val="nil"/>
                    <w:tr2bl w:val="nil"/>
                  </w:tcBorders>
                  <w:noWrap w:val="0"/>
                  <w:vAlign w:val="center"/>
                </w:tcPr>
                <w:p>
                  <w:pPr>
                    <w:pStyle w:val="6"/>
                    <w:bidi w:val="0"/>
                    <w:rPr>
                      <w:lang w:val="en-US" w:eastAsia="zh-CN"/>
                    </w:rPr>
                  </w:pPr>
                  <w:r>
                    <w:rPr>
                      <w:rFonts w:hint="eastAsia"/>
                      <w:lang w:val="en-US" w:eastAsia="zh-CN"/>
                    </w:rPr>
                    <w:t>NO</w:t>
                  </w:r>
                  <w:r>
                    <w:rPr>
                      <w:rFonts w:hint="eastAsia"/>
                      <w:vertAlign w:val="subscript"/>
                      <w:lang w:val="en-US" w:eastAsia="zh-CN"/>
                    </w:rPr>
                    <w:t>2</w:t>
                  </w:r>
                </w:p>
              </w:tc>
              <w:tc>
                <w:tcPr>
                  <w:tcW w:w="1511" w:type="pct"/>
                  <w:tcBorders>
                    <w:tl2br w:val="nil"/>
                    <w:tr2bl w:val="nil"/>
                  </w:tcBorders>
                  <w:noWrap w:val="0"/>
                  <w:vAlign w:val="center"/>
                </w:tcPr>
                <w:p>
                  <w:pPr>
                    <w:pStyle w:val="6"/>
                    <w:bidi w:val="0"/>
                    <w:rPr>
                      <w:rFonts w:hint="default"/>
                      <w:lang w:val="en-US" w:eastAsia="zh-CN"/>
                    </w:rPr>
                  </w:pPr>
                  <w:r>
                    <w:rPr>
                      <w:rFonts w:hint="eastAsia"/>
                      <w:lang w:val="en-US" w:eastAsia="zh-CN"/>
                    </w:rPr>
                    <w:t>年平均</w:t>
                  </w:r>
                </w:p>
              </w:tc>
              <w:tc>
                <w:tcPr>
                  <w:tcW w:w="669" w:type="pct"/>
                  <w:tcBorders>
                    <w:tl2br w:val="nil"/>
                    <w:tr2bl w:val="nil"/>
                  </w:tcBorders>
                  <w:noWrap w:val="0"/>
                  <w:vAlign w:val="center"/>
                </w:tcPr>
                <w:p>
                  <w:pPr>
                    <w:pStyle w:val="6"/>
                    <w:bidi w:val="0"/>
                    <w:rPr>
                      <w:rFonts w:hint="default"/>
                      <w:lang w:val="en-US" w:eastAsia="zh-CN"/>
                    </w:rPr>
                  </w:pPr>
                  <w:r>
                    <w:rPr>
                      <w:rFonts w:hint="eastAsia"/>
                      <w:lang w:val="en-US" w:eastAsia="zh-CN"/>
                    </w:rPr>
                    <w:t>7</w:t>
                  </w:r>
                </w:p>
              </w:tc>
              <w:tc>
                <w:tcPr>
                  <w:tcW w:w="748" w:type="pct"/>
                  <w:tcBorders>
                    <w:tl2br w:val="nil"/>
                    <w:tr2bl w:val="nil"/>
                  </w:tcBorders>
                  <w:noWrap w:val="0"/>
                  <w:vAlign w:val="center"/>
                </w:tcPr>
                <w:p>
                  <w:pPr>
                    <w:pStyle w:val="6"/>
                    <w:bidi w:val="0"/>
                    <w:rPr>
                      <w:lang w:val="en-US" w:eastAsia="zh-CN"/>
                    </w:rPr>
                  </w:pPr>
                  <w:r>
                    <w:rPr>
                      <w:rFonts w:hint="eastAsia"/>
                      <w:lang w:val="en-US" w:eastAsia="zh-CN"/>
                    </w:rPr>
                    <w:t>40</w:t>
                  </w:r>
                </w:p>
              </w:tc>
              <w:tc>
                <w:tcPr>
                  <w:tcW w:w="718" w:type="pct"/>
                  <w:tcBorders>
                    <w:tl2br w:val="nil"/>
                    <w:tr2bl w:val="nil"/>
                  </w:tcBorders>
                  <w:noWrap w:val="0"/>
                  <w:vAlign w:val="center"/>
                </w:tcPr>
                <w:p>
                  <w:pPr>
                    <w:pStyle w:val="6"/>
                    <w:bidi w:val="0"/>
                    <w:rPr>
                      <w:rFonts w:hint="default"/>
                      <w:lang w:val="en-US" w:eastAsia="zh-CN"/>
                    </w:rPr>
                  </w:pPr>
                  <w:r>
                    <w:rPr>
                      <w:rFonts w:hint="eastAsia"/>
                      <w:lang w:val="en-US" w:eastAsia="zh-CN"/>
                    </w:rPr>
                    <w:t>17.5</w:t>
                  </w:r>
                </w:p>
              </w:tc>
              <w:tc>
                <w:tcPr>
                  <w:tcW w:w="638" w:type="pct"/>
                  <w:tcBorders>
                    <w:tl2br w:val="nil"/>
                    <w:tr2bl w:val="nil"/>
                  </w:tcBorders>
                  <w:noWrap w:val="0"/>
                  <w:vAlign w:val="center"/>
                </w:tcPr>
                <w:p>
                  <w:pPr>
                    <w:pStyle w:val="6"/>
                    <w:bidi w:val="0"/>
                    <w:rPr>
                      <w:rFonts w:hint="eastAsia"/>
                      <w:lang w:val="en-US" w:eastAsia="zh-CN"/>
                    </w:rPr>
                  </w:pPr>
                  <w:r>
                    <w:rPr>
                      <w:rFonts w:hint="eastAsia"/>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5" w:type="pct"/>
                  <w:vMerge w:val="continue"/>
                  <w:tcBorders>
                    <w:tl2br w:val="nil"/>
                    <w:tr2bl w:val="nil"/>
                  </w:tcBorders>
                  <w:noWrap w:val="0"/>
                  <w:vAlign w:val="center"/>
                </w:tcPr>
                <w:p>
                  <w:pPr>
                    <w:pStyle w:val="6"/>
                    <w:bidi w:val="0"/>
                    <w:rPr>
                      <w:lang w:val="en-US" w:eastAsia="zh-CN"/>
                    </w:rPr>
                  </w:pPr>
                </w:p>
              </w:tc>
              <w:tc>
                <w:tcPr>
                  <w:tcW w:w="1511" w:type="pct"/>
                  <w:tcBorders>
                    <w:tl2br w:val="nil"/>
                    <w:tr2bl w:val="nil"/>
                  </w:tcBorders>
                  <w:noWrap w:val="0"/>
                  <w:vAlign w:val="center"/>
                </w:tcPr>
                <w:p>
                  <w:pPr>
                    <w:pStyle w:val="6"/>
                    <w:bidi w:val="0"/>
                    <w:rPr>
                      <w:rFonts w:hint="default"/>
                      <w:lang w:val="en-US" w:eastAsia="zh-CN"/>
                    </w:rPr>
                  </w:pPr>
                  <w:r>
                    <w:rPr>
                      <w:rFonts w:hint="eastAsia"/>
                      <w:lang w:val="en-US" w:eastAsia="zh-CN"/>
                    </w:rPr>
                    <w:t>24h平均第98百分位数</w:t>
                  </w:r>
                </w:p>
              </w:tc>
              <w:tc>
                <w:tcPr>
                  <w:tcW w:w="669" w:type="pct"/>
                  <w:tcBorders>
                    <w:tl2br w:val="nil"/>
                    <w:tr2bl w:val="nil"/>
                  </w:tcBorders>
                  <w:noWrap w:val="0"/>
                  <w:vAlign w:val="center"/>
                </w:tcPr>
                <w:p>
                  <w:pPr>
                    <w:pStyle w:val="6"/>
                    <w:bidi w:val="0"/>
                    <w:rPr>
                      <w:rFonts w:hint="default"/>
                      <w:lang w:val="en-US" w:eastAsia="zh-CN"/>
                    </w:rPr>
                  </w:pPr>
                  <w:r>
                    <w:rPr>
                      <w:rFonts w:hint="eastAsia"/>
                      <w:lang w:val="en-US" w:eastAsia="zh-CN"/>
                    </w:rPr>
                    <w:t>19</w:t>
                  </w:r>
                </w:p>
              </w:tc>
              <w:tc>
                <w:tcPr>
                  <w:tcW w:w="748" w:type="pct"/>
                  <w:tcBorders>
                    <w:tl2br w:val="nil"/>
                    <w:tr2bl w:val="nil"/>
                  </w:tcBorders>
                  <w:noWrap w:val="0"/>
                  <w:vAlign w:val="center"/>
                </w:tcPr>
                <w:p>
                  <w:pPr>
                    <w:pStyle w:val="6"/>
                    <w:bidi w:val="0"/>
                    <w:rPr>
                      <w:lang w:val="en-US" w:eastAsia="zh-CN"/>
                    </w:rPr>
                  </w:pPr>
                  <w:r>
                    <w:rPr>
                      <w:rFonts w:hint="eastAsia"/>
                      <w:lang w:val="en-US" w:eastAsia="zh-CN"/>
                    </w:rPr>
                    <w:t>80</w:t>
                  </w:r>
                </w:p>
              </w:tc>
              <w:tc>
                <w:tcPr>
                  <w:tcW w:w="718" w:type="pct"/>
                  <w:tcBorders>
                    <w:tl2br w:val="nil"/>
                    <w:tr2bl w:val="nil"/>
                  </w:tcBorders>
                  <w:noWrap w:val="0"/>
                  <w:vAlign w:val="center"/>
                </w:tcPr>
                <w:p>
                  <w:pPr>
                    <w:pStyle w:val="6"/>
                    <w:bidi w:val="0"/>
                    <w:rPr>
                      <w:rFonts w:hint="default"/>
                      <w:lang w:val="en-US" w:eastAsia="zh-CN"/>
                    </w:rPr>
                  </w:pPr>
                  <w:r>
                    <w:rPr>
                      <w:rFonts w:hint="eastAsia"/>
                      <w:lang w:val="en-US" w:eastAsia="zh-CN"/>
                    </w:rPr>
                    <w:t>23.8</w:t>
                  </w:r>
                </w:p>
              </w:tc>
              <w:tc>
                <w:tcPr>
                  <w:tcW w:w="638" w:type="pct"/>
                  <w:tcBorders>
                    <w:tl2br w:val="nil"/>
                    <w:tr2bl w:val="nil"/>
                  </w:tcBorders>
                  <w:noWrap w:val="0"/>
                  <w:vAlign w:val="center"/>
                </w:tcPr>
                <w:p>
                  <w:pPr>
                    <w:pStyle w:val="6"/>
                    <w:bidi w:val="0"/>
                    <w:rPr>
                      <w:rFonts w:hint="eastAsia"/>
                      <w:lang w:val="en-US" w:eastAsia="zh-CN"/>
                    </w:rPr>
                  </w:pPr>
                  <w:r>
                    <w:rPr>
                      <w:rFonts w:hint="eastAsia"/>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5" w:type="pct"/>
                  <w:tcBorders>
                    <w:tl2br w:val="nil"/>
                    <w:tr2bl w:val="nil"/>
                  </w:tcBorders>
                  <w:noWrap w:val="0"/>
                  <w:vAlign w:val="center"/>
                </w:tcPr>
                <w:p>
                  <w:pPr>
                    <w:pStyle w:val="6"/>
                    <w:bidi w:val="0"/>
                    <w:rPr>
                      <w:lang w:val="en-US" w:eastAsia="zh-CN"/>
                    </w:rPr>
                  </w:pPr>
                  <w:r>
                    <w:rPr>
                      <w:rFonts w:hint="eastAsia"/>
                      <w:lang w:val="en-US" w:eastAsia="zh-CN"/>
                    </w:rPr>
                    <w:t>CO（mg/m</w:t>
                  </w:r>
                  <w:r>
                    <w:rPr>
                      <w:rFonts w:hint="eastAsia"/>
                      <w:vertAlign w:val="superscript"/>
                      <w:lang w:val="en-US" w:eastAsia="zh-CN"/>
                    </w:rPr>
                    <w:t>3</w:t>
                  </w:r>
                  <w:r>
                    <w:rPr>
                      <w:rFonts w:hint="eastAsia"/>
                      <w:lang w:val="en-US" w:eastAsia="zh-CN"/>
                    </w:rPr>
                    <w:t>）</w:t>
                  </w:r>
                </w:p>
              </w:tc>
              <w:tc>
                <w:tcPr>
                  <w:tcW w:w="1511" w:type="pct"/>
                  <w:tcBorders>
                    <w:tl2br w:val="nil"/>
                    <w:tr2bl w:val="nil"/>
                  </w:tcBorders>
                  <w:noWrap w:val="0"/>
                  <w:vAlign w:val="center"/>
                </w:tcPr>
                <w:p>
                  <w:pPr>
                    <w:pStyle w:val="6"/>
                    <w:bidi w:val="0"/>
                    <w:rPr>
                      <w:rFonts w:hint="default"/>
                      <w:lang w:val="en-US" w:eastAsia="zh-CN"/>
                    </w:rPr>
                  </w:pPr>
                  <w:r>
                    <w:rPr>
                      <w:rFonts w:hint="eastAsia"/>
                      <w:lang w:val="en-US" w:eastAsia="zh-CN"/>
                    </w:rPr>
                    <w:t>24h平均第95百分位数</w:t>
                  </w:r>
                </w:p>
              </w:tc>
              <w:tc>
                <w:tcPr>
                  <w:tcW w:w="669" w:type="pct"/>
                  <w:tcBorders>
                    <w:tl2br w:val="nil"/>
                    <w:tr2bl w:val="nil"/>
                  </w:tcBorders>
                  <w:noWrap w:val="0"/>
                  <w:vAlign w:val="center"/>
                </w:tcPr>
                <w:p>
                  <w:pPr>
                    <w:pStyle w:val="6"/>
                    <w:bidi w:val="0"/>
                    <w:rPr>
                      <w:rFonts w:hint="default"/>
                      <w:lang w:val="en-US" w:eastAsia="zh-CN"/>
                    </w:rPr>
                  </w:pPr>
                  <w:r>
                    <w:rPr>
                      <w:rFonts w:hint="eastAsia"/>
                      <w:lang w:val="en-US" w:eastAsia="zh-CN"/>
                    </w:rPr>
                    <w:t>0.4</w:t>
                  </w:r>
                </w:p>
              </w:tc>
              <w:tc>
                <w:tcPr>
                  <w:tcW w:w="748" w:type="pct"/>
                  <w:tcBorders>
                    <w:tl2br w:val="nil"/>
                    <w:tr2bl w:val="nil"/>
                  </w:tcBorders>
                  <w:noWrap w:val="0"/>
                  <w:vAlign w:val="center"/>
                </w:tcPr>
                <w:p>
                  <w:pPr>
                    <w:pStyle w:val="6"/>
                    <w:bidi w:val="0"/>
                    <w:rPr>
                      <w:lang w:val="en-US" w:eastAsia="zh-CN"/>
                    </w:rPr>
                  </w:pPr>
                  <w:r>
                    <w:rPr>
                      <w:rFonts w:hint="eastAsia"/>
                      <w:lang w:val="en-US" w:eastAsia="zh-CN"/>
                    </w:rPr>
                    <w:t>4</w:t>
                  </w:r>
                </w:p>
              </w:tc>
              <w:tc>
                <w:tcPr>
                  <w:tcW w:w="718" w:type="pct"/>
                  <w:tcBorders>
                    <w:tl2br w:val="nil"/>
                    <w:tr2bl w:val="nil"/>
                  </w:tcBorders>
                  <w:noWrap w:val="0"/>
                  <w:vAlign w:val="center"/>
                </w:tcPr>
                <w:p>
                  <w:pPr>
                    <w:pStyle w:val="6"/>
                    <w:bidi w:val="0"/>
                    <w:rPr>
                      <w:rFonts w:hint="default"/>
                      <w:lang w:val="en-US" w:eastAsia="zh-CN"/>
                    </w:rPr>
                  </w:pPr>
                  <w:r>
                    <w:rPr>
                      <w:rFonts w:hint="eastAsia"/>
                      <w:lang w:val="en-US" w:eastAsia="zh-CN"/>
                    </w:rPr>
                    <w:t>10</w:t>
                  </w:r>
                </w:p>
              </w:tc>
              <w:tc>
                <w:tcPr>
                  <w:tcW w:w="638" w:type="pct"/>
                  <w:tcBorders>
                    <w:tl2br w:val="nil"/>
                    <w:tr2bl w:val="nil"/>
                  </w:tcBorders>
                  <w:noWrap w:val="0"/>
                  <w:vAlign w:val="center"/>
                </w:tcPr>
                <w:p>
                  <w:pPr>
                    <w:pStyle w:val="6"/>
                    <w:bidi w:val="0"/>
                    <w:rPr>
                      <w:rFonts w:hint="eastAsia"/>
                      <w:lang w:val="en-US" w:eastAsia="zh-CN"/>
                    </w:rPr>
                  </w:pPr>
                  <w:r>
                    <w:rPr>
                      <w:rFonts w:hint="eastAsia"/>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5" w:type="pct"/>
                  <w:tcBorders>
                    <w:tl2br w:val="nil"/>
                    <w:tr2bl w:val="nil"/>
                  </w:tcBorders>
                  <w:noWrap w:val="0"/>
                  <w:vAlign w:val="center"/>
                </w:tcPr>
                <w:p>
                  <w:pPr>
                    <w:pStyle w:val="6"/>
                    <w:bidi w:val="0"/>
                    <w:rPr>
                      <w:lang w:val="en-US" w:eastAsia="zh-CN"/>
                    </w:rPr>
                  </w:pPr>
                  <w:r>
                    <w:rPr>
                      <w:rFonts w:hint="eastAsia"/>
                      <w:lang w:val="en-US" w:eastAsia="zh-CN"/>
                    </w:rPr>
                    <w:t>O</w:t>
                  </w:r>
                  <w:r>
                    <w:rPr>
                      <w:rFonts w:hint="eastAsia"/>
                      <w:vertAlign w:val="subscript"/>
                      <w:lang w:val="en-US" w:eastAsia="zh-CN"/>
                    </w:rPr>
                    <w:t>3</w:t>
                  </w:r>
                </w:p>
              </w:tc>
              <w:tc>
                <w:tcPr>
                  <w:tcW w:w="1511" w:type="pct"/>
                  <w:tcBorders>
                    <w:tl2br w:val="nil"/>
                    <w:tr2bl w:val="nil"/>
                  </w:tcBorders>
                  <w:noWrap w:val="0"/>
                  <w:vAlign w:val="center"/>
                </w:tcPr>
                <w:p>
                  <w:pPr>
                    <w:pStyle w:val="6"/>
                    <w:bidi w:val="0"/>
                    <w:rPr>
                      <w:rFonts w:hint="default"/>
                      <w:lang w:val="en-US" w:eastAsia="zh-CN"/>
                    </w:rPr>
                  </w:pPr>
                  <w:r>
                    <w:rPr>
                      <w:rFonts w:hint="default"/>
                      <w:lang w:val="en-US" w:eastAsia="zh-CN"/>
                    </w:rPr>
                    <w:t>最大8小时滑动平均值的第90百分位数</w:t>
                  </w:r>
                </w:p>
              </w:tc>
              <w:tc>
                <w:tcPr>
                  <w:tcW w:w="669" w:type="pct"/>
                  <w:tcBorders>
                    <w:tl2br w:val="nil"/>
                    <w:tr2bl w:val="nil"/>
                  </w:tcBorders>
                  <w:noWrap w:val="0"/>
                  <w:vAlign w:val="center"/>
                </w:tcPr>
                <w:p>
                  <w:pPr>
                    <w:pStyle w:val="6"/>
                    <w:bidi w:val="0"/>
                    <w:rPr>
                      <w:rFonts w:hint="default"/>
                      <w:lang w:val="en-US" w:eastAsia="zh-CN"/>
                    </w:rPr>
                  </w:pPr>
                  <w:r>
                    <w:rPr>
                      <w:rFonts w:hint="eastAsia"/>
                      <w:lang w:val="en-US" w:eastAsia="zh-CN"/>
                    </w:rPr>
                    <w:t>112</w:t>
                  </w:r>
                </w:p>
              </w:tc>
              <w:tc>
                <w:tcPr>
                  <w:tcW w:w="748" w:type="pct"/>
                  <w:tcBorders>
                    <w:tl2br w:val="nil"/>
                    <w:tr2bl w:val="nil"/>
                  </w:tcBorders>
                  <w:noWrap w:val="0"/>
                  <w:vAlign w:val="center"/>
                </w:tcPr>
                <w:p>
                  <w:pPr>
                    <w:pStyle w:val="6"/>
                    <w:bidi w:val="0"/>
                    <w:rPr>
                      <w:lang w:val="en-US" w:eastAsia="zh-CN"/>
                    </w:rPr>
                  </w:pPr>
                  <w:r>
                    <w:rPr>
                      <w:rFonts w:hint="eastAsia"/>
                      <w:lang w:val="en-US" w:eastAsia="zh-CN"/>
                    </w:rPr>
                    <w:t>160</w:t>
                  </w:r>
                </w:p>
              </w:tc>
              <w:tc>
                <w:tcPr>
                  <w:tcW w:w="718" w:type="pct"/>
                  <w:tcBorders>
                    <w:tl2br w:val="nil"/>
                    <w:tr2bl w:val="nil"/>
                  </w:tcBorders>
                  <w:noWrap w:val="0"/>
                  <w:vAlign w:val="center"/>
                </w:tcPr>
                <w:p>
                  <w:pPr>
                    <w:pStyle w:val="6"/>
                    <w:bidi w:val="0"/>
                    <w:rPr>
                      <w:rFonts w:hint="default"/>
                      <w:lang w:val="en-US" w:eastAsia="zh-CN"/>
                    </w:rPr>
                  </w:pPr>
                  <w:r>
                    <w:rPr>
                      <w:rFonts w:hint="eastAsia"/>
                      <w:lang w:val="en-US" w:eastAsia="zh-CN"/>
                    </w:rPr>
                    <w:t>70</w:t>
                  </w:r>
                </w:p>
              </w:tc>
              <w:tc>
                <w:tcPr>
                  <w:tcW w:w="638" w:type="pct"/>
                  <w:tcBorders>
                    <w:tl2br w:val="nil"/>
                    <w:tr2bl w:val="nil"/>
                  </w:tcBorders>
                  <w:noWrap w:val="0"/>
                  <w:vAlign w:val="center"/>
                </w:tcPr>
                <w:p>
                  <w:pPr>
                    <w:pStyle w:val="6"/>
                    <w:bidi w:val="0"/>
                    <w:rPr>
                      <w:rFonts w:hint="eastAsia"/>
                      <w:lang w:val="en-US" w:eastAsia="zh-CN"/>
                    </w:rPr>
                  </w:pPr>
                  <w:r>
                    <w:rPr>
                      <w:rFonts w:hint="eastAsia"/>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5" w:type="pct"/>
                  <w:vMerge w:val="restart"/>
                  <w:tcBorders>
                    <w:tl2br w:val="nil"/>
                    <w:tr2bl w:val="nil"/>
                  </w:tcBorders>
                  <w:noWrap w:val="0"/>
                  <w:vAlign w:val="center"/>
                </w:tcPr>
                <w:p>
                  <w:pPr>
                    <w:pStyle w:val="6"/>
                    <w:bidi w:val="0"/>
                    <w:rPr>
                      <w:lang w:val="en-US" w:eastAsia="zh-CN"/>
                    </w:rPr>
                  </w:pPr>
                  <w:r>
                    <w:rPr>
                      <w:rFonts w:hint="eastAsia"/>
                      <w:lang w:val="en-US" w:eastAsia="zh-CN"/>
                    </w:rPr>
                    <w:t>PM</w:t>
                  </w:r>
                  <w:r>
                    <w:rPr>
                      <w:rFonts w:hint="eastAsia"/>
                      <w:vertAlign w:val="subscript"/>
                      <w:lang w:val="en-US" w:eastAsia="zh-CN"/>
                    </w:rPr>
                    <w:t>10</w:t>
                  </w:r>
                </w:p>
              </w:tc>
              <w:tc>
                <w:tcPr>
                  <w:tcW w:w="1511" w:type="pct"/>
                  <w:tcBorders>
                    <w:tl2br w:val="nil"/>
                    <w:tr2bl w:val="nil"/>
                  </w:tcBorders>
                  <w:noWrap w:val="0"/>
                  <w:vAlign w:val="center"/>
                </w:tcPr>
                <w:p>
                  <w:pPr>
                    <w:pStyle w:val="6"/>
                    <w:bidi w:val="0"/>
                    <w:rPr>
                      <w:rFonts w:hint="default"/>
                      <w:lang w:val="en-US" w:eastAsia="zh-CN"/>
                    </w:rPr>
                  </w:pPr>
                  <w:r>
                    <w:rPr>
                      <w:rFonts w:hint="eastAsia"/>
                      <w:lang w:val="en-US" w:eastAsia="zh-CN"/>
                    </w:rPr>
                    <w:t>年平均</w:t>
                  </w:r>
                </w:p>
              </w:tc>
              <w:tc>
                <w:tcPr>
                  <w:tcW w:w="669" w:type="pct"/>
                  <w:tcBorders>
                    <w:tl2br w:val="nil"/>
                    <w:tr2bl w:val="nil"/>
                  </w:tcBorders>
                  <w:noWrap w:val="0"/>
                  <w:vAlign w:val="center"/>
                </w:tcPr>
                <w:p>
                  <w:pPr>
                    <w:pStyle w:val="6"/>
                    <w:bidi w:val="0"/>
                    <w:rPr>
                      <w:rFonts w:hint="default"/>
                      <w:lang w:val="en-US" w:eastAsia="zh-CN"/>
                    </w:rPr>
                  </w:pPr>
                  <w:r>
                    <w:rPr>
                      <w:rFonts w:hint="eastAsia"/>
                      <w:lang w:val="en-US" w:eastAsia="zh-CN"/>
                    </w:rPr>
                    <w:t>190</w:t>
                  </w:r>
                </w:p>
              </w:tc>
              <w:tc>
                <w:tcPr>
                  <w:tcW w:w="748" w:type="pct"/>
                  <w:tcBorders>
                    <w:tl2br w:val="nil"/>
                    <w:tr2bl w:val="nil"/>
                  </w:tcBorders>
                  <w:noWrap w:val="0"/>
                  <w:vAlign w:val="center"/>
                </w:tcPr>
                <w:p>
                  <w:pPr>
                    <w:pStyle w:val="6"/>
                    <w:bidi w:val="0"/>
                    <w:rPr>
                      <w:lang w:val="en-US" w:eastAsia="zh-CN"/>
                    </w:rPr>
                  </w:pPr>
                  <w:r>
                    <w:rPr>
                      <w:rFonts w:hint="eastAsia"/>
                      <w:lang w:val="en-US" w:eastAsia="zh-CN"/>
                    </w:rPr>
                    <w:t>70</w:t>
                  </w:r>
                </w:p>
              </w:tc>
              <w:tc>
                <w:tcPr>
                  <w:tcW w:w="718" w:type="pct"/>
                  <w:tcBorders>
                    <w:tl2br w:val="nil"/>
                    <w:tr2bl w:val="nil"/>
                  </w:tcBorders>
                  <w:noWrap w:val="0"/>
                  <w:vAlign w:val="center"/>
                </w:tcPr>
                <w:p>
                  <w:pPr>
                    <w:pStyle w:val="6"/>
                    <w:bidi w:val="0"/>
                    <w:rPr>
                      <w:rFonts w:hint="default"/>
                      <w:lang w:val="en-US" w:eastAsia="zh-CN"/>
                    </w:rPr>
                  </w:pPr>
                  <w:r>
                    <w:rPr>
                      <w:rFonts w:hint="eastAsia"/>
                      <w:lang w:val="en-US" w:eastAsia="zh-CN"/>
                    </w:rPr>
                    <w:t>271.4</w:t>
                  </w:r>
                </w:p>
              </w:tc>
              <w:tc>
                <w:tcPr>
                  <w:tcW w:w="638" w:type="pct"/>
                  <w:tcBorders>
                    <w:tl2br w:val="nil"/>
                    <w:tr2bl w:val="nil"/>
                  </w:tcBorders>
                  <w:noWrap w:val="0"/>
                  <w:vAlign w:val="center"/>
                </w:tcPr>
                <w:p>
                  <w:pPr>
                    <w:pStyle w:val="6"/>
                    <w:bidi w:val="0"/>
                    <w:rPr>
                      <w:rFonts w:hint="eastAsia"/>
                      <w:lang w:val="en-US" w:eastAsia="zh-CN"/>
                    </w:rPr>
                  </w:pPr>
                  <w:r>
                    <w:rPr>
                      <w:rFonts w:hint="eastAsia"/>
                      <w:lang w:val="en-US" w:eastAsia="zh-CN"/>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5" w:type="pct"/>
                  <w:vMerge w:val="continue"/>
                  <w:tcBorders>
                    <w:tl2br w:val="nil"/>
                    <w:tr2bl w:val="nil"/>
                  </w:tcBorders>
                  <w:noWrap w:val="0"/>
                  <w:vAlign w:val="center"/>
                </w:tcPr>
                <w:p>
                  <w:pPr>
                    <w:pStyle w:val="6"/>
                    <w:bidi w:val="0"/>
                    <w:rPr>
                      <w:lang w:val="en-US" w:eastAsia="zh-CN"/>
                    </w:rPr>
                  </w:pPr>
                </w:p>
              </w:tc>
              <w:tc>
                <w:tcPr>
                  <w:tcW w:w="1511" w:type="pct"/>
                  <w:tcBorders>
                    <w:tl2br w:val="nil"/>
                    <w:tr2bl w:val="nil"/>
                  </w:tcBorders>
                  <w:noWrap w:val="0"/>
                  <w:vAlign w:val="center"/>
                </w:tcPr>
                <w:p>
                  <w:pPr>
                    <w:pStyle w:val="6"/>
                    <w:bidi w:val="0"/>
                    <w:rPr>
                      <w:rFonts w:hint="default"/>
                      <w:lang w:val="en-US" w:eastAsia="zh-CN"/>
                    </w:rPr>
                  </w:pPr>
                  <w:r>
                    <w:rPr>
                      <w:rFonts w:hint="eastAsia"/>
                      <w:lang w:val="en-US" w:eastAsia="zh-CN"/>
                    </w:rPr>
                    <w:t>24h平均第95百分位数</w:t>
                  </w:r>
                </w:p>
              </w:tc>
              <w:tc>
                <w:tcPr>
                  <w:tcW w:w="669" w:type="pct"/>
                  <w:tcBorders>
                    <w:tl2br w:val="nil"/>
                    <w:tr2bl w:val="nil"/>
                  </w:tcBorders>
                  <w:noWrap w:val="0"/>
                  <w:vAlign w:val="center"/>
                </w:tcPr>
                <w:p>
                  <w:pPr>
                    <w:pStyle w:val="6"/>
                    <w:bidi w:val="0"/>
                    <w:rPr>
                      <w:rFonts w:hint="default"/>
                      <w:lang w:val="en-US" w:eastAsia="zh-CN"/>
                    </w:rPr>
                  </w:pPr>
                  <w:r>
                    <w:rPr>
                      <w:rFonts w:hint="eastAsia"/>
                      <w:lang w:val="en-US" w:eastAsia="zh-CN"/>
                    </w:rPr>
                    <w:t>634</w:t>
                  </w:r>
                </w:p>
              </w:tc>
              <w:tc>
                <w:tcPr>
                  <w:tcW w:w="748" w:type="pct"/>
                  <w:tcBorders>
                    <w:tl2br w:val="nil"/>
                    <w:tr2bl w:val="nil"/>
                  </w:tcBorders>
                  <w:noWrap w:val="0"/>
                  <w:vAlign w:val="center"/>
                </w:tcPr>
                <w:p>
                  <w:pPr>
                    <w:pStyle w:val="6"/>
                    <w:bidi w:val="0"/>
                    <w:rPr>
                      <w:lang w:val="en-US" w:eastAsia="zh-CN"/>
                    </w:rPr>
                  </w:pPr>
                  <w:r>
                    <w:rPr>
                      <w:rFonts w:hint="eastAsia"/>
                      <w:lang w:val="en-US" w:eastAsia="zh-CN"/>
                    </w:rPr>
                    <w:t>150</w:t>
                  </w:r>
                </w:p>
              </w:tc>
              <w:tc>
                <w:tcPr>
                  <w:tcW w:w="718" w:type="pct"/>
                  <w:tcBorders>
                    <w:tl2br w:val="nil"/>
                    <w:tr2bl w:val="nil"/>
                  </w:tcBorders>
                  <w:noWrap w:val="0"/>
                  <w:vAlign w:val="center"/>
                </w:tcPr>
                <w:p>
                  <w:pPr>
                    <w:pStyle w:val="6"/>
                    <w:bidi w:val="0"/>
                    <w:rPr>
                      <w:rFonts w:hint="default"/>
                      <w:lang w:val="en-US" w:eastAsia="zh-CN"/>
                    </w:rPr>
                  </w:pPr>
                  <w:r>
                    <w:rPr>
                      <w:rFonts w:hint="eastAsia"/>
                      <w:lang w:val="en-US" w:eastAsia="zh-CN"/>
                    </w:rPr>
                    <w:t>622.7</w:t>
                  </w:r>
                </w:p>
              </w:tc>
              <w:tc>
                <w:tcPr>
                  <w:tcW w:w="638" w:type="pct"/>
                  <w:tcBorders>
                    <w:tl2br w:val="nil"/>
                    <w:tr2bl w:val="nil"/>
                  </w:tcBorders>
                  <w:noWrap w:val="0"/>
                  <w:vAlign w:val="center"/>
                </w:tcPr>
                <w:p>
                  <w:pPr>
                    <w:pStyle w:val="6"/>
                    <w:bidi w:val="0"/>
                    <w:rPr>
                      <w:rFonts w:hint="eastAsia"/>
                      <w:lang w:val="en-US" w:eastAsia="zh-CN"/>
                    </w:rPr>
                  </w:pPr>
                  <w:r>
                    <w:rPr>
                      <w:rFonts w:hint="eastAsia"/>
                      <w:lang w:val="en-US" w:eastAsia="zh-CN"/>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5" w:type="pct"/>
                  <w:vMerge w:val="restart"/>
                  <w:tcBorders>
                    <w:tl2br w:val="nil"/>
                    <w:tr2bl w:val="nil"/>
                  </w:tcBorders>
                  <w:noWrap w:val="0"/>
                  <w:vAlign w:val="center"/>
                </w:tcPr>
                <w:p>
                  <w:pPr>
                    <w:pStyle w:val="6"/>
                    <w:bidi w:val="0"/>
                    <w:rPr>
                      <w:lang w:val="en-US" w:eastAsia="zh-CN"/>
                    </w:rPr>
                  </w:pPr>
                  <w:r>
                    <w:rPr>
                      <w:rFonts w:hint="eastAsia"/>
                      <w:lang w:val="en-US" w:eastAsia="zh-CN"/>
                    </w:rPr>
                    <w:t>PM</w:t>
                  </w:r>
                  <w:r>
                    <w:rPr>
                      <w:rFonts w:hint="eastAsia"/>
                      <w:vertAlign w:val="subscript"/>
                      <w:lang w:val="en-US" w:eastAsia="zh-CN"/>
                    </w:rPr>
                    <w:t>2.5</w:t>
                  </w:r>
                </w:p>
              </w:tc>
              <w:tc>
                <w:tcPr>
                  <w:tcW w:w="1511" w:type="pct"/>
                  <w:tcBorders>
                    <w:tl2br w:val="nil"/>
                    <w:tr2bl w:val="nil"/>
                  </w:tcBorders>
                  <w:noWrap w:val="0"/>
                  <w:vAlign w:val="center"/>
                </w:tcPr>
                <w:p>
                  <w:pPr>
                    <w:pStyle w:val="6"/>
                    <w:bidi w:val="0"/>
                    <w:rPr>
                      <w:rFonts w:hint="default"/>
                      <w:lang w:val="en-US" w:eastAsia="zh-CN"/>
                    </w:rPr>
                  </w:pPr>
                  <w:r>
                    <w:rPr>
                      <w:rFonts w:hint="eastAsia"/>
                      <w:lang w:val="en-US" w:eastAsia="zh-CN"/>
                    </w:rPr>
                    <w:t>年平均</w:t>
                  </w:r>
                </w:p>
              </w:tc>
              <w:tc>
                <w:tcPr>
                  <w:tcW w:w="669" w:type="pct"/>
                  <w:tcBorders>
                    <w:tl2br w:val="nil"/>
                    <w:tr2bl w:val="nil"/>
                  </w:tcBorders>
                  <w:noWrap w:val="0"/>
                  <w:vAlign w:val="center"/>
                </w:tcPr>
                <w:p>
                  <w:pPr>
                    <w:pStyle w:val="6"/>
                    <w:bidi w:val="0"/>
                    <w:rPr>
                      <w:rFonts w:hint="default"/>
                      <w:lang w:val="en-US" w:eastAsia="zh-CN"/>
                    </w:rPr>
                  </w:pPr>
                  <w:r>
                    <w:rPr>
                      <w:rFonts w:hint="eastAsia"/>
                      <w:lang w:val="en-US" w:eastAsia="zh-CN"/>
                    </w:rPr>
                    <w:t>55</w:t>
                  </w:r>
                </w:p>
              </w:tc>
              <w:tc>
                <w:tcPr>
                  <w:tcW w:w="748" w:type="pct"/>
                  <w:tcBorders>
                    <w:tl2br w:val="nil"/>
                    <w:tr2bl w:val="nil"/>
                  </w:tcBorders>
                  <w:noWrap w:val="0"/>
                  <w:vAlign w:val="center"/>
                </w:tcPr>
                <w:p>
                  <w:pPr>
                    <w:pStyle w:val="6"/>
                    <w:bidi w:val="0"/>
                    <w:rPr>
                      <w:lang w:val="en-US" w:eastAsia="zh-CN"/>
                    </w:rPr>
                  </w:pPr>
                  <w:r>
                    <w:rPr>
                      <w:rFonts w:hint="eastAsia"/>
                      <w:lang w:val="en-US" w:eastAsia="zh-CN"/>
                    </w:rPr>
                    <w:t>35</w:t>
                  </w:r>
                </w:p>
              </w:tc>
              <w:tc>
                <w:tcPr>
                  <w:tcW w:w="718" w:type="pct"/>
                  <w:tcBorders>
                    <w:tl2br w:val="nil"/>
                    <w:tr2bl w:val="nil"/>
                  </w:tcBorders>
                  <w:noWrap w:val="0"/>
                  <w:vAlign w:val="center"/>
                </w:tcPr>
                <w:p>
                  <w:pPr>
                    <w:pStyle w:val="6"/>
                    <w:bidi w:val="0"/>
                    <w:rPr>
                      <w:rFonts w:hint="default"/>
                      <w:lang w:val="en-US" w:eastAsia="zh-CN"/>
                    </w:rPr>
                  </w:pPr>
                  <w:r>
                    <w:rPr>
                      <w:rFonts w:hint="eastAsia"/>
                      <w:lang w:val="en-US" w:eastAsia="zh-CN"/>
                    </w:rPr>
                    <w:t>157.1</w:t>
                  </w:r>
                </w:p>
              </w:tc>
              <w:tc>
                <w:tcPr>
                  <w:tcW w:w="638" w:type="pct"/>
                  <w:tcBorders>
                    <w:tl2br w:val="nil"/>
                    <w:tr2bl w:val="nil"/>
                  </w:tcBorders>
                  <w:noWrap w:val="0"/>
                  <w:vAlign w:val="center"/>
                </w:tcPr>
                <w:p>
                  <w:pPr>
                    <w:pStyle w:val="6"/>
                    <w:bidi w:val="0"/>
                    <w:rPr>
                      <w:rFonts w:hint="eastAsia"/>
                      <w:lang w:val="en-US" w:eastAsia="zh-CN"/>
                    </w:rPr>
                  </w:pPr>
                  <w:r>
                    <w:rPr>
                      <w:rFonts w:hint="eastAsia"/>
                      <w:lang w:val="en-US" w:eastAsia="zh-CN"/>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5" w:type="pct"/>
                  <w:vMerge w:val="continue"/>
                  <w:tcBorders>
                    <w:tl2br w:val="nil"/>
                    <w:tr2bl w:val="nil"/>
                  </w:tcBorders>
                  <w:noWrap w:val="0"/>
                  <w:vAlign w:val="center"/>
                </w:tcPr>
                <w:p>
                  <w:pPr>
                    <w:pStyle w:val="6"/>
                    <w:bidi w:val="0"/>
                    <w:rPr>
                      <w:lang w:val="en-US" w:eastAsia="zh-CN"/>
                    </w:rPr>
                  </w:pPr>
                </w:p>
              </w:tc>
              <w:tc>
                <w:tcPr>
                  <w:tcW w:w="1511" w:type="pct"/>
                  <w:tcBorders>
                    <w:tl2br w:val="nil"/>
                    <w:tr2bl w:val="nil"/>
                  </w:tcBorders>
                  <w:noWrap w:val="0"/>
                  <w:vAlign w:val="center"/>
                </w:tcPr>
                <w:p>
                  <w:pPr>
                    <w:pStyle w:val="6"/>
                    <w:bidi w:val="0"/>
                    <w:rPr>
                      <w:rFonts w:hint="default"/>
                      <w:lang w:val="en-US" w:eastAsia="zh-CN"/>
                    </w:rPr>
                  </w:pPr>
                  <w:r>
                    <w:rPr>
                      <w:rFonts w:hint="eastAsia"/>
                      <w:lang w:val="en-US" w:eastAsia="zh-CN"/>
                    </w:rPr>
                    <w:t>24h平均第95百分位数</w:t>
                  </w:r>
                </w:p>
              </w:tc>
              <w:tc>
                <w:tcPr>
                  <w:tcW w:w="669" w:type="pct"/>
                  <w:tcBorders>
                    <w:tl2br w:val="nil"/>
                    <w:tr2bl w:val="nil"/>
                  </w:tcBorders>
                  <w:noWrap w:val="0"/>
                  <w:vAlign w:val="center"/>
                </w:tcPr>
                <w:p>
                  <w:pPr>
                    <w:pStyle w:val="6"/>
                    <w:bidi w:val="0"/>
                    <w:rPr>
                      <w:rFonts w:hint="default"/>
                      <w:lang w:val="en-US" w:eastAsia="zh-CN"/>
                    </w:rPr>
                  </w:pPr>
                  <w:r>
                    <w:rPr>
                      <w:rFonts w:hint="eastAsia"/>
                      <w:lang w:val="en-US" w:eastAsia="zh-CN"/>
                    </w:rPr>
                    <w:t>229</w:t>
                  </w:r>
                </w:p>
              </w:tc>
              <w:tc>
                <w:tcPr>
                  <w:tcW w:w="748" w:type="pct"/>
                  <w:tcBorders>
                    <w:tl2br w:val="nil"/>
                    <w:tr2bl w:val="nil"/>
                  </w:tcBorders>
                  <w:noWrap w:val="0"/>
                  <w:vAlign w:val="center"/>
                </w:tcPr>
                <w:p>
                  <w:pPr>
                    <w:pStyle w:val="6"/>
                    <w:bidi w:val="0"/>
                    <w:rPr>
                      <w:lang w:val="en-US" w:eastAsia="zh-CN"/>
                    </w:rPr>
                  </w:pPr>
                  <w:r>
                    <w:rPr>
                      <w:rFonts w:hint="eastAsia"/>
                      <w:lang w:val="en-US" w:eastAsia="zh-CN"/>
                    </w:rPr>
                    <w:t>75</w:t>
                  </w:r>
                </w:p>
              </w:tc>
              <w:tc>
                <w:tcPr>
                  <w:tcW w:w="718" w:type="pct"/>
                  <w:tcBorders>
                    <w:tl2br w:val="nil"/>
                    <w:tr2bl w:val="nil"/>
                  </w:tcBorders>
                  <w:noWrap w:val="0"/>
                  <w:vAlign w:val="center"/>
                </w:tcPr>
                <w:p>
                  <w:pPr>
                    <w:pStyle w:val="6"/>
                    <w:bidi w:val="0"/>
                    <w:rPr>
                      <w:rFonts w:hint="default"/>
                      <w:lang w:val="en-US" w:eastAsia="zh-CN"/>
                    </w:rPr>
                  </w:pPr>
                  <w:r>
                    <w:rPr>
                      <w:rFonts w:hint="eastAsia"/>
                      <w:lang w:val="en-US" w:eastAsia="zh-CN"/>
                    </w:rPr>
                    <w:t>305.3</w:t>
                  </w:r>
                </w:p>
              </w:tc>
              <w:tc>
                <w:tcPr>
                  <w:tcW w:w="638" w:type="pct"/>
                  <w:tcBorders>
                    <w:tl2br w:val="nil"/>
                    <w:tr2bl w:val="nil"/>
                  </w:tcBorders>
                  <w:noWrap w:val="0"/>
                  <w:vAlign w:val="center"/>
                </w:tcPr>
                <w:p>
                  <w:pPr>
                    <w:pStyle w:val="6"/>
                    <w:bidi w:val="0"/>
                    <w:rPr>
                      <w:rFonts w:hint="eastAsia"/>
                      <w:lang w:val="en-US" w:eastAsia="zh-CN"/>
                    </w:rPr>
                  </w:pPr>
                  <w:r>
                    <w:rPr>
                      <w:rFonts w:hint="eastAsia"/>
                      <w:lang w:val="en-US" w:eastAsia="zh-CN"/>
                    </w:rPr>
                    <w:t>不达标</w:t>
                  </w:r>
                </w:p>
              </w:tc>
            </w:tr>
          </w:tbl>
          <w:p>
            <w:pPr>
              <w:bidi w:val="0"/>
              <w:rPr>
                <w:rFonts w:hint="default" w:ascii="Times New Roman" w:hAnsi="Times New Roman" w:eastAsia="宋体" w:cs="Times New Roman"/>
                <w:b w:val="0"/>
                <w:bCs w:val="0"/>
                <w:color w:val="000000"/>
                <w:sz w:val="24"/>
                <w:lang w:val="en-US" w:eastAsia="zh-CN"/>
              </w:rPr>
            </w:pPr>
            <w:r>
              <w:rPr>
                <w:rFonts w:hint="default" w:ascii="Times New Roman" w:hAnsi="Times New Roman" w:eastAsia="宋体" w:cs="Times New Roman"/>
                <w:b w:val="0"/>
                <w:bCs w:val="0"/>
                <w:color w:val="000000"/>
                <w:sz w:val="24"/>
                <w:lang w:val="en-US" w:eastAsia="zh-CN"/>
              </w:rPr>
              <w:t>202</w:t>
            </w:r>
            <w:r>
              <w:rPr>
                <w:rFonts w:hint="eastAsia" w:ascii="Times New Roman" w:hAnsi="Times New Roman" w:eastAsia="宋体" w:cs="Times New Roman"/>
                <w:b w:val="0"/>
                <w:bCs w:val="0"/>
                <w:color w:val="000000"/>
                <w:sz w:val="24"/>
                <w:lang w:val="en-US" w:eastAsia="zh-CN"/>
              </w:rPr>
              <w:t>3</w:t>
            </w:r>
            <w:r>
              <w:rPr>
                <w:rFonts w:hint="default" w:ascii="Times New Roman" w:hAnsi="Times New Roman" w:eastAsia="宋体" w:cs="Times New Roman"/>
                <w:b w:val="0"/>
                <w:bCs w:val="0"/>
                <w:color w:val="000000"/>
                <w:sz w:val="24"/>
                <w:lang w:val="en-US" w:eastAsia="zh-CN"/>
              </w:rPr>
              <w:t>年，</w:t>
            </w:r>
            <w:r>
              <w:rPr>
                <w:rFonts w:hint="eastAsia" w:ascii="Times New Roman" w:hAnsi="Times New Roman" w:eastAsia="宋体" w:cs="Times New Roman"/>
                <w:b w:val="0"/>
                <w:bCs w:val="0"/>
                <w:color w:val="000000"/>
                <w:sz w:val="24"/>
                <w:lang w:val="en-US" w:eastAsia="zh-CN"/>
              </w:rPr>
              <w:t>若羌县</w:t>
            </w:r>
            <w:r>
              <w:rPr>
                <w:rFonts w:hint="default" w:ascii="Times New Roman" w:hAnsi="Times New Roman" w:eastAsia="宋体" w:cs="Times New Roman"/>
                <w:b w:val="0"/>
                <w:bCs w:val="0"/>
                <w:color w:val="000000"/>
                <w:sz w:val="24"/>
                <w:lang w:val="en-US" w:eastAsia="zh-CN"/>
              </w:rPr>
              <w:t>空气质量监测总天数为36</w:t>
            </w:r>
            <w:r>
              <w:rPr>
                <w:rFonts w:hint="eastAsia" w:ascii="Times New Roman" w:hAnsi="Times New Roman" w:eastAsia="宋体" w:cs="Times New Roman"/>
                <w:b w:val="0"/>
                <w:bCs w:val="0"/>
                <w:color w:val="000000"/>
                <w:sz w:val="24"/>
                <w:lang w:val="en-US" w:eastAsia="zh-CN"/>
              </w:rPr>
              <w:t>5</w:t>
            </w:r>
            <w:r>
              <w:rPr>
                <w:rFonts w:hint="default" w:ascii="Times New Roman" w:hAnsi="Times New Roman" w:eastAsia="宋体" w:cs="Times New Roman"/>
                <w:b w:val="0"/>
                <w:bCs w:val="0"/>
                <w:color w:val="000000"/>
                <w:sz w:val="24"/>
                <w:lang w:val="en-US" w:eastAsia="zh-CN"/>
              </w:rPr>
              <w:t>天，受沙尘天气影响，PM</w:t>
            </w:r>
            <w:r>
              <w:rPr>
                <w:rFonts w:hint="default" w:ascii="Times New Roman" w:hAnsi="Times New Roman" w:eastAsia="宋体" w:cs="Times New Roman"/>
                <w:b w:val="0"/>
                <w:bCs w:val="0"/>
                <w:color w:val="000000"/>
                <w:sz w:val="24"/>
                <w:vertAlign w:val="subscript"/>
                <w:lang w:val="en-US" w:eastAsia="zh-CN"/>
              </w:rPr>
              <w:t>10</w:t>
            </w:r>
            <w:r>
              <w:rPr>
                <w:rFonts w:hint="default" w:ascii="Times New Roman" w:hAnsi="Times New Roman" w:eastAsia="宋体" w:cs="Times New Roman"/>
                <w:b w:val="0"/>
                <w:bCs w:val="0"/>
                <w:color w:val="000000"/>
                <w:sz w:val="24"/>
                <w:lang w:val="en-US" w:eastAsia="zh-CN"/>
              </w:rPr>
              <w:t>、PM</w:t>
            </w:r>
            <w:r>
              <w:rPr>
                <w:rFonts w:hint="default" w:ascii="Times New Roman" w:hAnsi="Times New Roman" w:eastAsia="宋体" w:cs="Times New Roman"/>
                <w:b w:val="0"/>
                <w:bCs w:val="0"/>
                <w:color w:val="000000"/>
                <w:sz w:val="24"/>
                <w:vertAlign w:val="subscript"/>
                <w:lang w:val="en-US" w:eastAsia="zh-CN"/>
              </w:rPr>
              <w:t>2.5</w:t>
            </w:r>
            <w:r>
              <w:rPr>
                <w:rFonts w:hint="default" w:ascii="Times New Roman" w:hAnsi="Times New Roman" w:eastAsia="宋体" w:cs="Times New Roman"/>
                <w:b w:val="0"/>
                <w:bCs w:val="0"/>
                <w:color w:val="000000"/>
                <w:sz w:val="24"/>
                <w:lang w:val="en-US" w:eastAsia="zh-CN"/>
              </w:rPr>
              <w:t>年均值</w:t>
            </w:r>
            <w:r>
              <w:rPr>
                <w:rFonts w:hint="eastAsia" w:ascii="Times New Roman" w:hAnsi="Times New Roman" w:eastAsia="宋体" w:cs="Times New Roman"/>
                <w:b w:val="0"/>
                <w:bCs w:val="0"/>
                <w:color w:val="000000"/>
                <w:sz w:val="24"/>
                <w:lang w:val="en-US" w:eastAsia="zh-CN"/>
              </w:rPr>
              <w:t>与24h平均第95百分位数均</w:t>
            </w:r>
            <w:r>
              <w:rPr>
                <w:rFonts w:hint="default" w:ascii="Times New Roman" w:hAnsi="Times New Roman" w:eastAsia="宋体" w:cs="Times New Roman"/>
                <w:b w:val="0"/>
                <w:bCs w:val="0"/>
                <w:color w:val="000000"/>
                <w:sz w:val="24"/>
                <w:lang w:val="en-US" w:eastAsia="zh-CN"/>
              </w:rPr>
              <w:t>浓度超过《环境空气质量标准》（GB3095-2012）</w:t>
            </w:r>
            <w:r>
              <w:rPr>
                <w:rFonts w:hint="eastAsia"/>
                <w:lang w:val="en-US" w:eastAsia="zh-CN"/>
              </w:rPr>
              <w:t>及其修改单的二级标准</w:t>
            </w:r>
            <w:r>
              <w:rPr>
                <w:rFonts w:hint="default" w:ascii="Times New Roman" w:hAnsi="Times New Roman" w:eastAsia="宋体" w:cs="Times New Roman"/>
                <w:b w:val="0"/>
                <w:bCs w:val="0"/>
                <w:color w:val="000000"/>
                <w:sz w:val="24"/>
                <w:lang w:val="en-US" w:eastAsia="zh-CN"/>
              </w:rPr>
              <w:t>，SO</w:t>
            </w:r>
            <w:r>
              <w:rPr>
                <w:rFonts w:hint="default" w:ascii="Times New Roman" w:hAnsi="Times New Roman" w:eastAsia="宋体" w:cs="Times New Roman"/>
                <w:b w:val="0"/>
                <w:bCs w:val="0"/>
                <w:color w:val="000000"/>
                <w:sz w:val="24"/>
                <w:vertAlign w:val="subscript"/>
                <w:lang w:val="en-US" w:eastAsia="zh-CN"/>
              </w:rPr>
              <w:t>2</w:t>
            </w:r>
            <w:r>
              <w:rPr>
                <w:rFonts w:hint="default" w:ascii="Times New Roman" w:hAnsi="Times New Roman" w:eastAsia="宋体" w:cs="Times New Roman"/>
                <w:b w:val="0"/>
                <w:bCs w:val="0"/>
                <w:color w:val="000000"/>
                <w:sz w:val="24"/>
                <w:lang w:val="en-US" w:eastAsia="zh-CN"/>
              </w:rPr>
              <w:t>、NO</w:t>
            </w:r>
            <w:r>
              <w:rPr>
                <w:rFonts w:hint="default" w:ascii="Times New Roman" w:hAnsi="Times New Roman" w:eastAsia="宋体" w:cs="Times New Roman"/>
                <w:b w:val="0"/>
                <w:bCs w:val="0"/>
                <w:color w:val="000000"/>
                <w:sz w:val="24"/>
                <w:vertAlign w:val="subscript"/>
                <w:lang w:val="en-US" w:eastAsia="zh-CN"/>
              </w:rPr>
              <w:t>2</w:t>
            </w:r>
            <w:r>
              <w:rPr>
                <w:rFonts w:hint="default" w:ascii="Times New Roman" w:hAnsi="Times New Roman" w:eastAsia="宋体" w:cs="Times New Roman"/>
                <w:b w:val="0"/>
                <w:bCs w:val="0"/>
                <w:color w:val="000000"/>
                <w:sz w:val="24"/>
                <w:lang w:val="en-US" w:eastAsia="zh-CN"/>
              </w:rPr>
              <w:t>、CO、O</w:t>
            </w:r>
            <w:r>
              <w:rPr>
                <w:rFonts w:hint="default" w:ascii="Times New Roman" w:hAnsi="Times New Roman" w:eastAsia="宋体" w:cs="Times New Roman"/>
                <w:b w:val="0"/>
                <w:bCs w:val="0"/>
                <w:color w:val="000000"/>
                <w:sz w:val="24"/>
                <w:vertAlign w:val="subscript"/>
                <w:lang w:val="en-US" w:eastAsia="zh-CN"/>
              </w:rPr>
              <w:t>3</w:t>
            </w:r>
            <w:r>
              <w:rPr>
                <w:rFonts w:hint="default" w:ascii="Times New Roman" w:hAnsi="Times New Roman" w:eastAsia="宋体" w:cs="Times New Roman"/>
                <w:b w:val="0"/>
                <w:bCs w:val="0"/>
                <w:color w:val="000000"/>
                <w:sz w:val="24"/>
                <w:lang w:val="en-US" w:eastAsia="zh-CN"/>
              </w:rPr>
              <w:t>等其他监测指标均满足二级标准，</w:t>
            </w:r>
            <w:r>
              <w:rPr>
                <w:rFonts w:hint="eastAsia" w:ascii="Times New Roman" w:hAnsi="Times New Roman" w:eastAsia="宋体" w:cs="Times New Roman"/>
                <w:b w:val="0"/>
                <w:bCs w:val="0"/>
                <w:color w:val="000000"/>
                <w:sz w:val="24"/>
                <w:lang w:val="en-US" w:eastAsia="zh-CN"/>
              </w:rPr>
              <w:t>因此判断</w:t>
            </w:r>
            <w:r>
              <w:rPr>
                <w:rFonts w:hint="default" w:ascii="Times New Roman" w:hAnsi="Times New Roman" w:eastAsia="宋体" w:cs="Times New Roman"/>
                <w:b w:val="0"/>
                <w:bCs w:val="0"/>
                <w:color w:val="000000"/>
                <w:sz w:val="24"/>
                <w:lang w:val="en-US" w:eastAsia="zh-CN"/>
              </w:rPr>
              <w:t>本项目所在区域为非达标区域。</w:t>
            </w:r>
          </w:p>
          <w:p>
            <w:pPr>
              <w:pStyle w:val="4"/>
              <w:bidi w:val="0"/>
            </w:pPr>
            <w:r>
              <w:rPr>
                <w:rFonts w:hint="eastAsia"/>
              </w:rPr>
              <w:t>1.2</w:t>
            </w:r>
            <w:r>
              <w:t>其他污染物质量现状</w:t>
            </w:r>
          </w:p>
          <w:p>
            <w:pPr>
              <w:adjustRightInd w:val="0"/>
              <w:snapToGrid w:val="0"/>
              <w:ind w:firstLine="480" w:firstLineChars="200"/>
              <w:rPr>
                <w:color w:val="000000"/>
              </w:rPr>
            </w:pPr>
            <w:r>
              <w:rPr>
                <w:color w:val="000000"/>
              </w:rPr>
              <w:t>本项目排放的其他污染物为TSP，根据《建设项目环境影响报告表编制技术指南（污染影响类）（试行）》要求，</w:t>
            </w:r>
            <w:r>
              <w:rPr>
                <w:rFonts w:hint="eastAsia"/>
                <w:color w:val="000000"/>
              </w:rPr>
              <w:t>本项目委托</w:t>
            </w:r>
            <w:r>
              <w:rPr>
                <w:rFonts w:hint="eastAsia"/>
                <w:color w:val="000000"/>
                <w:lang w:val="en-US" w:eastAsia="zh-CN"/>
              </w:rPr>
              <w:t>新疆中测测试有限责任公司</w:t>
            </w:r>
            <w:r>
              <w:rPr>
                <w:rFonts w:hint="eastAsia"/>
                <w:color w:val="000000"/>
              </w:rPr>
              <w:t>对本项目特征污染物TSP进行监测</w:t>
            </w:r>
            <w:r>
              <w:rPr>
                <w:color w:val="000000"/>
              </w:rPr>
              <w:t>。</w:t>
            </w:r>
          </w:p>
          <w:p>
            <w:pPr>
              <w:adjustRightInd w:val="0"/>
              <w:snapToGrid w:val="0"/>
              <w:ind w:firstLine="480" w:firstLineChars="200"/>
              <w:rPr>
                <w:color w:val="000000"/>
              </w:rPr>
            </w:pPr>
            <w:r>
              <w:rPr>
                <w:color w:val="000000"/>
              </w:rPr>
              <w:t>（1）监测地点、监测因子</w:t>
            </w:r>
          </w:p>
          <w:p>
            <w:pPr>
              <w:adjustRightInd w:val="0"/>
              <w:snapToGrid w:val="0"/>
              <w:ind w:firstLine="480" w:firstLineChars="200"/>
              <w:rPr>
                <w:color w:val="000000"/>
              </w:rPr>
            </w:pPr>
            <w:r>
              <w:rPr>
                <w:color w:val="000000"/>
              </w:rPr>
              <w:t>监测点位坐标东经</w:t>
            </w:r>
            <w:r>
              <w:rPr>
                <w:rFonts w:hint="default" w:ascii="Times New Roman" w:hAnsi="Times New Roman" w:cs="Times New Roman"/>
                <w:color w:val="000000"/>
              </w:rPr>
              <w:t>88°7′5.415″</w:t>
            </w:r>
            <w:r>
              <w:rPr>
                <w:color w:val="000000"/>
              </w:rPr>
              <w:t>，北纬</w:t>
            </w:r>
            <w:r>
              <w:rPr>
                <w:rFonts w:hint="default" w:ascii="Times New Roman" w:hAnsi="Times New Roman" w:cs="Times New Roman"/>
                <w:color w:val="000000"/>
                <w:lang w:val="en-US" w:eastAsia="zh-CN"/>
              </w:rPr>
              <w:t>38°56′34.879″</w:t>
            </w:r>
            <w:r>
              <w:rPr>
                <w:color w:val="000000"/>
              </w:rPr>
              <w:t>，位于</w:t>
            </w:r>
            <w:r>
              <w:rPr>
                <w:rFonts w:hint="eastAsia"/>
                <w:color w:val="000000"/>
                <w:lang w:val="en-US" w:eastAsia="zh-CN"/>
              </w:rPr>
              <w:t>项目区下风向</w:t>
            </w:r>
            <w:r>
              <w:rPr>
                <w:color w:val="000000"/>
              </w:rPr>
              <w:t>。监测点位详见附图</w:t>
            </w:r>
            <w:r>
              <w:rPr>
                <w:rFonts w:hint="eastAsia"/>
                <w:color w:val="000000"/>
                <w:lang w:val="en-US" w:eastAsia="zh-CN"/>
              </w:rPr>
              <w:t>4</w:t>
            </w:r>
            <w:r>
              <w:rPr>
                <w:color w:val="000000"/>
              </w:rPr>
              <w:t>。</w:t>
            </w:r>
          </w:p>
          <w:p>
            <w:pPr>
              <w:pStyle w:val="75"/>
              <w:adjustRightInd w:val="0"/>
              <w:snapToGrid w:val="0"/>
              <w:spacing w:line="360" w:lineRule="auto"/>
              <w:ind w:firstLine="480" w:firstLineChars="200"/>
              <w:rPr>
                <w:rFonts w:hint="eastAsia" w:ascii="Times New Roman" w:cs="Times New Roman"/>
                <w:sz w:val="24"/>
                <w:szCs w:val="24"/>
              </w:rPr>
            </w:pPr>
            <w:r>
              <w:rPr>
                <w:rFonts w:ascii="Times New Roman" w:cs="Times New Roman"/>
                <w:sz w:val="24"/>
                <w:szCs w:val="24"/>
              </w:rPr>
              <w:t>其他污染因子：</w:t>
            </w:r>
            <w:r>
              <w:rPr>
                <w:rFonts w:hint="eastAsia" w:ascii="Times New Roman" w:cs="Times New Roman"/>
                <w:sz w:val="24"/>
                <w:szCs w:val="24"/>
              </w:rPr>
              <w:t>总悬浮颗粒物（TSP）</w:t>
            </w:r>
          </w:p>
          <w:p>
            <w:pPr>
              <w:adjustRightInd w:val="0"/>
              <w:snapToGrid w:val="0"/>
              <w:ind w:firstLine="480" w:firstLineChars="200"/>
              <w:rPr>
                <w:color w:val="000000"/>
              </w:rPr>
            </w:pPr>
            <w:r>
              <w:rPr>
                <w:color w:val="000000"/>
              </w:rPr>
              <w:t>（2）采样及分析方法</w:t>
            </w:r>
          </w:p>
          <w:p>
            <w:pPr>
              <w:adjustRightInd w:val="0"/>
              <w:snapToGrid w:val="0"/>
              <w:ind w:firstLine="480" w:firstLineChars="200"/>
              <w:rPr>
                <w:color w:val="000000"/>
              </w:rPr>
            </w:pPr>
            <w:r>
              <w:rPr>
                <w:color w:val="000000"/>
              </w:rPr>
              <w:t>采样方法和分析方法《</w:t>
            </w:r>
            <w:r>
              <w:rPr>
                <w:rFonts w:hint="eastAsia"/>
                <w:color w:val="000000"/>
                <w:lang w:val="en-US" w:eastAsia="zh-CN"/>
              </w:rPr>
              <w:t>环境空气 总悬浮颗粒物的测定 重量法</w:t>
            </w:r>
            <w:r>
              <w:rPr>
                <w:color w:val="000000"/>
              </w:rPr>
              <w:t>》（</w:t>
            </w:r>
            <w:r>
              <w:rPr>
                <w:rFonts w:hint="eastAsia"/>
                <w:color w:val="000000"/>
                <w:lang w:val="en-US" w:eastAsia="zh-CN"/>
              </w:rPr>
              <w:t>HJ 1263-2022</w:t>
            </w:r>
            <w:r>
              <w:rPr>
                <w:color w:val="000000"/>
              </w:rPr>
              <w:t>）。</w:t>
            </w:r>
          </w:p>
          <w:p>
            <w:pPr>
              <w:adjustRightInd w:val="0"/>
              <w:snapToGrid w:val="0"/>
              <w:ind w:firstLine="480" w:firstLineChars="200"/>
              <w:rPr>
                <w:color w:val="000000"/>
              </w:rPr>
            </w:pPr>
            <w:r>
              <w:rPr>
                <w:color w:val="000000"/>
              </w:rPr>
              <w:t>（3）监测时间及频率</w:t>
            </w:r>
          </w:p>
          <w:p>
            <w:pPr>
              <w:pStyle w:val="75"/>
              <w:adjustRightInd w:val="0"/>
              <w:snapToGrid w:val="0"/>
              <w:spacing w:line="360" w:lineRule="auto"/>
              <w:ind w:firstLine="480" w:firstLineChars="200"/>
              <w:rPr>
                <w:rFonts w:ascii="Times New Roman" w:cs="Times New Roman"/>
                <w:sz w:val="24"/>
                <w:szCs w:val="24"/>
              </w:rPr>
            </w:pPr>
            <w:r>
              <w:rPr>
                <w:rFonts w:ascii="Times New Roman" w:cs="Times New Roman"/>
                <w:sz w:val="24"/>
                <w:szCs w:val="24"/>
              </w:rPr>
              <w:t>监测频率：</w:t>
            </w:r>
            <w:r>
              <w:rPr>
                <w:rFonts w:hint="eastAsia" w:ascii="Times New Roman" w:cs="Times New Roman"/>
                <w:sz w:val="24"/>
                <w:szCs w:val="24"/>
              </w:rPr>
              <w:t>TSP</w:t>
            </w:r>
            <w:r>
              <w:rPr>
                <w:rFonts w:ascii="Times New Roman" w:cs="Times New Roman"/>
                <w:sz w:val="24"/>
                <w:szCs w:val="24"/>
              </w:rPr>
              <w:t>连续</w:t>
            </w:r>
            <w:r>
              <w:rPr>
                <w:rFonts w:hint="eastAsia" w:ascii="Times New Roman" w:cs="Times New Roman"/>
                <w:sz w:val="24"/>
                <w:szCs w:val="24"/>
                <w:lang w:eastAsia="zh-CN"/>
              </w:rPr>
              <w:t>监测</w:t>
            </w:r>
            <w:r>
              <w:rPr>
                <w:rFonts w:hint="eastAsia" w:ascii="Times New Roman" w:cs="Times New Roman"/>
                <w:sz w:val="24"/>
                <w:szCs w:val="24"/>
                <w:lang w:val="en-US" w:eastAsia="zh-CN"/>
              </w:rPr>
              <w:t>3</w:t>
            </w:r>
            <w:r>
              <w:rPr>
                <w:rFonts w:ascii="Times New Roman" w:cs="Times New Roman"/>
                <w:sz w:val="24"/>
                <w:szCs w:val="24"/>
              </w:rPr>
              <w:t>天。</w:t>
            </w:r>
          </w:p>
          <w:p>
            <w:pPr>
              <w:adjustRightInd w:val="0"/>
              <w:snapToGrid w:val="0"/>
              <w:ind w:firstLine="480" w:firstLineChars="200"/>
              <w:rPr>
                <w:color w:val="000000"/>
              </w:rPr>
            </w:pPr>
            <w:r>
              <w:rPr>
                <w:color w:val="000000"/>
                <w:lang w:val="de-DE"/>
              </w:rPr>
              <w:t>监测时间：</w:t>
            </w:r>
            <w:r>
              <w:rPr>
                <w:rFonts w:hint="eastAsia"/>
                <w:color w:val="000000"/>
                <w:lang w:val="de-DE" w:eastAsia="zh-CN"/>
              </w:rPr>
              <w:t>202</w:t>
            </w:r>
            <w:r>
              <w:rPr>
                <w:rFonts w:hint="eastAsia"/>
                <w:color w:val="000000"/>
                <w:lang w:val="en-US" w:eastAsia="zh-CN"/>
              </w:rPr>
              <w:t>5</w:t>
            </w:r>
            <w:r>
              <w:rPr>
                <w:rFonts w:hint="eastAsia"/>
                <w:color w:val="000000"/>
              </w:rPr>
              <w:t>年</w:t>
            </w:r>
            <w:r>
              <w:rPr>
                <w:rFonts w:hint="eastAsia"/>
                <w:color w:val="000000"/>
                <w:lang w:val="en-US" w:eastAsia="zh-CN"/>
              </w:rPr>
              <w:t>3</w:t>
            </w:r>
            <w:r>
              <w:rPr>
                <w:rFonts w:hint="eastAsia"/>
                <w:color w:val="000000"/>
              </w:rPr>
              <w:t>月</w:t>
            </w:r>
            <w:r>
              <w:rPr>
                <w:rFonts w:hint="eastAsia"/>
                <w:color w:val="000000"/>
                <w:lang w:val="en-US" w:eastAsia="zh-CN"/>
              </w:rPr>
              <w:t>20</w:t>
            </w:r>
            <w:r>
              <w:rPr>
                <w:rFonts w:hint="eastAsia"/>
                <w:color w:val="000000"/>
              </w:rPr>
              <w:t>日</w:t>
            </w:r>
            <w:r>
              <w:rPr>
                <w:rFonts w:hint="eastAsia"/>
                <w:color w:val="000000"/>
                <w:lang w:eastAsia="zh-CN"/>
              </w:rPr>
              <w:t>—</w:t>
            </w:r>
            <w:r>
              <w:rPr>
                <w:rFonts w:hint="eastAsia"/>
                <w:color w:val="000000"/>
                <w:lang w:val="en-US" w:eastAsia="zh-CN"/>
              </w:rPr>
              <w:t>3</w:t>
            </w:r>
            <w:r>
              <w:rPr>
                <w:rFonts w:hint="eastAsia"/>
                <w:color w:val="000000"/>
              </w:rPr>
              <w:t>月</w:t>
            </w:r>
            <w:r>
              <w:rPr>
                <w:rFonts w:hint="eastAsia"/>
                <w:color w:val="000000"/>
                <w:lang w:val="en-US" w:eastAsia="zh-CN"/>
              </w:rPr>
              <w:t>23</w:t>
            </w:r>
            <w:r>
              <w:rPr>
                <w:rFonts w:hint="eastAsia"/>
                <w:color w:val="000000"/>
              </w:rPr>
              <w:t>日</w:t>
            </w:r>
            <w:r>
              <w:rPr>
                <w:color w:val="000000"/>
                <w:lang w:val="de-DE"/>
              </w:rPr>
              <w:t>。</w:t>
            </w:r>
          </w:p>
          <w:p>
            <w:pPr>
              <w:adjustRightInd w:val="0"/>
              <w:snapToGrid w:val="0"/>
              <w:ind w:firstLine="480" w:firstLineChars="200"/>
              <w:rPr>
                <w:color w:val="000000"/>
              </w:rPr>
            </w:pPr>
            <w:bookmarkStart w:id="4" w:name="_Toc28617"/>
            <w:r>
              <w:rPr>
                <w:color w:val="000000"/>
              </w:rPr>
              <w:t>（4）评价标准</w:t>
            </w:r>
            <w:bookmarkEnd w:id="4"/>
          </w:p>
          <w:p>
            <w:pPr>
              <w:adjustRightInd w:val="0"/>
              <w:snapToGrid w:val="0"/>
              <w:ind w:firstLine="480" w:firstLineChars="200"/>
              <w:rPr>
                <w:color w:val="000000"/>
              </w:rPr>
            </w:pPr>
            <w:r>
              <w:rPr>
                <w:rFonts w:hint="eastAsia"/>
                <w:color w:val="000000"/>
              </w:rPr>
              <w:t>TSP</w:t>
            </w:r>
            <w:r>
              <w:rPr>
                <w:color w:val="000000"/>
              </w:rPr>
              <w:t>执行《环境空气质量标准》（GB3095-2012）</w:t>
            </w:r>
            <w:r>
              <w:rPr>
                <w:rFonts w:hint="eastAsia"/>
                <w:lang w:val="en-US" w:eastAsia="zh-CN"/>
              </w:rPr>
              <w:t>及其修改单的二级标准</w:t>
            </w:r>
            <w:r>
              <w:rPr>
                <w:color w:val="000000"/>
              </w:rPr>
              <w:t>。</w:t>
            </w:r>
          </w:p>
          <w:p>
            <w:pPr>
              <w:adjustRightInd w:val="0"/>
              <w:snapToGrid w:val="0"/>
              <w:spacing w:line="360" w:lineRule="auto"/>
              <w:ind w:firstLine="480" w:firstLineChars="200"/>
              <w:rPr>
                <w:rFonts w:eastAsia="宋体"/>
                <w:color w:val="000000"/>
                <w:sz w:val="24"/>
              </w:rPr>
            </w:pPr>
            <w:bookmarkStart w:id="5" w:name="_Toc12004"/>
            <w:r>
              <w:rPr>
                <w:color w:val="000000"/>
              </w:rPr>
              <w:t>（5）</w:t>
            </w:r>
            <w:bookmarkEnd w:id="5"/>
            <w:r>
              <w:rPr>
                <w:rFonts w:eastAsia="宋体"/>
                <w:color w:val="000000"/>
                <w:sz w:val="24"/>
              </w:rPr>
              <w:t>评价方法</w:t>
            </w:r>
          </w:p>
          <w:p>
            <w:pPr>
              <w:adjustRightInd w:val="0"/>
              <w:snapToGrid w:val="0"/>
              <w:spacing w:line="360" w:lineRule="auto"/>
              <w:ind w:firstLine="480" w:firstLineChars="200"/>
              <w:jc w:val="center"/>
              <w:rPr>
                <w:rFonts w:eastAsia="宋体"/>
                <w:color w:val="000000"/>
                <w:sz w:val="24"/>
              </w:rPr>
            </w:pPr>
            <w:r>
              <w:rPr>
                <w:rFonts w:eastAsia="宋体"/>
                <w:color w:val="000000"/>
                <w:position w:val="-30"/>
                <w:sz w:val="24"/>
              </w:rPr>
              <w:object>
                <v:shape id="_x0000_i1025" o:spt="75" type="#_x0000_t75" style="height:34pt;width:78pt;" o:ole="t" filled="f" o:preferrelative="t" stroked="f" coordsize="21600,21600">
                  <v:path/>
                  <v:fill on="f" focussize="0,0"/>
                  <v:stroke on="f" joinstyle="miter"/>
                  <v:imagedata r:id="rId13" o:title=""/>
                  <o:lock v:ext="edit" aspectratio="t"/>
                  <w10:wrap type="none"/>
                  <w10:anchorlock/>
                </v:shape>
                <o:OLEObject Type="Embed" ProgID="Equation.KSEE3" ShapeID="_x0000_i1025" DrawAspect="Content" ObjectID="_1468075725" r:id="rId12">
                  <o:LockedField>false</o:LockedField>
                </o:OLEObject>
              </w:object>
            </w:r>
          </w:p>
          <w:p>
            <w:pPr>
              <w:adjustRightInd w:val="0"/>
              <w:snapToGrid w:val="0"/>
              <w:spacing w:line="360" w:lineRule="auto"/>
              <w:ind w:firstLine="480" w:firstLineChars="200"/>
              <w:rPr>
                <w:rFonts w:eastAsia="宋体"/>
                <w:color w:val="000000"/>
                <w:sz w:val="24"/>
              </w:rPr>
            </w:pPr>
            <w:r>
              <w:rPr>
                <w:rFonts w:eastAsia="宋体"/>
                <w:color w:val="000000"/>
                <w:sz w:val="24"/>
              </w:rPr>
              <w:t>式中</w:t>
            </w:r>
            <w:r>
              <w:rPr>
                <w:rFonts w:hint="eastAsia"/>
                <w:color w:val="000000"/>
                <w:sz w:val="24"/>
                <w:lang w:eastAsia="zh-CN"/>
              </w:rPr>
              <w:t>：</w:t>
            </w:r>
            <w:r>
              <w:rPr>
                <w:rFonts w:eastAsia="宋体"/>
                <w:color w:val="000000"/>
                <w:sz w:val="24"/>
              </w:rPr>
              <w:t>Pi</w:t>
            </w:r>
            <w:r>
              <w:rPr>
                <w:rFonts w:hint="eastAsia" w:eastAsia="宋体"/>
                <w:color w:val="000000"/>
                <w:sz w:val="24"/>
              </w:rPr>
              <w:t>—</w:t>
            </w:r>
            <w:r>
              <w:rPr>
                <w:rFonts w:eastAsia="宋体"/>
                <w:color w:val="000000"/>
                <w:sz w:val="24"/>
              </w:rPr>
              <w:t>第i个污染物的最大地面空气质量浓度占标率，%;</w:t>
            </w:r>
          </w:p>
          <w:p>
            <w:pPr>
              <w:adjustRightInd w:val="0"/>
              <w:snapToGrid w:val="0"/>
              <w:spacing w:line="360" w:lineRule="auto"/>
              <w:ind w:firstLine="480" w:firstLineChars="200"/>
              <w:rPr>
                <w:rFonts w:eastAsia="宋体"/>
                <w:color w:val="000000"/>
                <w:sz w:val="24"/>
              </w:rPr>
            </w:pPr>
            <w:r>
              <w:rPr>
                <w:rFonts w:eastAsia="宋体"/>
                <w:color w:val="000000"/>
                <w:position w:val="-10"/>
                <w:sz w:val="24"/>
              </w:rPr>
              <w:object>
                <v:shape id="_x0000_i1026" o:spt="75" type="#_x0000_t75" style="height:17pt;width:13pt;" o:ole="t" filled="f" o:preferrelative="t" stroked="f" coordsize="21600,21600">
                  <v:path/>
                  <v:fill on="f" focussize="0,0"/>
                  <v:stroke on="f" joinstyle="miter"/>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eastAsia="宋体"/>
                <w:color w:val="000000"/>
                <w:sz w:val="24"/>
              </w:rPr>
              <w:t>—</w:t>
            </w:r>
            <w:r>
              <w:rPr>
                <w:rFonts w:eastAsia="宋体"/>
                <w:color w:val="000000"/>
                <w:sz w:val="24"/>
              </w:rPr>
              <w:t>采用估算模型计算出的第i个污染物的最大1h地面空气质量浓度，</w:t>
            </w:r>
            <w:r>
              <w:rPr>
                <w:rFonts w:hint="eastAsia"/>
                <w:color w:val="000000"/>
                <w:sz w:val="24"/>
                <w:vertAlign w:val="superscript"/>
                <w:lang w:eastAsia="zh-CN"/>
              </w:rPr>
              <w:t>μg/m3</w:t>
            </w:r>
            <w:r>
              <w:rPr>
                <w:rFonts w:hint="eastAsia" w:eastAsia="宋体"/>
                <w:color w:val="000000"/>
                <w:sz w:val="24"/>
              </w:rPr>
              <w:t>；</w:t>
            </w:r>
          </w:p>
          <w:p>
            <w:pPr>
              <w:adjustRightInd w:val="0"/>
              <w:snapToGrid w:val="0"/>
              <w:spacing w:line="360" w:lineRule="auto"/>
              <w:ind w:firstLine="480" w:firstLineChars="200"/>
              <w:rPr>
                <w:rFonts w:eastAsia="宋体"/>
                <w:color w:val="000000"/>
                <w:sz w:val="24"/>
              </w:rPr>
            </w:pPr>
            <w:r>
              <w:rPr>
                <w:rFonts w:eastAsia="宋体"/>
                <w:color w:val="000000"/>
                <w:position w:val="-12"/>
                <w:sz w:val="24"/>
              </w:rPr>
              <w:object>
                <v:shape id="_x0000_i1027" o:spt="75" type="#_x0000_t75" style="height:18pt;width:17pt;" o:ole="t" filled="f" o:preferrelative="t" stroked="f" coordsize="21600,21600">
                  <v:path/>
                  <v:fill on="f" focussize="0,0"/>
                  <v:stroke on="f" joinstyle="miter"/>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eastAsia="宋体"/>
                <w:color w:val="000000"/>
                <w:sz w:val="24"/>
              </w:rPr>
              <w:t>—</w:t>
            </w:r>
            <w:r>
              <w:rPr>
                <w:rFonts w:eastAsia="宋体"/>
                <w:color w:val="000000"/>
                <w:sz w:val="24"/>
              </w:rPr>
              <w:t>第i个污染物的环境空气质量浓度标准，</w:t>
            </w:r>
            <w:r>
              <w:rPr>
                <w:rFonts w:hint="eastAsia"/>
                <w:color w:val="000000"/>
                <w:sz w:val="24"/>
                <w:lang w:eastAsia="zh-CN"/>
              </w:rPr>
              <w:t>μg/m</w:t>
            </w:r>
            <w:r>
              <w:rPr>
                <w:rFonts w:hint="eastAsia"/>
                <w:color w:val="000000"/>
                <w:sz w:val="24"/>
                <w:vertAlign w:val="superscript"/>
                <w:lang w:eastAsia="zh-CN"/>
              </w:rPr>
              <w:t>3</w:t>
            </w:r>
            <w:r>
              <w:rPr>
                <w:rFonts w:eastAsia="宋体"/>
                <w:color w:val="000000"/>
                <w:sz w:val="24"/>
              </w:rPr>
              <w:t>。</w:t>
            </w:r>
          </w:p>
          <w:p>
            <w:pPr>
              <w:adjustRightInd w:val="0"/>
              <w:snapToGrid w:val="0"/>
              <w:ind w:firstLine="480" w:firstLineChars="200"/>
              <w:rPr>
                <w:color w:val="000000"/>
              </w:rPr>
            </w:pPr>
            <w:r>
              <w:rPr>
                <w:color w:val="000000"/>
              </w:rPr>
              <w:t>（6）评价结果及结论</w:t>
            </w:r>
          </w:p>
          <w:p>
            <w:pPr>
              <w:pStyle w:val="76"/>
              <w:spacing w:after="0" w:line="240" w:lineRule="auto"/>
              <w:ind w:firstLine="398" w:firstLineChars="200"/>
              <w:jc w:val="both"/>
              <w:rPr>
                <w:rFonts w:ascii="Times New Roman" w:hAnsi="Times New Roman" w:eastAsia="宋体"/>
                <w:b/>
                <w:bCs/>
                <w:color w:val="000000"/>
                <w:spacing w:val="-6"/>
                <w:sz w:val="21"/>
              </w:rPr>
            </w:pPr>
            <w:r>
              <w:rPr>
                <w:rFonts w:ascii="Times New Roman" w:hAnsi="Times New Roman" w:eastAsia="宋体"/>
                <w:b/>
                <w:bCs/>
                <w:color w:val="000000"/>
                <w:spacing w:val="-6"/>
                <w:sz w:val="21"/>
              </w:rPr>
              <w:t>表</w:t>
            </w:r>
            <w:r>
              <w:rPr>
                <w:rFonts w:hint="eastAsia" w:ascii="Times New Roman" w:hAnsi="Times New Roman" w:eastAsia="宋体"/>
                <w:b/>
                <w:bCs/>
                <w:color w:val="000000"/>
                <w:spacing w:val="-6"/>
                <w:sz w:val="21"/>
                <w:lang w:val="en-US" w:eastAsia="zh-CN"/>
              </w:rPr>
              <w:t>3-2</w:t>
            </w:r>
            <w:r>
              <w:rPr>
                <w:rFonts w:ascii="Times New Roman" w:hAnsi="Times New Roman" w:eastAsia="宋体"/>
                <w:b/>
                <w:bCs/>
                <w:color w:val="000000"/>
                <w:spacing w:val="-6"/>
                <w:sz w:val="21"/>
              </w:rPr>
              <w:t xml:space="preserve">    </w:t>
            </w:r>
            <w:r>
              <w:rPr>
                <w:rFonts w:hint="eastAsia" w:ascii="Times New Roman" w:hAnsi="Times New Roman" w:eastAsia="宋体"/>
                <w:b/>
                <w:bCs/>
                <w:color w:val="000000"/>
                <w:spacing w:val="-6"/>
                <w:sz w:val="21"/>
              </w:rPr>
              <w:t xml:space="preserve">  </w:t>
            </w:r>
            <w:r>
              <w:rPr>
                <w:rFonts w:ascii="Times New Roman" w:hAnsi="Times New Roman" w:eastAsia="宋体"/>
                <w:b/>
                <w:bCs/>
                <w:color w:val="000000"/>
                <w:spacing w:val="-6"/>
                <w:sz w:val="21"/>
              </w:rPr>
              <w:t xml:space="preserve">       </w:t>
            </w:r>
            <w:r>
              <w:rPr>
                <w:rFonts w:hint="eastAsia" w:ascii="Times New Roman" w:hAnsi="Times New Roman" w:eastAsia="宋体"/>
                <w:b/>
                <w:bCs/>
                <w:color w:val="000000"/>
                <w:spacing w:val="-6"/>
                <w:sz w:val="21"/>
              </w:rPr>
              <w:t xml:space="preserve"> </w:t>
            </w:r>
            <w:r>
              <w:rPr>
                <w:rFonts w:ascii="Times New Roman" w:hAnsi="Times New Roman" w:eastAsia="宋体"/>
                <w:b/>
                <w:bCs/>
                <w:color w:val="000000"/>
                <w:spacing w:val="-6"/>
                <w:sz w:val="21"/>
              </w:rPr>
              <w:t xml:space="preserve">  项目区环境空气质量评价结果统计表</w:t>
            </w:r>
          </w:p>
          <w:tbl>
            <w:tblPr>
              <w:tblStyle w:val="41"/>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221"/>
              <w:gridCol w:w="1431"/>
              <w:gridCol w:w="578"/>
              <w:gridCol w:w="431"/>
              <w:gridCol w:w="1195"/>
              <w:gridCol w:w="1231"/>
              <w:gridCol w:w="579"/>
              <w:gridCol w:w="450"/>
              <w:gridCol w:w="4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3" w:hRule="atLeast"/>
              </w:trPr>
              <w:tc>
                <w:tcPr>
                  <w:tcW w:w="4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监测点位</w:t>
                  </w:r>
                </w:p>
              </w:tc>
              <w:tc>
                <w:tcPr>
                  <w:tcW w:w="1408"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监测点坐标</w:t>
                  </w:r>
                </w:p>
              </w:tc>
              <w:tc>
                <w:tcPr>
                  <w:tcW w:w="37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污染物</w:t>
                  </w:r>
                </w:p>
              </w:tc>
              <w:tc>
                <w:tcPr>
                  <w:tcW w:w="3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平均时间</w:t>
                  </w:r>
                </w:p>
              </w:tc>
              <w:tc>
                <w:tcPr>
                  <w:tcW w:w="64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评价标准/（</w:t>
                  </w:r>
                  <w:r>
                    <w:rPr>
                      <w:rFonts w:hint="eastAsia" w:cs="Times New Roman"/>
                      <w:b w:val="0"/>
                      <w:bCs w:val="0"/>
                      <w:snapToGrid w:val="0"/>
                      <w:color w:val="000000"/>
                      <w:spacing w:val="0"/>
                      <w:kern w:val="0"/>
                      <w:position w:val="0"/>
                      <w:sz w:val="21"/>
                      <w:szCs w:val="21"/>
                      <w:highlight w:val="none"/>
                      <w:vertAlign w:val="baseline"/>
                      <w:lang w:val="en-US" w:eastAsia="zh-CN"/>
                    </w:rPr>
                    <w:t>m</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g/m</w:t>
                  </w:r>
                  <w:r>
                    <w:rPr>
                      <w:rFonts w:hint="default" w:ascii="Times New Roman" w:hAnsi="Times New Roman" w:eastAsia="宋体" w:cs="Times New Roman"/>
                      <w:b w:val="0"/>
                      <w:bCs w:val="0"/>
                      <w:snapToGrid w:val="0"/>
                      <w:color w:val="000000"/>
                      <w:spacing w:val="0"/>
                      <w:kern w:val="0"/>
                      <w:position w:val="0"/>
                      <w:sz w:val="21"/>
                      <w:szCs w:val="21"/>
                      <w:highlight w:val="none"/>
                      <w:vertAlign w:val="superscript"/>
                      <w:lang w:val="en-US" w:eastAsia="zh-CN"/>
                    </w:rPr>
                    <w:t>3</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w:t>
                  </w:r>
                </w:p>
              </w:tc>
              <w:tc>
                <w:tcPr>
                  <w:tcW w:w="73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监测浓度范围/（</w:t>
                  </w:r>
                  <w:r>
                    <w:rPr>
                      <w:rFonts w:hint="eastAsia" w:cs="Times New Roman"/>
                      <w:b w:val="0"/>
                      <w:bCs w:val="0"/>
                      <w:snapToGrid w:val="0"/>
                      <w:color w:val="000000"/>
                      <w:spacing w:val="0"/>
                      <w:kern w:val="0"/>
                      <w:position w:val="0"/>
                      <w:sz w:val="21"/>
                      <w:szCs w:val="21"/>
                      <w:highlight w:val="none"/>
                      <w:vertAlign w:val="baseline"/>
                      <w:lang w:val="en-US" w:eastAsia="zh-CN"/>
                    </w:rPr>
                    <w:t>m</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g/m</w:t>
                  </w:r>
                  <w:r>
                    <w:rPr>
                      <w:rFonts w:hint="default" w:ascii="Times New Roman" w:hAnsi="Times New Roman" w:eastAsia="宋体" w:cs="Times New Roman"/>
                      <w:b w:val="0"/>
                      <w:bCs w:val="0"/>
                      <w:snapToGrid w:val="0"/>
                      <w:color w:val="000000"/>
                      <w:spacing w:val="0"/>
                      <w:kern w:val="0"/>
                      <w:position w:val="0"/>
                      <w:sz w:val="21"/>
                      <w:szCs w:val="21"/>
                      <w:highlight w:val="none"/>
                      <w:vertAlign w:val="superscript"/>
                      <w:lang w:val="en-US" w:eastAsia="zh-CN"/>
                    </w:rPr>
                    <w:t>3</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w:t>
                  </w:r>
                </w:p>
              </w:tc>
              <w:tc>
                <w:tcPr>
                  <w:tcW w:w="45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最大浓度占标率</w:t>
                  </w: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w:t>
                  </w:r>
                </w:p>
              </w:tc>
              <w:tc>
                <w:tcPr>
                  <w:tcW w:w="28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超标率/%</w:t>
                  </w:r>
                </w:p>
              </w:tc>
              <w:tc>
                <w:tcPr>
                  <w:tcW w:w="27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c>
                <w:tcPr>
                  <w:tcW w:w="7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X</w:t>
                  </w:r>
                </w:p>
              </w:tc>
              <w:tc>
                <w:tcPr>
                  <w:tcW w:w="69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Y</w:t>
                  </w:r>
                </w:p>
              </w:tc>
              <w:tc>
                <w:tcPr>
                  <w:tcW w:w="37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c>
                <w:tcPr>
                  <w:tcW w:w="3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c>
                <w:tcPr>
                  <w:tcW w:w="64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c>
                <w:tcPr>
                  <w:tcW w:w="73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c>
                <w:tcPr>
                  <w:tcW w:w="45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c>
                <w:tcPr>
                  <w:tcW w:w="28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c>
                <w:tcPr>
                  <w:tcW w:w="27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项目区</w:t>
                  </w:r>
                  <w:r>
                    <w:rPr>
                      <w:rFonts w:hint="eastAsia" w:cs="Times New Roman"/>
                      <w:b w:val="0"/>
                      <w:bCs w:val="0"/>
                      <w:snapToGrid w:val="0"/>
                      <w:color w:val="000000"/>
                      <w:spacing w:val="0"/>
                      <w:kern w:val="0"/>
                      <w:position w:val="0"/>
                      <w:sz w:val="21"/>
                      <w:szCs w:val="21"/>
                      <w:highlight w:val="none"/>
                      <w:vertAlign w:val="baseline"/>
                      <w:lang w:val="en-US" w:eastAsia="zh-CN"/>
                    </w:rPr>
                    <w:t>下风向</w:t>
                  </w:r>
                </w:p>
              </w:tc>
              <w:tc>
                <w:tcPr>
                  <w:tcW w:w="7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88°7′5.415″</w:t>
                  </w:r>
                </w:p>
              </w:tc>
              <w:tc>
                <w:tcPr>
                  <w:tcW w:w="69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38°56′34.879″</w:t>
                  </w:r>
                </w:p>
              </w:tc>
              <w:tc>
                <w:tcPr>
                  <w:tcW w:w="37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TSP</w:t>
                  </w:r>
                </w:p>
              </w:tc>
              <w:tc>
                <w:tcPr>
                  <w:tcW w:w="39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日均</w:t>
                  </w: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值</w:t>
                  </w:r>
                </w:p>
              </w:tc>
              <w:tc>
                <w:tcPr>
                  <w:tcW w:w="64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cs="Times New Roman"/>
                      <w:b w:val="0"/>
                      <w:bCs w:val="0"/>
                      <w:snapToGrid w:val="0"/>
                      <w:color w:val="000000"/>
                      <w:spacing w:val="0"/>
                      <w:kern w:val="0"/>
                      <w:position w:val="0"/>
                      <w:sz w:val="21"/>
                      <w:szCs w:val="21"/>
                      <w:highlight w:val="none"/>
                      <w:vertAlign w:val="baseline"/>
                      <w:lang w:val="en-US" w:eastAsia="zh-CN"/>
                    </w:rPr>
                    <w:t>0.3</w:t>
                  </w:r>
                </w:p>
              </w:tc>
              <w:tc>
                <w:tcPr>
                  <w:tcW w:w="7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cs="Times New Roman"/>
                      <w:b w:val="0"/>
                      <w:bCs w:val="0"/>
                      <w:snapToGrid w:val="0"/>
                      <w:color w:val="000000"/>
                      <w:spacing w:val="0"/>
                      <w:kern w:val="0"/>
                      <w:position w:val="0"/>
                      <w:sz w:val="21"/>
                      <w:szCs w:val="21"/>
                      <w:highlight w:val="none"/>
                      <w:vertAlign w:val="baseline"/>
                      <w:lang w:val="en-US" w:eastAsia="zh-CN"/>
                    </w:rPr>
                    <w:t>0.255-0.267</w:t>
                  </w:r>
                </w:p>
              </w:tc>
              <w:tc>
                <w:tcPr>
                  <w:tcW w:w="45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eastAsia" w:cs="Times New Roman"/>
                      <w:b w:val="0"/>
                      <w:bCs w:val="0"/>
                      <w:snapToGrid w:val="0"/>
                      <w:color w:val="000000"/>
                      <w:spacing w:val="0"/>
                      <w:kern w:val="0"/>
                      <w:position w:val="0"/>
                      <w:sz w:val="21"/>
                      <w:szCs w:val="21"/>
                      <w:highlight w:val="none"/>
                      <w:vertAlign w:val="baseline"/>
                      <w:lang w:val="en-US" w:eastAsia="zh-CN"/>
                    </w:rPr>
                    <w:t>89</w:t>
                  </w:r>
                </w:p>
              </w:tc>
              <w:tc>
                <w:tcPr>
                  <w:tcW w:w="28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0</w:t>
                  </w:r>
                </w:p>
              </w:tc>
              <w:tc>
                <w:tcPr>
                  <w:tcW w:w="27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right="0" w:firstLine="0" w:firstLineChars="0"/>
                    <w:jc w:val="center"/>
                    <w:textAlignment w:val="baseline"/>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pPr>
                  <w:r>
                    <w:rPr>
                      <w:rFonts w:hint="default" w:ascii="Times New Roman" w:hAnsi="Times New Roman" w:eastAsia="宋体" w:cs="Times New Roman"/>
                      <w:b w:val="0"/>
                      <w:bCs w:val="0"/>
                      <w:snapToGrid w:val="0"/>
                      <w:color w:val="000000"/>
                      <w:spacing w:val="0"/>
                      <w:kern w:val="0"/>
                      <w:position w:val="0"/>
                      <w:sz w:val="21"/>
                      <w:szCs w:val="21"/>
                      <w:highlight w:val="none"/>
                      <w:vertAlign w:val="baseline"/>
                      <w:lang w:val="en-US" w:eastAsia="zh-CN"/>
                    </w:rPr>
                    <w:t>达标</w:t>
                  </w:r>
                </w:p>
              </w:tc>
            </w:tr>
          </w:tbl>
          <w:p>
            <w:pPr>
              <w:bidi w:val="0"/>
              <w:rPr>
                <w:rFonts w:hint="eastAsia"/>
              </w:rPr>
            </w:pPr>
            <w:r>
              <w:t>从</w:t>
            </w:r>
            <w:r>
              <w:rPr>
                <w:rFonts w:hint="eastAsia"/>
              </w:rPr>
              <w:t>上</w:t>
            </w:r>
            <w:r>
              <w:t>表分析结果可知，本项目所在区域</w:t>
            </w:r>
            <w:r>
              <w:rPr>
                <w:rFonts w:hint="eastAsia"/>
              </w:rPr>
              <w:t>颗粒物可满足《环境空气质量标准》（GB3095-2012）</w:t>
            </w:r>
            <w:r>
              <w:rPr>
                <w:rFonts w:hint="eastAsia"/>
                <w:lang w:val="en-US" w:eastAsia="zh-CN"/>
              </w:rPr>
              <w:t>及其修改单的二级标准</w:t>
            </w:r>
            <w:r>
              <w:t>。</w:t>
            </w:r>
          </w:p>
          <w:p>
            <w:pPr>
              <w:pStyle w:val="4"/>
              <w:bidi w:val="0"/>
              <w:rPr>
                <w:b/>
                <w:color w:val="000000"/>
                <w:kern w:val="0"/>
              </w:rPr>
            </w:pPr>
            <w:r>
              <w:rPr>
                <w:rFonts w:hint="eastAsia"/>
                <w:b/>
                <w:color w:val="000000"/>
                <w:kern w:val="0"/>
              </w:rPr>
              <w:t>2、地表水环境质量</w:t>
            </w:r>
          </w:p>
          <w:p>
            <w:pPr>
              <w:bidi w:val="0"/>
              <w:rPr>
                <w:rFonts w:hint="default"/>
                <w:lang w:val="en-US" w:eastAsia="zh-CN"/>
              </w:rPr>
            </w:pPr>
            <w:bookmarkStart w:id="6" w:name="_Toc27865"/>
            <w:r>
              <w:rPr>
                <w:rFonts w:hint="default"/>
                <w:lang w:val="en-US" w:eastAsia="zh-CN"/>
              </w:rPr>
              <w:t>根据《2023年</w:t>
            </w:r>
            <w:r>
              <w:rPr>
                <w:rFonts w:hint="eastAsia"/>
                <w:lang w:val="en-US" w:eastAsia="zh-CN"/>
              </w:rPr>
              <w:t>巴州</w:t>
            </w:r>
            <w:r>
              <w:rPr>
                <w:rFonts w:hint="default"/>
                <w:lang w:val="en-US" w:eastAsia="zh-CN"/>
              </w:rPr>
              <w:t>生态环境状况公报》可知：全州地表水监测的31个考核断面（点位）中，Ⅰ~Ⅲ类优良水质断面（点位）占77.42%，Ⅳ类水质断面（点位）占22.58%。6条主要河流19个监测断面中Ⅰ~Ⅲ类优良水质断面占100%，3个重要湖泊（水库）12个监测点位中Ⅰ~Ⅲ类优良水质点位占42%，无劣Ⅴ类水体，湖泊主要水质影响因子为高锰酸盐指数和化学需氧量；水库主要水质影响因子为氟化物。</w:t>
            </w:r>
          </w:p>
          <w:p>
            <w:pPr>
              <w:bidi w:val="0"/>
            </w:pPr>
            <w:r>
              <w:rPr>
                <w:rFonts w:hint="eastAsia"/>
              </w:rPr>
              <w:t>项目区最近地表水体为若羌河，位于项目区东侧5.4km处。根据《巴音郭楞蒙古自治州环境功能区划》若羌河总干渠为Ⅱ类水体</w:t>
            </w:r>
            <w:r>
              <w:rPr>
                <w:rFonts w:hint="eastAsia"/>
                <w:lang w:eastAsia="zh-CN"/>
              </w:rPr>
              <w:t>，</w:t>
            </w:r>
            <w:r>
              <w:t>根据2023</w:t>
            </w:r>
            <w:r>
              <w:rPr>
                <w:rFonts w:hint="eastAsia"/>
                <w:lang w:val="en-US" w:eastAsia="zh-CN"/>
              </w:rPr>
              <w:t>年监测断面水质监测报告结果，各监测断面均能达到相应水质目标，水环境状况良好</w:t>
            </w:r>
            <w:r>
              <w:rPr>
                <w:rFonts w:hint="eastAsia"/>
              </w:rPr>
              <w:t>。</w:t>
            </w:r>
          </w:p>
          <w:p>
            <w:pPr>
              <w:pStyle w:val="4"/>
              <w:bidi w:val="0"/>
            </w:pPr>
            <w:r>
              <w:rPr>
                <w:rFonts w:hint="eastAsia"/>
              </w:rPr>
              <w:t>3、声环境质量现状</w:t>
            </w:r>
            <w:bookmarkEnd w:id="6"/>
          </w:p>
          <w:p>
            <w:pPr>
              <w:adjustRightInd w:val="0"/>
              <w:snapToGrid w:val="0"/>
              <w:ind w:firstLine="480" w:firstLineChars="200"/>
              <w:jc w:val="left"/>
              <w:rPr>
                <w:color w:val="000000"/>
              </w:rPr>
            </w:pPr>
            <w:r>
              <w:rPr>
                <w:rFonts w:hint="eastAsia"/>
                <w:color w:val="000000"/>
              </w:rPr>
              <w:t>本项目运行区域及周边环境50m范围内无声环境敏感保护目标，故不进行声环境质量现状监测</w:t>
            </w:r>
            <w:r>
              <w:rPr>
                <w:color w:val="000000"/>
              </w:rPr>
              <w:t>。</w:t>
            </w:r>
          </w:p>
          <w:p>
            <w:pPr>
              <w:pStyle w:val="4"/>
              <w:bidi w:val="0"/>
              <w:rPr>
                <w:rFonts w:hint="eastAsia"/>
                <w:lang w:val="en-US" w:eastAsia="zh-CN"/>
              </w:rPr>
            </w:pPr>
            <w:r>
              <w:rPr>
                <w:rFonts w:hint="eastAsia"/>
              </w:rPr>
              <w:t>4</w:t>
            </w:r>
            <w:r>
              <w:rPr>
                <w:rFonts w:hint="eastAsia"/>
                <w:lang w:eastAsia="zh-CN"/>
              </w:rPr>
              <w:t>、</w:t>
            </w:r>
            <w:r>
              <w:t>生态环境</w:t>
            </w:r>
            <w:r>
              <w:rPr>
                <w:rFonts w:hint="eastAsia"/>
                <w:lang w:val="en-US" w:eastAsia="zh-CN"/>
              </w:rPr>
              <w:t>现状</w:t>
            </w:r>
          </w:p>
          <w:p>
            <w:pPr>
              <w:bidi w:val="0"/>
            </w:pPr>
            <w:r>
              <w:rPr>
                <w:rFonts w:hint="eastAsia"/>
              </w:rPr>
              <w:t>根据《建设项目环境影响报告表编制技术指南（污染影响类）（试行）》要求，产业园区外建设项目新增用地且用地范围内含有生态环境保护目标时，应进行生态现状调查，根据现场勘探</w:t>
            </w:r>
            <w:r>
              <w:rPr>
                <w:rFonts w:hint="eastAsia"/>
                <w:lang w:eastAsia="zh-CN"/>
              </w:rPr>
              <w:t>，</w:t>
            </w:r>
            <w:r>
              <w:rPr>
                <w:rFonts w:hint="eastAsia"/>
                <w:lang w:val="en-US" w:eastAsia="zh-CN"/>
              </w:rPr>
              <w:t>本项目位于建材产业园，且无生态环境保护目标，可不开展生态现状调查</w:t>
            </w:r>
            <w:r>
              <w:rPr>
                <w:rFonts w:hint="eastAsia"/>
              </w:rPr>
              <w:t>。</w:t>
            </w:r>
          </w:p>
          <w:p>
            <w:pPr>
              <w:pStyle w:val="4"/>
              <w:bidi w:val="0"/>
              <w:rPr>
                <w:rFonts w:hint="eastAsia"/>
                <w:lang w:val="en-US" w:eastAsia="zh-CN"/>
              </w:rPr>
            </w:pPr>
            <w:r>
              <w:t>5</w:t>
            </w:r>
            <w:r>
              <w:rPr>
                <w:rFonts w:hint="eastAsia"/>
                <w:lang w:eastAsia="zh-CN"/>
              </w:rPr>
              <w:t>、</w:t>
            </w:r>
            <w:r>
              <w:t>地下水</w:t>
            </w:r>
            <w:r>
              <w:rPr>
                <w:rFonts w:hint="eastAsia"/>
                <w:lang w:eastAsia="zh-CN"/>
              </w:rPr>
              <w:t>、</w:t>
            </w:r>
            <w:r>
              <w:rPr>
                <w:rFonts w:hint="eastAsia"/>
                <w:lang w:val="en-US" w:eastAsia="zh-CN"/>
              </w:rPr>
              <w:t>土壤</w:t>
            </w:r>
            <w:r>
              <w:t>环境</w:t>
            </w:r>
            <w:r>
              <w:rPr>
                <w:rFonts w:hint="eastAsia"/>
                <w:lang w:val="en-US" w:eastAsia="zh-CN"/>
              </w:rPr>
              <w:t>现状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color w:val="000000"/>
                <w:lang w:val="en-US" w:eastAsia="zh-CN"/>
              </w:rPr>
            </w:pPr>
            <w:r>
              <w:rPr>
                <w:rFonts w:hint="eastAsia"/>
                <w:color w:val="000000"/>
                <w:lang w:val="en-US" w:eastAsia="zh-CN"/>
              </w:rPr>
              <w:t>本项目不存在土壤、地下水污染途径，且评价范围内无地下水、土壤环境保护目标，根据《建设项目环境影响报告表编制技术指南（污染影响类）（试行）》，本项目不需要进行地下水、土壤环境现状调查。</w:t>
            </w:r>
          </w:p>
          <w:p>
            <w:pPr>
              <w:pStyle w:val="4"/>
              <w:bidi w:val="0"/>
              <w:rPr>
                <w:rFonts w:hint="eastAsia"/>
                <w:lang w:val="en-US" w:eastAsia="zh-CN"/>
              </w:rPr>
            </w:pPr>
            <w:r>
              <w:rPr>
                <w:rFonts w:hint="eastAsia"/>
                <w:color w:val="000000"/>
                <w:lang w:val="en-US" w:eastAsia="zh-CN"/>
              </w:rPr>
              <w:t>6、</w:t>
            </w:r>
            <w:r>
              <w:rPr>
                <w:rFonts w:hint="eastAsia"/>
                <w:lang w:val="en-US" w:eastAsia="zh-CN"/>
              </w:rPr>
              <w:t>电磁辐射</w:t>
            </w:r>
          </w:p>
          <w:p>
            <w:pPr>
              <w:bidi w:val="0"/>
              <w:rPr>
                <w:rFonts w:hint="eastAsia"/>
                <w:lang w:val="en-US" w:eastAsia="zh-CN"/>
              </w:rPr>
            </w:pPr>
            <w:r>
              <w:rPr>
                <w:rFonts w:hint="eastAsia"/>
                <w:lang w:val="en-US" w:eastAsia="zh-CN"/>
              </w:rPr>
              <w:t>本项目为</w:t>
            </w:r>
            <w:r>
              <w:rPr>
                <w:rFonts w:hint="eastAsia"/>
                <w:szCs w:val="21"/>
                <w:lang w:val="en-US" w:eastAsia="zh-CN"/>
              </w:rPr>
              <w:t>水泥制品制造</w:t>
            </w:r>
            <w:r>
              <w:rPr>
                <w:rFonts w:hint="eastAsia" w:ascii="宋体" w:hAnsi="宋体" w:cs="宋体"/>
                <w:color w:val="000000" w:themeColor="text1"/>
                <w:spacing w:val="6"/>
                <w:sz w:val="24"/>
                <w:szCs w:val="24"/>
                <w:highlight w:val="none"/>
                <w:lang w:val="en-US" w:eastAsia="zh-CN"/>
                <w14:textFill>
                  <w14:solidFill>
                    <w14:schemeClr w14:val="tx1"/>
                  </w14:solidFill>
                </w14:textFill>
              </w:rPr>
              <w:t>项目</w:t>
            </w:r>
            <w:r>
              <w:rPr>
                <w:rFonts w:hint="eastAsia"/>
                <w:lang w:val="en-US" w:eastAsia="zh-CN"/>
              </w:rPr>
              <w:t>，不涉及电磁辐射，故不进行电磁辐射的现状分析。</w:t>
            </w:r>
          </w:p>
          <w:p>
            <w:pPr>
              <w:pStyle w:val="4"/>
              <w:suppressLineNumbers w:val="0"/>
              <w:bidi w:val="0"/>
              <w:spacing w:before="0" w:beforeAutospacing="0" w:after="0" w:afterAutospacing="0"/>
              <w:ind w:left="0" w:right="0"/>
              <w:rPr>
                <w:rFonts w:hint="eastAsia"/>
                <w:lang w:val="en-US" w:eastAsia="zh-CN"/>
              </w:rPr>
            </w:pPr>
            <w:r>
              <w:rPr>
                <w:rFonts w:hint="eastAsia"/>
                <w:lang w:val="en-US" w:eastAsia="zh-CN"/>
              </w:rPr>
              <w:t>7、土地沙化现状</w:t>
            </w:r>
          </w:p>
          <w:p>
            <w:pPr>
              <w:bidi w:val="0"/>
              <w:rPr>
                <w:rFonts w:hint="default"/>
                <w:lang w:val="en-US" w:eastAsia="zh-CN"/>
              </w:rPr>
            </w:pPr>
            <w:r>
              <w:rPr>
                <w:rFonts w:hint="eastAsia"/>
                <w:lang w:val="en-US" w:eastAsia="zh-CN"/>
              </w:rPr>
              <w:t>根据《新疆第六次沙化监测报告》本项目位于若羌县西南侧8.9km处，不属于沙化土地。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8" w:type="pct"/>
            <w:noWrap w:val="0"/>
            <w:vAlign w:val="center"/>
          </w:tcPr>
          <w:p>
            <w:pPr>
              <w:pStyle w:val="5"/>
              <w:bidi w:val="0"/>
            </w:pPr>
            <w:r>
              <w:t>环境</w:t>
            </w:r>
          </w:p>
          <w:p>
            <w:pPr>
              <w:pStyle w:val="5"/>
              <w:bidi w:val="0"/>
            </w:pPr>
            <w:r>
              <w:t>保护</w:t>
            </w:r>
          </w:p>
          <w:p>
            <w:pPr>
              <w:pStyle w:val="5"/>
              <w:bidi w:val="0"/>
            </w:pPr>
            <w:r>
              <w:t>目标</w:t>
            </w:r>
          </w:p>
        </w:tc>
        <w:tc>
          <w:tcPr>
            <w:tcW w:w="4571" w:type="pct"/>
            <w:noWrap w:val="0"/>
            <w:vAlign w:val="center"/>
          </w:tcPr>
          <w:p>
            <w:pPr>
              <w:ind w:firstLine="480" w:firstLineChars="200"/>
              <w:rPr>
                <w:color w:val="000000"/>
              </w:rPr>
            </w:pPr>
            <w:r>
              <w:rPr>
                <w:rFonts w:hint="eastAsia"/>
                <w:color w:val="000000"/>
                <w:lang w:val="en-US" w:eastAsia="zh-CN"/>
              </w:rPr>
              <w:t>新疆巴州若羌县火车站西侧3.3km处，</w:t>
            </w:r>
            <w:r>
              <w:rPr>
                <w:color w:val="000000"/>
              </w:rPr>
              <w:t>厂界外500m范围内无大气环境保护目标，厂界外50m范围内无声环境保护目标，厂界外500m范围内无地下水集中式饮用水水源和特殊地下水资源</w:t>
            </w:r>
            <w:r>
              <w:rPr>
                <w:rFonts w:hint="eastAsia"/>
                <w:color w:val="000000"/>
                <w:lang w:eastAsia="zh-CN"/>
              </w:rPr>
              <w:t>，</w:t>
            </w:r>
            <w:r>
              <w:rPr>
                <w:rFonts w:hint="eastAsia"/>
                <w:color w:val="000000"/>
                <w:lang w:val="en-US" w:eastAsia="zh-CN"/>
              </w:rPr>
              <w:t>厂区占地范围内无生态环境保护目标</w:t>
            </w:r>
            <w:r>
              <w:rPr>
                <w:rFonts w:hint="eastAsia"/>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8" w:type="pct"/>
            <w:noWrap w:val="0"/>
            <w:tcMar>
              <w:left w:w="28" w:type="dxa"/>
              <w:right w:w="28" w:type="dxa"/>
            </w:tcMar>
            <w:vAlign w:val="center"/>
          </w:tcPr>
          <w:p>
            <w:pPr>
              <w:pStyle w:val="5"/>
              <w:bidi w:val="0"/>
            </w:pPr>
            <w:r>
              <w:t>污染</w:t>
            </w:r>
          </w:p>
          <w:p>
            <w:pPr>
              <w:pStyle w:val="5"/>
              <w:bidi w:val="0"/>
            </w:pPr>
            <w:r>
              <w:t>物排</w:t>
            </w:r>
          </w:p>
          <w:p>
            <w:pPr>
              <w:pStyle w:val="5"/>
              <w:bidi w:val="0"/>
            </w:pPr>
            <w:r>
              <w:t>放控</w:t>
            </w:r>
          </w:p>
          <w:p>
            <w:pPr>
              <w:pStyle w:val="5"/>
              <w:bidi w:val="0"/>
            </w:pPr>
            <w:r>
              <w:t>制标</w:t>
            </w:r>
          </w:p>
          <w:p>
            <w:pPr>
              <w:pStyle w:val="13"/>
              <w:bidi w:val="0"/>
              <w:rPr>
                <w:b/>
                <w:bCs/>
                <w:color w:val="000000"/>
                <w:kern w:val="0"/>
                <w:szCs w:val="21"/>
              </w:rPr>
            </w:pPr>
            <w:r>
              <w:t>准</w:t>
            </w:r>
          </w:p>
        </w:tc>
        <w:tc>
          <w:tcPr>
            <w:tcW w:w="4571" w:type="pct"/>
            <w:noWrap w:val="0"/>
            <w:vAlign w:val="center"/>
          </w:tcPr>
          <w:p>
            <w:pPr>
              <w:pStyle w:val="4"/>
              <w:bidi w:val="0"/>
            </w:pPr>
            <w:bookmarkStart w:id="7" w:name="_Toc13030"/>
            <w:bookmarkStart w:id="8" w:name="_Toc29182"/>
            <w:r>
              <w:t>1</w:t>
            </w:r>
            <w:bookmarkEnd w:id="7"/>
            <w:bookmarkEnd w:id="8"/>
            <w:r>
              <w:t>、施工期</w:t>
            </w:r>
          </w:p>
          <w:p>
            <w:pPr>
              <w:pStyle w:val="4"/>
              <w:bidi w:val="0"/>
            </w:pPr>
            <w:r>
              <w:t>1.1噪声</w:t>
            </w:r>
          </w:p>
          <w:p>
            <w:pPr>
              <w:bidi w:val="0"/>
            </w:pPr>
            <w:r>
              <w:t>施工期噪声执行《建筑施工场界环境噪声排放标准》（GB12523-2011）表1中标准，见表</w:t>
            </w:r>
            <w:r>
              <w:rPr>
                <w:rFonts w:hint="eastAsia"/>
                <w:lang w:val="en-US" w:eastAsia="zh-CN"/>
              </w:rPr>
              <w:t>3-3</w:t>
            </w:r>
            <w:r>
              <w:t>。</w:t>
            </w:r>
          </w:p>
          <w:p>
            <w:pPr>
              <w:pStyle w:val="10"/>
              <w:bidi w:val="0"/>
              <w:rPr>
                <w:color w:val="000000"/>
                <w:sz w:val="21"/>
                <w:szCs w:val="21"/>
              </w:rPr>
            </w:pPr>
            <w:r>
              <w:rPr>
                <w:color w:val="000000"/>
                <w:sz w:val="21"/>
                <w:szCs w:val="21"/>
              </w:rPr>
              <w:t>表</w:t>
            </w:r>
            <w:r>
              <w:rPr>
                <w:rFonts w:hint="eastAsia"/>
                <w:color w:val="000000"/>
                <w:sz w:val="21"/>
                <w:szCs w:val="21"/>
                <w:lang w:val="en-US" w:eastAsia="zh-CN"/>
              </w:rPr>
              <w:t>3-3</w:t>
            </w:r>
            <w:r>
              <w:rPr>
                <w:color w:val="000000"/>
                <w:sz w:val="21"/>
                <w:szCs w:val="21"/>
              </w:rPr>
              <w:t xml:space="preserve">         </w:t>
            </w:r>
            <w:r>
              <w:rPr>
                <w:color w:val="000000"/>
                <w:sz w:val="21"/>
                <w:szCs w:val="21"/>
              </w:rPr>
              <w:tab/>
            </w:r>
            <w:r>
              <w:rPr>
                <w:color w:val="000000"/>
                <w:sz w:val="21"/>
                <w:szCs w:val="21"/>
              </w:rPr>
              <w:t xml:space="preserve">   建筑施工场界环境噪声排放限值            单位： dB（A）</w:t>
            </w:r>
          </w:p>
          <w:tbl>
            <w:tblPr>
              <w:tblStyle w:val="40"/>
              <w:tblW w:w="4963" w:type="pct"/>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4098"/>
              <w:gridCol w:w="390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c>
                <w:tcPr>
                  <w:tcW w:w="2561" w:type="pct"/>
                  <w:noWrap w:val="0"/>
                  <w:vAlign w:val="center"/>
                </w:tcPr>
                <w:p>
                  <w:pPr>
                    <w:pStyle w:val="6"/>
                    <w:bidi w:val="0"/>
                  </w:pPr>
                  <w:r>
                    <w:t>昼间</w:t>
                  </w:r>
                </w:p>
              </w:tc>
              <w:tc>
                <w:tcPr>
                  <w:tcW w:w="2438" w:type="pct"/>
                  <w:noWrap w:val="0"/>
                  <w:vAlign w:val="center"/>
                </w:tcPr>
                <w:p>
                  <w:pPr>
                    <w:pStyle w:val="6"/>
                    <w:bidi w:val="0"/>
                  </w:pPr>
                  <w:r>
                    <w:t>夜间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c>
                <w:tcPr>
                  <w:tcW w:w="2561" w:type="pct"/>
                  <w:noWrap w:val="0"/>
                  <w:vAlign w:val="center"/>
                </w:tcPr>
                <w:p>
                  <w:pPr>
                    <w:pStyle w:val="6"/>
                    <w:bidi w:val="0"/>
                  </w:pPr>
                  <w:r>
                    <w:t>70</w:t>
                  </w:r>
                </w:p>
              </w:tc>
              <w:tc>
                <w:tcPr>
                  <w:tcW w:w="2438" w:type="pct"/>
                  <w:noWrap w:val="0"/>
                  <w:vAlign w:val="center"/>
                </w:tcPr>
                <w:p>
                  <w:pPr>
                    <w:pStyle w:val="6"/>
                    <w:bidi w:val="0"/>
                  </w:pPr>
                  <w:r>
                    <w:t>55</w:t>
                  </w:r>
                </w:p>
              </w:tc>
            </w:tr>
          </w:tbl>
          <w:p>
            <w:pPr>
              <w:pStyle w:val="4"/>
              <w:bidi w:val="0"/>
            </w:pPr>
            <w:r>
              <w:t>1.2大气</w:t>
            </w:r>
          </w:p>
          <w:p>
            <w:pPr>
              <w:bidi w:val="0"/>
            </w:pPr>
            <w:r>
              <w:t>本项目施工颗粒物执行《大气污染物综合排放标准》（GB16297-1996）表2中无组织排放监控浓度限值要求，具体见</w:t>
            </w:r>
            <w:bookmarkStart w:id="9" w:name="_Ref379546700"/>
            <w:r>
              <w:t>表</w:t>
            </w:r>
            <w:bookmarkStart w:id="10" w:name="_Ref396828303"/>
            <w:r>
              <w:rPr>
                <w:rFonts w:hint="eastAsia"/>
                <w:lang w:val="en-US" w:eastAsia="zh-CN"/>
              </w:rPr>
              <w:t>3-4</w:t>
            </w:r>
            <w:r>
              <w:t>。</w:t>
            </w:r>
          </w:p>
          <w:p>
            <w:pPr>
              <w:pStyle w:val="10"/>
              <w:bidi w:val="0"/>
            </w:pPr>
            <w:r>
              <w:t>表</w:t>
            </w:r>
            <w:bookmarkEnd w:id="9"/>
            <w:bookmarkEnd w:id="10"/>
            <w:r>
              <w:rPr>
                <w:rFonts w:hint="eastAsia"/>
                <w:lang w:val="en-US" w:eastAsia="zh-CN"/>
              </w:rPr>
              <w:t>3-4</w:t>
            </w:r>
            <w:r>
              <w:t xml:space="preserve">                  大气污染物排放标准</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62"/>
              <w:gridCol w:w="3398"/>
              <w:gridCol w:w="379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62" w:type="dxa"/>
                  <w:vMerge w:val="restart"/>
                  <w:noWrap w:val="0"/>
                  <w:vAlign w:val="center"/>
                </w:tcPr>
                <w:p>
                  <w:pPr>
                    <w:pStyle w:val="6"/>
                    <w:bidi w:val="0"/>
                  </w:pPr>
                  <w:r>
                    <w:t>污染物</w:t>
                  </w:r>
                </w:p>
              </w:tc>
              <w:tc>
                <w:tcPr>
                  <w:tcW w:w="3398" w:type="dxa"/>
                  <w:noWrap w:val="0"/>
                  <w:vAlign w:val="center"/>
                </w:tcPr>
                <w:p>
                  <w:pPr>
                    <w:pStyle w:val="6"/>
                    <w:bidi w:val="0"/>
                  </w:pPr>
                  <w:r>
                    <w:t>标准限值</w:t>
                  </w:r>
                </w:p>
              </w:tc>
              <w:tc>
                <w:tcPr>
                  <w:tcW w:w="3799" w:type="dxa"/>
                  <w:vMerge w:val="restart"/>
                  <w:noWrap w:val="0"/>
                  <w:vAlign w:val="center"/>
                </w:tcPr>
                <w:p>
                  <w:pPr>
                    <w:pStyle w:val="6"/>
                    <w:bidi w:val="0"/>
                  </w:pPr>
                  <w:r>
                    <w:t>执行标准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62" w:type="dxa"/>
                  <w:vMerge w:val="continue"/>
                  <w:noWrap w:val="0"/>
                  <w:vAlign w:val="center"/>
                </w:tcPr>
                <w:p>
                  <w:pPr>
                    <w:pStyle w:val="6"/>
                    <w:bidi w:val="0"/>
                  </w:pPr>
                </w:p>
              </w:tc>
              <w:tc>
                <w:tcPr>
                  <w:tcW w:w="3398" w:type="dxa"/>
                  <w:noWrap w:val="0"/>
                  <w:vAlign w:val="center"/>
                </w:tcPr>
                <w:p>
                  <w:pPr>
                    <w:pStyle w:val="6"/>
                    <w:bidi w:val="0"/>
                  </w:pPr>
                  <w:r>
                    <w:t>无组织排放监控浓度限值</w:t>
                  </w:r>
                  <w:r>
                    <w:rPr>
                      <w:rFonts w:hint="eastAsia"/>
                      <w:lang w:eastAsia="zh-CN"/>
                    </w:rPr>
                    <w:t>（</w:t>
                  </w:r>
                  <w:r>
                    <w:t>mg/m</w:t>
                  </w:r>
                  <w:r>
                    <w:rPr>
                      <w:vertAlign w:val="superscript"/>
                    </w:rPr>
                    <w:t>3</w:t>
                  </w:r>
                  <w:r>
                    <w:rPr>
                      <w:rFonts w:hint="eastAsia"/>
                      <w:vertAlign w:val="baseline"/>
                      <w:lang w:eastAsia="zh-CN"/>
                    </w:rPr>
                    <w:t>）</w:t>
                  </w:r>
                </w:p>
              </w:tc>
              <w:tc>
                <w:tcPr>
                  <w:tcW w:w="3799" w:type="dxa"/>
                  <w:vMerge w:val="continue"/>
                  <w:noWrap w:val="0"/>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62" w:type="dxa"/>
                  <w:noWrap w:val="0"/>
                  <w:vAlign w:val="center"/>
                </w:tcPr>
                <w:p>
                  <w:pPr>
                    <w:pStyle w:val="6"/>
                    <w:bidi w:val="0"/>
                  </w:pPr>
                  <w:r>
                    <w:t>颗粒物</w:t>
                  </w:r>
                </w:p>
              </w:tc>
              <w:tc>
                <w:tcPr>
                  <w:tcW w:w="3398" w:type="dxa"/>
                  <w:noWrap w:val="0"/>
                  <w:vAlign w:val="center"/>
                </w:tcPr>
                <w:p>
                  <w:pPr>
                    <w:pStyle w:val="6"/>
                    <w:bidi w:val="0"/>
                  </w:pPr>
                  <w:r>
                    <w:t>1.0</w:t>
                  </w:r>
                </w:p>
              </w:tc>
              <w:tc>
                <w:tcPr>
                  <w:tcW w:w="3799" w:type="dxa"/>
                  <w:noWrap w:val="0"/>
                  <w:vAlign w:val="center"/>
                </w:tcPr>
                <w:p>
                  <w:pPr>
                    <w:pStyle w:val="6"/>
                    <w:bidi w:val="0"/>
                  </w:pPr>
                  <w:r>
                    <w:t>《大气污染物综合排放标准》（GB16297-1996）表2标准</w:t>
                  </w:r>
                </w:p>
              </w:tc>
            </w:tr>
          </w:tbl>
          <w:p>
            <w:pPr>
              <w:pStyle w:val="4"/>
              <w:numPr>
                <w:ilvl w:val="0"/>
                <w:numId w:val="4"/>
              </w:numPr>
              <w:bidi w:val="0"/>
              <w:ind w:left="0" w:leftChars="0" w:firstLineChars="0"/>
              <w:rPr>
                <w:rFonts w:hint="eastAsia"/>
              </w:rPr>
            </w:pPr>
            <w:r>
              <w:rPr>
                <w:rFonts w:hint="eastAsia"/>
              </w:rPr>
              <w:t>运营期</w:t>
            </w:r>
          </w:p>
          <w:p>
            <w:pPr>
              <w:pStyle w:val="4"/>
              <w:bidi w:val="0"/>
            </w:pPr>
            <w:r>
              <w:rPr>
                <w:rFonts w:hint="eastAsia"/>
              </w:rPr>
              <w:t>2.</w:t>
            </w:r>
            <w:r>
              <w:t>1废气</w:t>
            </w:r>
          </w:p>
          <w:p>
            <w:pPr>
              <w:bidi w:val="0"/>
              <w:rPr>
                <w:rFonts w:hint="eastAsia"/>
                <w:lang w:val="en-US" w:eastAsia="zh-CN"/>
              </w:rPr>
            </w:pPr>
            <w:r>
              <w:rPr>
                <w:rFonts w:hint="eastAsia"/>
                <w:lang w:val="en-US" w:eastAsia="zh-CN"/>
              </w:rPr>
              <w:t>本项目废气执行标准见下表。</w:t>
            </w:r>
          </w:p>
          <w:p>
            <w:pPr>
              <w:pStyle w:val="10"/>
              <w:bidi w:val="0"/>
              <w:rPr>
                <w:rFonts w:hint="default"/>
                <w:lang w:val="en-US" w:eastAsia="zh-CN"/>
              </w:rPr>
            </w:pPr>
            <w:r>
              <w:rPr>
                <w:rFonts w:hint="eastAsia"/>
                <w:lang w:val="en-US" w:eastAsia="zh-CN"/>
              </w:rPr>
              <w:t>表3-5                    废气执行标准一览表</w:t>
            </w:r>
          </w:p>
          <w:tbl>
            <w:tblPr>
              <w:tblStyle w:val="41"/>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743"/>
              <w:gridCol w:w="737"/>
              <w:gridCol w:w="2132"/>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Borders>
                    <w:tl2br w:val="nil"/>
                    <w:tr2bl w:val="nil"/>
                  </w:tcBorders>
                  <w:noWrap w:val="0"/>
                  <w:vAlign w:val="center"/>
                </w:tcPr>
                <w:p>
                  <w:pPr>
                    <w:pStyle w:val="6"/>
                    <w:bidi w:val="0"/>
                    <w:rPr>
                      <w:rFonts w:hint="default"/>
                      <w:lang w:val="en-US" w:eastAsia="zh-CN"/>
                    </w:rPr>
                  </w:pPr>
                  <w:r>
                    <w:rPr>
                      <w:rFonts w:hint="default"/>
                      <w:lang w:val="en-US" w:eastAsia="zh-CN"/>
                    </w:rPr>
                    <w:t>排放方式</w:t>
                  </w:r>
                </w:p>
              </w:tc>
              <w:tc>
                <w:tcPr>
                  <w:tcW w:w="461" w:type="pct"/>
                  <w:tcBorders>
                    <w:tl2br w:val="nil"/>
                    <w:tr2bl w:val="nil"/>
                  </w:tcBorders>
                  <w:noWrap w:val="0"/>
                  <w:vAlign w:val="center"/>
                </w:tcPr>
                <w:p>
                  <w:pPr>
                    <w:pStyle w:val="6"/>
                    <w:bidi w:val="0"/>
                    <w:rPr>
                      <w:rFonts w:hint="default"/>
                      <w:lang w:val="en-US" w:eastAsia="zh-CN"/>
                    </w:rPr>
                  </w:pPr>
                  <w:r>
                    <w:rPr>
                      <w:rFonts w:hint="default"/>
                      <w:lang w:val="en-US" w:eastAsia="zh-CN"/>
                    </w:rPr>
                    <w:t>污染源</w:t>
                  </w:r>
                </w:p>
              </w:tc>
              <w:tc>
                <w:tcPr>
                  <w:tcW w:w="457" w:type="pct"/>
                  <w:tcBorders>
                    <w:tl2br w:val="nil"/>
                    <w:tr2bl w:val="nil"/>
                  </w:tcBorders>
                  <w:noWrap w:val="0"/>
                  <w:vAlign w:val="center"/>
                </w:tcPr>
                <w:p>
                  <w:pPr>
                    <w:pStyle w:val="6"/>
                    <w:bidi w:val="0"/>
                    <w:rPr>
                      <w:rFonts w:hint="default"/>
                      <w:lang w:val="en-US" w:eastAsia="zh-CN"/>
                    </w:rPr>
                  </w:pPr>
                  <w:r>
                    <w:rPr>
                      <w:rFonts w:hint="default"/>
                      <w:lang w:val="en-US" w:eastAsia="zh-CN"/>
                    </w:rPr>
                    <w:t>污染因子</w:t>
                  </w:r>
                </w:p>
              </w:tc>
              <w:tc>
                <w:tcPr>
                  <w:tcW w:w="1323" w:type="pct"/>
                  <w:tcBorders>
                    <w:tl2br w:val="nil"/>
                    <w:tr2bl w:val="nil"/>
                  </w:tcBorders>
                  <w:noWrap w:val="0"/>
                  <w:vAlign w:val="center"/>
                </w:tcPr>
                <w:p>
                  <w:pPr>
                    <w:pStyle w:val="6"/>
                    <w:bidi w:val="0"/>
                    <w:rPr>
                      <w:rFonts w:hint="default"/>
                      <w:lang w:val="en-US" w:eastAsia="zh-CN"/>
                    </w:rPr>
                  </w:pPr>
                  <w:r>
                    <w:rPr>
                      <w:rFonts w:hint="default"/>
                      <w:lang w:val="en-US" w:eastAsia="zh-CN"/>
                    </w:rPr>
                    <w:t>排放限值（mg/m</w:t>
                  </w:r>
                  <w:r>
                    <w:rPr>
                      <w:rFonts w:hint="default"/>
                      <w:vertAlign w:val="superscript"/>
                      <w:lang w:val="en-US" w:eastAsia="zh-CN"/>
                    </w:rPr>
                    <w:t>3</w:t>
                  </w:r>
                  <w:r>
                    <w:rPr>
                      <w:rFonts w:hint="default"/>
                      <w:lang w:val="en-US" w:eastAsia="zh-CN"/>
                    </w:rPr>
                    <w:t>）</w:t>
                  </w:r>
                </w:p>
              </w:tc>
              <w:tc>
                <w:tcPr>
                  <w:tcW w:w="2341" w:type="pct"/>
                  <w:tcBorders>
                    <w:tl2br w:val="nil"/>
                    <w:tr2bl w:val="nil"/>
                  </w:tcBorders>
                  <w:noWrap w:val="0"/>
                  <w:vAlign w:val="center"/>
                </w:tcPr>
                <w:p>
                  <w:pPr>
                    <w:pStyle w:val="6"/>
                    <w:bidi w:val="0"/>
                    <w:rPr>
                      <w:rFonts w:hint="default"/>
                      <w:lang w:val="en-US" w:eastAsia="zh-CN"/>
                    </w:rPr>
                  </w:pPr>
                  <w:r>
                    <w:rPr>
                      <w:rFonts w:hint="default"/>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restart"/>
                  <w:tcBorders>
                    <w:tl2br w:val="nil"/>
                    <w:tr2bl w:val="nil"/>
                  </w:tcBorders>
                  <w:noWrap w:val="0"/>
                  <w:vAlign w:val="center"/>
                </w:tcPr>
                <w:p>
                  <w:pPr>
                    <w:pStyle w:val="6"/>
                    <w:bidi w:val="0"/>
                    <w:rPr>
                      <w:rFonts w:hint="default"/>
                      <w:lang w:val="en-US" w:eastAsia="zh-CN"/>
                    </w:rPr>
                  </w:pPr>
                  <w:r>
                    <w:rPr>
                      <w:rFonts w:hint="default"/>
                      <w:lang w:val="en-US" w:eastAsia="zh-CN"/>
                    </w:rPr>
                    <w:t>有组织</w:t>
                  </w:r>
                </w:p>
              </w:tc>
              <w:tc>
                <w:tcPr>
                  <w:tcW w:w="461" w:type="pct"/>
                  <w:tcBorders>
                    <w:tl2br w:val="nil"/>
                    <w:tr2bl w:val="nil"/>
                  </w:tcBorders>
                  <w:noWrap w:val="0"/>
                  <w:vAlign w:val="center"/>
                </w:tcPr>
                <w:p>
                  <w:pPr>
                    <w:pStyle w:val="6"/>
                    <w:bidi w:val="0"/>
                    <w:rPr>
                      <w:rFonts w:hint="default"/>
                      <w:lang w:val="en-US" w:eastAsia="zh-CN"/>
                    </w:rPr>
                  </w:pPr>
                  <w:r>
                    <w:rPr>
                      <w:rFonts w:hint="default"/>
                      <w:lang w:val="en-US" w:eastAsia="zh-CN"/>
                    </w:rPr>
                    <w:t>预混搅拌</w:t>
                  </w:r>
                </w:p>
              </w:tc>
              <w:tc>
                <w:tcPr>
                  <w:tcW w:w="457" w:type="pct"/>
                  <w:tcBorders>
                    <w:tl2br w:val="nil"/>
                    <w:tr2bl w:val="nil"/>
                  </w:tcBorders>
                  <w:noWrap w:val="0"/>
                  <w:vAlign w:val="center"/>
                </w:tcPr>
                <w:p>
                  <w:pPr>
                    <w:pStyle w:val="6"/>
                    <w:bidi w:val="0"/>
                    <w:rPr>
                      <w:rFonts w:hint="default"/>
                      <w:lang w:val="en-US" w:eastAsia="zh-CN"/>
                    </w:rPr>
                  </w:pPr>
                  <w:r>
                    <w:rPr>
                      <w:rFonts w:hint="default"/>
                      <w:lang w:val="en-US" w:eastAsia="zh-CN"/>
                    </w:rPr>
                    <w:t>颗粒物</w:t>
                  </w:r>
                </w:p>
              </w:tc>
              <w:tc>
                <w:tcPr>
                  <w:tcW w:w="1323" w:type="pct"/>
                  <w:tcBorders>
                    <w:tl2br w:val="nil"/>
                    <w:tr2bl w:val="nil"/>
                  </w:tcBorders>
                  <w:noWrap w:val="0"/>
                  <w:vAlign w:val="center"/>
                </w:tcPr>
                <w:p>
                  <w:pPr>
                    <w:pStyle w:val="6"/>
                    <w:bidi w:val="0"/>
                    <w:rPr>
                      <w:rFonts w:hint="default"/>
                      <w:lang w:val="en-US" w:eastAsia="zh-CN"/>
                    </w:rPr>
                  </w:pPr>
                  <w:r>
                    <w:rPr>
                      <w:rFonts w:hint="eastAsia"/>
                      <w:lang w:val="en-US" w:eastAsia="zh-CN"/>
                    </w:rPr>
                    <w:t>20</w:t>
                  </w:r>
                </w:p>
              </w:tc>
              <w:tc>
                <w:tcPr>
                  <w:tcW w:w="2341" w:type="pct"/>
                  <w:vMerge w:val="restart"/>
                  <w:tcBorders>
                    <w:tl2br w:val="nil"/>
                    <w:tr2bl w:val="nil"/>
                  </w:tcBorders>
                  <w:noWrap w:val="0"/>
                  <w:vAlign w:val="center"/>
                </w:tcPr>
                <w:p>
                  <w:pPr>
                    <w:pStyle w:val="6"/>
                    <w:bidi w:val="0"/>
                    <w:rPr>
                      <w:rFonts w:hint="default"/>
                      <w:lang w:val="en-US" w:eastAsia="zh-CN"/>
                    </w:rPr>
                  </w:pPr>
                  <w:r>
                    <w:rPr>
                      <w:rFonts w:hint="default"/>
                      <w:lang w:val="en-US" w:eastAsia="zh-CN"/>
                    </w:rPr>
                    <w:t>《水泥工业大气污染物排放标准》（GB4915-2013）表1大气污染物排放限值要求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17" w:type="pct"/>
                  <w:vMerge w:val="continue"/>
                  <w:tcBorders>
                    <w:tl2br w:val="nil"/>
                    <w:tr2bl w:val="nil"/>
                  </w:tcBorders>
                  <w:noWrap w:val="0"/>
                  <w:vAlign w:val="center"/>
                </w:tcPr>
                <w:p>
                  <w:pPr>
                    <w:pStyle w:val="6"/>
                    <w:bidi w:val="0"/>
                    <w:rPr>
                      <w:rFonts w:hint="default"/>
                      <w:lang w:val="en-US" w:eastAsia="zh-CN"/>
                    </w:rPr>
                  </w:pPr>
                </w:p>
              </w:tc>
              <w:tc>
                <w:tcPr>
                  <w:tcW w:w="461" w:type="pct"/>
                  <w:tcBorders>
                    <w:tl2br w:val="nil"/>
                    <w:tr2bl w:val="nil"/>
                  </w:tcBorders>
                  <w:noWrap w:val="0"/>
                  <w:vAlign w:val="center"/>
                </w:tcPr>
                <w:p>
                  <w:pPr>
                    <w:pStyle w:val="6"/>
                    <w:bidi w:val="0"/>
                    <w:rPr>
                      <w:rFonts w:hint="default"/>
                      <w:lang w:val="en-US" w:eastAsia="zh-CN"/>
                    </w:rPr>
                  </w:pPr>
                  <w:r>
                    <w:rPr>
                      <w:rFonts w:hint="default"/>
                      <w:lang w:val="en-US" w:eastAsia="zh-CN"/>
                    </w:rPr>
                    <w:t>水泥仓</w:t>
                  </w:r>
                </w:p>
              </w:tc>
              <w:tc>
                <w:tcPr>
                  <w:tcW w:w="457" w:type="pct"/>
                  <w:tcBorders>
                    <w:tl2br w:val="nil"/>
                    <w:tr2bl w:val="nil"/>
                  </w:tcBorders>
                  <w:noWrap w:val="0"/>
                  <w:vAlign w:val="center"/>
                </w:tcPr>
                <w:p>
                  <w:pPr>
                    <w:pStyle w:val="6"/>
                    <w:bidi w:val="0"/>
                    <w:rPr>
                      <w:rFonts w:hint="default"/>
                      <w:lang w:val="en-US" w:eastAsia="zh-CN"/>
                    </w:rPr>
                  </w:pPr>
                  <w:r>
                    <w:rPr>
                      <w:rFonts w:hint="default"/>
                      <w:lang w:val="en-US" w:eastAsia="zh-CN"/>
                    </w:rPr>
                    <w:t>颗粒物</w:t>
                  </w:r>
                </w:p>
              </w:tc>
              <w:tc>
                <w:tcPr>
                  <w:tcW w:w="1323" w:type="pct"/>
                  <w:tcBorders>
                    <w:tl2br w:val="nil"/>
                    <w:tr2bl w:val="nil"/>
                  </w:tcBorders>
                  <w:noWrap w:val="0"/>
                  <w:vAlign w:val="center"/>
                </w:tcPr>
                <w:p>
                  <w:pPr>
                    <w:pStyle w:val="6"/>
                    <w:bidi w:val="0"/>
                    <w:rPr>
                      <w:rFonts w:hint="default"/>
                      <w:lang w:val="en-US" w:eastAsia="zh-CN"/>
                    </w:rPr>
                  </w:pPr>
                  <w:r>
                    <w:rPr>
                      <w:rFonts w:hint="eastAsia"/>
                      <w:lang w:val="en-US" w:eastAsia="zh-CN"/>
                    </w:rPr>
                    <w:t>20</w:t>
                  </w:r>
                </w:p>
              </w:tc>
              <w:tc>
                <w:tcPr>
                  <w:tcW w:w="2341" w:type="pct"/>
                  <w:vMerge w:val="continue"/>
                  <w:tcBorders>
                    <w:tl2br w:val="nil"/>
                    <w:tr2bl w:val="nil"/>
                  </w:tcBorders>
                  <w:noWrap w:val="0"/>
                  <w:vAlign w:val="center"/>
                </w:tcPr>
                <w:p>
                  <w:pPr>
                    <w:pStyle w:val="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Borders>
                    <w:tl2br w:val="nil"/>
                    <w:tr2bl w:val="nil"/>
                  </w:tcBorders>
                  <w:noWrap w:val="0"/>
                  <w:vAlign w:val="center"/>
                </w:tcPr>
                <w:p>
                  <w:pPr>
                    <w:pStyle w:val="6"/>
                    <w:bidi w:val="0"/>
                    <w:rPr>
                      <w:rFonts w:hint="default"/>
                      <w:lang w:val="en-US" w:eastAsia="zh-CN"/>
                    </w:rPr>
                  </w:pPr>
                  <w:r>
                    <w:rPr>
                      <w:rFonts w:hint="default"/>
                      <w:lang w:val="en-US" w:eastAsia="zh-CN"/>
                    </w:rPr>
                    <w:t>无组织</w:t>
                  </w:r>
                </w:p>
              </w:tc>
              <w:tc>
                <w:tcPr>
                  <w:tcW w:w="461" w:type="pct"/>
                  <w:tcBorders>
                    <w:tl2br w:val="nil"/>
                    <w:tr2bl w:val="nil"/>
                  </w:tcBorders>
                  <w:noWrap w:val="0"/>
                  <w:vAlign w:val="center"/>
                </w:tcPr>
                <w:p>
                  <w:pPr>
                    <w:pStyle w:val="6"/>
                    <w:bidi w:val="0"/>
                    <w:rPr>
                      <w:rFonts w:hint="default"/>
                      <w:lang w:val="en-US" w:eastAsia="zh-CN"/>
                    </w:rPr>
                  </w:pPr>
                  <w:r>
                    <w:rPr>
                      <w:rFonts w:hint="default"/>
                      <w:lang w:val="en-US" w:eastAsia="zh-CN"/>
                    </w:rPr>
                    <w:t>厂界外</w:t>
                  </w:r>
                </w:p>
              </w:tc>
              <w:tc>
                <w:tcPr>
                  <w:tcW w:w="457" w:type="pct"/>
                  <w:tcBorders>
                    <w:tl2br w:val="nil"/>
                    <w:tr2bl w:val="nil"/>
                  </w:tcBorders>
                  <w:noWrap w:val="0"/>
                  <w:vAlign w:val="center"/>
                </w:tcPr>
                <w:p>
                  <w:pPr>
                    <w:pStyle w:val="6"/>
                    <w:bidi w:val="0"/>
                    <w:rPr>
                      <w:rFonts w:hint="default"/>
                      <w:lang w:val="en-US" w:eastAsia="zh-CN"/>
                    </w:rPr>
                  </w:pPr>
                  <w:r>
                    <w:rPr>
                      <w:rFonts w:hint="default"/>
                      <w:lang w:val="en-US" w:eastAsia="zh-CN"/>
                    </w:rPr>
                    <w:t>颗粒物</w:t>
                  </w:r>
                </w:p>
              </w:tc>
              <w:tc>
                <w:tcPr>
                  <w:tcW w:w="1323" w:type="pct"/>
                  <w:tcBorders>
                    <w:tl2br w:val="nil"/>
                    <w:tr2bl w:val="nil"/>
                  </w:tcBorders>
                  <w:noWrap w:val="0"/>
                  <w:vAlign w:val="center"/>
                </w:tcPr>
                <w:p>
                  <w:pPr>
                    <w:pStyle w:val="6"/>
                    <w:bidi w:val="0"/>
                    <w:rPr>
                      <w:rFonts w:hint="eastAsia"/>
                      <w:lang w:val="en-US" w:eastAsia="zh-CN"/>
                    </w:rPr>
                  </w:pPr>
                  <w:r>
                    <w:rPr>
                      <w:rFonts w:hint="default"/>
                      <w:lang w:val="en-US" w:eastAsia="zh-CN"/>
                    </w:rPr>
                    <w:t>0.5</w:t>
                  </w:r>
                  <w:r>
                    <w:rPr>
                      <w:rFonts w:hint="eastAsia"/>
                      <w:lang w:val="en-US" w:eastAsia="zh-CN"/>
                    </w:rPr>
                    <w:t>（监控点与参照点总悬浮颗粒物（TSP）1小时浓度值的差值）</w:t>
                  </w:r>
                </w:p>
              </w:tc>
              <w:tc>
                <w:tcPr>
                  <w:tcW w:w="2341" w:type="pct"/>
                  <w:tcBorders>
                    <w:tl2br w:val="nil"/>
                    <w:tr2bl w:val="nil"/>
                  </w:tcBorders>
                  <w:noWrap w:val="0"/>
                  <w:vAlign w:val="center"/>
                </w:tcPr>
                <w:p>
                  <w:pPr>
                    <w:pStyle w:val="6"/>
                    <w:bidi w:val="0"/>
                    <w:rPr>
                      <w:rFonts w:hint="default"/>
                      <w:lang w:val="en-US" w:eastAsia="zh-CN"/>
                    </w:rPr>
                  </w:pPr>
                  <w:r>
                    <w:rPr>
                      <w:rFonts w:hint="default"/>
                      <w:lang w:val="en-US" w:eastAsia="zh-CN"/>
                    </w:rPr>
                    <w:t>《水泥工业大气污染物排放标准》（GB4915-2013）表3大气污染物无组织排放限值</w:t>
                  </w:r>
                </w:p>
              </w:tc>
            </w:tr>
          </w:tbl>
          <w:p>
            <w:pPr>
              <w:pStyle w:val="4"/>
              <w:bidi w:val="0"/>
            </w:pPr>
            <w:r>
              <w:rPr>
                <w:rFonts w:hint="eastAsia"/>
              </w:rPr>
              <w:t>2.</w:t>
            </w:r>
            <w:r>
              <w:t>2废水</w:t>
            </w:r>
          </w:p>
          <w:p>
            <w:pPr>
              <w:bidi w:val="0"/>
            </w:pPr>
            <w:r>
              <w:t>项目生活污水排放执行《污水综合排放标准》（GB</w:t>
            </w:r>
            <w:r>
              <w:rPr>
                <w:rFonts w:hint="eastAsia"/>
              </w:rPr>
              <w:t xml:space="preserve"> </w:t>
            </w:r>
            <w:r>
              <w:t>8978-1996）三级标准。</w:t>
            </w:r>
          </w:p>
          <w:p>
            <w:pPr>
              <w:pStyle w:val="10"/>
              <w:bidi w:val="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表</w:t>
            </w:r>
            <w:r>
              <w:rPr>
                <w:rFonts w:hint="eastAsia" w:cs="Times New Roman"/>
                <w:b/>
                <w:bCs/>
                <w:sz w:val="21"/>
                <w:szCs w:val="21"/>
                <w:lang w:val="en-US" w:eastAsia="zh-CN"/>
              </w:rPr>
              <w:t>3-6</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lang w:val="en-US" w:eastAsia="zh-CN"/>
              </w:rPr>
              <w:t xml:space="preserve">       </w:t>
            </w:r>
            <w:r>
              <w:rPr>
                <w:rFonts w:hint="eastAsia" w:cs="Times New Roman"/>
                <w:b/>
                <w:bCs/>
                <w:sz w:val="21"/>
                <w:szCs w:val="21"/>
                <w:lang w:val="en-US" w:eastAsia="zh-CN"/>
              </w:rPr>
              <w:t xml:space="preserve">    </w:t>
            </w:r>
            <w:r>
              <w:rPr>
                <w:rFonts w:hint="default" w:ascii="Times New Roman" w:hAnsi="Times New Roman" w:eastAsia="宋体" w:cs="Times New Roman"/>
                <w:b/>
                <w:bCs/>
                <w:sz w:val="21"/>
                <w:szCs w:val="21"/>
              </w:rPr>
              <w:t xml:space="preserve"> 污水综合排放标准</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88"/>
              <w:gridCol w:w="2023"/>
              <w:gridCol w:w="2253"/>
              <w:gridCol w:w="24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9" w:type="pct"/>
                  <w:tcBorders>
                    <w:tl2br w:val="nil"/>
                    <w:tr2bl w:val="nil"/>
                  </w:tcBorders>
                  <w:noWrap w:val="0"/>
                  <w:vAlign w:val="center"/>
                </w:tcPr>
                <w:p>
                  <w:pPr>
                    <w:pStyle w:val="6"/>
                    <w:bidi w:val="0"/>
                    <w:rPr>
                      <w:rFonts w:hint="default"/>
                    </w:rPr>
                  </w:pPr>
                  <w:r>
                    <w:rPr>
                      <w:rFonts w:hint="default"/>
                    </w:rPr>
                    <w:t>序号</w:t>
                  </w:r>
                </w:p>
              </w:tc>
              <w:tc>
                <w:tcPr>
                  <w:tcW w:w="1255" w:type="pct"/>
                  <w:tcBorders>
                    <w:tl2br w:val="nil"/>
                    <w:tr2bl w:val="nil"/>
                  </w:tcBorders>
                  <w:noWrap w:val="0"/>
                  <w:vAlign w:val="center"/>
                </w:tcPr>
                <w:p>
                  <w:pPr>
                    <w:pStyle w:val="6"/>
                    <w:bidi w:val="0"/>
                    <w:rPr>
                      <w:rFonts w:hint="default"/>
                    </w:rPr>
                  </w:pPr>
                  <w:r>
                    <w:rPr>
                      <w:rFonts w:hint="default"/>
                    </w:rPr>
                    <w:t>污染物</w:t>
                  </w:r>
                </w:p>
              </w:tc>
              <w:tc>
                <w:tcPr>
                  <w:tcW w:w="1398" w:type="pct"/>
                  <w:tcBorders>
                    <w:tl2br w:val="nil"/>
                    <w:tr2bl w:val="nil"/>
                  </w:tcBorders>
                  <w:noWrap w:val="0"/>
                  <w:vAlign w:val="center"/>
                </w:tcPr>
                <w:p>
                  <w:pPr>
                    <w:pStyle w:val="6"/>
                    <w:bidi w:val="0"/>
                    <w:rPr>
                      <w:rFonts w:hint="default"/>
                    </w:rPr>
                  </w:pPr>
                  <w:r>
                    <w:rPr>
                      <w:rFonts w:hint="default"/>
                    </w:rPr>
                    <w:t>单位</w:t>
                  </w:r>
                </w:p>
              </w:tc>
              <w:tc>
                <w:tcPr>
                  <w:tcW w:w="1546" w:type="pct"/>
                  <w:tcBorders>
                    <w:tl2br w:val="nil"/>
                    <w:tr2bl w:val="nil"/>
                  </w:tcBorders>
                  <w:noWrap w:val="0"/>
                  <w:vAlign w:val="center"/>
                </w:tcPr>
                <w:p>
                  <w:pPr>
                    <w:pStyle w:val="6"/>
                    <w:bidi w:val="0"/>
                    <w:rPr>
                      <w:rFonts w:hint="default"/>
                    </w:rPr>
                  </w:pPr>
                  <w:r>
                    <w:rPr>
                      <w:rFonts w:hint="default"/>
                    </w:rPr>
                    <w:t>三级标准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9" w:type="pct"/>
                  <w:tcBorders>
                    <w:tl2br w:val="nil"/>
                    <w:tr2bl w:val="nil"/>
                  </w:tcBorders>
                  <w:noWrap w:val="0"/>
                  <w:vAlign w:val="center"/>
                </w:tcPr>
                <w:p>
                  <w:pPr>
                    <w:pStyle w:val="6"/>
                    <w:bidi w:val="0"/>
                    <w:rPr>
                      <w:rFonts w:hint="default"/>
                    </w:rPr>
                  </w:pPr>
                  <w:r>
                    <w:rPr>
                      <w:rFonts w:hint="default"/>
                    </w:rPr>
                    <w:t>1</w:t>
                  </w:r>
                </w:p>
              </w:tc>
              <w:tc>
                <w:tcPr>
                  <w:tcW w:w="1255" w:type="pct"/>
                  <w:tcBorders>
                    <w:tl2br w:val="nil"/>
                    <w:tr2bl w:val="nil"/>
                  </w:tcBorders>
                  <w:noWrap w:val="0"/>
                  <w:vAlign w:val="center"/>
                </w:tcPr>
                <w:p>
                  <w:pPr>
                    <w:pStyle w:val="6"/>
                    <w:bidi w:val="0"/>
                    <w:rPr>
                      <w:rFonts w:hint="default"/>
                    </w:rPr>
                  </w:pPr>
                  <w:r>
                    <w:rPr>
                      <w:rFonts w:hint="default"/>
                    </w:rPr>
                    <w:t>SS</w:t>
                  </w:r>
                </w:p>
              </w:tc>
              <w:tc>
                <w:tcPr>
                  <w:tcW w:w="1398" w:type="pct"/>
                  <w:tcBorders>
                    <w:tl2br w:val="nil"/>
                    <w:tr2bl w:val="nil"/>
                  </w:tcBorders>
                  <w:noWrap w:val="0"/>
                  <w:vAlign w:val="center"/>
                </w:tcPr>
                <w:p>
                  <w:pPr>
                    <w:pStyle w:val="6"/>
                    <w:bidi w:val="0"/>
                    <w:rPr>
                      <w:rFonts w:hint="default"/>
                    </w:rPr>
                  </w:pPr>
                  <w:r>
                    <w:rPr>
                      <w:rFonts w:hint="default"/>
                    </w:rPr>
                    <w:t>mg/L</w:t>
                  </w:r>
                </w:p>
              </w:tc>
              <w:tc>
                <w:tcPr>
                  <w:tcW w:w="1546" w:type="pct"/>
                  <w:tcBorders>
                    <w:tl2br w:val="nil"/>
                    <w:tr2bl w:val="nil"/>
                  </w:tcBorders>
                  <w:noWrap w:val="0"/>
                  <w:vAlign w:val="center"/>
                </w:tcPr>
                <w:p>
                  <w:pPr>
                    <w:pStyle w:val="6"/>
                    <w:bidi w:val="0"/>
                    <w:rPr>
                      <w:rFonts w:hint="default"/>
                    </w:rPr>
                  </w:pPr>
                  <w:r>
                    <w:rPr>
                      <w:rFonts w:hint="default"/>
                    </w:rPr>
                    <w:t>400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9" w:type="pct"/>
                  <w:tcBorders>
                    <w:tl2br w:val="nil"/>
                    <w:tr2bl w:val="nil"/>
                  </w:tcBorders>
                  <w:noWrap w:val="0"/>
                  <w:vAlign w:val="center"/>
                </w:tcPr>
                <w:p>
                  <w:pPr>
                    <w:pStyle w:val="6"/>
                    <w:bidi w:val="0"/>
                    <w:rPr>
                      <w:rFonts w:hint="default"/>
                    </w:rPr>
                  </w:pPr>
                  <w:r>
                    <w:rPr>
                      <w:rFonts w:hint="default"/>
                    </w:rPr>
                    <w:t>2</w:t>
                  </w:r>
                </w:p>
              </w:tc>
              <w:tc>
                <w:tcPr>
                  <w:tcW w:w="1255" w:type="pct"/>
                  <w:tcBorders>
                    <w:tl2br w:val="nil"/>
                    <w:tr2bl w:val="nil"/>
                  </w:tcBorders>
                  <w:noWrap w:val="0"/>
                  <w:vAlign w:val="center"/>
                </w:tcPr>
                <w:p>
                  <w:pPr>
                    <w:pStyle w:val="6"/>
                    <w:bidi w:val="0"/>
                    <w:rPr>
                      <w:rFonts w:hint="default"/>
                    </w:rPr>
                  </w:pPr>
                  <w:r>
                    <w:rPr>
                      <w:rFonts w:hint="default"/>
                    </w:rPr>
                    <w:t>COD</w:t>
                  </w:r>
                </w:p>
              </w:tc>
              <w:tc>
                <w:tcPr>
                  <w:tcW w:w="1398" w:type="pct"/>
                  <w:tcBorders>
                    <w:tl2br w:val="nil"/>
                    <w:tr2bl w:val="nil"/>
                  </w:tcBorders>
                  <w:noWrap w:val="0"/>
                  <w:vAlign w:val="center"/>
                </w:tcPr>
                <w:p>
                  <w:pPr>
                    <w:pStyle w:val="6"/>
                    <w:bidi w:val="0"/>
                    <w:rPr>
                      <w:rFonts w:hint="default"/>
                    </w:rPr>
                  </w:pPr>
                  <w:r>
                    <w:rPr>
                      <w:rFonts w:hint="default"/>
                    </w:rPr>
                    <w:t>mg/L</w:t>
                  </w:r>
                </w:p>
              </w:tc>
              <w:tc>
                <w:tcPr>
                  <w:tcW w:w="1546" w:type="pct"/>
                  <w:tcBorders>
                    <w:tl2br w:val="nil"/>
                    <w:tr2bl w:val="nil"/>
                  </w:tcBorders>
                  <w:noWrap w:val="0"/>
                  <w:vAlign w:val="center"/>
                </w:tcPr>
                <w:p>
                  <w:pPr>
                    <w:pStyle w:val="6"/>
                    <w:bidi w:val="0"/>
                    <w:rPr>
                      <w:rFonts w:hint="default"/>
                    </w:rPr>
                  </w:pPr>
                  <w:r>
                    <w:rPr>
                      <w:rFonts w:hint="default"/>
                    </w:rPr>
                    <w:t>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9" w:type="pct"/>
                  <w:tcBorders>
                    <w:tl2br w:val="nil"/>
                    <w:tr2bl w:val="nil"/>
                  </w:tcBorders>
                  <w:noWrap w:val="0"/>
                  <w:vAlign w:val="center"/>
                </w:tcPr>
                <w:p>
                  <w:pPr>
                    <w:pStyle w:val="6"/>
                    <w:bidi w:val="0"/>
                    <w:rPr>
                      <w:rFonts w:hint="default"/>
                    </w:rPr>
                  </w:pPr>
                  <w:r>
                    <w:rPr>
                      <w:rFonts w:hint="default"/>
                    </w:rPr>
                    <w:t>3</w:t>
                  </w:r>
                </w:p>
              </w:tc>
              <w:tc>
                <w:tcPr>
                  <w:tcW w:w="1255" w:type="pct"/>
                  <w:tcBorders>
                    <w:tl2br w:val="nil"/>
                    <w:tr2bl w:val="nil"/>
                  </w:tcBorders>
                  <w:noWrap w:val="0"/>
                  <w:vAlign w:val="center"/>
                </w:tcPr>
                <w:p>
                  <w:pPr>
                    <w:pStyle w:val="6"/>
                    <w:bidi w:val="0"/>
                    <w:rPr>
                      <w:rFonts w:hint="default"/>
                    </w:rPr>
                  </w:pPr>
                  <w:r>
                    <w:rPr>
                      <w:rFonts w:hint="default"/>
                    </w:rPr>
                    <w:t>BOD</w:t>
                  </w:r>
                  <w:r>
                    <w:rPr>
                      <w:rFonts w:hint="default"/>
                      <w:vertAlign w:val="subscript"/>
                    </w:rPr>
                    <w:t>5</w:t>
                  </w:r>
                </w:p>
              </w:tc>
              <w:tc>
                <w:tcPr>
                  <w:tcW w:w="1398" w:type="pct"/>
                  <w:tcBorders>
                    <w:tl2br w:val="nil"/>
                    <w:tr2bl w:val="nil"/>
                  </w:tcBorders>
                  <w:noWrap w:val="0"/>
                  <w:vAlign w:val="center"/>
                </w:tcPr>
                <w:p>
                  <w:pPr>
                    <w:pStyle w:val="6"/>
                    <w:bidi w:val="0"/>
                    <w:rPr>
                      <w:rFonts w:hint="default"/>
                    </w:rPr>
                  </w:pPr>
                  <w:r>
                    <w:rPr>
                      <w:rFonts w:hint="default"/>
                    </w:rPr>
                    <w:t>mg/L</w:t>
                  </w:r>
                </w:p>
              </w:tc>
              <w:tc>
                <w:tcPr>
                  <w:tcW w:w="1546" w:type="pct"/>
                  <w:tcBorders>
                    <w:tl2br w:val="nil"/>
                    <w:tr2bl w:val="nil"/>
                  </w:tcBorders>
                  <w:noWrap w:val="0"/>
                  <w:vAlign w:val="center"/>
                </w:tcPr>
                <w:p>
                  <w:pPr>
                    <w:pStyle w:val="6"/>
                    <w:bidi w:val="0"/>
                    <w:rPr>
                      <w:rFonts w:hint="default"/>
                    </w:rPr>
                  </w:pPr>
                  <w:r>
                    <w:rPr>
                      <w:rFonts w:hint="default"/>
                    </w:rPr>
                    <w:t>300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9" w:type="pct"/>
                  <w:tcBorders>
                    <w:tl2br w:val="nil"/>
                    <w:tr2bl w:val="nil"/>
                  </w:tcBorders>
                  <w:noWrap w:val="0"/>
                  <w:vAlign w:val="center"/>
                </w:tcPr>
                <w:p>
                  <w:pPr>
                    <w:pStyle w:val="6"/>
                    <w:bidi w:val="0"/>
                    <w:rPr>
                      <w:rFonts w:hint="default"/>
                    </w:rPr>
                  </w:pPr>
                  <w:r>
                    <w:rPr>
                      <w:rFonts w:hint="default"/>
                    </w:rPr>
                    <w:t>4</w:t>
                  </w:r>
                </w:p>
              </w:tc>
              <w:tc>
                <w:tcPr>
                  <w:tcW w:w="1255" w:type="pct"/>
                  <w:tcBorders>
                    <w:tl2br w:val="nil"/>
                    <w:tr2bl w:val="nil"/>
                  </w:tcBorders>
                  <w:noWrap w:val="0"/>
                  <w:vAlign w:val="center"/>
                </w:tcPr>
                <w:p>
                  <w:pPr>
                    <w:pStyle w:val="6"/>
                    <w:bidi w:val="0"/>
                    <w:rPr>
                      <w:rFonts w:hint="default"/>
                    </w:rPr>
                  </w:pPr>
                  <w:r>
                    <w:rPr>
                      <w:rFonts w:hint="default"/>
                    </w:rPr>
                    <w:t>氨氮</w:t>
                  </w:r>
                </w:p>
              </w:tc>
              <w:tc>
                <w:tcPr>
                  <w:tcW w:w="1398" w:type="pct"/>
                  <w:tcBorders>
                    <w:tl2br w:val="nil"/>
                    <w:tr2bl w:val="nil"/>
                  </w:tcBorders>
                  <w:noWrap w:val="0"/>
                  <w:vAlign w:val="center"/>
                </w:tcPr>
                <w:p>
                  <w:pPr>
                    <w:pStyle w:val="6"/>
                    <w:bidi w:val="0"/>
                    <w:rPr>
                      <w:rFonts w:hint="default"/>
                    </w:rPr>
                  </w:pPr>
                  <w:r>
                    <w:rPr>
                      <w:rFonts w:hint="default"/>
                    </w:rPr>
                    <w:t>mg/L</w:t>
                  </w:r>
                </w:p>
              </w:tc>
              <w:tc>
                <w:tcPr>
                  <w:tcW w:w="1546" w:type="pct"/>
                  <w:tcBorders>
                    <w:tl2br w:val="nil"/>
                    <w:tr2bl w:val="nil"/>
                  </w:tcBorders>
                  <w:noWrap w:val="0"/>
                  <w:vAlign w:val="center"/>
                </w:tcPr>
                <w:p>
                  <w:pPr>
                    <w:pStyle w:val="6"/>
                    <w:bidi w:val="0"/>
                    <w:rPr>
                      <w:rFonts w:hint="default"/>
                    </w:rPr>
                  </w:pP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9" w:type="pct"/>
                  <w:tcBorders>
                    <w:tl2br w:val="nil"/>
                    <w:tr2bl w:val="nil"/>
                  </w:tcBorders>
                  <w:noWrap w:val="0"/>
                  <w:vAlign w:val="center"/>
                </w:tcPr>
                <w:p>
                  <w:pPr>
                    <w:pStyle w:val="6"/>
                    <w:bidi w:val="0"/>
                    <w:rPr>
                      <w:rFonts w:hint="eastAsia" w:eastAsia="宋体"/>
                      <w:lang w:val="en-US" w:eastAsia="zh-CN"/>
                    </w:rPr>
                  </w:pPr>
                  <w:r>
                    <w:rPr>
                      <w:rFonts w:hint="eastAsia"/>
                      <w:lang w:val="en-US" w:eastAsia="zh-CN"/>
                    </w:rPr>
                    <w:t>5</w:t>
                  </w:r>
                </w:p>
              </w:tc>
              <w:tc>
                <w:tcPr>
                  <w:tcW w:w="1255" w:type="pct"/>
                  <w:tcBorders>
                    <w:tl2br w:val="nil"/>
                    <w:tr2bl w:val="nil"/>
                  </w:tcBorders>
                  <w:noWrap w:val="0"/>
                  <w:vAlign w:val="center"/>
                </w:tcPr>
                <w:p>
                  <w:pPr>
                    <w:pStyle w:val="6"/>
                    <w:bidi w:val="0"/>
                    <w:rPr>
                      <w:rFonts w:hint="default" w:eastAsia="宋体"/>
                      <w:lang w:val="en-US" w:eastAsia="zh-CN"/>
                    </w:rPr>
                  </w:pPr>
                  <w:r>
                    <w:rPr>
                      <w:rFonts w:hint="eastAsia"/>
                      <w:lang w:val="en-US" w:eastAsia="zh-CN"/>
                    </w:rPr>
                    <w:t>pH</w:t>
                  </w:r>
                </w:p>
              </w:tc>
              <w:tc>
                <w:tcPr>
                  <w:tcW w:w="1398" w:type="pct"/>
                  <w:tcBorders>
                    <w:tl2br w:val="nil"/>
                    <w:tr2bl w:val="nil"/>
                  </w:tcBorders>
                  <w:noWrap w:val="0"/>
                  <w:vAlign w:val="center"/>
                </w:tcPr>
                <w:p>
                  <w:pPr>
                    <w:pStyle w:val="6"/>
                    <w:bidi w:val="0"/>
                    <w:rPr>
                      <w:rFonts w:hint="eastAsia" w:eastAsia="宋体"/>
                      <w:lang w:val="en-US" w:eastAsia="zh-CN"/>
                    </w:rPr>
                  </w:pPr>
                  <w:r>
                    <w:rPr>
                      <w:rFonts w:hint="eastAsia"/>
                      <w:lang w:val="en-US" w:eastAsia="zh-CN"/>
                    </w:rPr>
                    <w:t>无量纲</w:t>
                  </w:r>
                </w:p>
              </w:tc>
              <w:tc>
                <w:tcPr>
                  <w:tcW w:w="1546" w:type="pct"/>
                  <w:tcBorders>
                    <w:tl2br w:val="nil"/>
                    <w:tr2bl w:val="nil"/>
                  </w:tcBorders>
                  <w:noWrap w:val="0"/>
                  <w:vAlign w:val="center"/>
                </w:tcPr>
                <w:p>
                  <w:pPr>
                    <w:pStyle w:val="6"/>
                    <w:bidi w:val="0"/>
                    <w:rPr>
                      <w:rFonts w:hint="default" w:eastAsia="宋体"/>
                      <w:lang w:val="en-US" w:eastAsia="zh-CN"/>
                    </w:rPr>
                  </w:pPr>
                  <w:r>
                    <w:rPr>
                      <w:rFonts w:hint="eastAsia"/>
                      <w:lang w:val="en-US" w:eastAsia="zh-CN"/>
                    </w:rPr>
                    <w:t>6-9</w:t>
                  </w:r>
                </w:p>
              </w:tc>
            </w:tr>
          </w:tbl>
          <w:p>
            <w:pPr>
              <w:pStyle w:val="4"/>
              <w:bidi w:val="0"/>
            </w:pPr>
            <w:r>
              <w:rPr>
                <w:rFonts w:hint="eastAsia"/>
              </w:rPr>
              <w:t>2.</w:t>
            </w:r>
            <w:r>
              <w:t>3噪声</w:t>
            </w:r>
          </w:p>
          <w:p>
            <w:pPr>
              <w:bidi w:val="0"/>
            </w:pPr>
            <w:r>
              <w:t>噪声执行《工业企业厂界环境噪声排放标准》（GB</w:t>
            </w:r>
            <w:r>
              <w:rPr>
                <w:rFonts w:hint="eastAsia"/>
              </w:rPr>
              <w:t xml:space="preserve"> </w:t>
            </w:r>
            <w:r>
              <w:t>12348-2008）</w:t>
            </w:r>
            <w:r>
              <w:rPr>
                <w:rFonts w:hint="eastAsia"/>
                <w:lang w:val="en-US" w:eastAsia="zh-CN"/>
              </w:rPr>
              <w:t>2</w:t>
            </w:r>
            <w:r>
              <w:t>类标准，昼间6</w:t>
            </w:r>
            <w:r>
              <w:rPr>
                <w:rFonts w:hint="eastAsia"/>
                <w:lang w:val="en-US" w:eastAsia="zh-CN"/>
              </w:rPr>
              <w:t>0</w:t>
            </w:r>
            <w:r>
              <w:t>dB(A)，夜间5</w:t>
            </w:r>
            <w:r>
              <w:rPr>
                <w:rFonts w:hint="eastAsia"/>
                <w:lang w:val="en-US" w:eastAsia="zh-CN"/>
              </w:rPr>
              <w:t>0</w:t>
            </w:r>
            <w:r>
              <w:t>dB(A)。</w:t>
            </w:r>
          </w:p>
          <w:p>
            <w:pPr>
              <w:pStyle w:val="4"/>
              <w:bidi w:val="0"/>
            </w:pPr>
            <w:r>
              <w:rPr>
                <w:rFonts w:hint="eastAsia"/>
              </w:rPr>
              <w:t>2.</w:t>
            </w:r>
            <w:r>
              <w:t>4固废</w:t>
            </w:r>
          </w:p>
          <w:p>
            <w:pPr>
              <w:adjustRightInd w:val="0"/>
              <w:snapToGrid w:val="0"/>
              <w:ind w:firstLine="480" w:firstLineChars="200"/>
              <w:rPr>
                <w:color w:val="000000"/>
              </w:rPr>
            </w:pPr>
            <w:r>
              <w:rPr>
                <w:color w:val="000000"/>
                <w:szCs w:val="21"/>
              </w:rPr>
              <w:t>本项目产生的危险废物控制标准执行《危险废物贮存污染控制标准》（GB18597-20</w:t>
            </w:r>
            <w:r>
              <w:rPr>
                <w:rFonts w:hint="eastAsia"/>
                <w:color w:val="000000"/>
                <w:szCs w:val="21"/>
              </w:rPr>
              <w:t>23</w:t>
            </w:r>
            <w:r>
              <w:rPr>
                <w:color w:val="000000"/>
                <w:szCs w:val="21"/>
              </w:rPr>
              <w:t>）的要求</w:t>
            </w:r>
            <w:r>
              <w:rPr>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10" w:hRule="atLeast"/>
          <w:jc w:val="center"/>
        </w:trPr>
        <w:tc>
          <w:tcPr>
            <w:tcW w:w="428" w:type="pct"/>
            <w:noWrap w:val="0"/>
            <w:vAlign w:val="center"/>
          </w:tcPr>
          <w:p>
            <w:pPr>
              <w:pStyle w:val="5"/>
              <w:bidi w:val="0"/>
            </w:pPr>
            <w:r>
              <w:t>总量</w:t>
            </w:r>
          </w:p>
          <w:p>
            <w:pPr>
              <w:pStyle w:val="5"/>
              <w:bidi w:val="0"/>
            </w:pPr>
            <w:r>
              <w:t>控制</w:t>
            </w:r>
          </w:p>
          <w:p>
            <w:pPr>
              <w:pStyle w:val="5"/>
              <w:bidi w:val="0"/>
              <w:rPr>
                <w:b/>
                <w:bCs/>
                <w:color w:val="000000"/>
                <w:kern w:val="0"/>
                <w:szCs w:val="21"/>
              </w:rPr>
            </w:pPr>
            <w:r>
              <w:t>指标</w:t>
            </w:r>
          </w:p>
        </w:tc>
        <w:tc>
          <w:tcPr>
            <w:tcW w:w="4571" w:type="pct"/>
            <w:noWrap w:val="0"/>
            <w:vAlign w:val="top"/>
          </w:tcPr>
          <w:p>
            <w:pPr>
              <w:bidi w:val="0"/>
              <w:jc w:val="both"/>
              <w:rPr>
                <w:rFonts w:hint="eastAsia"/>
                <w:lang w:val="en-US" w:eastAsia="zh-CN"/>
              </w:rPr>
            </w:pPr>
            <w:r>
              <w:rPr>
                <w:rFonts w:hint="eastAsia"/>
                <w:lang w:val="en-US" w:eastAsia="zh-CN"/>
              </w:rPr>
              <w:t>本项目不涉及总量控制污染物排放。</w:t>
            </w:r>
          </w:p>
          <w:p>
            <w:pPr>
              <w:bidi w:val="0"/>
              <w:jc w:val="both"/>
              <w:rPr>
                <w:rFonts w:hint="eastAsia"/>
                <w:lang w:val="en-US" w:eastAsia="zh-CN"/>
              </w:rPr>
            </w:pPr>
          </w:p>
        </w:tc>
      </w:tr>
    </w:tbl>
    <w:p>
      <w:pPr>
        <w:pStyle w:val="3"/>
        <w:bidi w:val="0"/>
        <w:rPr>
          <w:snapToGrid w:val="0"/>
          <w:color w:val="auto"/>
        </w:rPr>
      </w:pPr>
      <w:bookmarkStart w:id="11" w:name="_Toc3326"/>
      <w:r>
        <w:rPr>
          <w:snapToGrid w:val="0"/>
          <w:color w:val="auto"/>
          <w:sz w:val="36"/>
          <w:szCs w:val="36"/>
        </w:rPr>
        <w:br w:type="page"/>
      </w:r>
      <w:bookmarkStart w:id="12" w:name="_Toc29362"/>
      <w:r>
        <w:rPr>
          <w:snapToGrid w:val="0"/>
          <w:color w:val="auto"/>
        </w:rPr>
        <w:t>四、主要环境影响和保护措施</w:t>
      </w:r>
      <w:bookmarkEnd w:id="12"/>
    </w:p>
    <w:tbl>
      <w:tblPr>
        <w:tblStyle w:val="40"/>
        <w:tblW w:w="504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6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2" w:type="pct"/>
            <w:noWrap w:val="0"/>
            <w:tcMar>
              <w:left w:w="28" w:type="dxa"/>
              <w:right w:w="28" w:type="dxa"/>
            </w:tcMar>
            <w:vAlign w:val="center"/>
          </w:tcPr>
          <w:p>
            <w:pPr>
              <w:pStyle w:val="5"/>
              <w:bidi w:val="0"/>
            </w:pPr>
            <w:r>
              <w:t>施工</w:t>
            </w:r>
          </w:p>
          <w:p>
            <w:pPr>
              <w:pStyle w:val="5"/>
              <w:bidi w:val="0"/>
            </w:pPr>
            <w:r>
              <w:t>期环</w:t>
            </w:r>
          </w:p>
          <w:p>
            <w:pPr>
              <w:pStyle w:val="5"/>
              <w:bidi w:val="0"/>
            </w:pPr>
            <w:r>
              <w:t>境保</w:t>
            </w:r>
          </w:p>
          <w:p>
            <w:pPr>
              <w:pStyle w:val="5"/>
              <w:bidi w:val="0"/>
            </w:pPr>
            <w:r>
              <w:t>护措</w:t>
            </w:r>
          </w:p>
          <w:p>
            <w:pPr>
              <w:pStyle w:val="5"/>
              <w:bidi w:val="0"/>
            </w:pPr>
            <w:r>
              <w:t>施</w:t>
            </w:r>
          </w:p>
        </w:tc>
        <w:tc>
          <w:tcPr>
            <w:tcW w:w="475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default" w:ascii="Times New Roman" w:hAnsi="Times New Roman" w:eastAsia="宋体" w:cs="Times New Roman"/>
                <w:b/>
                <w:bCs w:val="0"/>
                <w:color w:val="auto"/>
                <w:spacing w:val="0"/>
                <w:sz w:val="24"/>
                <w:szCs w:val="24"/>
                <w:highlight w:val="none"/>
                <w:lang w:val="en-US" w:eastAsia="zh-CN"/>
              </w:rPr>
            </w:pPr>
            <w:r>
              <w:rPr>
                <w:rFonts w:hint="eastAsia" w:eastAsia="宋体" w:cs="Times New Roman"/>
                <w:b/>
                <w:bCs w:val="0"/>
                <w:color w:val="auto"/>
                <w:spacing w:val="0"/>
                <w:sz w:val="24"/>
                <w:szCs w:val="24"/>
                <w:highlight w:val="none"/>
                <w:lang w:val="en-US" w:eastAsia="zh-CN"/>
              </w:rPr>
              <w:t>1、</w:t>
            </w:r>
            <w:r>
              <w:rPr>
                <w:rFonts w:hint="default" w:ascii="Times New Roman" w:hAnsi="Times New Roman" w:eastAsia="宋体" w:cs="Times New Roman"/>
                <w:b/>
                <w:bCs w:val="0"/>
                <w:color w:val="auto"/>
                <w:spacing w:val="0"/>
                <w:sz w:val="24"/>
                <w:szCs w:val="24"/>
                <w:highlight w:val="none"/>
                <w:lang w:val="en-US" w:eastAsia="zh-CN"/>
              </w:rPr>
              <w:t>施工期大气污染防治措施</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施工现场实行围挡、围护全封闭施工，根据调研分析，有围挡的施工现场，其扬尘污染相对无围挡的有明显改善，当风速为0.5m/s时，围挡施工可使被污染地区的TSP浓度减少四分之一左右，围挡高度一般不低于1.8m，不高于2.2m。推广使用新型轻质围挡材料。</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禁止混凝土现场搅拌，使用商品混凝土；在施工场地安排员工定期对施工场地洒水以减少扬尘量，洒水次数根据天气状况而定，一般每天洒水1～2次；若遇到大风或干燥天气可适当增加洒水次数。场地洒水后，扬尘量将减低28%～75%，大大减少了其对环境的影响。</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运输车辆必须根据核定的载重量装载，由于弃土弃渣等均是易产生扬尘物质，对于在运输过程中可能产生扬尘的装载物在运输过程中应加以覆盖，不得沿途飞扬、撒漏和带泥上路；注意建筑材料的堆放，尤其是易产生扬尘的材料，应把易产生扬尘的材料堆放在工棚内。</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）加强行政管理，严格遵守国家和当地有关建筑施工管理的有关规定，当风力超过4级的天气，停止易产生扬尘的施工作业。</w:t>
            </w:r>
          </w:p>
          <w:p>
            <w:pPr>
              <w:keepNext w:val="0"/>
              <w:keepLines w:val="0"/>
              <w:suppressLineNumbers w:val="0"/>
              <w:spacing w:before="0" w:beforeAutospacing="0" w:after="0" w:afterAutospacing="0" w:line="360" w:lineRule="auto"/>
              <w:ind w:left="0" w:right="0" w:firstLine="456" w:firstLineChars="200"/>
              <w:rPr>
                <w:rFonts w:hint="eastAsia"/>
                <w:color w:val="auto"/>
                <w:spacing w:val="-6"/>
                <w:sz w:val="24"/>
                <w:highlight w:val="none"/>
                <w:lang w:eastAsia="zh-CN"/>
              </w:rPr>
            </w:pPr>
            <w:r>
              <w:rPr>
                <w:rFonts w:hint="eastAsia"/>
                <w:color w:val="auto"/>
                <w:spacing w:val="-6"/>
                <w:sz w:val="24"/>
                <w:highlight w:val="none"/>
                <w:lang w:eastAsia="zh-CN"/>
              </w:rPr>
              <w:t>（</w:t>
            </w:r>
            <w:r>
              <w:rPr>
                <w:rFonts w:hint="eastAsia"/>
                <w:color w:val="auto"/>
                <w:spacing w:val="-6"/>
                <w:sz w:val="24"/>
                <w:highlight w:val="none"/>
                <w:lang w:val="en-US" w:eastAsia="zh-CN"/>
              </w:rPr>
              <w:t>5</w:t>
            </w:r>
            <w:r>
              <w:rPr>
                <w:rFonts w:hint="eastAsia"/>
                <w:color w:val="auto"/>
                <w:spacing w:val="-6"/>
                <w:sz w:val="24"/>
                <w:highlight w:val="none"/>
                <w:lang w:eastAsia="zh-CN"/>
              </w:rPr>
              <w:t>）在施工场地上设置专人负责弃土、建筑垃圾、建筑材料的处置、清运和堆放，对建筑垃圾及弃土应及时填埋，以减少占地，而堆放场地应避开居民区的上风向，必要时加盖篷布或洒水，防止扬尘污染，改善施工场地的环境。</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6</w:t>
            </w:r>
            <w:r>
              <w:rPr>
                <w:rFonts w:hint="eastAsia"/>
                <w:color w:val="auto"/>
                <w:sz w:val="24"/>
                <w:highlight w:val="none"/>
                <w:lang w:eastAsia="zh-CN"/>
              </w:rPr>
              <w:t>）严格施工扬尘管理，各类工地在施工前，必须按照文明施工要求，制定控制扬尘污染方案，经主管部门审批后方可办理施工许可证。</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lang w:eastAsia="zh-CN"/>
              </w:rPr>
            </w:pPr>
            <w:r>
              <w:rPr>
                <w:rFonts w:hint="eastAsia"/>
                <w:color w:val="auto"/>
                <w:sz w:val="24"/>
                <w:highlight w:val="none"/>
                <w:lang w:eastAsia="zh-CN"/>
              </w:rPr>
              <w:t>（</w:t>
            </w:r>
            <w:r>
              <w:rPr>
                <w:rFonts w:hint="eastAsia"/>
                <w:color w:val="auto"/>
                <w:sz w:val="24"/>
                <w:highlight w:val="none"/>
                <w:lang w:val="en-US" w:eastAsia="zh-CN"/>
              </w:rPr>
              <w:t>7</w:t>
            </w:r>
            <w:r>
              <w:rPr>
                <w:rFonts w:hint="eastAsia"/>
                <w:color w:val="auto"/>
                <w:sz w:val="24"/>
                <w:highlight w:val="none"/>
                <w:lang w:eastAsia="zh-CN"/>
              </w:rPr>
              <w:t>）规范建筑渣场管理，做好建筑渣场的规范化、标准化管理，严格执行建筑渣土准运证制度。</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lang w:eastAsia="zh-CN"/>
              </w:rPr>
            </w:pPr>
            <w:r>
              <w:rPr>
                <w:rFonts w:hint="eastAsia"/>
                <w:color w:val="auto"/>
                <w:sz w:val="24"/>
                <w:highlight w:val="none"/>
                <w:lang w:eastAsia="zh-CN"/>
              </w:rPr>
              <w:t>环评要求在采取有效的抑尘措施的同时，并对车辆进行清洗，对场地进行洒水抑尘，减轻对项目区大气环境的影响。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default" w:ascii="Times New Roman" w:hAnsi="Times New Roman" w:eastAsia="宋体" w:cs="Times New Roman"/>
                <w:b/>
                <w:bCs w:val="0"/>
                <w:color w:val="auto"/>
                <w:spacing w:val="0"/>
                <w:sz w:val="24"/>
                <w:szCs w:val="24"/>
                <w:highlight w:val="none"/>
                <w:lang w:val="en-US" w:eastAsia="zh-CN"/>
              </w:rPr>
            </w:pPr>
            <w:r>
              <w:rPr>
                <w:rFonts w:hint="eastAsia" w:ascii="Times New Roman" w:hAnsi="Times New Roman" w:eastAsia="宋体" w:cs="Times New Roman"/>
                <w:b/>
                <w:bCs w:val="0"/>
                <w:color w:val="auto"/>
                <w:spacing w:val="0"/>
                <w:sz w:val="24"/>
                <w:szCs w:val="24"/>
                <w:highlight w:val="none"/>
                <w:lang w:val="en-US" w:eastAsia="zh-CN"/>
              </w:rPr>
              <w:t>2、</w:t>
            </w:r>
            <w:r>
              <w:rPr>
                <w:rFonts w:hint="default" w:ascii="Times New Roman" w:hAnsi="Times New Roman" w:eastAsia="宋体" w:cs="Times New Roman"/>
                <w:b/>
                <w:bCs w:val="0"/>
                <w:color w:val="auto"/>
                <w:spacing w:val="0"/>
                <w:sz w:val="24"/>
                <w:szCs w:val="24"/>
                <w:highlight w:val="none"/>
                <w:lang w:val="en-US" w:eastAsia="zh-CN"/>
              </w:rPr>
              <w:t>施工期废水污染防治措施</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sz w:val="24"/>
                <w:szCs w:val="24"/>
                <w:highlight w:val="none"/>
                <w:lang w:val="en-US" w:eastAsia="zh-CN"/>
              </w:rPr>
            </w:pPr>
            <w:r>
              <w:rPr>
                <w:rFonts w:hint="eastAsia" w:ascii="Times New Roman" w:hAnsi="Times New Roman" w:eastAsia="宋体" w:cs="Times New Roman"/>
                <w:bCs/>
                <w:color w:val="auto"/>
                <w:spacing w:val="0"/>
                <w:sz w:val="24"/>
                <w:szCs w:val="24"/>
                <w:highlight w:val="none"/>
                <w:lang w:val="en-US" w:eastAsia="zh-CN"/>
              </w:rPr>
              <w:t>（1）</w:t>
            </w:r>
            <w:r>
              <w:rPr>
                <w:rFonts w:hint="default" w:ascii="Times New Roman" w:hAnsi="Times New Roman" w:eastAsia="宋体" w:cs="Times New Roman"/>
                <w:bCs/>
                <w:color w:val="auto"/>
                <w:spacing w:val="0"/>
                <w:sz w:val="24"/>
                <w:szCs w:val="24"/>
                <w:highlight w:val="none"/>
                <w:lang w:val="en-US" w:eastAsia="zh-CN"/>
              </w:rPr>
              <w:t>工程废水</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pacing w:val="0"/>
                <w:sz w:val="24"/>
                <w:szCs w:val="24"/>
                <w:highlight w:val="none"/>
                <w:lang w:val="en-US" w:eastAsia="zh-CN"/>
              </w:rPr>
            </w:pPr>
            <w:r>
              <w:rPr>
                <w:rFonts w:hint="default" w:ascii="Times New Roman" w:hAnsi="Times New Roman" w:eastAsia="宋体" w:cs="Times New Roman"/>
                <w:bCs/>
                <w:color w:val="auto"/>
                <w:spacing w:val="0"/>
                <w:sz w:val="24"/>
                <w:szCs w:val="24"/>
                <w:highlight w:val="none"/>
                <w:lang w:val="en-US" w:eastAsia="zh-CN"/>
              </w:rPr>
              <w:t>施工废水主要为混凝土养护废水和设备、工具清洗废水，产生量较小，主要污染物为悬浮物。工地设置临时沉淀池，少量施工废水不直接排放，应集中收集，经过沉淀池沉淀后，用于洒水抑尘。</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bCs/>
                <w:color w:val="auto"/>
                <w:spacing w:val="0"/>
                <w:sz w:val="24"/>
                <w:szCs w:val="24"/>
                <w:highlight w:val="none"/>
                <w:lang w:val="en-US" w:eastAsia="zh-CN"/>
              </w:rPr>
            </w:pPr>
            <w:r>
              <w:rPr>
                <w:rFonts w:hint="eastAsia" w:ascii="Times New Roman" w:hAnsi="Times New Roman" w:eastAsia="宋体" w:cs="Times New Roman"/>
                <w:bCs/>
                <w:color w:val="auto"/>
                <w:spacing w:val="0"/>
                <w:sz w:val="24"/>
                <w:szCs w:val="24"/>
                <w:highlight w:val="none"/>
                <w:lang w:val="en-US" w:eastAsia="zh-CN"/>
              </w:rPr>
              <w:t>（2）</w:t>
            </w:r>
            <w:r>
              <w:rPr>
                <w:rFonts w:hint="default" w:ascii="Times New Roman" w:hAnsi="Times New Roman" w:eastAsia="宋体" w:cs="Times New Roman"/>
                <w:bCs/>
                <w:color w:val="auto"/>
                <w:spacing w:val="0"/>
                <w:sz w:val="24"/>
                <w:szCs w:val="24"/>
                <w:highlight w:val="none"/>
                <w:lang w:val="en-US" w:eastAsia="zh-CN"/>
              </w:rPr>
              <w:t>生活</w:t>
            </w:r>
            <w:r>
              <w:rPr>
                <w:rFonts w:hint="eastAsia" w:cs="Times New Roman"/>
                <w:bCs/>
                <w:color w:val="auto"/>
                <w:spacing w:val="0"/>
                <w:sz w:val="24"/>
                <w:szCs w:val="24"/>
                <w:highlight w:val="none"/>
                <w:lang w:val="en-US" w:eastAsia="zh-CN"/>
              </w:rPr>
              <w:t>污</w:t>
            </w:r>
            <w:r>
              <w:rPr>
                <w:rFonts w:hint="default" w:ascii="Times New Roman" w:hAnsi="Times New Roman" w:eastAsia="宋体" w:cs="Times New Roman"/>
                <w:bCs/>
                <w:color w:val="auto"/>
                <w:spacing w:val="0"/>
                <w:sz w:val="24"/>
                <w:szCs w:val="24"/>
                <w:highlight w:val="none"/>
                <w:lang w:val="en-US" w:eastAsia="zh-CN"/>
              </w:rPr>
              <w:t>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highlight w:val="none"/>
              </w:rPr>
            </w:pPr>
            <w:r>
              <w:rPr>
                <w:rFonts w:hint="default"/>
                <w:color w:val="auto"/>
                <w:highlight w:val="none"/>
              </w:rPr>
              <w:t>施工期间进场施工人数最大以</w:t>
            </w:r>
            <w:r>
              <w:rPr>
                <w:rFonts w:hint="eastAsia"/>
                <w:color w:val="auto"/>
                <w:highlight w:val="none"/>
                <w:lang w:val="en-US" w:eastAsia="zh-CN"/>
              </w:rPr>
              <w:t>30</w:t>
            </w:r>
            <w:r>
              <w:rPr>
                <w:rFonts w:hint="default"/>
                <w:color w:val="auto"/>
                <w:highlight w:val="none"/>
              </w:rPr>
              <w:t>人计。</w:t>
            </w:r>
            <w:r>
              <w:rPr>
                <w:rFonts w:hint="eastAsia"/>
                <w:color w:val="auto"/>
                <w:highlight w:val="none"/>
                <w:lang w:eastAsia="zh-CN"/>
              </w:rPr>
              <w:t>根据《新疆维吾尔自治区生活用水定额》，用水量按照每人平均</w:t>
            </w:r>
            <w:r>
              <w:rPr>
                <w:rFonts w:hint="eastAsia"/>
                <w:color w:val="auto"/>
                <w:highlight w:val="none"/>
                <w:lang w:val="en-US" w:eastAsia="zh-CN"/>
              </w:rPr>
              <w:t>25</w:t>
            </w:r>
            <w:r>
              <w:rPr>
                <w:rFonts w:hint="eastAsia"/>
                <w:color w:val="auto"/>
                <w:highlight w:val="none"/>
                <w:lang w:eastAsia="zh-CN"/>
              </w:rPr>
              <w:t>L/d计算，</w:t>
            </w:r>
            <w:r>
              <w:rPr>
                <w:rFonts w:hint="default"/>
                <w:color w:val="auto"/>
                <w:highlight w:val="none"/>
              </w:rPr>
              <w:t>施工期</w:t>
            </w:r>
            <w:r>
              <w:rPr>
                <w:rFonts w:hint="eastAsia"/>
                <w:color w:val="auto"/>
                <w:highlight w:val="none"/>
                <w:lang w:eastAsia="zh-CN"/>
              </w:rPr>
              <w:t>共</w:t>
            </w:r>
            <w:r>
              <w:rPr>
                <w:rFonts w:hint="eastAsia"/>
                <w:color w:val="auto"/>
                <w:highlight w:val="none"/>
                <w:lang w:val="en-US" w:eastAsia="zh-CN"/>
              </w:rPr>
              <w:t>240d</w:t>
            </w:r>
            <w:r>
              <w:rPr>
                <w:rFonts w:hint="default"/>
                <w:color w:val="auto"/>
                <w:highlight w:val="none"/>
              </w:rPr>
              <w:t>，</w:t>
            </w:r>
            <w:r>
              <w:rPr>
                <w:rFonts w:hint="eastAsia"/>
                <w:color w:val="auto"/>
                <w:highlight w:val="none"/>
                <w:lang w:eastAsia="zh-CN"/>
              </w:rPr>
              <w:t>总用水</w:t>
            </w:r>
            <w:r>
              <w:rPr>
                <w:rFonts w:hint="eastAsia"/>
                <w:color w:val="auto"/>
                <w:highlight w:val="none"/>
                <w:lang w:val="en-US" w:eastAsia="zh-CN"/>
              </w:rPr>
              <w:t>0.75</w:t>
            </w:r>
            <w:r>
              <w:rPr>
                <w:rFonts w:hint="default"/>
                <w:color w:val="auto"/>
                <w:highlight w:val="none"/>
              </w:rPr>
              <w:t>m</w:t>
            </w:r>
            <w:r>
              <w:rPr>
                <w:rFonts w:hint="default"/>
                <w:color w:val="auto"/>
                <w:highlight w:val="none"/>
                <w:vertAlign w:val="superscript"/>
              </w:rPr>
              <w:t>3</w:t>
            </w:r>
            <w:r>
              <w:rPr>
                <w:rFonts w:hint="default"/>
                <w:color w:val="auto"/>
                <w:highlight w:val="none"/>
              </w:rPr>
              <w:t>/d</w:t>
            </w:r>
            <w:r>
              <w:rPr>
                <w:rFonts w:hint="eastAsia"/>
                <w:color w:val="auto"/>
                <w:highlight w:val="none"/>
                <w:lang w:eastAsia="zh-CN"/>
              </w:rPr>
              <w:t>，</w:t>
            </w:r>
            <w:r>
              <w:rPr>
                <w:rFonts w:hint="eastAsia"/>
                <w:color w:val="auto"/>
                <w:highlight w:val="none"/>
                <w:lang w:val="en-US" w:eastAsia="zh-CN"/>
              </w:rPr>
              <w:t>180</w:t>
            </w:r>
            <w:r>
              <w:rPr>
                <w:rFonts w:hint="default"/>
                <w:color w:val="auto"/>
                <w:highlight w:val="none"/>
              </w:rPr>
              <w:t>m</w:t>
            </w:r>
            <w:r>
              <w:rPr>
                <w:rFonts w:hint="default"/>
                <w:color w:val="auto"/>
                <w:highlight w:val="none"/>
                <w:vertAlign w:val="superscript"/>
              </w:rPr>
              <w:t>3</w:t>
            </w:r>
            <w:r>
              <w:rPr>
                <w:rFonts w:hint="eastAsia"/>
                <w:color w:val="auto"/>
                <w:highlight w:val="none"/>
                <w:lang w:val="en-US" w:eastAsia="zh-CN"/>
              </w:rPr>
              <w:t>，</w:t>
            </w:r>
            <w:r>
              <w:rPr>
                <w:rFonts w:hint="default"/>
                <w:color w:val="auto"/>
                <w:highlight w:val="none"/>
              </w:rPr>
              <w:t>排放系数以</w:t>
            </w:r>
            <w:r>
              <w:rPr>
                <w:rFonts w:hint="eastAsia"/>
                <w:color w:val="auto"/>
                <w:highlight w:val="none"/>
                <w:lang w:val="en-US" w:eastAsia="zh-CN"/>
              </w:rPr>
              <w:t>0.8</w:t>
            </w:r>
            <w:r>
              <w:rPr>
                <w:rFonts w:hint="default"/>
                <w:color w:val="auto"/>
                <w:highlight w:val="none"/>
              </w:rPr>
              <w:t>计，排放量约为</w:t>
            </w:r>
            <w:r>
              <w:rPr>
                <w:rFonts w:hint="eastAsia"/>
                <w:color w:val="auto"/>
                <w:highlight w:val="none"/>
                <w:lang w:val="en-US" w:eastAsia="zh-CN"/>
              </w:rPr>
              <w:t>0.6</w:t>
            </w:r>
            <w:r>
              <w:rPr>
                <w:rFonts w:hint="default"/>
                <w:color w:val="auto"/>
                <w:highlight w:val="none"/>
              </w:rPr>
              <w:t>m</w:t>
            </w:r>
            <w:r>
              <w:rPr>
                <w:rFonts w:hint="default"/>
                <w:color w:val="auto"/>
                <w:highlight w:val="none"/>
                <w:vertAlign w:val="superscript"/>
              </w:rPr>
              <w:t>3</w:t>
            </w:r>
            <w:r>
              <w:rPr>
                <w:rFonts w:hint="default"/>
                <w:color w:val="auto"/>
                <w:highlight w:val="none"/>
              </w:rPr>
              <w:t>/d</w:t>
            </w:r>
            <w:r>
              <w:rPr>
                <w:rFonts w:hint="eastAsia"/>
                <w:color w:val="auto"/>
                <w:highlight w:val="none"/>
                <w:lang w:eastAsia="zh-CN"/>
              </w:rPr>
              <w:t>，总排水量</w:t>
            </w:r>
            <w:r>
              <w:rPr>
                <w:rFonts w:hint="eastAsia"/>
                <w:color w:val="auto"/>
                <w:highlight w:val="none"/>
                <w:lang w:val="en-US" w:eastAsia="zh-CN"/>
              </w:rPr>
              <w:t>144</w:t>
            </w:r>
            <w:r>
              <w:rPr>
                <w:rFonts w:hint="default"/>
                <w:color w:val="auto"/>
                <w:highlight w:val="none"/>
              </w:rPr>
              <w:t>m</w:t>
            </w:r>
            <w:r>
              <w:rPr>
                <w:rFonts w:hint="default"/>
                <w:color w:val="auto"/>
                <w:highlight w:val="none"/>
                <w:vertAlign w:val="superscript"/>
              </w:rPr>
              <w:t>3</w:t>
            </w:r>
            <w:r>
              <w:rPr>
                <w:rFonts w:hint="default"/>
                <w:color w:val="auto"/>
                <w:highlight w:val="none"/>
              </w:rPr>
              <w:t>。</w:t>
            </w:r>
            <w:r>
              <w:rPr>
                <w:rFonts w:hint="eastAsia"/>
                <w:color w:val="auto"/>
                <w:highlight w:val="none"/>
                <w:lang w:eastAsia="zh-CN"/>
              </w:rPr>
              <w:t>生活污水集中收集，</w:t>
            </w:r>
            <w:r>
              <w:rPr>
                <w:rFonts w:hint="eastAsia"/>
                <w:color w:val="auto"/>
                <w:highlight w:val="none"/>
                <w:lang w:val="en-US" w:eastAsia="zh-CN"/>
              </w:rPr>
              <w:t>拉运至若羌县污水处理厂</w:t>
            </w:r>
            <w:r>
              <w:rPr>
                <w:rFonts w:hint="eastAsia"/>
                <w:color w:val="auto"/>
                <w:kern w:val="0"/>
                <w:highlight w:val="none"/>
                <w:lang w:val="en-US" w:eastAsia="zh-CN"/>
              </w:rPr>
              <w:t>处理</w:t>
            </w:r>
            <w:r>
              <w:rPr>
                <w:rFonts w:hint="default"/>
                <w:color w:val="auto"/>
                <w:highlight w:val="none"/>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施工期噪声防治措施</w:t>
            </w:r>
          </w:p>
          <w:p>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（1）合理安排施工时间，应尽可能避免大量高噪声设备同时施工，使用高噪声设备的施工阶段应尽量安排在白天，减少夜间的施工量；</w:t>
            </w:r>
          </w:p>
          <w:p>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（2）合理布置施工现场，应避免在施工现场的同一地点安排大量的高噪声设备，造成局部声级过高</w:t>
            </w:r>
            <w:r>
              <w:rPr>
                <w:rFonts w:hint="eastAsia"/>
                <w:lang w:val="en-US" w:eastAsia="zh-CN"/>
              </w:rPr>
              <w:t>；</w:t>
            </w:r>
          </w:p>
          <w:p>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（3）施工设备选型时尽量采用低噪声设备，如振捣器采用高频振捣器等；</w:t>
            </w:r>
          </w:p>
          <w:p>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（4）对动力机械设备定期进行维修和养护，避免因松动部件振动或消声器损坏而加大设备工作时的声级；</w:t>
            </w:r>
          </w:p>
          <w:p>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（5）尽量少用哨子、喇叭、笛等指挥作业，减少人为噪声；</w:t>
            </w:r>
          </w:p>
          <w:p>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（6）</w:t>
            </w:r>
            <w:r>
              <w:rPr>
                <w:rFonts w:hint="eastAsia"/>
                <w:lang w:val="en-US" w:eastAsia="zh-CN"/>
              </w:rPr>
              <w:t>禁止</w:t>
            </w:r>
            <w:r>
              <w:rPr>
                <w:rFonts w:hint="default"/>
                <w:lang w:val="en-US" w:eastAsia="zh-CN"/>
              </w:rPr>
              <w:t>运输车辆夜间的运输量，运输车辆在进入施工区附近区域后，要适当降低车速，避免或杜绝鸣笛</w:t>
            </w:r>
            <w:r>
              <w:rPr>
                <w:rFonts w:hint="eastAsia"/>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default" w:ascii="Times New Roman" w:hAnsi="Times New Roman" w:eastAsia="宋体" w:cs="Times New Roman"/>
                <w:b/>
                <w:bCs w:val="0"/>
                <w:color w:val="auto"/>
                <w:spacing w:val="0"/>
                <w:sz w:val="24"/>
                <w:szCs w:val="24"/>
                <w:highlight w:val="none"/>
                <w:lang w:val="en-US" w:eastAsia="zh-CN"/>
              </w:rPr>
            </w:pPr>
            <w:r>
              <w:rPr>
                <w:rFonts w:hint="eastAsia" w:ascii="Times New Roman" w:hAnsi="Times New Roman" w:eastAsia="宋体" w:cs="Times New Roman"/>
                <w:b/>
                <w:bCs w:val="0"/>
                <w:color w:val="auto"/>
                <w:spacing w:val="0"/>
                <w:sz w:val="24"/>
                <w:szCs w:val="24"/>
                <w:highlight w:val="none"/>
                <w:lang w:val="en-US" w:eastAsia="zh-CN"/>
              </w:rPr>
              <w:t>4、</w:t>
            </w:r>
            <w:r>
              <w:rPr>
                <w:rFonts w:hint="default" w:ascii="Times New Roman" w:hAnsi="Times New Roman" w:eastAsia="宋体" w:cs="Times New Roman"/>
                <w:b/>
                <w:bCs w:val="0"/>
                <w:color w:val="auto"/>
                <w:spacing w:val="0"/>
                <w:sz w:val="24"/>
                <w:szCs w:val="24"/>
                <w:highlight w:val="none"/>
                <w:lang w:val="en-US" w:eastAsia="zh-CN"/>
              </w:rPr>
              <w:t>施工期固废污染防治措施</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Cs/>
                <w:color w:val="auto"/>
                <w:spacing w:val="0"/>
                <w:sz w:val="24"/>
                <w:szCs w:val="24"/>
                <w:highlight w:val="none"/>
                <w:lang w:val="en-US" w:eastAsia="zh-CN"/>
              </w:rPr>
            </w:pPr>
            <w:bookmarkStart w:id="13" w:name="_Toc1402"/>
            <w:bookmarkStart w:id="14" w:name="_Toc19045"/>
            <w:bookmarkStart w:id="15" w:name="_Toc4725"/>
            <w:r>
              <w:rPr>
                <w:rFonts w:hint="default"/>
              </w:rPr>
              <w:t>施工期固废主要是生活垃圾及施工建筑垃圾。生活垃圾主要包括废弃的各种生活用品以及饮食垃圾</w:t>
            </w:r>
            <w:r>
              <w:rPr>
                <w:rFonts w:hint="eastAsia"/>
                <w:lang w:eastAsia="zh-CN"/>
              </w:rPr>
              <w:t>，</w:t>
            </w:r>
            <w:r>
              <w:rPr>
                <w:rFonts w:hint="eastAsia"/>
                <w:lang w:val="en-US" w:eastAsia="zh-CN"/>
              </w:rPr>
              <w:t>生活垃圾产生系数按</w:t>
            </w:r>
            <w:r>
              <w:rPr>
                <w:rFonts w:hint="default"/>
                <w:lang w:val="en-US" w:eastAsia="zh-CN"/>
              </w:rPr>
              <w:t>0.5kg/d</w:t>
            </w:r>
            <w:r>
              <w:rPr>
                <w:rFonts w:hint="eastAsia"/>
                <w:lang w:val="en-US" w:eastAsia="zh-CN"/>
              </w:rPr>
              <w:t>·人计，施工人员30人，则生活垃圾产生量约3.6</w:t>
            </w:r>
            <w:r>
              <w:rPr>
                <w:rFonts w:hint="default"/>
                <w:lang w:val="en-US" w:eastAsia="zh-CN"/>
              </w:rPr>
              <w:t>t/a</w:t>
            </w:r>
            <w:r>
              <w:rPr>
                <w:rFonts w:hint="eastAsia"/>
                <w:lang w:val="en-US" w:eastAsia="zh-CN"/>
              </w:rPr>
              <w:t>。集中收集交由环卫部门集中清运处理</w:t>
            </w:r>
            <w:r>
              <w:rPr>
                <w:rFonts w:hint="eastAsia"/>
                <w:lang w:eastAsia="zh-CN"/>
              </w:rPr>
              <w:t>；</w:t>
            </w:r>
            <w:r>
              <w:rPr>
                <w:rFonts w:hint="default"/>
              </w:rPr>
              <w:t>施工建筑垃圾主要包括设备的废包装及安装过程产生的垃圾</w:t>
            </w:r>
            <w:bookmarkEnd w:id="13"/>
            <w:bookmarkEnd w:id="14"/>
            <w:bookmarkEnd w:id="15"/>
            <w:r>
              <w:rPr>
                <w:rFonts w:hint="eastAsia"/>
                <w:lang w:eastAsia="zh-CN"/>
              </w:rPr>
              <w:t>，建筑垃圾集中收集后清运至建筑</w:t>
            </w:r>
            <w:r>
              <w:rPr>
                <w:rFonts w:hint="eastAsia"/>
                <w:lang w:val="en-US" w:eastAsia="zh-CN"/>
              </w:rPr>
              <w:t>部门指定地点处置</w:t>
            </w:r>
            <w:r>
              <w:rPr>
                <w:rFonts w:hint="eastAsia"/>
                <w:lang w:eastAsia="zh-CN"/>
              </w:rPr>
              <w:t>，对周围环境影响较小</w:t>
            </w:r>
            <w:r>
              <w:rPr>
                <w:rFonts w:hint="eastAsia" w:cs="Times New Roman"/>
                <w:bCs/>
                <w:color w:val="auto"/>
                <w:spacing w:val="0"/>
                <w:sz w:val="24"/>
                <w:szCs w:val="24"/>
                <w:highlight w:val="none"/>
                <w:lang w:val="en-US" w:eastAsia="zh-CN"/>
              </w:rPr>
              <w:t>。</w:t>
            </w:r>
          </w:p>
          <w:p>
            <w:pPr>
              <w:pStyle w:val="4"/>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5、</w:t>
            </w:r>
            <w:r>
              <w:rPr>
                <w:rFonts w:hint="eastAsia"/>
                <w:color w:val="auto"/>
                <w:highlight w:val="none"/>
                <w:lang w:eastAsia="zh-CN"/>
              </w:rPr>
              <w:t>建设项目水土保持的措施</w:t>
            </w:r>
          </w:p>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eastAsia="zh-CN"/>
              </w:rPr>
              <w:t>①</w:t>
            </w:r>
            <w:r>
              <w:rPr>
                <w:rFonts w:hint="eastAsia"/>
                <w:color w:val="auto"/>
                <w:highlight w:val="none"/>
              </w:rPr>
              <w:t>施工过程中建（构）筑物基础开挖，用于场地平整的土石料，应随时运往需要平整的场地，防止碾压；</w:t>
            </w:r>
          </w:p>
          <w:p>
            <w:pPr>
              <w:keepNext w:val="0"/>
              <w:keepLines w:val="0"/>
              <w:suppressLineNumbers w:val="0"/>
              <w:bidi w:val="0"/>
              <w:spacing w:before="0" w:beforeAutospacing="0" w:after="0" w:afterAutospacing="0"/>
              <w:ind w:left="0" w:right="0"/>
              <w:rPr>
                <w:rFonts w:hint="eastAsia" w:eastAsia="宋体"/>
                <w:color w:val="auto"/>
                <w:highlight w:val="none"/>
                <w:lang w:eastAsia="zh-CN"/>
              </w:rPr>
            </w:pPr>
            <w:r>
              <w:rPr>
                <w:rFonts w:hint="eastAsia"/>
                <w:color w:val="auto"/>
                <w:highlight w:val="none"/>
                <w:lang w:eastAsia="zh-CN"/>
              </w:rPr>
              <w:t>②</w:t>
            </w:r>
            <w:r>
              <w:rPr>
                <w:rFonts w:hint="eastAsia"/>
                <w:color w:val="auto"/>
                <w:highlight w:val="none"/>
              </w:rPr>
              <w:t>用于回填的土料需根据项目区建（构）筑物的布设位置和</w:t>
            </w:r>
            <w:r>
              <w:rPr>
                <w:rFonts w:hint="eastAsia"/>
                <w:color w:val="auto"/>
                <w:highlight w:val="none"/>
                <w:lang w:eastAsia="zh-CN"/>
              </w:rPr>
              <w:t>厂区</w:t>
            </w:r>
            <w:r>
              <w:rPr>
                <w:rFonts w:hint="eastAsia"/>
                <w:color w:val="auto"/>
                <w:highlight w:val="none"/>
              </w:rPr>
              <w:t>道路布设情况，集中堆放，临时堆土场人工拍实，堆放高度不得超过3.0m，采取纤维布苫盖临时挡护措施，待基础浇筑完成后及时回填，及时将堆土场平整清理，设计纤维布幅宽2.0m，每隔5.0m布设一立杆，并用铁丝绑牢固</w:t>
            </w:r>
            <w:r>
              <w:rPr>
                <w:rFonts w:hint="eastAsia"/>
                <w:color w:val="auto"/>
                <w:highlight w:val="none"/>
                <w:lang w:eastAsia="zh-CN"/>
              </w:rPr>
              <w:t>。</w:t>
            </w:r>
          </w:p>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eastAsia="zh-CN"/>
              </w:rPr>
              <w:t>③</w:t>
            </w:r>
            <w:r>
              <w:rPr>
                <w:rFonts w:hint="eastAsia"/>
                <w:color w:val="auto"/>
                <w:highlight w:val="none"/>
              </w:rPr>
              <w:t>项目设置堆土区，开挖土料集中堆放在临时堆土区人工拍实，并在顶部设置纤维布苫盖措施，外侧边坡采用纤维土袋临时挡护措施，设计纤维土袋挡土墙高1m，宽0.5m，外坡比1</w:t>
            </w:r>
            <w:r>
              <w:rPr>
                <w:rFonts w:hint="eastAsia"/>
                <w:color w:val="auto"/>
                <w:highlight w:val="none"/>
                <w:lang w:eastAsia="zh-CN"/>
              </w:rPr>
              <w:t>:</w:t>
            </w:r>
            <w:r>
              <w:rPr>
                <w:rFonts w:hint="eastAsia"/>
                <w:color w:val="auto"/>
                <w:highlight w:val="none"/>
              </w:rPr>
              <w:t>0.5。</w:t>
            </w:r>
          </w:p>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eastAsia="zh-CN"/>
              </w:rPr>
              <w:t>④加强厂区绿化，</w:t>
            </w:r>
            <w:r>
              <w:rPr>
                <w:rFonts w:hint="eastAsia"/>
                <w:color w:val="auto"/>
                <w:highlight w:val="none"/>
              </w:rPr>
              <w:t>选择适应性强、生长迅速、繁殖容易的草灌为主，草种选择早熟禾。</w:t>
            </w:r>
          </w:p>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⑤</w:t>
            </w:r>
            <w:r>
              <w:rPr>
                <w:rFonts w:hint="eastAsia"/>
                <w:color w:val="auto"/>
                <w:highlight w:val="none"/>
              </w:rPr>
              <w:t>施工过程中随时保持施工现场排水设施的畅通。</w:t>
            </w:r>
          </w:p>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val="en-US" w:eastAsia="zh-CN"/>
              </w:rPr>
              <w:t>⑥</w:t>
            </w:r>
            <w:r>
              <w:rPr>
                <w:rFonts w:hint="eastAsia"/>
                <w:color w:val="auto"/>
                <w:highlight w:val="none"/>
              </w:rPr>
              <w:t>当暴雨来临时应使用一些防护物，如使用草席等覆盖。</w:t>
            </w:r>
          </w:p>
          <w:p>
            <w:pPr>
              <w:keepNext w:val="0"/>
              <w:keepLines w:val="0"/>
              <w:suppressLineNumbers w:val="0"/>
              <w:bidi w:val="0"/>
              <w:spacing w:before="0" w:beforeAutospacing="0" w:after="0" w:afterAutospacing="0"/>
              <w:ind w:left="0" w:right="0"/>
              <w:rPr>
                <w:rFonts w:hint="eastAsia"/>
                <w:color w:val="auto"/>
                <w:highlight w:val="none"/>
              </w:rPr>
            </w:pPr>
            <w:r>
              <w:rPr>
                <w:rFonts w:hint="eastAsia"/>
                <w:color w:val="auto"/>
                <w:highlight w:val="none"/>
                <w:lang w:eastAsia="zh-CN"/>
              </w:rPr>
              <w:t>⑦</w:t>
            </w:r>
            <w:r>
              <w:rPr>
                <w:rFonts w:hint="eastAsia"/>
                <w:color w:val="auto"/>
                <w:highlight w:val="none"/>
              </w:rPr>
              <w:t>合理布置施工时间，避开雨季及大风天气进行施工。</w:t>
            </w:r>
          </w:p>
          <w:p>
            <w:pPr>
              <w:pStyle w:val="4"/>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6、防沙治沙措施</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项目施工过程中对周边沙化土地的影响</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（1）弃土、石、渣地等对当地土地沙化和沙尘天气的影响</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本项目开挖作业时会产生土石方，产生的土石方全部用于回填。</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项目建设过程中对原地貌的扰动将降低项目占地范围内的土壤抗侵蚀能力，造成土地沙化；此外，由于项目地处内陆地区，风沙较大，空气干燥，若项目土石方堆存过程中未采取防尘网苫盖、洒水抑尘等措施，地表沙化的土壤及废土、废渣遇大风天气易产生严重的扬尘，形成沙尘天气。</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（2）可能造成的土地沙化和沙尘等生态危害</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项目施工期主要包括开挖、场地平整施工过程中，对原有地表土壤造成扰动，造成地表原有结构的破坏。开挖过程中，若未采取分层开挖、分层回填措施，可能导致土壤的蓄水保肥能力降低，造成土壤逐渐沙化。</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上述施工作业过程中，对原地貌的扰动降低了项目占地范围内的土壤抗侵蚀能力，若未采取相应的防护措施，遇大风天气，极易加重区域沙尘天气。</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（3）防沙治沙内容及措施</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①施工完成后，加大厂区绿化面积，物料堆存进行遮盖或封闭储存，降低物料风蚀和扬尘，沙化土地扩展趋势得到遏制，区域生态环境显著改善。</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②施工过程中采取分层开挖、分层回填措施，避免破坏区域土壤肥力；</w:t>
            </w:r>
          </w:p>
          <w:p>
            <w:pPr>
              <w:keepNext w:val="0"/>
              <w:keepLines w:val="0"/>
              <w:suppressLineNumbers w:val="0"/>
              <w:bidi w:val="0"/>
              <w:spacing w:before="0" w:beforeAutospacing="0" w:after="0" w:afterAutospacing="0"/>
              <w:ind w:left="0" w:right="0"/>
              <w:rPr>
                <w:bCs/>
                <w:color w:val="000000"/>
                <w:spacing w:val="0"/>
                <w:kern w:val="0"/>
                <w:szCs w:val="21"/>
              </w:rPr>
            </w:pPr>
            <w:r>
              <w:rPr>
                <w:rFonts w:hint="eastAsia"/>
                <w:color w:val="auto"/>
                <w:highlight w:val="none"/>
                <w:lang w:val="en-US" w:eastAsia="zh-CN"/>
              </w:rPr>
              <w:t>③施工结束后应根据场地周边植被分布情况，在满足设计要求的前提下进行适当的调整</w:t>
            </w:r>
            <w:r>
              <w:rPr>
                <w:rFonts w:hint="eastAsia"/>
                <w:bCs/>
                <w:color w:val="000000"/>
                <w:spacing w:val="0"/>
                <w:kern w:val="0"/>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0" w:hRule="atLeast"/>
          <w:jc w:val="center"/>
        </w:trPr>
        <w:tc>
          <w:tcPr>
            <w:tcW w:w="242" w:type="pct"/>
            <w:noWrap w:val="0"/>
            <w:tcMar>
              <w:left w:w="28" w:type="dxa"/>
              <w:right w:w="28" w:type="dxa"/>
            </w:tcMar>
            <w:vAlign w:val="center"/>
          </w:tcPr>
          <w:p>
            <w:pPr>
              <w:pStyle w:val="5"/>
              <w:bidi w:val="0"/>
            </w:pPr>
            <w:r>
              <w:t>运营</w:t>
            </w:r>
          </w:p>
          <w:p>
            <w:pPr>
              <w:pStyle w:val="5"/>
              <w:bidi w:val="0"/>
            </w:pPr>
            <w:r>
              <w:t>期环</w:t>
            </w:r>
          </w:p>
          <w:p>
            <w:pPr>
              <w:pStyle w:val="5"/>
              <w:bidi w:val="0"/>
            </w:pPr>
            <w:r>
              <w:t>境影</w:t>
            </w:r>
          </w:p>
          <w:p>
            <w:pPr>
              <w:pStyle w:val="5"/>
              <w:bidi w:val="0"/>
            </w:pPr>
            <w:r>
              <w:t>响和</w:t>
            </w:r>
          </w:p>
          <w:p>
            <w:pPr>
              <w:pStyle w:val="5"/>
              <w:bidi w:val="0"/>
            </w:pPr>
            <w:r>
              <w:t>保护</w:t>
            </w:r>
          </w:p>
          <w:p>
            <w:pPr>
              <w:pStyle w:val="5"/>
              <w:bidi w:val="0"/>
              <w:rPr>
                <w:b/>
                <w:bCs/>
                <w:color w:val="000000"/>
                <w:spacing w:val="0"/>
                <w:kern w:val="0"/>
                <w:szCs w:val="21"/>
              </w:rPr>
            </w:pPr>
            <w:r>
              <w:t>措施</w:t>
            </w:r>
          </w:p>
        </w:tc>
        <w:tc>
          <w:tcPr>
            <w:tcW w:w="4757" w:type="pct"/>
            <w:noWrap w:val="0"/>
            <w:vAlign w:val="center"/>
          </w:tcPr>
          <w:p>
            <w:pPr>
              <w:pStyle w:val="4"/>
              <w:bidi w:val="0"/>
            </w:pPr>
            <w:r>
              <w:t>1</w:t>
            </w:r>
            <w:r>
              <w:rPr>
                <w:rFonts w:hint="eastAsia"/>
                <w:lang w:eastAsia="zh-CN"/>
              </w:rPr>
              <w:t>、</w:t>
            </w:r>
            <w:r>
              <w:t>废气</w:t>
            </w:r>
          </w:p>
          <w:p>
            <w:pPr>
              <w:pStyle w:val="4"/>
              <w:bidi w:val="0"/>
            </w:pPr>
            <w:r>
              <w:t>1.1废气源强核算</w:t>
            </w:r>
          </w:p>
          <w:p>
            <w:pPr>
              <w:keepLines w:val="0"/>
              <w:pageBreakBefore w:val="0"/>
              <w:widowControl/>
              <w:tabs>
                <w:tab w:val="left" w:pos="7767"/>
              </w:tabs>
              <w:kinsoku/>
              <w:wordWrap/>
              <w:overflowPunct/>
              <w:bidi w:val="0"/>
              <w:adjustRightInd w:val="0"/>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本项目运营期废气主要</w:t>
            </w:r>
            <w:r>
              <w:rPr>
                <w:rFonts w:hint="eastAsia" w:cs="Times New Roman"/>
                <w:color w:val="000000"/>
                <w:sz w:val="24"/>
                <w:lang w:val="en-US" w:eastAsia="zh-CN"/>
              </w:rPr>
              <w:t>为</w:t>
            </w:r>
            <w:r>
              <w:rPr>
                <w:rFonts w:hint="eastAsia" w:ascii="Times New Roman" w:hAnsi="Times New Roman" w:cs="Times New Roman"/>
                <w:color w:val="000000"/>
                <w:sz w:val="24"/>
                <w:lang w:val="en-US" w:eastAsia="zh-CN"/>
              </w:rPr>
              <w:t>粉尘</w:t>
            </w:r>
            <w:r>
              <w:rPr>
                <w:rFonts w:hint="eastAsia" w:ascii="Times New Roman" w:hAnsi="Times New Roman" w:eastAsia="宋体" w:cs="Times New Roman"/>
                <w:color w:val="000000"/>
                <w:sz w:val="24"/>
              </w:rPr>
              <w:t>。</w:t>
            </w:r>
          </w:p>
          <w:p>
            <w:pPr>
              <w:keepNext/>
              <w:keepLines w:val="0"/>
              <w:pageBreakBefore w:val="0"/>
              <w:widowControl/>
              <w:kinsoku/>
              <w:wordWrap/>
              <w:overflowPunct/>
              <w:bidi w:val="0"/>
              <w:adjustRightInd w:val="0"/>
              <w:snapToGrid w:val="0"/>
              <w:spacing w:line="360" w:lineRule="auto"/>
              <w:ind w:firstLine="480" w:firstLineChars="200"/>
              <w:jc w:val="both"/>
              <w:outlineLvl w:val="1"/>
              <w:rPr>
                <w:rFonts w:ascii="Times New Roman" w:hAnsi="Times New Roman" w:eastAsia="宋体" w:cs="Times New Roman"/>
                <w:b w:val="0"/>
                <w:bCs w:val="0"/>
                <w:kern w:val="2"/>
                <w:sz w:val="24"/>
                <w:szCs w:val="32"/>
                <w:lang w:val="en-US" w:eastAsia="zh-CN" w:bidi="ar-SA"/>
              </w:rPr>
            </w:pPr>
            <w:r>
              <w:rPr>
                <w:rFonts w:hint="eastAsia" w:ascii="Times New Roman" w:hAnsi="Times New Roman" w:eastAsia="宋体" w:cs="Times New Roman"/>
                <w:b w:val="0"/>
                <w:bCs w:val="0"/>
                <w:color w:val="000000"/>
                <w:kern w:val="2"/>
                <w:sz w:val="24"/>
                <w:szCs w:val="24"/>
                <w:lang w:val="en-US" w:eastAsia="zh-CN" w:bidi="ar-SA"/>
              </w:rPr>
              <w:t>（1）砂石料在堆存过程中产生的粉尘</w:t>
            </w:r>
          </w:p>
          <w:p>
            <w:pPr>
              <w:keepLines w:val="0"/>
              <w:pageBreakBefore w:val="0"/>
              <w:widowControl/>
              <w:kinsoku/>
              <w:wordWrap/>
              <w:overflowPunct/>
              <w:bidi w:val="0"/>
              <w:snapToGrid w:val="0"/>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本项目砂石料装卸和堆存粉尘参考《固体物料堆存颗粒物产排污核算系数手册》中颗粒物产生量计算公式：</w:t>
            </w:r>
          </w:p>
          <w:p>
            <w:pPr>
              <w:keepLines w:val="0"/>
              <w:pageBreakBefore w:val="0"/>
              <w:widowControl/>
              <w:kinsoku/>
              <w:wordWrap/>
              <w:overflowPunct/>
              <w:bidi w:val="0"/>
              <w:snapToGrid w:val="0"/>
              <w:spacing w:line="360" w:lineRule="auto"/>
              <w:ind w:firstLine="480" w:firstLineChars="200"/>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object>
                <v:shape id="_x0000_i1028" o:spt="75" type="#_x0000_t75" style="height:20pt;width:250pt;" o:ole="t" filled="f" o:preferrelative="t" stroked="f" coordsize="21600,21600">
                  <v:path/>
                  <v:fill on="f" focussize="0,0"/>
                  <v:stroke on="f" joinstyle="miter"/>
                  <v:imagedata r:id="rId19" o:title=""/>
                  <o:lock v:ext="edit" aspectratio="t"/>
                  <w10:wrap type="none"/>
                  <w10:anchorlock/>
                </v:shape>
                <o:OLEObject Type="Embed" ProgID="Equation.KSEE3" ShapeID="_x0000_i1028" DrawAspect="Content" ObjectID="_1468075728" r:id="rId18">
                  <o:LockedField>false</o:LockedField>
                </o:OLEObject>
              </w:object>
            </w:r>
          </w:p>
          <w:p>
            <w:pPr>
              <w:keepLines w:val="0"/>
              <w:pageBreakBefore w:val="0"/>
              <w:widowControl/>
              <w:kinsoku/>
              <w:wordWrap/>
              <w:overflowPunct/>
              <w:bidi w:val="0"/>
              <w:snapToGrid w:val="0"/>
              <w:spacing w:line="360" w:lineRule="auto"/>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式中：P指颗粒物产生量（单位：吨）；</w:t>
            </w:r>
          </w:p>
          <w:p>
            <w:pPr>
              <w:keepLines w:val="0"/>
              <w:pageBreakBefore w:val="0"/>
              <w:widowControl/>
              <w:kinsoku/>
              <w:wordWrap/>
              <w:overflowPunct/>
              <w:bidi w:val="0"/>
              <w:snapToGrid w:val="0"/>
              <w:spacing w:line="360" w:lineRule="auto"/>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ZCy指装卸扬尘产生量（单位：吨）；</w:t>
            </w:r>
          </w:p>
          <w:p>
            <w:pPr>
              <w:keepLines w:val="0"/>
              <w:pageBreakBefore w:val="0"/>
              <w:widowControl/>
              <w:kinsoku/>
              <w:wordWrap/>
              <w:overflowPunct/>
              <w:bidi w:val="0"/>
              <w:snapToGrid w:val="0"/>
              <w:spacing w:line="360" w:lineRule="auto"/>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FCy指风蚀扬尘产生量（单位：吨）；</w:t>
            </w:r>
          </w:p>
          <w:p>
            <w:pPr>
              <w:keepLines w:val="0"/>
              <w:pageBreakBefore w:val="0"/>
              <w:widowControl/>
              <w:kinsoku/>
              <w:wordWrap/>
              <w:overflowPunct/>
              <w:bidi w:val="0"/>
              <w:snapToGrid w:val="0"/>
              <w:spacing w:line="360" w:lineRule="auto"/>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Nc指物料运载车次（单位：车），砂石料取</w:t>
            </w:r>
            <w:r>
              <w:rPr>
                <w:rFonts w:hint="eastAsia" w:ascii="Times New Roman" w:hAnsi="Times New Roman" w:cs="Times New Roman"/>
                <w:color w:val="000000"/>
                <w:kern w:val="0"/>
                <w:sz w:val="24"/>
                <w:lang w:val="en-US" w:eastAsia="zh-CN" w:bidi="ar"/>
              </w:rPr>
              <w:t>500</w:t>
            </w:r>
            <w:r>
              <w:rPr>
                <w:rFonts w:ascii="Times New Roman" w:hAnsi="Times New Roman" w:eastAsia="宋体" w:cs="Times New Roman"/>
                <w:color w:val="000000"/>
                <w:kern w:val="0"/>
                <w:sz w:val="24"/>
                <w:lang w:bidi="ar"/>
              </w:rPr>
              <w:t>车；</w:t>
            </w:r>
          </w:p>
          <w:p>
            <w:pPr>
              <w:keepLines w:val="0"/>
              <w:pageBreakBefore w:val="0"/>
              <w:widowControl/>
              <w:kinsoku/>
              <w:wordWrap/>
              <w:overflowPunct/>
              <w:bidi w:val="0"/>
              <w:snapToGrid w:val="0"/>
              <w:spacing w:line="360" w:lineRule="auto"/>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D指单车平均运载量（单位：吨/车），取</w:t>
            </w:r>
            <w:r>
              <w:rPr>
                <w:rFonts w:hint="eastAsia" w:ascii="Times New Roman" w:hAnsi="Times New Roman" w:cs="Times New Roman"/>
                <w:color w:val="000000"/>
                <w:kern w:val="0"/>
                <w:sz w:val="24"/>
                <w:lang w:val="en-US" w:eastAsia="zh-CN" w:bidi="ar"/>
              </w:rPr>
              <w:t>32</w:t>
            </w:r>
            <w:r>
              <w:rPr>
                <w:rFonts w:ascii="Times New Roman" w:hAnsi="Times New Roman" w:eastAsia="宋体" w:cs="Times New Roman"/>
                <w:color w:val="000000"/>
                <w:kern w:val="0"/>
                <w:sz w:val="24"/>
                <w:lang w:bidi="ar"/>
              </w:rPr>
              <w:t>吨/车；</w:t>
            </w:r>
          </w:p>
          <w:p>
            <w:pPr>
              <w:keepLines w:val="0"/>
              <w:pageBreakBefore w:val="0"/>
              <w:widowControl/>
              <w:kinsoku/>
              <w:wordWrap/>
              <w:overflowPunct/>
              <w:bidi w:val="0"/>
              <w:snapToGrid w:val="0"/>
              <w:spacing w:line="360" w:lineRule="auto"/>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（a/b）指装卸扬尘概化系数（单位：千克/吨）取0.1309，a指各省风速概化系数、取0.0011，b指物料含水率概化系数、取0.0084；</w:t>
            </w:r>
          </w:p>
          <w:p>
            <w:pPr>
              <w:keepLines w:val="0"/>
              <w:pageBreakBefore w:val="0"/>
              <w:widowControl/>
              <w:kinsoku/>
              <w:wordWrap/>
              <w:overflowPunct/>
              <w:bidi w:val="0"/>
              <w:snapToGrid w:val="0"/>
              <w:spacing w:line="360" w:lineRule="auto"/>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E</w:t>
            </w:r>
            <w:r>
              <w:rPr>
                <w:rFonts w:ascii="Times New Roman" w:hAnsi="Times New Roman" w:eastAsia="宋体" w:cs="Times New Roman"/>
                <w:color w:val="000000"/>
                <w:kern w:val="0"/>
                <w:sz w:val="24"/>
                <w:vertAlign w:val="subscript"/>
                <w:lang w:bidi="ar"/>
              </w:rPr>
              <w:t>f</w:t>
            </w:r>
            <w:r>
              <w:rPr>
                <w:rFonts w:ascii="Times New Roman" w:hAnsi="Times New Roman" w:eastAsia="宋体" w:cs="Times New Roman"/>
                <w:color w:val="000000"/>
                <w:kern w:val="0"/>
                <w:sz w:val="24"/>
                <w:lang w:bidi="ar"/>
              </w:rPr>
              <w:t>指堆场风蚀扬尘概化系数（单位：千克/平方米）取0；</w:t>
            </w:r>
          </w:p>
          <w:p>
            <w:pPr>
              <w:keepLines w:val="0"/>
              <w:pageBreakBefore w:val="0"/>
              <w:widowControl/>
              <w:kinsoku/>
              <w:wordWrap/>
              <w:overflowPunct/>
              <w:bidi w:val="0"/>
              <w:snapToGrid w:val="0"/>
              <w:spacing w:line="360" w:lineRule="auto"/>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S指堆场占地面积（单位：平方米），砂石料堆场取</w:t>
            </w:r>
            <w:r>
              <w:rPr>
                <w:rFonts w:hint="eastAsia" w:ascii="Times New Roman" w:hAnsi="Times New Roman" w:eastAsia="宋体" w:cs="Times New Roman"/>
                <w:color w:val="000000"/>
                <w:kern w:val="0"/>
                <w:sz w:val="24"/>
                <w:lang w:val="en-US" w:eastAsia="zh-CN" w:bidi="ar"/>
              </w:rPr>
              <w:t>7</w:t>
            </w:r>
            <w:r>
              <w:rPr>
                <w:rFonts w:ascii="Times New Roman" w:hAnsi="Times New Roman" w:eastAsia="宋体" w:cs="Times New Roman"/>
                <w:color w:val="000000"/>
                <w:kern w:val="0"/>
                <w:sz w:val="24"/>
                <w:lang w:bidi="ar"/>
              </w:rPr>
              <w:t>00m</w:t>
            </w:r>
            <w:r>
              <w:rPr>
                <w:rFonts w:ascii="Times New Roman" w:hAnsi="Times New Roman" w:eastAsia="宋体" w:cs="Times New Roman"/>
                <w:color w:val="000000"/>
                <w:kern w:val="0"/>
                <w:sz w:val="24"/>
                <w:vertAlign w:val="superscript"/>
                <w:lang w:bidi="ar"/>
              </w:rPr>
              <w:t>2</w:t>
            </w:r>
            <w:r>
              <w:rPr>
                <w:rFonts w:ascii="Times New Roman" w:hAnsi="Times New Roman" w:eastAsia="宋体" w:cs="Times New Roman"/>
                <w:color w:val="000000"/>
                <w:kern w:val="0"/>
                <w:sz w:val="24"/>
                <w:lang w:bidi="ar"/>
              </w:rPr>
              <w:t>。</w:t>
            </w:r>
          </w:p>
          <w:p>
            <w:pPr>
              <w:keepLines w:val="0"/>
              <w:pageBreakBefore w:val="0"/>
              <w:widowControl/>
              <w:kinsoku/>
              <w:wordWrap/>
              <w:overflowPunct/>
              <w:bidi w:val="0"/>
              <w:snapToGrid w:val="0"/>
              <w:spacing w:line="360" w:lineRule="auto"/>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经计算项目砂石料储存及装卸起尘量为</w:t>
            </w:r>
            <w:r>
              <w:rPr>
                <w:rFonts w:hint="eastAsia" w:ascii="Times New Roman" w:hAnsi="Times New Roman" w:cs="Times New Roman"/>
                <w:color w:val="000000"/>
                <w:kern w:val="0"/>
                <w:sz w:val="24"/>
                <w:lang w:val="en-US" w:eastAsia="zh-CN" w:bidi="ar"/>
              </w:rPr>
              <w:t>2.094</w:t>
            </w:r>
            <w:r>
              <w:rPr>
                <w:rFonts w:ascii="Times New Roman" w:hAnsi="Times New Roman" w:eastAsia="宋体" w:cs="Times New Roman"/>
                <w:color w:val="000000"/>
                <w:kern w:val="0"/>
                <w:sz w:val="24"/>
                <w:lang w:bidi="ar"/>
              </w:rPr>
              <w:t>t/a</w:t>
            </w:r>
            <w:r>
              <w:rPr>
                <w:rFonts w:hint="eastAsia" w:ascii="Times New Roman" w:hAnsi="Times New Roman" w:cs="Times New Roman"/>
                <w:color w:val="000000"/>
                <w:kern w:val="0"/>
                <w:sz w:val="24"/>
                <w:lang w:eastAsia="zh-CN" w:bidi="ar"/>
              </w:rPr>
              <w:t>，</w:t>
            </w:r>
            <w:r>
              <w:rPr>
                <w:rFonts w:hint="eastAsia" w:ascii="Times New Roman" w:hAnsi="Times New Roman" w:cs="Times New Roman"/>
                <w:color w:val="000000"/>
                <w:kern w:val="0"/>
                <w:sz w:val="24"/>
                <w:lang w:val="en-US" w:eastAsia="zh-CN" w:bidi="ar"/>
              </w:rPr>
              <w:t>产生速率1.091</w:t>
            </w:r>
            <w:r>
              <w:rPr>
                <w:rFonts w:hint="eastAsia"/>
                <w:lang w:val="en-US" w:eastAsia="zh-CN"/>
              </w:rPr>
              <w:t>kg/h</w:t>
            </w:r>
            <w:r>
              <w:rPr>
                <w:rFonts w:ascii="Times New Roman" w:hAnsi="Times New Roman" w:eastAsia="宋体" w:cs="Times New Roman"/>
                <w:color w:val="000000"/>
                <w:kern w:val="0"/>
                <w:sz w:val="24"/>
                <w:lang w:bidi="ar"/>
              </w:rPr>
              <w:t>。</w:t>
            </w:r>
          </w:p>
          <w:p>
            <w:pPr>
              <w:keepLines w:val="0"/>
              <w:pageBreakBefore w:val="0"/>
              <w:widowControl/>
              <w:kinsoku/>
              <w:wordWrap/>
              <w:overflowPunct/>
              <w:bidi w:val="0"/>
              <w:snapToGrid w:val="0"/>
              <w:spacing w:line="360" w:lineRule="auto"/>
              <w:ind w:firstLine="480" w:firstLineChars="200"/>
              <w:jc w:val="center"/>
              <w:rPr>
                <w:rFonts w:ascii="Times New Roman" w:hAnsi="Times New Roman" w:eastAsia="宋体" w:cs="Times New Roman"/>
                <w:color w:val="000000"/>
                <w:kern w:val="0"/>
                <w:sz w:val="24"/>
                <w:lang w:val="en-US" w:eastAsia="zh-CN" w:bidi="ar"/>
              </w:rPr>
            </w:pPr>
            <w:r>
              <w:rPr>
                <w:rFonts w:ascii="Times New Roman" w:hAnsi="Times New Roman" w:eastAsia="宋体" w:cs="Times New Roman"/>
                <w:color w:val="000000"/>
                <w:kern w:val="0"/>
                <w:sz w:val="24"/>
                <w:lang w:val="en-US" w:eastAsia="zh-CN" w:bidi="ar"/>
              </w:rPr>
              <w:object>
                <v:shape id="_x0000_i1029" o:spt="75" type="#_x0000_t75" style="height:18pt;width:129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0">
                  <o:LockedField>false</o:LockedField>
                </o:OLEObject>
              </w:object>
            </w:r>
          </w:p>
          <w:p>
            <w:pPr>
              <w:keepLines w:val="0"/>
              <w:pageBreakBefore w:val="0"/>
              <w:widowControl/>
              <w:kinsoku/>
              <w:wordWrap/>
              <w:overflowPunct/>
              <w:bidi w:val="0"/>
              <w:snapToGrid w:val="0"/>
              <w:spacing w:line="360" w:lineRule="auto"/>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val="en-US" w:eastAsia="zh-CN" w:bidi="ar"/>
              </w:rPr>
              <w:t>式中：</w:t>
            </w:r>
            <w:r>
              <w:rPr>
                <w:rFonts w:hint="default" w:ascii="Times New Roman" w:hAnsi="Times New Roman" w:eastAsia="宋体" w:cs="Times New Roman"/>
                <w:color w:val="000000"/>
                <w:kern w:val="0"/>
                <w:sz w:val="24"/>
                <w:lang w:val="en-US" w:eastAsia="zh-CN" w:bidi="ar"/>
              </w:rPr>
              <w:t xml:space="preserve">P </w:t>
            </w:r>
            <w:r>
              <w:rPr>
                <w:rFonts w:hint="eastAsia" w:ascii="Times New Roman" w:hAnsi="Times New Roman" w:eastAsia="宋体" w:cs="Times New Roman"/>
                <w:color w:val="000000"/>
                <w:kern w:val="0"/>
                <w:sz w:val="24"/>
                <w:lang w:val="en-US" w:eastAsia="zh-CN" w:bidi="ar"/>
              </w:rPr>
              <w:t>指颗粒物产生量</w:t>
            </w:r>
            <w:r>
              <w:rPr>
                <w:rFonts w:ascii="Times New Roman" w:hAnsi="Times New Roman" w:eastAsia="宋体" w:cs="Times New Roman"/>
                <w:color w:val="000000"/>
                <w:kern w:val="0"/>
                <w:sz w:val="24"/>
                <w:lang w:val="en-US" w:eastAsia="zh-CN" w:bidi="ar"/>
              </w:rPr>
              <w:t>（单位：吨）</w:t>
            </w:r>
            <w:r>
              <w:rPr>
                <w:rFonts w:hint="eastAsia" w:ascii="Times New Roman" w:hAnsi="Times New Roman" w:eastAsia="宋体" w:cs="Times New Roman"/>
                <w:color w:val="000000"/>
                <w:kern w:val="0"/>
                <w:sz w:val="24"/>
                <w:lang w:val="en-US" w:eastAsia="zh-CN" w:bidi="ar"/>
              </w:rPr>
              <w:t xml:space="preserve">； </w:t>
            </w:r>
          </w:p>
          <w:p>
            <w:pPr>
              <w:keepLines w:val="0"/>
              <w:pageBreakBefore w:val="0"/>
              <w:widowControl/>
              <w:kinsoku/>
              <w:wordWrap/>
              <w:overflowPunct/>
              <w:bidi w:val="0"/>
              <w:snapToGrid w:val="0"/>
              <w:spacing w:line="360" w:lineRule="auto"/>
              <w:ind w:firstLine="480" w:firstLineChars="200"/>
              <w:jc w:val="left"/>
              <w:rPr>
                <w:rFonts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val="en-US" w:eastAsia="zh-CN" w:bidi="ar"/>
              </w:rPr>
              <w:t>U</w:t>
            </w:r>
            <w:r>
              <w:rPr>
                <w:rFonts w:hint="default" w:ascii="Times New Roman" w:hAnsi="Times New Roman" w:eastAsia="宋体" w:cs="Times New Roman"/>
                <w:color w:val="000000"/>
                <w:kern w:val="0"/>
                <w:sz w:val="24"/>
                <w:vertAlign w:val="subscript"/>
                <w:lang w:val="en-US" w:eastAsia="zh-CN" w:bidi="ar"/>
              </w:rPr>
              <w:t>c</w:t>
            </w:r>
            <w:r>
              <w:rPr>
                <w:rFonts w:hint="eastAsia" w:ascii="Times New Roman" w:hAnsi="Times New Roman" w:eastAsia="宋体" w:cs="Times New Roman"/>
                <w:color w:val="000000"/>
                <w:kern w:val="0"/>
                <w:sz w:val="24"/>
                <w:lang w:val="en-US" w:eastAsia="zh-CN" w:bidi="ar"/>
              </w:rPr>
              <w:t xml:space="preserve">指颗粒物排放量（单位：吨）； </w:t>
            </w:r>
          </w:p>
          <w:p>
            <w:pPr>
              <w:keepLines w:val="0"/>
              <w:pageBreakBefore w:val="0"/>
              <w:widowControl/>
              <w:kinsoku/>
              <w:wordWrap/>
              <w:overflowPunct/>
              <w:bidi w:val="0"/>
              <w:snapToGrid w:val="0"/>
              <w:spacing w:line="360" w:lineRule="auto"/>
              <w:ind w:firstLine="480" w:firstLineChars="200"/>
              <w:jc w:val="left"/>
              <w:rPr>
                <w:rFonts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val="en-US" w:eastAsia="zh-CN" w:bidi="ar"/>
              </w:rPr>
              <w:t>C</w:t>
            </w:r>
            <w:r>
              <w:rPr>
                <w:rFonts w:hint="default" w:ascii="Times New Roman" w:hAnsi="Times New Roman" w:eastAsia="宋体" w:cs="Times New Roman"/>
                <w:color w:val="000000"/>
                <w:kern w:val="0"/>
                <w:sz w:val="24"/>
                <w:vertAlign w:val="subscript"/>
                <w:lang w:val="en-US" w:eastAsia="zh-CN" w:bidi="ar"/>
              </w:rPr>
              <w:t>m</w:t>
            </w:r>
            <w:r>
              <w:rPr>
                <w:rFonts w:hint="eastAsia" w:ascii="Times New Roman" w:hAnsi="Times New Roman" w:eastAsia="宋体" w:cs="Times New Roman"/>
                <w:color w:val="000000"/>
                <w:kern w:val="0"/>
                <w:sz w:val="24"/>
                <w:lang w:val="en-US" w:eastAsia="zh-CN" w:bidi="ar"/>
              </w:rPr>
              <w:t>指颗粒物控制措施控制效率（单位：</w:t>
            </w:r>
            <w:r>
              <w:rPr>
                <w:rFonts w:hint="default" w:ascii="Times New Roman" w:hAnsi="Times New Roman" w:eastAsia="宋体" w:cs="Times New Roman"/>
                <w:color w:val="000000"/>
                <w:kern w:val="0"/>
                <w:sz w:val="24"/>
                <w:lang w:val="en-US" w:eastAsia="zh-CN" w:bidi="ar"/>
              </w:rPr>
              <w:t>%</w:t>
            </w:r>
            <w:r>
              <w:rPr>
                <w:rFonts w:hint="eastAsia" w:ascii="Times New Roman" w:hAnsi="Times New Roman" w:eastAsia="宋体" w:cs="Times New Roman"/>
                <w:color w:val="000000"/>
                <w:kern w:val="0"/>
                <w:sz w:val="24"/>
                <w:lang w:val="en-US" w:eastAsia="zh-CN" w:bidi="ar"/>
              </w:rPr>
              <w:t>）； （本项目采用围挡</w:t>
            </w:r>
            <w:r>
              <w:rPr>
                <w:rFonts w:hint="eastAsia" w:cs="Times New Roman"/>
                <w:color w:val="000000"/>
                <w:kern w:val="0"/>
                <w:sz w:val="24"/>
                <w:lang w:val="en-US" w:eastAsia="zh-CN" w:bidi="ar"/>
              </w:rPr>
              <w:t>（防风抑尘墙）</w:t>
            </w:r>
            <w:r>
              <w:rPr>
                <w:rFonts w:hint="eastAsia" w:ascii="Times New Roman" w:hAnsi="Times New Roman" w:eastAsia="宋体" w:cs="Times New Roman"/>
                <w:color w:val="000000"/>
                <w:kern w:val="0"/>
                <w:sz w:val="24"/>
                <w:lang w:val="en-US" w:eastAsia="zh-CN" w:bidi="ar"/>
              </w:rPr>
              <w:t>+定期洒水，去除效率为60%+74%综合去除效率为89.6%）</w:t>
            </w:r>
          </w:p>
          <w:p>
            <w:pPr>
              <w:keepLines w:val="0"/>
              <w:pageBreakBefore w:val="0"/>
              <w:widowControl/>
              <w:kinsoku/>
              <w:wordWrap/>
              <w:overflowPunct/>
              <w:bidi w:val="0"/>
              <w:snapToGrid w:val="0"/>
              <w:spacing w:line="360" w:lineRule="auto"/>
              <w:ind w:firstLine="480" w:firstLineChars="200"/>
              <w:jc w:val="left"/>
              <w:rPr>
                <w:rFonts w:hint="eastAsia" w:ascii="Times New Roman" w:hAnsi="Times New Roman" w:eastAsia="宋体" w:cs="Times New Roman"/>
                <w:color w:val="000000"/>
                <w:kern w:val="0"/>
                <w:sz w:val="24"/>
                <w:lang w:val="en-US" w:eastAsia="zh-CN" w:bidi="ar"/>
              </w:rPr>
            </w:pPr>
            <w:r>
              <w:rPr>
                <w:rFonts w:hint="default" w:ascii="Times New Roman" w:hAnsi="Times New Roman" w:eastAsia="宋体" w:cs="Times New Roman"/>
                <w:color w:val="000000"/>
                <w:kern w:val="0"/>
                <w:sz w:val="24"/>
                <w:lang w:val="en-US" w:eastAsia="zh-CN" w:bidi="ar"/>
              </w:rPr>
              <w:t>Tm</w:t>
            </w:r>
            <w:r>
              <w:rPr>
                <w:rFonts w:hint="eastAsia" w:ascii="Times New Roman" w:hAnsi="Times New Roman" w:eastAsia="宋体" w:cs="Times New Roman"/>
                <w:color w:val="000000"/>
                <w:kern w:val="0"/>
                <w:sz w:val="24"/>
                <w:lang w:val="en-US" w:eastAsia="zh-CN" w:bidi="ar"/>
              </w:rPr>
              <w:t>指堆场类型控制效率（单位：</w:t>
            </w:r>
            <w:r>
              <w:rPr>
                <w:rFonts w:hint="default" w:ascii="Times New Roman" w:hAnsi="Times New Roman" w:eastAsia="宋体" w:cs="Times New Roman"/>
                <w:color w:val="000000"/>
                <w:kern w:val="0"/>
                <w:sz w:val="24"/>
                <w:lang w:val="en-US" w:eastAsia="zh-CN" w:bidi="ar"/>
              </w:rPr>
              <w:t>%</w:t>
            </w:r>
            <w:r>
              <w:rPr>
                <w:rFonts w:hint="eastAsia" w:ascii="Times New Roman" w:hAnsi="Times New Roman" w:eastAsia="宋体" w:cs="Times New Roman"/>
                <w:color w:val="000000"/>
                <w:kern w:val="0"/>
                <w:sz w:val="24"/>
                <w:lang w:val="en-US" w:eastAsia="zh-CN" w:bidi="ar"/>
              </w:rPr>
              <w:t>）（本项目采用</w:t>
            </w:r>
            <w:r>
              <w:rPr>
                <w:rFonts w:hint="eastAsia" w:cs="Times New Roman"/>
                <w:color w:val="000000"/>
                <w:kern w:val="0"/>
                <w:sz w:val="24"/>
                <w:lang w:val="en-US" w:eastAsia="zh-CN" w:bidi="ar"/>
              </w:rPr>
              <w:t>围挡（防风抑尘墙）</w:t>
            </w:r>
            <w:r>
              <w:rPr>
                <w:rFonts w:hint="eastAsia" w:ascii="Times New Roman" w:hAnsi="Times New Roman" w:eastAsia="宋体" w:cs="Times New Roman"/>
                <w:color w:val="000000"/>
                <w:kern w:val="0"/>
                <w:sz w:val="24"/>
                <w:lang w:val="en-US" w:eastAsia="zh-CN" w:bidi="ar"/>
              </w:rPr>
              <w:t>，控制效率</w:t>
            </w:r>
            <w:r>
              <w:rPr>
                <w:rFonts w:hint="eastAsia" w:cs="Times New Roman"/>
                <w:color w:val="000000"/>
                <w:kern w:val="0"/>
                <w:sz w:val="24"/>
                <w:lang w:val="en-US" w:eastAsia="zh-CN" w:bidi="ar"/>
              </w:rPr>
              <w:t>60</w:t>
            </w:r>
            <w:r>
              <w:rPr>
                <w:rFonts w:hint="eastAsia" w:ascii="Times New Roman" w:hAnsi="Times New Roman" w:eastAsia="宋体" w:cs="Times New Roman"/>
                <w:color w:val="000000"/>
                <w:kern w:val="0"/>
                <w:sz w:val="24"/>
                <w:lang w:val="en-US" w:eastAsia="zh-CN" w:bidi="ar"/>
              </w:rPr>
              <w:t>%）。</w:t>
            </w:r>
          </w:p>
          <w:p>
            <w:pPr>
              <w:bidi w:val="0"/>
              <w:rPr>
                <w:rFonts w:hint="default"/>
                <w:lang w:val="en-US"/>
              </w:rPr>
            </w:pPr>
            <w:r>
              <w:rPr>
                <w:rFonts w:hint="eastAsia"/>
                <w:lang w:val="en-US" w:eastAsia="zh-CN"/>
              </w:rPr>
              <w:t>计算可知本项目砂石料堆场无组织排放量为0.218t/a，排放速率为0.113kg/h。</w:t>
            </w:r>
          </w:p>
          <w:p>
            <w:pPr>
              <w:keepLines w:val="0"/>
              <w:pageBreakBefore w:val="0"/>
              <w:widowControl/>
              <w:kinsoku/>
              <w:wordWrap/>
              <w:overflowPunct/>
              <w:bidi w:val="0"/>
              <w:snapToGrid w:val="0"/>
              <w:spacing w:line="360" w:lineRule="auto"/>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（2）上料粉尘</w:t>
            </w:r>
          </w:p>
          <w:p>
            <w:pPr>
              <w:keepLines w:val="0"/>
              <w:pageBreakBefore w:val="0"/>
              <w:widowControl/>
              <w:kinsoku/>
              <w:wordWrap/>
              <w:overflowPunct/>
              <w:bidi w:val="0"/>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color w:val="000000"/>
                <w:kern w:val="0"/>
                <w:sz w:val="24"/>
                <w:lang w:bidi="ar"/>
              </w:rPr>
              <w:t>本项目原料砂石料由装载机送入拌合站料斗过程将产生一定量的粉尘，参考《逸散性工业粉尘控制技术》（中国环境科学出版社出版、1989年12月第一版）第二十二章混凝土分批搅拌厂表22-1混凝土分批搅拌厂的逸散尘排放因子，砂和粒料至高架贮仓粉尘产生量为0.02kg/t（搬运料），项目年使用砂石料</w:t>
            </w:r>
            <w:r>
              <w:rPr>
                <w:rFonts w:hint="eastAsia" w:ascii="Times New Roman" w:hAnsi="Times New Roman" w:eastAsia="宋体" w:cs="Times New Roman"/>
                <w:color w:val="000000"/>
                <w:kern w:val="0"/>
                <w:sz w:val="24"/>
                <w:lang w:bidi="ar"/>
              </w:rPr>
              <w:t>总重量</w:t>
            </w:r>
            <w:r>
              <w:rPr>
                <w:rFonts w:hint="eastAsia" w:ascii="Times New Roman" w:hAnsi="Times New Roman" w:cs="Times New Roman"/>
                <w:color w:val="000000"/>
                <w:kern w:val="0"/>
                <w:sz w:val="24"/>
                <w:lang w:val="en-US" w:eastAsia="zh-CN" w:bidi="ar"/>
              </w:rPr>
              <w:t>16000</w:t>
            </w:r>
            <w:r>
              <w:rPr>
                <w:rFonts w:ascii="Times New Roman" w:hAnsi="Times New Roman" w:eastAsia="宋体" w:cs="Times New Roman"/>
                <w:color w:val="000000"/>
                <w:kern w:val="0"/>
                <w:sz w:val="24"/>
                <w:lang w:bidi="ar"/>
              </w:rPr>
              <w:t>t，则砂石上料过程中产生的粉尘量为</w:t>
            </w:r>
            <w:r>
              <w:rPr>
                <w:rFonts w:hint="eastAsia" w:ascii="Times New Roman" w:hAnsi="Times New Roman" w:cs="Times New Roman"/>
                <w:color w:val="000000"/>
                <w:kern w:val="0"/>
                <w:sz w:val="24"/>
                <w:lang w:val="en-US" w:eastAsia="zh-CN" w:bidi="ar"/>
              </w:rPr>
              <w:t>0.32</w:t>
            </w:r>
            <w:r>
              <w:rPr>
                <w:rFonts w:ascii="Times New Roman" w:hAnsi="Times New Roman" w:eastAsia="宋体" w:cs="Times New Roman"/>
                <w:color w:val="000000"/>
                <w:kern w:val="0"/>
                <w:sz w:val="24"/>
                <w:lang w:bidi="ar"/>
              </w:rPr>
              <w:t>t/a，</w:t>
            </w:r>
            <w:r>
              <w:rPr>
                <w:rFonts w:hint="eastAsia" w:ascii="Times New Roman" w:hAnsi="Times New Roman" w:cs="Times New Roman"/>
                <w:color w:val="000000"/>
                <w:kern w:val="0"/>
                <w:sz w:val="24"/>
                <w:lang w:val="en-US" w:eastAsia="zh-CN" w:bidi="ar"/>
              </w:rPr>
              <w:t>产生速率0.167kg/h；</w:t>
            </w:r>
            <w:r>
              <w:rPr>
                <w:rFonts w:hint="eastAsia" w:ascii="Times New Roman" w:hAnsi="Times New Roman" w:eastAsia="宋体" w:cs="Times New Roman"/>
                <w:color w:val="000000"/>
                <w:kern w:val="0"/>
                <w:sz w:val="24"/>
                <w:lang w:bidi="ar"/>
              </w:rPr>
              <w:t>本项目砂石料上料</w:t>
            </w:r>
            <w:r>
              <w:rPr>
                <w:rFonts w:hint="eastAsia" w:ascii="Times New Roman" w:hAnsi="Times New Roman" w:eastAsia="宋体" w:cs="Times New Roman"/>
                <w:color w:val="000000"/>
                <w:kern w:val="0"/>
                <w:sz w:val="24"/>
                <w:lang w:val="en-US" w:eastAsia="zh-CN" w:bidi="ar"/>
              </w:rPr>
              <w:t>过程边洒水边作业</w:t>
            </w:r>
            <w:r>
              <w:rPr>
                <w:rFonts w:hint="eastAsia" w:ascii="Times New Roman" w:hAnsi="Times New Roman" w:cs="Times New Roman"/>
                <w:color w:val="000000"/>
                <w:kern w:val="0"/>
                <w:sz w:val="24"/>
                <w:lang w:val="en-US" w:eastAsia="zh-CN" w:bidi="ar"/>
              </w:rPr>
              <w:t>，</w:t>
            </w:r>
            <w:r>
              <w:rPr>
                <w:rFonts w:hint="eastAsia" w:ascii="Times New Roman" w:hAnsi="Times New Roman" w:eastAsia="宋体" w:cs="Times New Roman"/>
                <w:color w:val="000000"/>
                <w:kern w:val="0"/>
                <w:sz w:val="24"/>
                <w:lang w:bidi="ar"/>
              </w:rPr>
              <w:t>参考《固体物料堆存颗粒物产排污核算系数手册》</w:t>
            </w:r>
            <w:r>
              <w:rPr>
                <w:rFonts w:hint="eastAsia" w:ascii="Times New Roman" w:hAnsi="Times New Roman" w:eastAsia="宋体" w:cs="Times New Roman"/>
                <w:color w:val="000000"/>
                <w:kern w:val="0"/>
                <w:sz w:val="24"/>
                <w:lang w:val="en-US" w:eastAsia="zh-CN" w:bidi="ar"/>
              </w:rPr>
              <w:t>洒水去除效率为74%</w:t>
            </w:r>
            <w:r>
              <w:rPr>
                <w:rFonts w:ascii="Times New Roman" w:hAnsi="Times New Roman" w:eastAsia="宋体" w:cs="Times New Roman"/>
                <w:color w:val="000000"/>
                <w:kern w:val="0"/>
                <w:sz w:val="24"/>
                <w:lang w:bidi="ar"/>
              </w:rPr>
              <w:t>，则无组织粉尘量为</w:t>
            </w:r>
            <w:r>
              <w:rPr>
                <w:rFonts w:hint="eastAsia" w:ascii="Times New Roman" w:hAnsi="Times New Roman" w:cs="Times New Roman"/>
                <w:color w:val="000000"/>
                <w:kern w:val="0"/>
                <w:sz w:val="24"/>
                <w:lang w:val="en-US" w:eastAsia="zh-CN" w:bidi="ar"/>
              </w:rPr>
              <w:t>0.083</w:t>
            </w:r>
            <w:r>
              <w:rPr>
                <w:rFonts w:ascii="Times New Roman" w:hAnsi="Times New Roman" w:eastAsia="宋体" w:cs="Times New Roman"/>
                <w:color w:val="000000"/>
                <w:kern w:val="0"/>
                <w:sz w:val="24"/>
                <w:lang w:bidi="ar"/>
              </w:rPr>
              <w:t>t/a</w:t>
            </w:r>
            <w:r>
              <w:rPr>
                <w:rFonts w:hint="eastAsia" w:ascii="Times New Roman" w:hAnsi="Times New Roman" w:cs="Times New Roman"/>
                <w:color w:val="000000"/>
                <w:kern w:val="0"/>
                <w:sz w:val="24"/>
                <w:lang w:eastAsia="zh-CN" w:bidi="ar"/>
              </w:rPr>
              <w:t>，</w:t>
            </w:r>
            <w:r>
              <w:rPr>
                <w:rFonts w:hint="eastAsia" w:ascii="Times New Roman" w:hAnsi="Times New Roman" w:cs="Times New Roman"/>
                <w:color w:val="000000"/>
                <w:kern w:val="0"/>
                <w:sz w:val="24"/>
                <w:lang w:val="en-US" w:eastAsia="zh-CN" w:bidi="ar"/>
              </w:rPr>
              <w:t>排放速率0.043kg/h</w:t>
            </w:r>
            <w:r>
              <w:rPr>
                <w:rFonts w:ascii="Times New Roman" w:hAnsi="Times New Roman" w:eastAsia="宋体" w:cs="Times New Roman"/>
                <w:color w:val="000000"/>
                <w:kern w:val="0"/>
                <w:sz w:val="24"/>
                <w:lang w:bidi="ar"/>
              </w:rPr>
              <w:t xml:space="preserve">。 </w:t>
            </w:r>
          </w:p>
          <w:p>
            <w:pPr>
              <w:keepLines w:val="0"/>
              <w:pageBreakBefore w:val="0"/>
              <w:widowControl/>
              <w:kinsoku/>
              <w:wordWrap/>
              <w:overflowPunct/>
              <w:bidi w:val="0"/>
              <w:spacing w:line="360" w:lineRule="auto"/>
              <w:ind w:firstLine="480" w:firstLineChars="200"/>
              <w:rPr>
                <w:rFonts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（3）原料</w:t>
            </w:r>
            <w:r>
              <w:rPr>
                <w:rFonts w:ascii="Times New Roman" w:hAnsi="Times New Roman" w:eastAsia="宋体" w:cs="Times New Roman"/>
                <w:snapToGrid w:val="0"/>
                <w:kern w:val="0"/>
                <w:sz w:val="24"/>
              </w:rPr>
              <w:t>水泥入仓粉尘</w:t>
            </w:r>
          </w:p>
          <w:p>
            <w:pPr>
              <w:keepLines w:val="0"/>
              <w:pageBreakBefore w:val="0"/>
              <w:widowControl/>
              <w:kinsoku/>
              <w:wordWrap/>
              <w:overflowPunct/>
              <w:bidi w:val="0"/>
              <w:adjustRightInd w:val="0"/>
              <w:snapToGrid w:val="0"/>
              <w:spacing w:line="360" w:lineRule="auto"/>
              <w:ind w:firstLine="480" w:firstLineChars="200"/>
              <w:jc w:val="both"/>
              <w:outlineLvl w:val="1"/>
              <w:rPr>
                <w:rFonts w:ascii="Times New Roman" w:hAnsi="Times New Roman" w:eastAsia="宋体" w:cs="Times New Roman"/>
                <w:b w:val="0"/>
                <w:bCs/>
                <w:snapToGrid w:val="0"/>
                <w:kern w:val="0"/>
                <w:sz w:val="24"/>
                <w:szCs w:val="22"/>
                <w:lang w:val="en-US" w:eastAsia="zh-CN" w:bidi="ar-SA"/>
              </w:rPr>
            </w:pPr>
            <w:r>
              <w:rPr>
                <w:rFonts w:ascii="Times New Roman" w:hAnsi="Times New Roman" w:eastAsia="宋体" w:cs="Times New Roman"/>
                <w:b w:val="0"/>
                <w:bCs/>
                <w:snapToGrid w:val="0"/>
                <w:kern w:val="0"/>
                <w:sz w:val="24"/>
                <w:szCs w:val="22"/>
                <w:lang w:val="en-US" w:eastAsia="zh-CN" w:bidi="ar-SA"/>
              </w:rPr>
              <w:t>本项目水泥为筒仓贮存，运输罐车利用自带空压机将物料送至筒仓过程中会产生粉尘</w:t>
            </w:r>
            <w:r>
              <w:rPr>
                <w:rFonts w:hint="eastAsia" w:ascii="Times New Roman" w:hAnsi="Times New Roman" w:cs="Times New Roman"/>
                <w:b w:val="0"/>
                <w:bCs/>
                <w:snapToGrid w:val="0"/>
                <w:kern w:val="0"/>
                <w:sz w:val="24"/>
                <w:szCs w:val="22"/>
                <w:lang w:val="en-US" w:eastAsia="zh-CN" w:bidi="ar-SA"/>
              </w:rPr>
              <w:t>，年运行约60h</w:t>
            </w:r>
            <w:r>
              <w:rPr>
                <w:rFonts w:hint="eastAsia" w:cs="Times New Roman"/>
                <w:b w:val="0"/>
                <w:bCs/>
                <w:snapToGrid w:val="0"/>
                <w:kern w:val="0"/>
                <w:sz w:val="24"/>
                <w:szCs w:val="22"/>
                <w:lang w:val="en-US" w:eastAsia="zh-CN" w:bidi="ar-SA"/>
              </w:rPr>
              <w:t>，风机风量为3500m</w:t>
            </w:r>
            <w:r>
              <w:rPr>
                <w:rFonts w:hint="eastAsia" w:cs="Times New Roman"/>
                <w:b w:val="0"/>
                <w:bCs/>
                <w:snapToGrid w:val="0"/>
                <w:kern w:val="0"/>
                <w:sz w:val="24"/>
                <w:szCs w:val="22"/>
                <w:vertAlign w:val="superscript"/>
                <w:lang w:val="en-US" w:eastAsia="zh-CN" w:bidi="ar-SA"/>
              </w:rPr>
              <w:t>3</w:t>
            </w:r>
            <w:r>
              <w:rPr>
                <w:rFonts w:hint="eastAsia" w:cs="Times New Roman"/>
                <w:b w:val="0"/>
                <w:bCs/>
                <w:snapToGrid w:val="0"/>
                <w:kern w:val="0"/>
                <w:sz w:val="24"/>
                <w:szCs w:val="22"/>
                <w:lang w:val="en-US" w:eastAsia="zh-CN" w:bidi="ar-SA"/>
              </w:rPr>
              <w:t>/h</w:t>
            </w:r>
            <w:r>
              <w:rPr>
                <w:rFonts w:ascii="Times New Roman" w:hAnsi="Times New Roman" w:eastAsia="宋体" w:cs="Times New Roman"/>
                <w:b w:val="0"/>
                <w:bCs/>
                <w:snapToGrid w:val="0"/>
                <w:kern w:val="0"/>
                <w:sz w:val="24"/>
                <w:szCs w:val="22"/>
                <w:lang w:val="en-US" w:eastAsia="zh-CN" w:bidi="ar-SA"/>
              </w:rPr>
              <w:t>。项目水泥用量为</w:t>
            </w:r>
            <w:r>
              <w:rPr>
                <w:rFonts w:hint="eastAsia" w:ascii="Times New Roman" w:hAnsi="Times New Roman" w:cs="Times New Roman"/>
                <w:b w:val="0"/>
                <w:bCs/>
                <w:snapToGrid w:val="0"/>
                <w:kern w:val="0"/>
                <w:sz w:val="24"/>
                <w:szCs w:val="22"/>
                <w:lang w:val="en-US" w:eastAsia="zh-CN" w:bidi="ar-SA"/>
              </w:rPr>
              <w:t>3000</w:t>
            </w:r>
            <w:r>
              <w:rPr>
                <w:rFonts w:ascii="Times New Roman" w:hAnsi="Times New Roman" w:eastAsia="宋体" w:cs="Times New Roman"/>
                <w:b w:val="0"/>
                <w:bCs/>
                <w:snapToGrid w:val="0"/>
                <w:kern w:val="0"/>
                <w:sz w:val="24"/>
                <w:szCs w:val="22"/>
                <w:lang w:val="en-US" w:eastAsia="zh-CN" w:bidi="ar-SA"/>
              </w:rPr>
              <w:t>t/a</w:t>
            </w:r>
            <w:r>
              <w:rPr>
                <w:rFonts w:hint="eastAsia" w:cs="Times New Roman"/>
                <w:b w:val="0"/>
                <w:bCs/>
                <w:snapToGrid w:val="0"/>
                <w:kern w:val="0"/>
                <w:sz w:val="24"/>
                <w:szCs w:val="22"/>
                <w:lang w:val="en-US" w:eastAsia="zh-CN" w:bidi="ar-SA"/>
              </w:rPr>
              <w:t>，</w:t>
            </w:r>
            <w:r>
              <w:rPr>
                <w:rFonts w:hint="eastAsia" w:ascii="Times New Roman" w:hAnsi="Times New Roman" w:eastAsia="宋体" w:cs="Times New Roman"/>
                <w:b w:val="0"/>
                <w:bCs/>
                <w:snapToGrid w:val="0"/>
                <w:kern w:val="0"/>
                <w:sz w:val="24"/>
                <w:szCs w:val="22"/>
                <w:lang w:val="en-US" w:eastAsia="zh-CN" w:bidi="ar-SA"/>
              </w:rPr>
              <w:t>产生的粉尘经仓顶布袋除尘器处理后</w:t>
            </w:r>
            <w:r>
              <w:rPr>
                <w:rFonts w:hint="eastAsia" w:cs="Times New Roman"/>
                <w:b w:val="0"/>
                <w:bCs/>
                <w:snapToGrid w:val="0"/>
                <w:kern w:val="0"/>
                <w:sz w:val="24"/>
                <w:szCs w:val="22"/>
                <w:lang w:val="en-US" w:eastAsia="zh-CN" w:bidi="ar-SA"/>
              </w:rPr>
              <w:t>有</w:t>
            </w:r>
            <w:r>
              <w:rPr>
                <w:rFonts w:hint="eastAsia" w:ascii="Times New Roman" w:hAnsi="Times New Roman" w:eastAsia="宋体" w:cs="Times New Roman"/>
                <w:b w:val="0"/>
                <w:bCs/>
                <w:snapToGrid w:val="0"/>
                <w:kern w:val="0"/>
                <w:sz w:val="24"/>
                <w:szCs w:val="22"/>
                <w:lang w:val="en-US" w:eastAsia="zh-CN" w:bidi="ar-SA"/>
              </w:rPr>
              <w:t>组织排放，</w:t>
            </w:r>
            <w:r>
              <w:rPr>
                <w:rFonts w:ascii="Times New Roman" w:hAnsi="Times New Roman" w:eastAsia="宋体" w:cs="Times New Roman"/>
                <w:b w:val="0"/>
                <w:bCs/>
                <w:snapToGrid w:val="0"/>
                <w:kern w:val="0"/>
                <w:sz w:val="24"/>
                <w:szCs w:val="22"/>
                <w:lang w:val="en-US" w:eastAsia="zh-CN" w:bidi="ar-SA"/>
              </w:rPr>
              <w:t>粉尘量参照</w:t>
            </w:r>
            <w:r>
              <w:rPr>
                <w:rFonts w:hint="eastAsia" w:ascii="Times New Roman" w:hAnsi="Times New Roman" w:eastAsia="宋体" w:cs="Times New Roman"/>
                <w:b w:val="0"/>
                <w:bCs/>
                <w:snapToGrid w:val="0"/>
                <w:kern w:val="0"/>
                <w:sz w:val="24"/>
                <w:szCs w:val="22"/>
                <w:lang w:val="en-US" w:eastAsia="zh-CN" w:bidi="ar-SA"/>
              </w:rPr>
              <w:t>《逸散性工业粉尘控制技术》（中国环境科学出版社出版、1989年12月第一版）第二十二章混凝土分批搅拌厂表22-1混凝土分批搅拌厂的逸散尘排放因子，卸水泥至高架贮仓，粉尘产生量为0.12kg/t（卸料），料仓顶部安装脉冲布袋除尘器，</w:t>
            </w:r>
            <w:r>
              <w:rPr>
                <w:rFonts w:ascii="Times New Roman" w:hAnsi="Times New Roman" w:eastAsia="宋体" w:cs="Times New Roman"/>
                <w:b w:val="0"/>
                <w:bCs/>
                <w:snapToGrid w:val="0"/>
                <w:kern w:val="0"/>
                <w:sz w:val="24"/>
                <w:szCs w:val="22"/>
                <w:lang w:val="en-US" w:eastAsia="zh-CN" w:bidi="ar-SA"/>
              </w:rPr>
              <w:t>除尘效率99</w:t>
            </w:r>
            <w:r>
              <w:rPr>
                <w:rFonts w:hint="eastAsia" w:ascii="Times New Roman" w:hAnsi="Times New Roman" w:eastAsia="宋体" w:cs="Times New Roman"/>
                <w:b w:val="0"/>
                <w:bCs/>
                <w:snapToGrid w:val="0"/>
                <w:kern w:val="0"/>
                <w:sz w:val="24"/>
                <w:szCs w:val="22"/>
                <w:lang w:val="en-US" w:eastAsia="zh-CN" w:bidi="ar-SA"/>
              </w:rPr>
              <w:t>.7</w:t>
            </w:r>
            <w:r>
              <w:rPr>
                <w:rFonts w:ascii="Times New Roman" w:hAnsi="Times New Roman" w:eastAsia="宋体" w:cs="Times New Roman"/>
                <w:b w:val="0"/>
                <w:bCs/>
                <w:snapToGrid w:val="0"/>
                <w:kern w:val="0"/>
                <w:sz w:val="24"/>
                <w:szCs w:val="22"/>
                <w:lang w:val="en-US" w:eastAsia="zh-CN" w:bidi="ar-SA"/>
              </w:rPr>
              <w:t>%</w:t>
            </w:r>
            <w:r>
              <w:rPr>
                <w:rFonts w:hint="eastAsia" w:ascii="Times New Roman" w:hAnsi="Times New Roman" w:cs="Times New Roman"/>
                <w:b w:val="0"/>
                <w:bCs/>
                <w:snapToGrid w:val="0"/>
                <w:kern w:val="0"/>
                <w:sz w:val="24"/>
                <w:szCs w:val="22"/>
                <w:lang w:val="en-US" w:eastAsia="zh-CN" w:bidi="ar-SA"/>
              </w:rPr>
              <w:t>，</w:t>
            </w:r>
            <w:r>
              <w:rPr>
                <w:rFonts w:hint="eastAsia" w:ascii="Times New Roman" w:hAnsi="Times New Roman" w:eastAsia="宋体" w:cs="Times New Roman"/>
                <w:b w:val="0"/>
                <w:bCs/>
                <w:snapToGrid w:val="0"/>
                <w:kern w:val="0"/>
                <w:sz w:val="24"/>
                <w:szCs w:val="22"/>
                <w:lang w:val="en-US" w:eastAsia="zh-CN" w:bidi="ar-SA"/>
              </w:rPr>
              <w:t>则粉尘产生量为</w:t>
            </w:r>
            <w:r>
              <w:rPr>
                <w:rFonts w:hint="eastAsia" w:ascii="Times New Roman" w:hAnsi="Times New Roman" w:cs="Times New Roman"/>
                <w:b w:val="0"/>
                <w:bCs/>
                <w:snapToGrid w:val="0"/>
                <w:kern w:val="0"/>
                <w:sz w:val="24"/>
                <w:szCs w:val="22"/>
                <w:lang w:val="en-US" w:eastAsia="zh-CN" w:bidi="ar-SA"/>
              </w:rPr>
              <w:t>0.36</w:t>
            </w:r>
            <w:r>
              <w:rPr>
                <w:rFonts w:hint="eastAsia" w:ascii="Times New Roman" w:hAnsi="Times New Roman" w:eastAsia="宋体" w:cs="Times New Roman"/>
                <w:b w:val="0"/>
                <w:bCs/>
                <w:snapToGrid w:val="0"/>
                <w:kern w:val="0"/>
                <w:sz w:val="24"/>
                <w:szCs w:val="22"/>
                <w:lang w:val="en-US" w:eastAsia="zh-CN" w:bidi="ar-SA"/>
              </w:rPr>
              <w:t>t/a，产生速率为</w:t>
            </w:r>
            <w:r>
              <w:rPr>
                <w:rFonts w:hint="eastAsia" w:ascii="Times New Roman" w:hAnsi="Times New Roman" w:cs="Times New Roman"/>
                <w:b w:val="0"/>
                <w:bCs/>
                <w:snapToGrid w:val="0"/>
                <w:kern w:val="0"/>
                <w:sz w:val="24"/>
                <w:szCs w:val="22"/>
                <w:lang w:val="en-US" w:eastAsia="zh-CN" w:bidi="ar-SA"/>
              </w:rPr>
              <w:t>6</w:t>
            </w:r>
            <w:r>
              <w:rPr>
                <w:rFonts w:hint="eastAsia" w:ascii="Times New Roman" w:hAnsi="Times New Roman" w:eastAsia="宋体" w:cs="Times New Roman"/>
                <w:b w:val="0"/>
                <w:bCs/>
                <w:snapToGrid w:val="0"/>
                <w:kern w:val="0"/>
                <w:sz w:val="24"/>
                <w:szCs w:val="22"/>
                <w:lang w:val="en-US" w:eastAsia="zh-CN" w:bidi="ar-SA"/>
              </w:rPr>
              <w:t>kg/h，</w:t>
            </w:r>
            <w:r>
              <w:rPr>
                <w:rFonts w:hint="eastAsia" w:cs="Times New Roman"/>
                <w:b w:val="0"/>
                <w:bCs/>
                <w:snapToGrid w:val="0"/>
                <w:kern w:val="0"/>
                <w:sz w:val="24"/>
                <w:szCs w:val="22"/>
                <w:lang w:val="en-US" w:eastAsia="zh-CN" w:bidi="ar-SA"/>
              </w:rPr>
              <w:t>产生浓度为1714.286mg/m</w:t>
            </w:r>
            <w:r>
              <w:rPr>
                <w:rFonts w:hint="eastAsia" w:cs="Times New Roman"/>
                <w:b w:val="0"/>
                <w:bCs/>
                <w:snapToGrid w:val="0"/>
                <w:kern w:val="0"/>
                <w:sz w:val="24"/>
                <w:szCs w:val="22"/>
                <w:vertAlign w:val="superscript"/>
                <w:lang w:val="en-US" w:eastAsia="zh-CN" w:bidi="ar-SA"/>
              </w:rPr>
              <w:t>3</w:t>
            </w:r>
            <w:r>
              <w:rPr>
                <w:rFonts w:hint="eastAsia" w:cs="Times New Roman"/>
                <w:b w:val="0"/>
                <w:bCs/>
                <w:snapToGrid w:val="0"/>
                <w:kern w:val="0"/>
                <w:sz w:val="24"/>
                <w:szCs w:val="22"/>
                <w:lang w:val="en-US" w:eastAsia="zh-CN" w:bidi="ar-SA"/>
              </w:rPr>
              <w:t>；</w:t>
            </w:r>
            <w:r>
              <w:rPr>
                <w:rFonts w:hint="eastAsia" w:ascii="Times New Roman" w:hAnsi="Times New Roman" w:eastAsia="宋体" w:cs="Times New Roman"/>
                <w:b w:val="0"/>
                <w:bCs/>
                <w:snapToGrid w:val="0"/>
                <w:kern w:val="0"/>
                <w:sz w:val="24"/>
                <w:szCs w:val="22"/>
                <w:lang w:val="en-US" w:eastAsia="zh-CN" w:bidi="ar-SA"/>
              </w:rPr>
              <w:t>粉尘排放量为</w:t>
            </w:r>
            <w:r>
              <w:rPr>
                <w:rFonts w:hint="eastAsia" w:ascii="Times New Roman" w:hAnsi="Times New Roman" w:cs="Times New Roman"/>
                <w:b w:val="0"/>
                <w:bCs/>
                <w:snapToGrid w:val="0"/>
                <w:kern w:val="0"/>
                <w:sz w:val="24"/>
                <w:szCs w:val="22"/>
                <w:lang w:val="en-US" w:eastAsia="zh-CN" w:bidi="ar-SA"/>
              </w:rPr>
              <w:t>0.001</w:t>
            </w:r>
            <w:r>
              <w:rPr>
                <w:rFonts w:hint="eastAsia" w:ascii="Times New Roman" w:hAnsi="Times New Roman" w:eastAsia="宋体" w:cs="Times New Roman"/>
                <w:b w:val="0"/>
                <w:bCs/>
                <w:snapToGrid w:val="0"/>
                <w:kern w:val="0"/>
                <w:sz w:val="24"/>
                <w:szCs w:val="22"/>
                <w:lang w:val="en-US" w:eastAsia="zh-CN" w:bidi="ar-SA"/>
              </w:rPr>
              <w:t>t/a，排放速率为</w:t>
            </w:r>
            <w:r>
              <w:rPr>
                <w:rFonts w:hint="eastAsia" w:ascii="Times New Roman" w:hAnsi="Times New Roman" w:cs="Times New Roman"/>
                <w:b w:val="0"/>
                <w:bCs/>
                <w:snapToGrid w:val="0"/>
                <w:kern w:val="0"/>
                <w:sz w:val="24"/>
                <w:szCs w:val="22"/>
                <w:lang w:val="en-US" w:eastAsia="zh-CN" w:bidi="ar-SA"/>
              </w:rPr>
              <w:t>0.018</w:t>
            </w:r>
            <w:r>
              <w:rPr>
                <w:rFonts w:hint="eastAsia" w:ascii="Times New Roman" w:hAnsi="Times New Roman" w:eastAsia="宋体" w:cs="Times New Roman"/>
                <w:b w:val="0"/>
                <w:bCs/>
                <w:snapToGrid w:val="0"/>
                <w:kern w:val="0"/>
                <w:sz w:val="24"/>
                <w:szCs w:val="22"/>
                <w:lang w:val="en-US" w:eastAsia="zh-CN" w:bidi="ar-SA"/>
              </w:rPr>
              <w:t>kg/h</w:t>
            </w:r>
            <w:r>
              <w:rPr>
                <w:rFonts w:hint="eastAsia" w:cs="Times New Roman"/>
                <w:b w:val="0"/>
                <w:bCs/>
                <w:snapToGrid w:val="0"/>
                <w:kern w:val="0"/>
                <w:sz w:val="24"/>
                <w:szCs w:val="22"/>
                <w:lang w:val="en-US" w:eastAsia="zh-CN" w:bidi="ar-SA"/>
              </w:rPr>
              <w:t>，排放浓度为5.143mg/m</w:t>
            </w:r>
            <w:r>
              <w:rPr>
                <w:rFonts w:hint="eastAsia" w:cs="Times New Roman"/>
                <w:b w:val="0"/>
                <w:bCs/>
                <w:snapToGrid w:val="0"/>
                <w:kern w:val="0"/>
                <w:sz w:val="24"/>
                <w:szCs w:val="22"/>
                <w:vertAlign w:val="superscript"/>
                <w:lang w:val="en-US" w:eastAsia="zh-CN" w:bidi="ar-SA"/>
              </w:rPr>
              <w:t>3</w:t>
            </w:r>
            <w:r>
              <w:rPr>
                <w:rFonts w:hint="eastAsia" w:ascii="Times New Roman" w:hAnsi="Times New Roman" w:eastAsia="宋体" w:cs="Times New Roman"/>
                <w:b w:val="0"/>
                <w:bCs/>
                <w:snapToGrid w:val="0"/>
                <w:kern w:val="0"/>
                <w:sz w:val="24"/>
                <w:szCs w:val="22"/>
                <w:lang w:val="en-US" w:eastAsia="zh-CN" w:bidi="ar-SA"/>
              </w:rPr>
              <w:t>。</w:t>
            </w:r>
          </w:p>
          <w:p>
            <w:pPr>
              <w:keepLines w:val="0"/>
              <w:pageBreakBefore w:val="0"/>
              <w:widowControl/>
              <w:kinsoku/>
              <w:wordWrap/>
              <w:overflowPunct/>
              <w:bidi w:val="0"/>
              <w:adjustRightInd w:val="0"/>
              <w:snapToGrid w:val="0"/>
              <w:spacing w:line="360" w:lineRule="auto"/>
              <w:ind w:firstLine="480" w:firstLineChars="200"/>
              <w:jc w:val="left"/>
              <w:rPr>
                <w:rFonts w:hint="eastAsia" w:ascii="Times New Roman" w:hAnsi="Times New Roman" w:cs="Times New Roman"/>
                <w:color w:val="000000"/>
                <w:kern w:val="0"/>
                <w:sz w:val="24"/>
                <w:lang w:val="en-US" w:eastAsia="zh-CN" w:bidi="ar"/>
              </w:rPr>
            </w:pPr>
            <w:r>
              <w:rPr>
                <w:rFonts w:ascii="Times New Roman" w:hAnsi="Times New Roman" w:eastAsia="宋体" w:cs="Times New Roman"/>
                <w:color w:val="000000"/>
                <w:kern w:val="0"/>
                <w:sz w:val="24"/>
                <w:lang w:bidi="ar"/>
              </w:rPr>
              <w:t>（4）</w:t>
            </w:r>
            <w:r>
              <w:rPr>
                <w:rFonts w:hint="eastAsia" w:ascii="Times New Roman" w:hAnsi="Times New Roman" w:cs="Times New Roman"/>
                <w:color w:val="000000"/>
                <w:kern w:val="0"/>
                <w:sz w:val="24"/>
                <w:lang w:val="en-US" w:eastAsia="zh-CN" w:bidi="ar"/>
              </w:rPr>
              <w:t>输送粉尘</w:t>
            </w:r>
          </w:p>
          <w:p>
            <w:pPr>
              <w:keepLines w:val="0"/>
              <w:pageBreakBefore w:val="0"/>
              <w:widowControl/>
              <w:kinsoku/>
              <w:wordWrap/>
              <w:overflowPunct/>
              <w:bidi w:val="0"/>
              <w:adjustRightInd w:val="0"/>
              <w:snapToGrid w:val="0"/>
              <w:spacing w:line="360" w:lineRule="auto"/>
              <w:ind w:firstLine="480" w:firstLineChars="200"/>
              <w:jc w:val="left"/>
              <w:rPr>
                <w:rFonts w:hint="default" w:ascii="Times New Roman" w:hAnsi="Times New Roman" w:cs="Times New Roman"/>
                <w:color w:val="000000"/>
                <w:kern w:val="0"/>
                <w:sz w:val="24"/>
                <w:lang w:val="en-US" w:eastAsia="zh-CN" w:bidi="ar"/>
              </w:rPr>
            </w:pPr>
            <w:r>
              <w:rPr>
                <w:rFonts w:hint="eastAsia" w:ascii="Times New Roman" w:hAnsi="Times New Roman" w:cs="Times New Roman"/>
                <w:color w:val="000000"/>
                <w:kern w:val="0"/>
                <w:sz w:val="24"/>
                <w:lang w:val="en-US" w:eastAsia="zh-CN" w:bidi="ar"/>
              </w:rPr>
              <w:t>本环评物料输送单元与拌料仓相连，密闭管道输送，并设在全封闭设备间内，微量粉尘以无组织形式排放在密闭厂房内，经沉降收集后回用生产工序，本次环评仅做定性分析，不做定量计算。</w:t>
            </w:r>
          </w:p>
          <w:p>
            <w:pPr>
              <w:keepLines w:val="0"/>
              <w:pageBreakBefore w:val="0"/>
              <w:widowControl/>
              <w:kinsoku/>
              <w:wordWrap/>
              <w:overflowPunct/>
              <w:bidi w:val="0"/>
              <w:adjustRightInd w:val="0"/>
              <w:snapToGrid w:val="0"/>
              <w:spacing w:line="360" w:lineRule="auto"/>
              <w:ind w:firstLine="480" w:firstLineChars="200"/>
              <w:jc w:val="left"/>
              <w:rPr>
                <w:rFonts w:ascii="Times New Roman" w:hAnsi="Times New Roman" w:eastAsia="宋体" w:cs="Times New Roman"/>
                <w:sz w:val="24"/>
              </w:rPr>
            </w:pPr>
            <w:r>
              <w:rPr>
                <w:rFonts w:hint="eastAsia" w:ascii="Times New Roman" w:hAnsi="Times New Roman" w:cs="Times New Roman"/>
                <w:color w:val="000000"/>
                <w:kern w:val="0"/>
                <w:sz w:val="24"/>
                <w:lang w:eastAsia="zh-CN" w:bidi="ar"/>
              </w:rPr>
              <w:t>（</w:t>
            </w:r>
            <w:r>
              <w:rPr>
                <w:rFonts w:hint="eastAsia" w:ascii="Times New Roman" w:hAnsi="Times New Roman" w:cs="Times New Roman"/>
                <w:color w:val="000000"/>
                <w:kern w:val="0"/>
                <w:sz w:val="24"/>
                <w:lang w:val="en-US" w:eastAsia="zh-CN" w:bidi="ar"/>
              </w:rPr>
              <w:t>5</w:t>
            </w:r>
            <w:r>
              <w:rPr>
                <w:rFonts w:hint="eastAsia" w:ascii="Times New Roman" w:hAnsi="Times New Roman" w:cs="Times New Roman"/>
                <w:color w:val="000000"/>
                <w:kern w:val="0"/>
                <w:sz w:val="24"/>
                <w:lang w:eastAsia="zh-CN" w:bidi="ar"/>
              </w:rPr>
              <w:t>）</w:t>
            </w:r>
            <w:r>
              <w:rPr>
                <w:rFonts w:hint="eastAsia" w:ascii="Times New Roman" w:hAnsi="Times New Roman" w:eastAsia="宋体" w:cs="Times New Roman"/>
                <w:color w:val="000000"/>
                <w:kern w:val="0"/>
                <w:sz w:val="24"/>
                <w:lang w:bidi="ar"/>
              </w:rPr>
              <w:t>物料混合搅拌</w:t>
            </w:r>
            <w:r>
              <w:rPr>
                <w:rFonts w:ascii="Times New Roman" w:hAnsi="Times New Roman" w:eastAsia="宋体" w:cs="Times New Roman"/>
                <w:color w:val="000000"/>
                <w:kern w:val="0"/>
                <w:sz w:val="24"/>
                <w:lang w:bidi="ar"/>
              </w:rPr>
              <w:t>粉尘</w:t>
            </w:r>
          </w:p>
          <w:p>
            <w:pPr>
              <w:keepLines w:val="0"/>
              <w:pageBreakBefore w:val="0"/>
              <w:widowControl/>
              <w:kinsoku/>
              <w:wordWrap/>
              <w:overflowPunct/>
              <w:bidi w:val="0"/>
              <w:spacing w:line="360" w:lineRule="auto"/>
              <w:ind w:firstLine="480" w:firstLineChars="200"/>
              <w:rPr>
                <w:rFonts w:hint="eastAsia" w:ascii="Times New Roman" w:hAnsi="Times New Roman" w:eastAsia="宋体" w:cs="Times New Roman"/>
                <w:snapToGrid w:val="0"/>
                <w:kern w:val="0"/>
                <w:sz w:val="24"/>
                <w:lang w:val="en-US" w:eastAsia="zh-CN"/>
              </w:rPr>
            </w:pPr>
            <w:r>
              <w:rPr>
                <w:rFonts w:hint="eastAsia" w:cs="Times New Roman"/>
                <w:snapToGrid w:val="0"/>
                <w:kern w:val="0"/>
                <w:sz w:val="24"/>
                <w:lang w:val="en-US" w:eastAsia="zh-CN"/>
              </w:rPr>
              <w:t>本项目搅拌工序产生粉尘，根据</w:t>
            </w:r>
            <w:r>
              <w:rPr>
                <w:rFonts w:ascii="Times New Roman" w:hAnsi="Times New Roman" w:eastAsia="宋体" w:cs="Times New Roman"/>
                <w:snapToGrid w:val="0"/>
                <w:kern w:val="0"/>
                <w:sz w:val="24"/>
              </w:rPr>
              <w:t>《排放源统计调查产排污核算方法和系数手册》中《水泥制品制造行业系数手册》中</w:t>
            </w:r>
            <w:r>
              <w:rPr>
                <w:rFonts w:hint="eastAsia" w:ascii="Times New Roman" w:hAnsi="Times New Roman" w:eastAsia="宋体" w:cs="Times New Roman"/>
                <w:snapToGrid w:val="0"/>
                <w:kern w:val="0"/>
                <w:sz w:val="24"/>
                <w:lang w:val="en-US" w:eastAsia="zh-CN"/>
              </w:rPr>
              <w:t>各种水泥制品</w:t>
            </w:r>
            <w:r>
              <w:rPr>
                <w:rFonts w:ascii="Times New Roman" w:hAnsi="Times New Roman" w:eastAsia="宋体" w:cs="Times New Roman"/>
                <w:snapToGrid w:val="0"/>
                <w:kern w:val="0"/>
                <w:sz w:val="24"/>
              </w:rPr>
              <w:t>混合搅拌颗粒物产污系数为0.</w:t>
            </w:r>
            <w:r>
              <w:rPr>
                <w:rFonts w:hint="eastAsia" w:ascii="Times New Roman" w:hAnsi="Times New Roman" w:eastAsia="宋体" w:cs="Times New Roman"/>
                <w:snapToGrid w:val="0"/>
                <w:kern w:val="0"/>
                <w:sz w:val="24"/>
                <w:lang w:val="en-US" w:eastAsia="zh-CN"/>
              </w:rPr>
              <w:t>523</w:t>
            </w:r>
            <w:r>
              <w:rPr>
                <w:rFonts w:ascii="Times New Roman" w:hAnsi="Times New Roman" w:eastAsia="宋体" w:cs="Times New Roman"/>
                <w:snapToGrid w:val="0"/>
                <w:kern w:val="0"/>
                <w:sz w:val="24"/>
              </w:rPr>
              <w:t>kg/t-产品。</w:t>
            </w:r>
            <w:r>
              <w:rPr>
                <w:rFonts w:hint="eastAsia" w:ascii="Times New Roman" w:hAnsi="Times New Roman" w:cs="Times New Roman"/>
                <w:snapToGrid w:val="0"/>
                <w:kern w:val="0"/>
                <w:sz w:val="24"/>
                <w:lang w:val="en-US" w:eastAsia="zh-CN"/>
              </w:rPr>
              <w:t>本项目产品产量约20000t/a，</w:t>
            </w:r>
            <w:r>
              <w:rPr>
                <w:rFonts w:hint="eastAsia" w:ascii="Times New Roman" w:hAnsi="Times New Roman" w:eastAsia="宋体" w:cs="Times New Roman"/>
                <w:snapToGrid w:val="0"/>
                <w:kern w:val="0"/>
                <w:sz w:val="24"/>
              </w:rPr>
              <w:t>粉尘产生</w:t>
            </w:r>
            <w:r>
              <w:rPr>
                <w:rFonts w:hint="eastAsia" w:ascii="Times New Roman" w:hAnsi="Times New Roman" w:eastAsia="宋体" w:cs="Times New Roman"/>
                <w:snapToGrid w:val="0"/>
                <w:color w:val="000000" w:themeColor="text1"/>
                <w:kern w:val="0"/>
                <w:sz w:val="24"/>
                <w14:textFill>
                  <w14:solidFill>
                    <w14:schemeClr w14:val="tx1"/>
                  </w14:solidFill>
                </w14:textFill>
              </w:rPr>
              <w:t>量为</w:t>
            </w:r>
            <w:r>
              <w:rPr>
                <w:rFonts w:hint="eastAsia" w:ascii="Times New Roman" w:hAnsi="Times New Roman" w:cs="Times New Roman"/>
                <w:snapToGrid w:val="0"/>
                <w:color w:val="000000" w:themeColor="text1"/>
                <w:kern w:val="0"/>
                <w:sz w:val="24"/>
                <w:lang w:val="en-US" w:eastAsia="zh-CN"/>
                <w14:textFill>
                  <w14:solidFill>
                    <w14:schemeClr w14:val="tx1"/>
                  </w14:solidFill>
                </w14:textFill>
              </w:rPr>
              <w:t>10.46</w:t>
            </w:r>
            <w:r>
              <w:rPr>
                <w:rFonts w:hint="eastAsia" w:ascii="Times New Roman" w:hAnsi="Times New Roman" w:eastAsia="宋体" w:cs="Times New Roman"/>
                <w:snapToGrid w:val="0"/>
                <w:color w:val="000000" w:themeColor="text1"/>
                <w:kern w:val="0"/>
                <w:sz w:val="24"/>
                <w14:textFill>
                  <w14:solidFill>
                    <w14:schemeClr w14:val="tx1"/>
                  </w14:solidFill>
                </w14:textFill>
              </w:rPr>
              <w:t>t/a</w:t>
            </w:r>
            <w:r>
              <w:rPr>
                <w:rFonts w:hint="eastAsia" w:cs="Times New Roman"/>
                <w:snapToGrid w:val="0"/>
                <w:kern w:val="0"/>
                <w:sz w:val="24"/>
                <w:lang w:eastAsia="zh-CN"/>
              </w:rPr>
              <w:t>，</w:t>
            </w:r>
            <w:r>
              <w:rPr>
                <w:rFonts w:ascii="Times New Roman" w:hAnsi="Times New Roman" w:eastAsia="宋体" w:cs="Times New Roman"/>
                <w:snapToGrid w:val="0"/>
                <w:kern w:val="0"/>
                <w:sz w:val="24"/>
              </w:rPr>
              <w:t>搅拌</w:t>
            </w:r>
            <w:r>
              <w:rPr>
                <w:rFonts w:hint="eastAsia" w:ascii="Times New Roman" w:hAnsi="Times New Roman" w:eastAsia="宋体" w:cs="Times New Roman"/>
                <w:snapToGrid w:val="0"/>
                <w:kern w:val="0"/>
                <w:sz w:val="24"/>
                <w:lang w:val="en-US" w:eastAsia="zh-CN"/>
              </w:rPr>
              <w:t>机</w:t>
            </w:r>
            <w:r>
              <w:rPr>
                <w:rFonts w:ascii="Times New Roman" w:hAnsi="Times New Roman" w:eastAsia="宋体" w:cs="Times New Roman"/>
                <w:snapToGrid w:val="0"/>
                <w:kern w:val="0"/>
                <w:sz w:val="24"/>
              </w:rPr>
              <w:t>为</w:t>
            </w:r>
            <w:r>
              <w:rPr>
                <w:rFonts w:hint="eastAsia" w:ascii="Times New Roman" w:hAnsi="Times New Roman" w:eastAsia="宋体" w:cs="Times New Roman"/>
                <w:snapToGrid w:val="0"/>
                <w:kern w:val="0"/>
                <w:sz w:val="24"/>
                <w:lang w:val="en-US" w:eastAsia="zh-CN"/>
              </w:rPr>
              <w:t>密闭设备</w:t>
            </w:r>
            <w:r>
              <w:rPr>
                <w:rFonts w:ascii="Times New Roman" w:hAnsi="Times New Roman" w:eastAsia="宋体" w:cs="Times New Roman"/>
                <w:snapToGrid w:val="0"/>
                <w:kern w:val="0"/>
                <w:sz w:val="24"/>
              </w:rPr>
              <w:t>，在搅拌机排气孔设置封闭管道收集粉尘，引至脉冲除尘器处理，</w:t>
            </w:r>
            <w:r>
              <w:rPr>
                <w:rFonts w:hint="eastAsia" w:ascii="Times New Roman" w:hAnsi="Times New Roman" w:eastAsia="宋体" w:cs="Times New Roman"/>
                <w:snapToGrid w:val="0"/>
                <w:kern w:val="0"/>
                <w:sz w:val="24"/>
              </w:rPr>
              <w:t>处理后</w:t>
            </w:r>
            <w:r>
              <w:rPr>
                <w:rFonts w:hint="eastAsia" w:ascii="Times New Roman" w:hAnsi="Times New Roman" w:eastAsia="宋体" w:cs="Times New Roman"/>
                <w:snapToGrid w:val="0"/>
                <w:kern w:val="0"/>
                <w:sz w:val="24"/>
                <w:lang w:val="en-US" w:eastAsia="zh-CN"/>
              </w:rPr>
              <w:t>的</w:t>
            </w:r>
            <w:r>
              <w:rPr>
                <w:rFonts w:hint="eastAsia" w:ascii="Times New Roman" w:hAnsi="Times New Roman" w:eastAsia="宋体" w:cs="Times New Roman"/>
                <w:snapToGrid w:val="0"/>
                <w:kern w:val="0"/>
                <w:sz w:val="24"/>
              </w:rPr>
              <w:t>废气</w:t>
            </w:r>
            <w:r>
              <w:rPr>
                <w:rFonts w:hint="eastAsia" w:ascii="Times New Roman" w:hAnsi="Times New Roman" w:eastAsia="宋体" w:cs="Times New Roman"/>
                <w:snapToGrid w:val="0"/>
                <w:kern w:val="0"/>
                <w:sz w:val="24"/>
                <w:lang w:val="en-US" w:eastAsia="zh-CN"/>
              </w:rPr>
              <w:t>经15m排气筒排放。</w:t>
            </w:r>
            <w:r>
              <w:rPr>
                <w:rFonts w:hint="eastAsia" w:ascii="Times New Roman" w:hAnsi="Times New Roman" w:eastAsia="宋体" w:cs="Times New Roman"/>
                <w:snapToGrid w:val="0"/>
                <w:kern w:val="0"/>
                <w:sz w:val="24"/>
              </w:rPr>
              <w:t>此过程废气收集效率</w:t>
            </w:r>
            <w:r>
              <w:rPr>
                <w:rFonts w:hint="eastAsia" w:cs="Times New Roman"/>
                <w:snapToGrid w:val="0"/>
                <w:kern w:val="0"/>
                <w:sz w:val="24"/>
                <w:lang w:eastAsia="zh-CN"/>
              </w:rPr>
              <w:t>为</w:t>
            </w:r>
            <w:r>
              <w:rPr>
                <w:rFonts w:hint="eastAsia" w:ascii="Times New Roman" w:hAnsi="Times New Roman" w:eastAsia="宋体" w:cs="Times New Roman"/>
                <w:snapToGrid w:val="0"/>
                <w:kern w:val="0"/>
                <w:sz w:val="24"/>
              </w:rPr>
              <w:t>9</w:t>
            </w:r>
            <w:r>
              <w:rPr>
                <w:rFonts w:hint="eastAsia" w:ascii="Times New Roman" w:hAnsi="Times New Roman" w:eastAsia="宋体" w:cs="Times New Roman"/>
                <w:snapToGrid w:val="0"/>
                <w:kern w:val="0"/>
                <w:sz w:val="24"/>
                <w:lang w:val="en-US" w:eastAsia="zh-CN"/>
              </w:rPr>
              <w:t>5</w:t>
            </w:r>
            <w:r>
              <w:rPr>
                <w:rFonts w:hint="eastAsia"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lang w:eastAsia="zh-CN"/>
              </w:rPr>
              <w:t>，</w:t>
            </w:r>
            <w:r>
              <w:rPr>
                <w:rFonts w:hint="eastAsia" w:ascii="Times New Roman" w:hAnsi="Times New Roman" w:eastAsia="宋体" w:cs="Times New Roman"/>
                <w:snapToGrid w:val="0"/>
                <w:kern w:val="0"/>
                <w:sz w:val="24"/>
                <w:lang w:val="en-US" w:eastAsia="zh-CN"/>
              </w:rPr>
              <w:t>布袋除尘器去除效率为99.7%，除尘器风机风量为5000m</w:t>
            </w:r>
            <w:r>
              <w:rPr>
                <w:rFonts w:hint="eastAsia" w:ascii="Times New Roman" w:hAnsi="Times New Roman" w:eastAsia="宋体" w:cs="Times New Roman"/>
                <w:snapToGrid w:val="0"/>
                <w:kern w:val="0"/>
                <w:sz w:val="24"/>
                <w:vertAlign w:val="superscript"/>
                <w:lang w:val="en-US" w:eastAsia="zh-CN"/>
              </w:rPr>
              <w:t>3</w:t>
            </w:r>
            <w:r>
              <w:rPr>
                <w:rFonts w:hint="eastAsia" w:ascii="Times New Roman" w:hAnsi="Times New Roman" w:eastAsia="宋体" w:cs="Times New Roman"/>
                <w:snapToGrid w:val="0"/>
                <w:kern w:val="0"/>
                <w:sz w:val="24"/>
                <w:lang w:val="en-US" w:eastAsia="zh-CN"/>
              </w:rPr>
              <w:t>/h，颗粒物产生量为9.937t/a，产生速率为5.176kg/h，产生浓度为1035.104 mg/m</w:t>
            </w:r>
            <w:r>
              <w:rPr>
                <w:rFonts w:hint="eastAsia" w:ascii="Times New Roman" w:hAnsi="Times New Roman" w:eastAsia="宋体" w:cs="Times New Roman"/>
                <w:snapToGrid w:val="0"/>
                <w:kern w:val="0"/>
                <w:sz w:val="24"/>
                <w:vertAlign w:val="superscript"/>
                <w:lang w:val="en-US" w:eastAsia="zh-CN"/>
              </w:rPr>
              <w:t>3</w:t>
            </w:r>
            <w:r>
              <w:rPr>
                <w:rFonts w:hint="eastAsia" w:ascii="Times New Roman" w:hAnsi="Times New Roman" w:eastAsia="宋体" w:cs="Times New Roman"/>
                <w:snapToGrid w:val="0"/>
                <w:kern w:val="0"/>
                <w:sz w:val="24"/>
                <w:lang w:val="en-US" w:eastAsia="zh-CN"/>
              </w:rPr>
              <w:t>，颗粒物排放量为0.03t/a，排放速率为0.016kg/h，排放浓度为3.105mg/m</w:t>
            </w:r>
            <w:r>
              <w:rPr>
                <w:rFonts w:hint="eastAsia" w:ascii="Times New Roman" w:hAnsi="Times New Roman" w:eastAsia="宋体" w:cs="Times New Roman"/>
                <w:snapToGrid w:val="0"/>
                <w:kern w:val="0"/>
                <w:sz w:val="24"/>
                <w:vertAlign w:val="superscript"/>
                <w:lang w:val="en-US" w:eastAsia="zh-CN"/>
              </w:rPr>
              <w:t>3</w:t>
            </w:r>
            <w:r>
              <w:rPr>
                <w:rFonts w:hint="eastAsia" w:ascii="Times New Roman" w:hAnsi="Times New Roman" w:eastAsia="宋体" w:cs="Times New Roman"/>
                <w:snapToGrid w:val="0"/>
                <w:kern w:val="0"/>
                <w:sz w:val="24"/>
                <w:lang w:val="en-US" w:eastAsia="zh-CN"/>
              </w:rPr>
              <w:t>。</w:t>
            </w:r>
          </w:p>
          <w:p>
            <w:pPr>
              <w:keepLines w:val="0"/>
              <w:pageBreakBefore w:val="0"/>
              <w:widowControl/>
              <w:kinsoku/>
              <w:wordWrap/>
              <w:overflowPunct/>
              <w:bidi w:val="0"/>
              <w:spacing w:line="360" w:lineRule="auto"/>
              <w:ind w:firstLine="480" w:firstLineChars="200"/>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无组织产生量为</w:t>
            </w:r>
            <w:r>
              <w:rPr>
                <w:rFonts w:hint="eastAsia" w:ascii="Times New Roman" w:hAnsi="Times New Roman" w:eastAsia="宋体" w:cs="Times New Roman"/>
                <w:snapToGrid w:val="0"/>
                <w:kern w:val="0"/>
                <w:sz w:val="24"/>
                <w:lang w:val="en-US" w:eastAsia="zh-CN"/>
              </w:rPr>
              <w:t>0.523</w:t>
            </w:r>
            <w:r>
              <w:rPr>
                <w:rFonts w:hint="eastAsia" w:ascii="Times New Roman" w:hAnsi="Times New Roman" w:eastAsia="宋体" w:cs="Times New Roman"/>
                <w:snapToGrid w:val="0"/>
                <w:kern w:val="0"/>
                <w:sz w:val="24"/>
              </w:rPr>
              <w:t>t/a</w:t>
            </w:r>
            <w:r>
              <w:rPr>
                <w:rFonts w:hint="eastAsia" w:ascii="Times New Roman" w:hAnsi="Times New Roman" w:eastAsia="宋体" w:cs="Times New Roman"/>
                <w:snapToGrid w:val="0"/>
                <w:kern w:val="0"/>
                <w:sz w:val="24"/>
                <w:lang w:val="en-US" w:eastAsia="zh-CN"/>
              </w:rPr>
              <w:t>，0.272kg/h</w:t>
            </w:r>
            <w:r>
              <w:rPr>
                <w:rFonts w:hint="eastAsia" w:ascii="Times New Roman" w:hAnsi="Times New Roman" w:eastAsia="宋体" w:cs="Times New Roman"/>
                <w:snapToGrid w:val="0"/>
                <w:kern w:val="0"/>
                <w:sz w:val="24"/>
              </w:rPr>
              <w:t>，搅拌机为</w:t>
            </w:r>
            <w:r>
              <w:rPr>
                <w:rFonts w:hint="eastAsia" w:cs="Times New Roman"/>
                <w:snapToGrid w:val="0"/>
                <w:kern w:val="0"/>
                <w:sz w:val="24"/>
                <w:lang w:val="en-US" w:eastAsia="zh-CN"/>
              </w:rPr>
              <w:t>密闭</w:t>
            </w:r>
            <w:r>
              <w:rPr>
                <w:rFonts w:hint="eastAsia" w:ascii="Times New Roman" w:hAnsi="Times New Roman" w:eastAsia="宋体" w:cs="Times New Roman"/>
                <w:snapToGrid w:val="0"/>
                <w:kern w:val="0"/>
                <w:sz w:val="24"/>
              </w:rPr>
              <w:t>空间，去除效率</w:t>
            </w:r>
            <w:r>
              <w:rPr>
                <w:rFonts w:hint="eastAsia" w:cs="Times New Roman"/>
                <w:snapToGrid w:val="0"/>
                <w:kern w:val="0"/>
                <w:sz w:val="24"/>
                <w:lang w:eastAsia="zh-CN"/>
              </w:rPr>
              <w:t>为</w:t>
            </w:r>
            <w:r>
              <w:rPr>
                <w:rFonts w:hint="eastAsia" w:ascii="Times New Roman" w:hAnsi="Times New Roman" w:eastAsia="宋体" w:cs="Times New Roman"/>
                <w:snapToGrid w:val="0"/>
                <w:kern w:val="0"/>
                <w:sz w:val="24"/>
                <w:lang w:val="en-US" w:eastAsia="zh-CN"/>
              </w:rPr>
              <w:t>70</w:t>
            </w:r>
            <w:r>
              <w:rPr>
                <w:rFonts w:hint="eastAsia" w:ascii="Times New Roman" w:hAnsi="Times New Roman" w:eastAsia="宋体" w:cs="Times New Roman"/>
                <w:snapToGrid w:val="0"/>
                <w:kern w:val="0"/>
                <w:sz w:val="24"/>
              </w:rPr>
              <w:t>%，则无组织排放量为</w:t>
            </w:r>
            <w:r>
              <w:rPr>
                <w:rFonts w:hint="eastAsia" w:ascii="Times New Roman" w:hAnsi="Times New Roman" w:eastAsia="宋体" w:cs="Times New Roman"/>
                <w:snapToGrid w:val="0"/>
                <w:kern w:val="0"/>
                <w:sz w:val="24"/>
                <w:lang w:val="en-US" w:eastAsia="zh-CN"/>
              </w:rPr>
              <w:t>0.157</w:t>
            </w:r>
            <w:r>
              <w:rPr>
                <w:rFonts w:hint="eastAsia" w:ascii="Times New Roman" w:hAnsi="Times New Roman" w:eastAsia="宋体" w:cs="Times New Roman"/>
                <w:snapToGrid w:val="0"/>
                <w:kern w:val="0"/>
                <w:sz w:val="24"/>
              </w:rPr>
              <w:t>t/a，排放效率为</w:t>
            </w:r>
            <w:r>
              <w:rPr>
                <w:rFonts w:hint="eastAsia" w:ascii="Times New Roman" w:hAnsi="Times New Roman" w:eastAsia="宋体" w:cs="Times New Roman"/>
                <w:snapToGrid w:val="0"/>
                <w:kern w:val="0"/>
                <w:sz w:val="24"/>
                <w:lang w:val="en-US" w:eastAsia="zh-CN"/>
              </w:rPr>
              <w:t>0.082</w:t>
            </w:r>
            <w:r>
              <w:rPr>
                <w:rFonts w:hint="eastAsia" w:ascii="Times New Roman" w:hAnsi="Times New Roman" w:eastAsia="宋体" w:cs="Times New Roman"/>
                <w:snapToGrid w:val="0"/>
                <w:kern w:val="0"/>
                <w:sz w:val="24"/>
              </w:rPr>
              <w:t>kg/h。</w:t>
            </w:r>
          </w:p>
          <w:p>
            <w:pPr>
              <w:keepLines w:val="0"/>
              <w:pageBreakBefore w:val="0"/>
              <w:widowControl/>
              <w:kinsoku/>
              <w:wordWrap/>
              <w:overflowPunct/>
              <w:bidi w:val="0"/>
              <w:spacing w:line="360" w:lineRule="auto"/>
              <w:rPr>
                <w:rFonts w:hint="eastAsia" w:cs="Times New Roman"/>
                <w:snapToGrid w:val="0"/>
                <w:kern w:val="0"/>
                <w:sz w:val="24"/>
                <w:lang w:val="en-US" w:eastAsia="zh-CN"/>
              </w:rPr>
            </w:pPr>
            <w:r>
              <w:rPr>
                <w:rFonts w:hint="eastAsia" w:cs="Times New Roman"/>
                <w:snapToGrid w:val="0"/>
                <w:kern w:val="0"/>
                <w:sz w:val="24"/>
                <w:lang w:val="en-US" w:eastAsia="zh-CN"/>
              </w:rPr>
              <w:t>（6）成品堆存粉尘</w:t>
            </w:r>
          </w:p>
          <w:p>
            <w:pPr>
              <w:keepLines w:val="0"/>
              <w:pageBreakBefore w:val="0"/>
              <w:widowControl/>
              <w:kinsoku/>
              <w:wordWrap/>
              <w:overflowPunct/>
              <w:bidi w:val="0"/>
              <w:spacing w:line="360" w:lineRule="auto"/>
              <w:rPr>
                <w:rFonts w:hint="default" w:cs="Times New Roman"/>
                <w:snapToGrid w:val="0"/>
                <w:kern w:val="0"/>
                <w:sz w:val="24"/>
                <w:lang w:val="en-US" w:eastAsia="zh-CN"/>
              </w:rPr>
            </w:pPr>
            <w:r>
              <w:rPr>
                <w:rFonts w:hint="eastAsia" w:cs="Times New Roman"/>
                <w:snapToGrid w:val="0"/>
                <w:kern w:val="0"/>
                <w:sz w:val="24"/>
                <w:lang w:val="en-US" w:eastAsia="zh-CN"/>
              </w:rPr>
              <w:t>本项目成品储存在露天成品堆场，地面硬化，占地面积300m</w:t>
            </w:r>
            <w:r>
              <w:rPr>
                <w:rFonts w:hint="eastAsia" w:cs="Times New Roman"/>
                <w:snapToGrid w:val="0"/>
                <w:kern w:val="0"/>
                <w:sz w:val="24"/>
                <w:vertAlign w:val="superscript"/>
                <w:lang w:val="en-US" w:eastAsia="zh-CN"/>
              </w:rPr>
              <w:t>2</w:t>
            </w:r>
            <w:r>
              <w:rPr>
                <w:rFonts w:hint="eastAsia" w:cs="Times New Roman"/>
                <w:snapToGrid w:val="0"/>
                <w:kern w:val="0"/>
                <w:sz w:val="24"/>
                <w:lang w:val="en-US" w:eastAsia="zh-CN"/>
              </w:rPr>
              <w:t>，根据采取</w:t>
            </w:r>
            <w:r>
              <w:rPr>
                <w:rFonts w:hint="eastAsia" w:cs="Times New Roman"/>
                <w:kern w:val="2"/>
                <w:sz w:val="24"/>
                <w:szCs w:val="24"/>
                <w:lang w:val="en-US" w:eastAsia="zh-CN" w:bidi="ar-SA"/>
              </w:rPr>
              <w:t>遮盖+喷洒水，粉尘产生量可忽略不计。</w:t>
            </w:r>
          </w:p>
          <w:p>
            <w:pPr>
              <w:keepLines w:val="0"/>
              <w:pageBreakBefore w:val="0"/>
              <w:widowControl/>
              <w:tabs>
                <w:tab w:val="left" w:pos="6480"/>
              </w:tabs>
              <w:kinsoku/>
              <w:wordWrap/>
              <w:overflowPunct/>
              <w:bidi w:val="0"/>
              <w:adjustRightInd w:val="0"/>
              <w:snapToGrid w:val="0"/>
              <w:spacing w:line="240" w:lineRule="auto"/>
              <w:ind w:firstLine="422" w:firstLineChars="200"/>
              <w:rPr>
                <w:b/>
                <w:bCs/>
                <w:color w:val="000000"/>
                <w:spacing w:val="0"/>
                <w:kern w:val="0"/>
                <w:sz w:val="21"/>
                <w:szCs w:val="21"/>
                <w:lang w:bidi="ar"/>
              </w:rPr>
            </w:pPr>
            <w:r>
              <w:rPr>
                <w:b/>
                <w:bCs/>
                <w:color w:val="000000"/>
                <w:spacing w:val="0"/>
                <w:kern w:val="0"/>
                <w:sz w:val="21"/>
                <w:szCs w:val="21"/>
                <w:lang w:bidi="ar"/>
              </w:rPr>
              <w:t>表</w:t>
            </w:r>
            <w:r>
              <w:rPr>
                <w:rFonts w:hint="eastAsia"/>
                <w:b/>
                <w:bCs/>
                <w:color w:val="000000"/>
                <w:spacing w:val="0"/>
                <w:kern w:val="0"/>
                <w:sz w:val="21"/>
                <w:szCs w:val="21"/>
                <w:lang w:val="en-US" w:eastAsia="zh-CN" w:bidi="ar"/>
              </w:rPr>
              <w:t>4-1</w:t>
            </w:r>
            <w:r>
              <w:rPr>
                <w:b/>
                <w:bCs/>
                <w:color w:val="000000"/>
                <w:spacing w:val="0"/>
                <w:kern w:val="0"/>
                <w:sz w:val="21"/>
                <w:szCs w:val="21"/>
                <w:lang w:bidi="ar"/>
              </w:rPr>
              <w:t xml:space="preserve">     </w:t>
            </w:r>
            <w:r>
              <w:rPr>
                <w:rFonts w:hint="eastAsia"/>
                <w:b/>
                <w:bCs/>
                <w:color w:val="000000"/>
                <w:spacing w:val="0"/>
                <w:kern w:val="0"/>
                <w:sz w:val="21"/>
                <w:szCs w:val="21"/>
                <w:lang w:bidi="ar"/>
              </w:rPr>
              <w:t xml:space="preserve">       </w:t>
            </w:r>
            <w:r>
              <w:rPr>
                <w:b/>
                <w:bCs/>
                <w:color w:val="000000"/>
                <w:spacing w:val="0"/>
                <w:kern w:val="0"/>
                <w:sz w:val="21"/>
                <w:szCs w:val="21"/>
                <w:lang w:bidi="ar"/>
              </w:rPr>
              <w:t xml:space="preserve">  主要污染物排放情况一览表</w:t>
            </w:r>
          </w:p>
          <w:tbl>
            <w:tblPr>
              <w:tblStyle w:val="40"/>
              <w:tblW w:w="502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43"/>
              <w:gridCol w:w="357"/>
              <w:gridCol w:w="723"/>
              <w:gridCol w:w="723"/>
              <w:gridCol w:w="881"/>
              <w:gridCol w:w="636"/>
              <w:gridCol w:w="537"/>
              <w:gridCol w:w="585"/>
              <w:gridCol w:w="723"/>
              <w:gridCol w:w="723"/>
              <w:gridCol w:w="879"/>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327" w:type="pct"/>
                  <w:noWrap w:val="0"/>
                  <w:tcMar>
                    <w:left w:w="0" w:type="dxa"/>
                    <w:right w:w="0" w:type="dxa"/>
                  </w:tcMar>
                  <w:vAlign w:val="center"/>
                </w:tcPr>
                <w:p>
                  <w:pPr>
                    <w:pStyle w:val="6"/>
                    <w:bidi w:val="0"/>
                  </w:pPr>
                  <w:r>
                    <w:t>排放口</w:t>
                  </w:r>
                </w:p>
              </w:tc>
              <w:tc>
                <w:tcPr>
                  <w:tcW w:w="144" w:type="pct"/>
                  <w:noWrap w:val="0"/>
                  <w:tcMar>
                    <w:left w:w="0" w:type="dxa"/>
                    <w:right w:w="0" w:type="dxa"/>
                  </w:tcMar>
                  <w:vAlign w:val="center"/>
                </w:tcPr>
                <w:p>
                  <w:pPr>
                    <w:pStyle w:val="6"/>
                    <w:bidi w:val="0"/>
                  </w:pPr>
                  <w:r>
                    <w:t>产尘点</w:t>
                  </w:r>
                </w:p>
              </w:tc>
              <w:tc>
                <w:tcPr>
                  <w:tcW w:w="211" w:type="pct"/>
                  <w:noWrap w:val="0"/>
                  <w:tcMar>
                    <w:left w:w="0" w:type="dxa"/>
                    <w:right w:w="0" w:type="dxa"/>
                  </w:tcMar>
                  <w:vAlign w:val="center"/>
                </w:tcPr>
                <w:p>
                  <w:pPr>
                    <w:pStyle w:val="6"/>
                    <w:bidi w:val="0"/>
                  </w:pPr>
                  <w:r>
                    <w:t>污染名称</w:t>
                  </w:r>
                </w:p>
              </w:tc>
              <w:tc>
                <w:tcPr>
                  <w:tcW w:w="428" w:type="pct"/>
                  <w:noWrap w:val="0"/>
                  <w:tcMar>
                    <w:left w:w="0" w:type="dxa"/>
                    <w:right w:w="0" w:type="dxa"/>
                  </w:tcMar>
                  <w:vAlign w:val="center"/>
                </w:tcPr>
                <w:p>
                  <w:pPr>
                    <w:pStyle w:val="6"/>
                    <w:bidi w:val="0"/>
                  </w:pPr>
                  <w:r>
                    <w:t>产生量</w:t>
                  </w:r>
                </w:p>
                <w:p>
                  <w:pPr>
                    <w:pStyle w:val="6"/>
                    <w:bidi w:val="0"/>
                  </w:pPr>
                  <w:r>
                    <w:t>(t/a)</w:t>
                  </w:r>
                </w:p>
              </w:tc>
              <w:tc>
                <w:tcPr>
                  <w:tcW w:w="428" w:type="pct"/>
                  <w:noWrap w:val="0"/>
                  <w:tcMar>
                    <w:left w:w="0" w:type="dxa"/>
                    <w:right w:w="0" w:type="dxa"/>
                  </w:tcMar>
                  <w:vAlign w:val="center"/>
                </w:tcPr>
                <w:p>
                  <w:pPr>
                    <w:pStyle w:val="6"/>
                    <w:bidi w:val="0"/>
                  </w:pPr>
                  <w:r>
                    <w:t>产生速率（kg/h）</w:t>
                  </w:r>
                </w:p>
              </w:tc>
              <w:tc>
                <w:tcPr>
                  <w:tcW w:w="521" w:type="pct"/>
                  <w:noWrap w:val="0"/>
                  <w:tcMar>
                    <w:left w:w="0" w:type="dxa"/>
                    <w:right w:w="0" w:type="dxa"/>
                  </w:tcMar>
                  <w:vAlign w:val="center"/>
                </w:tcPr>
                <w:p>
                  <w:pPr>
                    <w:pStyle w:val="6"/>
                    <w:bidi w:val="0"/>
                  </w:pPr>
                  <w:r>
                    <w:t>产生浓度（mg/m</w:t>
                  </w:r>
                  <w:r>
                    <w:rPr>
                      <w:vertAlign w:val="superscript"/>
                    </w:rPr>
                    <w:t>3</w:t>
                  </w:r>
                  <w:r>
                    <w:t>）</w:t>
                  </w:r>
                </w:p>
              </w:tc>
              <w:tc>
                <w:tcPr>
                  <w:tcW w:w="376" w:type="pct"/>
                  <w:noWrap w:val="0"/>
                  <w:tcMar>
                    <w:left w:w="0" w:type="dxa"/>
                    <w:right w:w="0" w:type="dxa"/>
                  </w:tcMar>
                  <w:vAlign w:val="center"/>
                </w:tcPr>
                <w:p>
                  <w:pPr>
                    <w:pStyle w:val="6"/>
                    <w:bidi w:val="0"/>
                  </w:pPr>
                  <w:r>
                    <w:t>治理措施</w:t>
                  </w:r>
                </w:p>
              </w:tc>
              <w:tc>
                <w:tcPr>
                  <w:tcW w:w="318" w:type="pct"/>
                  <w:noWrap w:val="0"/>
                  <w:tcMar>
                    <w:left w:w="0" w:type="dxa"/>
                    <w:right w:w="0" w:type="dxa"/>
                  </w:tcMar>
                  <w:vAlign w:val="center"/>
                </w:tcPr>
                <w:p>
                  <w:pPr>
                    <w:pStyle w:val="6"/>
                    <w:bidi w:val="0"/>
                  </w:pPr>
                  <w:r>
                    <w:t>收集效率（%）</w:t>
                  </w:r>
                </w:p>
              </w:tc>
              <w:tc>
                <w:tcPr>
                  <w:tcW w:w="346" w:type="pct"/>
                  <w:noWrap w:val="0"/>
                  <w:tcMar>
                    <w:left w:w="0" w:type="dxa"/>
                    <w:right w:w="0" w:type="dxa"/>
                  </w:tcMar>
                  <w:vAlign w:val="center"/>
                </w:tcPr>
                <w:p>
                  <w:pPr>
                    <w:pStyle w:val="6"/>
                    <w:bidi w:val="0"/>
                  </w:pPr>
                  <w:r>
                    <w:t>去除率</w:t>
                  </w:r>
                </w:p>
                <w:p>
                  <w:pPr>
                    <w:pStyle w:val="6"/>
                    <w:bidi w:val="0"/>
                  </w:pPr>
                  <w:r>
                    <w:t>（%）</w:t>
                  </w:r>
                </w:p>
              </w:tc>
              <w:tc>
                <w:tcPr>
                  <w:tcW w:w="428" w:type="pct"/>
                  <w:noWrap w:val="0"/>
                  <w:tcMar>
                    <w:left w:w="0" w:type="dxa"/>
                    <w:right w:w="0" w:type="dxa"/>
                  </w:tcMar>
                  <w:vAlign w:val="center"/>
                </w:tcPr>
                <w:p>
                  <w:pPr>
                    <w:pStyle w:val="6"/>
                    <w:bidi w:val="0"/>
                  </w:pPr>
                  <w:r>
                    <w:t>排放量（t/a）</w:t>
                  </w:r>
                </w:p>
              </w:tc>
              <w:tc>
                <w:tcPr>
                  <w:tcW w:w="428" w:type="pct"/>
                  <w:noWrap w:val="0"/>
                  <w:tcMar>
                    <w:left w:w="0" w:type="dxa"/>
                    <w:right w:w="0" w:type="dxa"/>
                  </w:tcMar>
                  <w:vAlign w:val="center"/>
                </w:tcPr>
                <w:p>
                  <w:pPr>
                    <w:pStyle w:val="6"/>
                    <w:bidi w:val="0"/>
                  </w:pPr>
                  <w:r>
                    <w:t>排放速率（kg/h）</w:t>
                  </w:r>
                </w:p>
              </w:tc>
              <w:tc>
                <w:tcPr>
                  <w:tcW w:w="520" w:type="pct"/>
                  <w:noWrap w:val="0"/>
                  <w:tcMar>
                    <w:left w:w="0" w:type="dxa"/>
                    <w:right w:w="0" w:type="dxa"/>
                  </w:tcMar>
                  <w:vAlign w:val="center"/>
                </w:tcPr>
                <w:p>
                  <w:pPr>
                    <w:pStyle w:val="6"/>
                    <w:bidi w:val="0"/>
                  </w:pPr>
                  <w:r>
                    <w:t>排放浓度（mg/m</w:t>
                  </w:r>
                  <w:r>
                    <w:rPr>
                      <w:vertAlign w:val="superscript"/>
                    </w:rPr>
                    <w:t>3</w:t>
                  </w:r>
                  <w:r>
                    <w:t>）</w:t>
                  </w:r>
                </w:p>
              </w:tc>
              <w:tc>
                <w:tcPr>
                  <w:tcW w:w="520" w:type="pct"/>
                  <w:noWrap w:val="0"/>
                  <w:tcMar>
                    <w:left w:w="0" w:type="dxa"/>
                    <w:right w:w="0" w:type="dxa"/>
                  </w:tcMar>
                  <w:vAlign w:val="center"/>
                </w:tcPr>
                <w:p>
                  <w:pPr>
                    <w:pStyle w:val="6"/>
                    <w:bidi w:val="0"/>
                    <w:rPr>
                      <w:rFonts w:hint="default" w:eastAsia="宋体"/>
                      <w:lang w:val="en-US" w:eastAsia="zh-CN"/>
                    </w:rPr>
                  </w:pPr>
                  <w:r>
                    <w:rPr>
                      <w:rFonts w:hint="eastAsia"/>
                      <w:lang w:val="en-US" w:eastAsia="zh-CN"/>
                    </w:rPr>
                    <w:t>排放限值</w:t>
                  </w:r>
                  <w:r>
                    <w:t>（mg/m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27" w:type="pct"/>
                  <w:shd w:val="clear" w:color="auto" w:fill="auto"/>
                  <w:noWrap w:val="0"/>
                  <w:tcMar>
                    <w:left w:w="0" w:type="dxa"/>
                    <w:right w:w="0" w:type="dxa"/>
                  </w:tcMar>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DA001</w:t>
                  </w:r>
                </w:p>
              </w:tc>
              <w:tc>
                <w:tcPr>
                  <w:tcW w:w="144" w:type="pct"/>
                  <w:shd w:val="clear" w:color="auto" w:fill="auto"/>
                  <w:noWrap w:val="0"/>
                  <w:tcMar>
                    <w:left w:w="0" w:type="dxa"/>
                    <w:right w:w="0" w:type="dxa"/>
                  </w:tcMar>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筒仓</w:t>
                  </w:r>
                </w:p>
              </w:tc>
              <w:tc>
                <w:tcPr>
                  <w:tcW w:w="211" w:type="pct"/>
                  <w:shd w:val="clear" w:color="auto" w:fill="auto"/>
                  <w:noWrap w:val="0"/>
                  <w:tcMar>
                    <w:left w:w="0" w:type="dxa"/>
                    <w:right w:w="0" w:type="dxa"/>
                  </w:tcMar>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颗粒物</w:t>
                  </w:r>
                </w:p>
              </w:tc>
              <w:tc>
                <w:tcPr>
                  <w:tcW w:w="428" w:type="pct"/>
                  <w:shd w:val="clear" w:color="auto" w:fill="auto"/>
                  <w:noWrap w:val="0"/>
                  <w:tcMar>
                    <w:left w:w="0" w:type="dxa"/>
                    <w:right w:w="0" w:type="dxa"/>
                  </w:tcMar>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ascii="Times New Roman" w:hAnsi="Times New Roman" w:eastAsia="宋体" w:cs="Times New Roman"/>
                      <w:lang w:val="en-US" w:eastAsia="zh-CN"/>
                    </w:rPr>
                    <w:t>0.36</w:t>
                  </w:r>
                </w:p>
              </w:tc>
              <w:tc>
                <w:tcPr>
                  <w:tcW w:w="428" w:type="pct"/>
                  <w:shd w:val="clear" w:color="auto" w:fill="auto"/>
                  <w:noWrap w:val="0"/>
                  <w:tcMar>
                    <w:left w:w="0" w:type="dxa"/>
                    <w:right w:w="0" w:type="dxa"/>
                  </w:tcMar>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ascii="Times New Roman" w:hAnsi="Times New Roman" w:eastAsia="宋体" w:cs="Times New Roman"/>
                      <w:lang w:val="en-US" w:eastAsia="zh-CN"/>
                    </w:rPr>
                    <w:t>6</w:t>
                  </w:r>
                </w:p>
              </w:tc>
              <w:tc>
                <w:tcPr>
                  <w:tcW w:w="521" w:type="pct"/>
                  <w:shd w:val="clear" w:color="auto" w:fill="auto"/>
                  <w:noWrap w:val="0"/>
                  <w:tcMar>
                    <w:left w:w="0" w:type="dxa"/>
                    <w:right w:w="0" w:type="dxa"/>
                  </w:tcMar>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ascii="Times New Roman" w:hAnsi="Times New Roman" w:eastAsia="宋体" w:cs="Times New Roman"/>
                      <w:lang w:val="en-US" w:eastAsia="zh-CN"/>
                    </w:rPr>
                    <w:t>1714.286</w:t>
                  </w:r>
                </w:p>
              </w:tc>
              <w:tc>
                <w:tcPr>
                  <w:tcW w:w="376" w:type="pct"/>
                  <w:shd w:val="clear" w:color="auto" w:fill="auto"/>
                  <w:noWrap w:val="0"/>
                  <w:tcMar>
                    <w:left w:w="0" w:type="dxa"/>
                    <w:right w:w="0" w:type="dxa"/>
                  </w:tcMar>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ascii="Times New Roman" w:hAnsi="Times New Roman" w:eastAsia="宋体" w:cs="Times New Roman"/>
                      <w:lang w:val="en-US" w:eastAsia="zh-CN"/>
                    </w:rPr>
                    <w:t>布袋除尘器</w:t>
                  </w:r>
                </w:p>
              </w:tc>
              <w:tc>
                <w:tcPr>
                  <w:tcW w:w="318" w:type="pct"/>
                  <w:shd w:val="clear" w:color="auto" w:fill="auto"/>
                  <w:noWrap w:val="0"/>
                  <w:tcMar>
                    <w:left w:w="0" w:type="dxa"/>
                    <w:right w:w="0" w:type="dxa"/>
                  </w:tcMar>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ascii="Times New Roman" w:hAnsi="Times New Roman" w:eastAsia="宋体" w:cs="Times New Roman"/>
                      <w:lang w:val="en-US" w:eastAsia="zh-CN"/>
                    </w:rPr>
                    <w:t>100</w:t>
                  </w:r>
                </w:p>
              </w:tc>
              <w:tc>
                <w:tcPr>
                  <w:tcW w:w="346" w:type="pct"/>
                  <w:shd w:val="clear" w:color="auto" w:fill="auto"/>
                  <w:noWrap w:val="0"/>
                  <w:tcMar>
                    <w:left w:w="0" w:type="dxa"/>
                    <w:right w:w="0" w:type="dxa"/>
                  </w:tcMar>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ascii="Times New Roman" w:hAnsi="Times New Roman" w:eastAsia="宋体" w:cs="Times New Roman"/>
                      <w:lang w:val="en-US" w:eastAsia="zh-CN"/>
                    </w:rPr>
                    <w:t>99.7</w:t>
                  </w:r>
                </w:p>
              </w:tc>
              <w:tc>
                <w:tcPr>
                  <w:tcW w:w="428" w:type="pct"/>
                  <w:shd w:val="clear" w:color="auto" w:fill="auto"/>
                  <w:noWrap w:val="0"/>
                  <w:tcMar>
                    <w:left w:w="0" w:type="dxa"/>
                    <w:right w:w="0" w:type="dxa"/>
                  </w:tcMar>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ascii="Times New Roman" w:hAnsi="Times New Roman" w:eastAsia="宋体" w:cs="Times New Roman"/>
                      <w:lang w:val="en-US" w:eastAsia="zh-CN"/>
                    </w:rPr>
                    <w:t>0.001</w:t>
                  </w:r>
                </w:p>
              </w:tc>
              <w:tc>
                <w:tcPr>
                  <w:tcW w:w="428" w:type="pct"/>
                  <w:shd w:val="clear" w:color="auto" w:fill="auto"/>
                  <w:noWrap w:val="0"/>
                  <w:tcMar>
                    <w:left w:w="0" w:type="dxa"/>
                    <w:right w:w="0" w:type="dxa"/>
                  </w:tcMar>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ascii="Times New Roman" w:hAnsi="Times New Roman" w:eastAsia="宋体" w:cs="Times New Roman"/>
                      <w:lang w:val="en-US" w:eastAsia="zh-CN"/>
                    </w:rPr>
                    <w:t>0.018</w:t>
                  </w:r>
                </w:p>
              </w:tc>
              <w:tc>
                <w:tcPr>
                  <w:tcW w:w="520" w:type="pct"/>
                  <w:shd w:val="clear" w:color="auto" w:fill="auto"/>
                  <w:noWrap w:val="0"/>
                  <w:tcMar>
                    <w:left w:w="0" w:type="dxa"/>
                    <w:right w:w="0" w:type="dxa"/>
                  </w:tcMar>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ascii="Times New Roman" w:hAnsi="Times New Roman" w:eastAsia="宋体" w:cs="Times New Roman"/>
                      <w:lang w:val="en-US" w:eastAsia="zh-CN"/>
                    </w:rPr>
                    <w:t>5.143</w:t>
                  </w:r>
                </w:p>
              </w:tc>
              <w:tc>
                <w:tcPr>
                  <w:tcW w:w="520" w:type="pct"/>
                  <w:shd w:val="clear" w:color="auto" w:fill="auto"/>
                  <w:noWrap w:val="0"/>
                  <w:tcMar>
                    <w:left w:w="0" w:type="dxa"/>
                    <w:right w:w="0" w:type="dxa"/>
                  </w:tcMar>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27" w:type="pct"/>
                  <w:shd w:val="clear" w:color="auto" w:fill="auto"/>
                  <w:noWrap w:val="0"/>
                  <w:tcMar>
                    <w:left w:w="0" w:type="dxa"/>
                    <w:right w:w="0" w:type="dxa"/>
                  </w:tcMar>
                  <w:vAlign w:val="center"/>
                </w:tcPr>
                <w:p>
                  <w:pPr>
                    <w:pStyle w:val="6"/>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DA002</w:t>
                  </w:r>
                </w:p>
              </w:tc>
              <w:tc>
                <w:tcPr>
                  <w:tcW w:w="144" w:type="pct"/>
                  <w:noWrap w:val="0"/>
                  <w:tcMar>
                    <w:left w:w="0" w:type="dxa"/>
                    <w:right w:w="0" w:type="dxa"/>
                  </w:tcMar>
                  <w:vAlign w:val="center"/>
                </w:tcPr>
                <w:p>
                  <w:pPr>
                    <w:pStyle w:val="6"/>
                    <w:bidi w:val="0"/>
                    <w:rPr>
                      <w:rFonts w:hint="default"/>
                      <w:lang w:val="en-US" w:eastAsia="zh-CN"/>
                    </w:rPr>
                  </w:pPr>
                  <w:r>
                    <w:rPr>
                      <w:rFonts w:hint="eastAsia"/>
                      <w:lang w:val="en-US" w:eastAsia="zh-CN"/>
                    </w:rPr>
                    <w:t>搅拌</w:t>
                  </w:r>
                </w:p>
              </w:tc>
              <w:tc>
                <w:tcPr>
                  <w:tcW w:w="211" w:type="pct"/>
                  <w:noWrap w:val="0"/>
                  <w:tcMar>
                    <w:left w:w="0" w:type="dxa"/>
                    <w:right w:w="0" w:type="dxa"/>
                  </w:tcMar>
                  <w:vAlign w:val="center"/>
                </w:tcPr>
                <w:p>
                  <w:pPr>
                    <w:pStyle w:val="6"/>
                    <w:bidi w:val="0"/>
                    <w:rPr>
                      <w:rFonts w:hint="eastAsia"/>
                      <w:lang w:val="en-US" w:eastAsia="zh-CN"/>
                    </w:rPr>
                  </w:pPr>
                  <w:r>
                    <w:rPr>
                      <w:rFonts w:hint="eastAsia"/>
                      <w:lang w:val="en-US" w:eastAsia="zh-CN"/>
                    </w:rPr>
                    <w:t>颗粒物</w:t>
                  </w:r>
                </w:p>
              </w:tc>
              <w:tc>
                <w:tcPr>
                  <w:tcW w:w="428"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9.937 </w:t>
                  </w:r>
                </w:p>
              </w:tc>
              <w:tc>
                <w:tcPr>
                  <w:tcW w:w="428"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5.176 </w:t>
                  </w:r>
                </w:p>
              </w:tc>
              <w:tc>
                <w:tcPr>
                  <w:tcW w:w="521"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1035.104 </w:t>
                  </w:r>
                </w:p>
              </w:tc>
              <w:tc>
                <w:tcPr>
                  <w:tcW w:w="376"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布袋除尘器</w:t>
                  </w:r>
                </w:p>
              </w:tc>
              <w:tc>
                <w:tcPr>
                  <w:tcW w:w="318"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95</w:t>
                  </w:r>
                </w:p>
              </w:tc>
              <w:tc>
                <w:tcPr>
                  <w:tcW w:w="346"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99.7</w:t>
                  </w:r>
                </w:p>
              </w:tc>
              <w:tc>
                <w:tcPr>
                  <w:tcW w:w="428" w:type="pct"/>
                  <w:shd w:val="clear" w:color="auto" w:fill="auto"/>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0.030 </w:t>
                  </w:r>
                </w:p>
              </w:tc>
              <w:tc>
                <w:tcPr>
                  <w:tcW w:w="428" w:type="pct"/>
                  <w:shd w:val="clear" w:color="auto" w:fill="auto"/>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0.016 </w:t>
                  </w:r>
                </w:p>
              </w:tc>
              <w:tc>
                <w:tcPr>
                  <w:tcW w:w="520" w:type="pct"/>
                  <w:shd w:val="clear" w:color="auto" w:fill="auto"/>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3.105 </w:t>
                  </w:r>
                </w:p>
              </w:tc>
              <w:tc>
                <w:tcPr>
                  <w:tcW w:w="520" w:type="pct"/>
                  <w:shd w:val="clear" w:color="auto" w:fill="auto"/>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cs="Times New Roman"/>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327" w:type="pct"/>
                  <w:vMerge w:val="restart"/>
                  <w:noWrap w:val="0"/>
                  <w:tcMar>
                    <w:left w:w="0" w:type="dxa"/>
                    <w:right w:w="0" w:type="dxa"/>
                  </w:tcMar>
                  <w:vAlign w:val="center"/>
                </w:tcPr>
                <w:p>
                  <w:pPr>
                    <w:pStyle w:val="6"/>
                    <w:bidi w:val="0"/>
                    <w:rPr>
                      <w:rFonts w:hint="default"/>
                      <w:lang w:val="en-US" w:eastAsia="zh-CN"/>
                    </w:rPr>
                  </w:pPr>
                  <w:r>
                    <w:rPr>
                      <w:rFonts w:hint="eastAsia"/>
                      <w:lang w:val="en-US" w:eastAsia="zh-CN"/>
                    </w:rPr>
                    <w:t>无组织</w:t>
                  </w:r>
                </w:p>
              </w:tc>
              <w:tc>
                <w:tcPr>
                  <w:tcW w:w="144" w:type="pct"/>
                  <w:noWrap w:val="0"/>
                  <w:tcMar>
                    <w:left w:w="0" w:type="dxa"/>
                    <w:right w:w="0" w:type="dxa"/>
                  </w:tcMar>
                  <w:vAlign w:val="center"/>
                </w:tcPr>
                <w:p>
                  <w:pPr>
                    <w:pStyle w:val="6"/>
                    <w:bidi w:val="0"/>
                    <w:rPr>
                      <w:rFonts w:hint="default"/>
                      <w:lang w:val="en-US" w:eastAsia="zh-CN"/>
                    </w:rPr>
                  </w:pPr>
                  <w:r>
                    <w:rPr>
                      <w:rFonts w:hint="eastAsia"/>
                      <w:lang w:val="en-US" w:eastAsia="zh-CN"/>
                    </w:rPr>
                    <w:t>砂石料堆场</w:t>
                  </w:r>
                </w:p>
              </w:tc>
              <w:tc>
                <w:tcPr>
                  <w:tcW w:w="211" w:type="pct"/>
                  <w:noWrap w:val="0"/>
                  <w:tcMar>
                    <w:left w:w="0" w:type="dxa"/>
                    <w:right w:w="0" w:type="dxa"/>
                  </w:tcMar>
                  <w:vAlign w:val="center"/>
                </w:tcPr>
                <w:p>
                  <w:pPr>
                    <w:pStyle w:val="6"/>
                    <w:bidi w:val="0"/>
                    <w:rPr>
                      <w:rFonts w:hint="default"/>
                      <w:lang w:val="en-US" w:eastAsia="zh-CN"/>
                    </w:rPr>
                  </w:pPr>
                  <w:r>
                    <w:rPr>
                      <w:rFonts w:hint="eastAsia"/>
                      <w:lang w:val="en-US" w:eastAsia="zh-CN"/>
                    </w:rPr>
                    <w:t>颗粒物</w:t>
                  </w:r>
                </w:p>
              </w:tc>
              <w:tc>
                <w:tcPr>
                  <w:tcW w:w="428"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2.094</w:t>
                  </w:r>
                </w:p>
              </w:tc>
              <w:tc>
                <w:tcPr>
                  <w:tcW w:w="428"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1.091</w:t>
                  </w:r>
                </w:p>
              </w:tc>
              <w:tc>
                <w:tcPr>
                  <w:tcW w:w="521"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376" w:type="pct"/>
                  <w:noWrap w:val="0"/>
                  <w:tcMar>
                    <w:left w:w="0" w:type="dxa"/>
                    <w:right w:w="0" w:type="dxa"/>
                  </w:tcMar>
                  <w:vAlign w:val="center"/>
                </w:tcPr>
                <w:p>
                  <w:pPr>
                    <w:pStyle w:val="6"/>
                    <w:bidi w:val="0"/>
                  </w:pPr>
                  <w:r>
                    <w:rPr>
                      <w:rFonts w:hint="eastAsia" w:ascii="Times New Roman" w:hAnsi="Times New Roman" w:eastAsia="宋体" w:cs="Times New Roman"/>
                      <w:lang w:val="en-US" w:eastAsia="zh-CN"/>
                    </w:rPr>
                    <w:t>围挡（防风抑尘墙）+洒水降尘</w:t>
                  </w:r>
                </w:p>
              </w:tc>
              <w:tc>
                <w:tcPr>
                  <w:tcW w:w="318" w:type="pct"/>
                  <w:noWrap w:val="0"/>
                  <w:tcMar>
                    <w:left w:w="0" w:type="dxa"/>
                    <w:right w:w="0" w:type="dxa"/>
                  </w:tcMar>
                  <w:vAlign w:val="center"/>
                </w:tcPr>
                <w:p>
                  <w:pPr>
                    <w:pStyle w:val="6"/>
                    <w:bidi w:val="0"/>
                    <w:rPr>
                      <w:rFonts w:hint="eastAsia"/>
                      <w:lang w:val="en-US" w:eastAsia="zh-CN"/>
                    </w:rPr>
                  </w:pPr>
                  <w:r>
                    <w:rPr>
                      <w:rFonts w:hint="eastAsia"/>
                      <w:lang w:val="en-US" w:eastAsia="zh-CN"/>
                    </w:rPr>
                    <w:t>/</w:t>
                  </w:r>
                </w:p>
              </w:tc>
              <w:tc>
                <w:tcPr>
                  <w:tcW w:w="346"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cs="Times New Roman"/>
                      <w:lang w:val="en-US" w:eastAsia="zh-CN"/>
                    </w:rPr>
                    <w:t>89.6</w:t>
                  </w:r>
                </w:p>
              </w:tc>
              <w:tc>
                <w:tcPr>
                  <w:tcW w:w="428"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lang w:val="en-US" w:eastAsia="zh-CN"/>
                    </w:rPr>
                    <w:t>0.218</w:t>
                  </w:r>
                </w:p>
              </w:tc>
              <w:tc>
                <w:tcPr>
                  <w:tcW w:w="428"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lang w:val="en-US" w:eastAsia="zh-CN"/>
                    </w:rPr>
                    <w:t>0.113</w:t>
                  </w:r>
                </w:p>
              </w:tc>
              <w:tc>
                <w:tcPr>
                  <w:tcW w:w="520" w:type="pct"/>
                  <w:noWrap w:val="0"/>
                  <w:tcMar>
                    <w:left w:w="0" w:type="dxa"/>
                    <w:right w:w="0" w:type="dxa"/>
                  </w:tcMar>
                  <w:vAlign w:val="center"/>
                </w:tcPr>
                <w:p>
                  <w:pPr>
                    <w:pStyle w:val="6"/>
                    <w:bidi w:val="0"/>
                    <w:rPr>
                      <w:rFonts w:hint="default"/>
                      <w:lang w:val="en-US" w:eastAsia="zh-CN"/>
                    </w:rPr>
                  </w:pPr>
                  <w:r>
                    <w:rPr>
                      <w:rFonts w:hint="eastAsia"/>
                      <w:lang w:val="en-US" w:eastAsia="zh-CN"/>
                    </w:rPr>
                    <w:t>/</w:t>
                  </w:r>
                </w:p>
              </w:tc>
              <w:tc>
                <w:tcPr>
                  <w:tcW w:w="520" w:type="pct"/>
                  <w:noWrap w:val="0"/>
                  <w:tcMar>
                    <w:left w:w="0" w:type="dxa"/>
                    <w:right w:w="0" w:type="dxa"/>
                  </w:tcMar>
                  <w:vAlign w:val="center"/>
                </w:tcPr>
                <w:p>
                  <w:pPr>
                    <w:pStyle w:val="6"/>
                    <w:bidi w:val="0"/>
                    <w:rPr>
                      <w:rFonts w:hint="default"/>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327" w:type="pct"/>
                  <w:vMerge w:val="continue"/>
                  <w:noWrap w:val="0"/>
                  <w:tcMar>
                    <w:left w:w="0" w:type="dxa"/>
                    <w:right w:w="0" w:type="dxa"/>
                  </w:tcMar>
                  <w:vAlign w:val="center"/>
                </w:tcPr>
                <w:p>
                  <w:pPr>
                    <w:pStyle w:val="6"/>
                    <w:bidi w:val="0"/>
                    <w:rPr>
                      <w:rFonts w:hint="eastAsia"/>
                      <w:lang w:val="en-US" w:eastAsia="zh-CN"/>
                    </w:rPr>
                  </w:pPr>
                </w:p>
              </w:tc>
              <w:tc>
                <w:tcPr>
                  <w:tcW w:w="144" w:type="pct"/>
                  <w:noWrap w:val="0"/>
                  <w:tcMar>
                    <w:left w:w="0" w:type="dxa"/>
                    <w:right w:w="0" w:type="dxa"/>
                  </w:tcMar>
                  <w:vAlign w:val="center"/>
                </w:tcPr>
                <w:p>
                  <w:pPr>
                    <w:pStyle w:val="6"/>
                    <w:bidi w:val="0"/>
                    <w:rPr>
                      <w:rFonts w:hint="default"/>
                      <w:lang w:val="en-US" w:eastAsia="zh-CN"/>
                    </w:rPr>
                  </w:pPr>
                  <w:r>
                    <w:rPr>
                      <w:rFonts w:hint="eastAsia"/>
                      <w:lang w:val="en-US" w:eastAsia="zh-CN"/>
                    </w:rPr>
                    <w:t>上料</w:t>
                  </w:r>
                </w:p>
              </w:tc>
              <w:tc>
                <w:tcPr>
                  <w:tcW w:w="211" w:type="pct"/>
                  <w:noWrap w:val="0"/>
                  <w:tcMar>
                    <w:left w:w="0" w:type="dxa"/>
                    <w:right w:w="0" w:type="dxa"/>
                  </w:tcMar>
                  <w:vAlign w:val="center"/>
                </w:tcPr>
                <w:p>
                  <w:pPr>
                    <w:pStyle w:val="6"/>
                    <w:bidi w:val="0"/>
                    <w:rPr>
                      <w:rFonts w:hint="default"/>
                      <w:lang w:val="en-US" w:eastAsia="zh-CN"/>
                    </w:rPr>
                  </w:pPr>
                  <w:r>
                    <w:rPr>
                      <w:rFonts w:hint="eastAsia"/>
                      <w:lang w:val="en-US" w:eastAsia="zh-CN"/>
                    </w:rPr>
                    <w:t>颗粒物</w:t>
                  </w:r>
                </w:p>
              </w:tc>
              <w:tc>
                <w:tcPr>
                  <w:tcW w:w="428"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0.32</w:t>
                  </w:r>
                </w:p>
              </w:tc>
              <w:tc>
                <w:tcPr>
                  <w:tcW w:w="428"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0.167</w:t>
                  </w:r>
                </w:p>
              </w:tc>
              <w:tc>
                <w:tcPr>
                  <w:tcW w:w="521"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376" w:type="pct"/>
                  <w:noWrap w:val="0"/>
                  <w:tcMar>
                    <w:left w:w="0" w:type="dxa"/>
                    <w:right w:w="0" w:type="dxa"/>
                  </w:tcMar>
                  <w:vAlign w:val="center"/>
                </w:tcPr>
                <w:p>
                  <w:pPr>
                    <w:pStyle w:val="6"/>
                    <w:bidi w:val="0"/>
                    <w:rPr>
                      <w:rFonts w:hint="eastAsia"/>
                      <w:lang w:val="en-US" w:eastAsia="zh-CN"/>
                    </w:rPr>
                  </w:pPr>
                  <w:r>
                    <w:rPr>
                      <w:rFonts w:hint="eastAsia"/>
                      <w:lang w:val="en-US" w:eastAsia="zh-CN"/>
                    </w:rPr>
                    <w:t>边洒水边作业</w:t>
                  </w:r>
                </w:p>
              </w:tc>
              <w:tc>
                <w:tcPr>
                  <w:tcW w:w="318" w:type="pct"/>
                  <w:noWrap w:val="0"/>
                  <w:tcMar>
                    <w:left w:w="0" w:type="dxa"/>
                    <w:right w:w="0" w:type="dxa"/>
                  </w:tcMar>
                  <w:vAlign w:val="center"/>
                </w:tcPr>
                <w:p>
                  <w:pPr>
                    <w:pStyle w:val="6"/>
                    <w:bidi w:val="0"/>
                    <w:rPr>
                      <w:rFonts w:hint="default"/>
                      <w:lang w:val="en-US" w:eastAsia="zh-CN"/>
                    </w:rPr>
                  </w:pPr>
                  <w:r>
                    <w:rPr>
                      <w:rFonts w:hint="eastAsia"/>
                      <w:lang w:val="en-US" w:eastAsia="zh-CN"/>
                    </w:rPr>
                    <w:t>/</w:t>
                  </w:r>
                </w:p>
              </w:tc>
              <w:tc>
                <w:tcPr>
                  <w:tcW w:w="346"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74</w:t>
                  </w:r>
                </w:p>
              </w:tc>
              <w:tc>
                <w:tcPr>
                  <w:tcW w:w="428"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0.083</w:t>
                  </w:r>
                </w:p>
              </w:tc>
              <w:tc>
                <w:tcPr>
                  <w:tcW w:w="428"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0.043</w:t>
                  </w:r>
                </w:p>
              </w:tc>
              <w:tc>
                <w:tcPr>
                  <w:tcW w:w="520" w:type="pct"/>
                  <w:noWrap w:val="0"/>
                  <w:tcMar>
                    <w:left w:w="0" w:type="dxa"/>
                    <w:right w:w="0" w:type="dxa"/>
                  </w:tcMar>
                  <w:vAlign w:val="center"/>
                </w:tcPr>
                <w:p>
                  <w:pPr>
                    <w:pStyle w:val="6"/>
                    <w:bidi w:val="0"/>
                    <w:rPr>
                      <w:rFonts w:hint="default"/>
                      <w:lang w:val="en-US" w:eastAsia="zh-CN"/>
                    </w:rPr>
                  </w:pPr>
                  <w:r>
                    <w:rPr>
                      <w:rFonts w:hint="eastAsia"/>
                      <w:lang w:val="en-US" w:eastAsia="zh-CN"/>
                    </w:rPr>
                    <w:t>/</w:t>
                  </w:r>
                </w:p>
              </w:tc>
              <w:tc>
                <w:tcPr>
                  <w:tcW w:w="520" w:type="pct"/>
                  <w:noWrap w:val="0"/>
                  <w:tcMar>
                    <w:left w:w="0" w:type="dxa"/>
                    <w:right w:w="0" w:type="dxa"/>
                  </w:tcMar>
                  <w:vAlign w:val="center"/>
                </w:tcPr>
                <w:p>
                  <w:pPr>
                    <w:pStyle w:val="6"/>
                    <w:bidi w:val="0"/>
                    <w:rPr>
                      <w:rFonts w:hint="default"/>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27" w:type="pct"/>
                  <w:vMerge w:val="continue"/>
                  <w:noWrap w:val="0"/>
                  <w:tcMar>
                    <w:left w:w="0" w:type="dxa"/>
                    <w:right w:w="0" w:type="dxa"/>
                  </w:tcMar>
                  <w:vAlign w:val="center"/>
                </w:tcPr>
                <w:p>
                  <w:pPr>
                    <w:pStyle w:val="6"/>
                    <w:bidi w:val="0"/>
                  </w:pPr>
                </w:p>
              </w:tc>
              <w:tc>
                <w:tcPr>
                  <w:tcW w:w="144" w:type="pct"/>
                  <w:noWrap w:val="0"/>
                  <w:tcMar>
                    <w:left w:w="0" w:type="dxa"/>
                    <w:right w:w="0" w:type="dxa"/>
                  </w:tcMar>
                  <w:vAlign w:val="center"/>
                </w:tcPr>
                <w:p>
                  <w:pPr>
                    <w:pStyle w:val="6"/>
                    <w:bidi w:val="0"/>
                  </w:pPr>
                  <w:r>
                    <w:rPr>
                      <w:rFonts w:hint="eastAsia"/>
                      <w:lang w:val="en-US" w:eastAsia="zh-CN"/>
                    </w:rPr>
                    <w:t>搅拌</w:t>
                  </w:r>
                </w:p>
              </w:tc>
              <w:tc>
                <w:tcPr>
                  <w:tcW w:w="211" w:type="pct"/>
                  <w:noWrap w:val="0"/>
                  <w:tcMar>
                    <w:left w:w="0" w:type="dxa"/>
                    <w:right w:w="0" w:type="dxa"/>
                  </w:tcMar>
                  <w:vAlign w:val="center"/>
                </w:tcPr>
                <w:p>
                  <w:pPr>
                    <w:pStyle w:val="6"/>
                    <w:bidi w:val="0"/>
                    <w:rPr>
                      <w:lang w:val="en-US" w:eastAsia="zh-CN"/>
                    </w:rPr>
                  </w:pPr>
                  <w:r>
                    <w:rPr>
                      <w:rFonts w:hint="eastAsia"/>
                      <w:lang w:val="en-US" w:eastAsia="zh-CN"/>
                    </w:rPr>
                    <w:t>颗粒物</w:t>
                  </w:r>
                </w:p>
              </w:tc>
              <w:tc>
                <w:tcPr>
                  <w:tcW w:w="428" w:type="pct"/>
                  <w:shd w:val="clear" w:color="auto" w:fill="auto"/>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0.523 </w:t>
                  </w:r>
                </w:p>
              </w:tc>
              <w:tc>
                <w:tcPr>
                  <w:tcW w:w="428" w:type="pct"/>
                  <w:shd w:val="clear" w:color="auto" w:fill="auto"/>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0.272 </w:t>
                  </w:r>
                </w:p>
              </w:tc>
              <w:tc>
                <w:tcPr>
                  <w:tcW w:w="521" w:type="pct"/>
                  <w:noWrap w:val="0"/>
                  <w:tcMar>
                    <w:left w:w="0" w:type="dxa"/>
                    <w:right w:w="0" w:type="dxa"/>
                  </w:tcMar>
                  <w:vAlign w:val="center"/>
                </w:tcPr>
                <w:p>
                  <w:pPr>
                    <w:pStyle w:val="6"/>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376"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snapToGrid w:val="0"/>
                      <w:kern w:val="0"/>
                      <w:sz w:val="24"/>
                      <w:lang w:val="en-US" w:eastAsia="zh-CN"/>
                    </w:rPr>
                    <w:t>密闭</w:t>
                  </w:r>
                  <w:r>
                    <w:rPr>
                      <w:rFonts w:hint="eastAsia" w:ascii="Times New Roman" w:hAnsi="Times New Roman" w:eastAsia="宋体" w:cs="Times New Roman"/>
                      <w:snapToGrid w:val="0"/>
                      <w:kern w:val="0"/>
                      <w:sz w:val="24"/>
                    </w:rPr>
                    <w:t>空间</w:t>
                  </w:r>
                </w:p>
              </w:tc>
              <w:tc>
                <w:tcPr>
                  <w:tcW w:w="318" w:type="pct"/>
                  <w:noWrap w:val="0"/>
                  <w:tcMar>
                    <w:left w:w="0" w:type="dxa"/>
                    <w:right w:w="0" w:type="dxa"/>
                  </w:tcMar>
                  <w:vAlign w:val="center"/>
                </w:tcPr>
                <w:p>
                  <w:pPr>
                    <w:pStyle w:val="6"/>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w:t>
                  </w:r>
                </w:p>
              </w:tc>
              <w:tc>
                <w:tcPr>
                  <w:tcW w:w="346" w:type="pct"/>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70</w:t>
                  </w:r>
                </w:p>
              </w:tc>
              <w:tc>
                <w:tcPr>
                  <w:tcW w:w="428" w:type="pct"/>
                  <w:shd w:val="clear" w:color="auto" w:fill="auto"/>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0.157 </w:t>
                  </w:r>
                </w:p>
              </w:tc>
              <w:tc>
                <w:tcPr>
                  <w:tcW w:w="428" w:type="pct"/>
                  <w:shd w:val="clear" w:color="auto" w:fill="auto"/>
                  <w:noWrap w:val="0"/>
                  <w:tcMar>
                    <w:left w:w="0" w:type="dxa"/>
                    <w:right w:w="0" w:type="dxa"/>
                  </w:tcMar>
                  <w:vAlign w:val="center"/>
                </w:tcPr>
                <w:p>
                  <w:pPr>
                    <w:pStyle w:val="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0.082 </w:t>
                  </w:r>
                </w:p>
              </w:tc>
              <w:tc>
                <w:tcPr>
                  <w:tcW w:w="520" w:type="pct"/>
                  <w:noWrap w:val="0"/>
                  <w:tcMar>
                    <w:left w:w="0" w:type="dxa"/>
                    <w:right w:w="0" w:type="dxa"/>
                  </w:tcMar>
                  <w:vAlign w:val="center"/>
                </w:tcPr>
                <w:p>
                  <w:pPr>
                    <w:pStyle w:val="6"/>
                    <w:bidi w:val="0"/>
                    <w:rPr>
                      <w:rFonts w:hint="eastAsia"/>
                      <w:lang w:val="en-US" w:eastAsia="zh-CN"/>
                    </w:rPr>
                  </w:pPr>
                  <w:r>
                    <w:rPr>
                      <w:rFonts w:hint="eastAsia"/>
                      <w:lang w:val="en-US" w:eastAsia="zh-CN"/>
                    </w:rPr>
                    <w:t>/</w:t>
                  </w:r>
                </w:p>
              </w:tc>
              <w:tc>
                <w:tcPr>
                  <w:tcW w:w="520" w:type="pct"/>
                  <w:noWrap w:val="0"/>
                  <w:tcMar>
                    <w:left w:w="0" w:type="dxa"/>
                    <w:right w:w="0" w:type="dxa"/>
                  </w:tcMar>
                  <w:vAlign w:val="center"/>
                </w:tcPr>
                <w:p>
                  <w:pPr>
                    <w:pStyle w:val="6"/>
                    <w:bidi w:val="0"/>
                    <w:rPr>
                      <w:rFonts w:hint="default"/>
                      <w:lang w:val="en-US" w:eastAsia="zh-CN"/>
                    </w:rPr>
                  </w:pPr>
                  <w:r>
                    <w:rPr>
                      <w:rFonts w:hint="eastAsia"/>
                      <w:lang w:val="en-US" w:eastAsia="zh-CN"/>
                    </w:rPr>
                    <w:t>0.5</w:t>
                  </w:r>
                </w:p>
              </w:tc>
            </w:tr>
          </w:tbl>
          <w:p>
            <w:pPr>
              <w:keepLines w:val="0"/>
              <w:pageBreakBefore w:val="0"/>
              <w:widowControl/>
              <w:kinsoku/>
              <w:wordWrap/>
              <w:overflowPunct/>
              <w:bidi w:val="0"/>
              <w:spacing w:line="240" w:lineRule="auto"/>
              <w:ind w:firstLine="422" w:firstLineChars="200"/>
              <w:rPr>
                <w:rFonts w:ascii="宋体" w:hAnsi="宋体" w:cs="宋体"/>
                <w:b/>
                <w:bCs/>
                <w:color w:val="000000"/>
                <w:spacing w:val="0"/>
                <w:kern w:val="0"/>
                <w:sz w:val="21"/>
                <w:szCs w:val="21"/>
              </w:rPr>
            </w:pPr>
            <w:r>
              <w:rPr>
                <w:rFonts w:hint="eastAsia" w:ascii="宋体" w:hAnsi="宋体" w:cs="宋体"/>
                <w:b/>
                <w:bCs/>
                <w:color w:val="000000"/>
                <w:spacing w:val="0"/>
                <w:kern w:val="0"/>
                <w:sz w:val="21"/>
                <w:szCs w:val="21"/>
              </w:rPr>
              <w:t>表</w:t>
            </w:r>
            <w:r>
              <w:rPr>
                <w:rFonts w:hint="eastAsia"/>
                <w:b/>
                <w:bCs/>
                <w:color w:val="000000"/>
                <w:spacing w:val="0"/>
                <w:kern w:val="0"/>
                <w:sz w:val="21"/>
                <w:szCs w:val="21"/>
                <w:lang w:val="en-US" w:eastAsia="zh-CN"/>
              </w:rPr>
              <w:t>4-2</w:t>
            </w:r>
            <w:r>
              <w:rPr>
                <w:rFonts w:hint="eastAsia" w:ascii="宋体" w:hAnsi="宋体" w:cs="宋体"/>
                <w:b/>
                <w:bCs/>
                <w:color w:val="000000"/>
                <w:spacing w:val="0"/>
                <w:kern w:val="0"/>
                <w:sz w:val="21"/>
                <w:szCs w:val="21"/>
              </w:rPr>
              <w:t xml:space="preserve">                      排放口基本情况</w:t>
            </w:r>
          </w:p>
          <w:tbl>
            <w:tblPr>
              <w:tblStyle w:val="40"/>
              <w:tblW w:w="83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59"/>
              <w:gridCol w:w="712"/>
              <w:gridCol w:w="961"/>
              <w:gridCol w:w="700"/>
              <w:gridCol w:w="667"/>
              <w:gridCol w:w="627"/>
              <w:gridCol w:w="1264"/>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90" w:type="pct"/>
                  <w:vMerge w:val="restart"/>
                  <w:noWrap w:val="0"/>
                  <w:vAlign w:val="center"/>
                </w:tcPr>
                <w:p>
                  <w:pPr>
                    <w:pStyle w:val="6"/>
                    <w:bidi w:val="0"/>
                  </w:pPr>
                  <w:r>
                    <w:t>排放口编号</w:t>
                  </w:r>
                </w:p>
              </w:tc>
              <w:tc>
                <w:tcPr>
                  <w:tcW w:w="635" w:type="pct"/>
                  <w:vMerge w:val="restart"/>
                  <w:noWrap w:val="0"/>
                  <w:vAlign w:val="center"/>
                </w:tcPr>
                <w:p>
                  <w:pPr>
                    <w:pStyle w:val="6"/>
                    <w:bidi w:val="0"/>
                  </w:pPr>
                  <w:r>
                    <w:t>排放口名称</w:t>
                  </w:r>
                </w:p>
              </w:tc>
              <w:tc>
                <w:tcPr>
                  <w:tcW w:w="427" w:type="pct"/>
                  <w:vMerge w:val="restart"/>
                  <w:noWrap w:val="0"/>
                  <w:vAlign w:val="center"/>
                </w:tcPr>
                <w:p>
                  <w:pPr>
                    <w:pStyle w:val="6"/>
                    <w:bidi w:val="0"/>
                  </w:pPr>
                  <w:r>
                    <w:t>排放口类型</w:t>
                  </w:r>
                </w:p>
              </w:tc>
              <w:tc>
                <w:tcPr>
                  <w:tcW w:w="576" w:type="pct"/>
                  <w:vMerge w:val="restart"/>
                  <w:noWrap w:val="0"/>
                  <w:vAlign w:val="center"/>
                </w:tcPr>
                <w:p>
                  <w:pPr>
                    <w:pStyle w:val="6"/>
                    <w:bidi w:val="0"/>
                  </w:pPr>
                  <w:r>
                    <w:t>污染物名称</w:t>
                  </w:r>
                </w:p>
              </w:tc>
              <w:tc>
                <w:tcPr>
                  <w:tcW w:w="420" w:type="pct"/>
                  <w:vMerge w:val="restart"/>
                  <w:noWrap w:val="0"/>
                  <w:vAlign w:val="center"/>
                </w:tcPr>
                <w:p>
                  <w:pPr>
                    <w:pStyle w:val="6"/>
                    <w:bidi w:val="0"/>
                  </w:pPr>
                  <w:r>
                    <w:t>排气筒高度</w:t>
                  </w:r>
                </w:p>
              </w:tc>
              <w:tc>
                <w:tcPr>
                  <w:tcW w:w="400" w:type="pct"/>
                  <w:vMerge w:val="restart"/>
                  <w:noWrap w:val="0"/>
                  <w:vAlign w:val="center"/>
                </w:tcPr>
                <w:p>
                  <w:pPr>
                    <w:pStyle w:val="6"/>
                    <w:bidi w:val="0"/>
                  </w:pPr>
                  <w:r>
                    <w:t>排气筒内径</w:t>
                  </w:r>
                </w:p>
              </w:tc>
              <w:tc>
                <w:tcPr>
                  <w:tcW w:w="376" w:type="pct"/>
                  <w:vMerge w:val="restart"/>
                  <w:noWrap w:val="0"/>
                  <w:vAlign w:val="center"/>
                </w:tcPr>
                <w:p>
                  <w:pPr>
                    <w:pStyle w:val="6"/>
                    <w:bidi w:val="0"/>
                  </w:pPr>
                  <w:r>
                    <w:t>烟温</w:t>
                  </w:r>
                </w:p>
              </w:tc>
              <w:tc>
                <w:tcPr>
                  <w:tcW w:w="1674" w:type="pct"/>
                  <w:gridSpan w:val="2"/>
                  <w:noWrap w:val="0"/>
                  <w:vAlign w:val="center"/>
                </w:tcPr>
                <w:p>
                  <w:pPr>
                    <w:pStyle w:val="6"/>
                    <w:bidi w:val="0"/>
                  </w:pPr>
                  <w:r>
                    <w:t>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0" w:type="pct"/>
                  <w:vMerge w:val="continue"/>
                  <w:noWrap w:val="0"/>
                  <w:vAlign w:val="center"/>
                </w:tcPr>
                <w:p>
                  <w:pPr>
                    <w:pStyle w:val="6"/>
                    <w:bidi w:val="0"/>
                  </w:pPr>
                </w:p>
              </w:tc>
              <w:tc>
                <w:tcPr>
                  <w:tcW w:w="635" w:type="pct"/>
                  <w:vMerge w:val="continue"/>
                  <w:noWrap w:val="0"/>
                  <w:vAlign w:val="center"/>
                </w:tcPr>
                <w:p>
                  <w:pPr>
                    <w:pStyle w:val="6"/>
                    <w:bidi w:val="0"/>
                  </w:pPr>
                </w:p>
              </w:tc>
              <w:tc>
                <w:tcPr>
                  <w:tcW w:w="427" w:type="pct"/>
                  <w:vMerge w:val="continue"/>
                  <w:noWrap w:val="0"/>
                  <w:vAlign w:val="center"/>
                </w:tcPr>
                <w:p>
                  <w:pPr>
                    <w:pStyle w:val="6"/>
                    <w:bidi w:val="0"/>
                  </w:pPr>
                </w:p>
              </w:tc>
              <w:tc>
                <w:tcPr>
                  <w:tcW w:w="576" w:type="pct"/>
                  <w:vMerge w:val="continue"/>
                  <w:noWrap w:val="0"/>
                  <w:vAlign w:val="center"/>
                </w:tcPr>
                <w:p>
                  <w:pPr>
                    <w:pStyle w:val="6"/>
                    <w:bidi w:val="0"/>
                  </w:pPr>
                </w:p>
              </w:tc>
              <w:tc>
                <w:tcPr>
                  <w:tcW w:w="420" w:type="pct"/>
                  <w:vMerge w:val="continue"/>
                  <w:noWrap w:val="0"/>
                  <w:vAlign w:val="center"/>
                </w:tcPr>
                <w:p>
                  <w:pPr>
                    <w:pStyle w:val="6"/>
                    <w:bidi w:val="0"/>
                  </w:pPr>
                </w:p>
              </w:tc>
              <w:tc>
                <w:tcPr>
                  <w:tcW w:w="400" w:type="pct"/>
                  <w:vMerge w:val="continue"/>
                  <w:noWrap w:val="0"/>
                  <w:vAlign w:val="center"/>
                </w:tcPr>
                <w:p>
                  <w:pPr>
                    <w:pStyle w:val="6"/>
                    <w:bidi w:val="0"/>
                  </w:pPr>
                </w:p>
              </w:tc>
              <w:tc>
                <w:tcPr>
                  <w:tcW w:w="376" w:type="pct"/>
                  <w:vMerge w:val="continue"/>
                  <w:noWrap w:val="0"/>
                  <w:vAlign w:val="center"/>
                </w:tcPr>
                <w:p>
                  <w:pPr>
                    <w:pStyle w:val="6"/>
                    <w:bidi w:val="0"/>
                  </w:pPr>
                </w:p>
              </w:tc>
              <w:tc>
                <w:tcPr>
                  <w:tcW w:w="758" w:type="pct"/>
                  <w:noWrap w:val="0"/>
                  <w:vAlign w:val="center"/>
                </w:tcPr>
                <w:p>
                  <w:pPr>
                    <w:pStyle w:val="6"/>
                    <w:bidi w:val="0"/>
                  </w:pPr>
                  <w:r>
                    <w:t>经度</w:t>
                  </w:r>
                </w:p>
              </w:tc>
              <w:tc>
                <w:tcPr>
                  <w:tcW w:w="915" w:type="pct"/>
                  <w:noWrap w:val="0"/>
                  <w:vAlign w:val="center"/>
                </w:tcPr>
                <w:p>
                  <w:pPr>
                    <w:pStyle w:val="6"/>
                    <w:bidi w:val="0"/>
                  </w:pPr>
                  <w: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90" w:type="pct"/>
                  <w:shd w:val="clear" w:color="auto" w:fill="auto"/>
                  <w:noWrap w:val="0"/>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DA001</w:t>
                  </w:r>
                </w:p>
              </w:tc>
              <w:tc>
                <w:tcPr>
                  <w:tcW w:w="635" w:type="pct"/>
                  <w:shd w:val="clear" w:color="auto" w:fill="auto"/>
                  <w:noWrap w:val="0"/>
                  <w:vAlign w:val="center"/>
                </w:tcPr>
                <w:p>
                  <w:pPr>
                    <w:pStyle w:val="6"/>
                    <w:bidi w:val="0"/>
                    <w:ind w:firstLine="0" w:firstLineChars="0"/>
                    <w:rPr>
                      <w:rFonts w:hint="default" w:ascii="Times New Roman" w:hAnsi="Times New Roman" w:eastAsia="宋体" w:cs="Times New Roman"/>
                      <w:bCs/>
                      <w:kern w:val="2"/>
                      <w:sz w:val="21"/>
                      <w:szCs w:val="28"/>
                      <w:lang w:val="en-US" w:eastAsia="zh-CN" w:bidi="ar-SA"/>
                    </w:rPr>
                  </w:pPr>
                  <w:r>
                    <w:rPr>
                      <w:rFonts w:hint="eastAsia"/>
                      <w:lang w:val="en-US" w:eastAsia="zh-CN"/>
                    </w:rPr>
                    <w:t>筒仓粉尘</w:t>
                  </w:r>
                </w:p>
              </w:tc>
              <w:tc>
                <w:tcPr>
                  <w:tcW w:w="427" w:type="pct"/>
                  <w:shd w:val="clear" w:color="auto" w:fill="auto"/>
                  <w:noWrap w:val="0"/>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t>一般排放口</w:t>
                  </w:r>
                </w:p>
              </w:tc>
              <w:tc>
                <w:tcPr>
                  <w:tcW w:w="576" w:type="pct"/>
                  <w:noWrap w:val="0"/>
                  <w:vAlign w:val="center"/>
                </w:tcPr>
                <w:p>
                  <w:pPr>
                    <w:pStyle w:val="6"/>
                    <w:bidi w:val="0"/>
                    <w:rPr>
                      <w:rFonts w:hint="eastAsia"/>
                    </w:rPr>
                  </w:pPr>
                  <w:r>
                    <w:rPr>
                      <w:rFonts w:hint="eastAsia"/>
                      <w:lang w:val="en-US" w:eastAsia="zh-CN"/>
                    </w:rPr>
                    <w:t>颗粒物</w:t>
                  </w:r>
                </w:p>
              </w:tc>
              <w:tc>
                <w:tcPr>
                  <w:tcW w:w="420" w:type="pct"/>
                  <w:noWrap w:val="0"/>
                  <w:vAlign w:val="center"/>
                </w:tcPr>
                <w:p>
                  <w:pPr>
                    <w:pStyle w:val="6"/>
                    <w:bidi w:val="0"/>
                    <w:rPr>
                      <w:rFonts w:hint="default" w:eastAsia="宋体"/>
                      <w:lang w:val="en-US" w:eastAsia="zh-CN"/>
                    </w:rPr>
                  </w:pPr>
                  <w:r>
                    <w:rPr>
                      <w:rFonts w:hint="eastAsia"/>
                      <w:lang w:val="en-US" w:eastAsia="zh-CN"/>
                    </w:rPr>
                    <w:t>15</w:t>
                  </w:r>
                </w:p>
              </w:tc>
              <w:tc>
                <w:tcPr>
                  <w:tcW w:w="400" w:type="pct"/>
                  <w:noWrap w:val="0"/>
                  <w:vAlign w:val="center"/>
                </w:tcPr>
                <w:p>
                  <w:pPr>
                    <w:pStyle w:val="6"/>
                    <w:bidi w:val="0"/>
                    <w:rPr>
                      <w:rFonts w:hint="default" w:eastAsia="宋体"/>
                      <w:lang w:val="en-US" w:eastAsia="zh-CN"/>
                    </w:rPr>
                  </w:pPr>
                  <w:r>
                    <w:rPr>
                      <w:rFonts w:hint="eastAsia"/>
                      <w:lang w:val="en-US" w:eastAsia="zh-CN"/>
                    </w:rPr>
                    <w:t>0.4</w:t>
                  </w:r>
                </w:p>
              </w:tc>
              <w:tc>
                <w:tcPr>
                  <w:tcW w:w="376" w:type="pct"/>
                  <w:noWrap w:val="0"/>
                  <w:vAlign w:val="center"/>
                </w:tcPr>
                <w:p>
                  <w:pPr>
                    <w:pStyle w:val="6"/>
                    <w:bidi w:val="0"/>
                  </w:pPr>
                  <w:r>
                    <w:t>常温</w:t>
                  </w:r>
                </w:p>
              </w:tc>
              <w:tc>
                <w:tcPr>
                  <w:tcW w:w="758" w:type="pct"/>
                  <w:noWrap w:val="0"/>
                  <w:vAlign w:val="center"/>
                </w:tcPr>
                <w:p>
                  <w:pPr>
                    <w:pStyle w:val="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88°7′7.981″</w:t>
                  </w:r>
                </w:p>
              </w:tc>
              <w:tc>
                <w:tcPr>
                  <w:tcW w:w="915" w:type="pct"/>
                  <w:noWrap w:val="0"/>
                  <w:vAlign w:val="center"/>
                </w:tcPr>
                <w:p>
                  <w:pPr>
                    <w:pStyle w:val="6"/>
                    <w:bidi w:val="0"/>
                    <w:rPr>
                      <w:rFonts w:hint="default" w:ascii="Times New Roman" w:hAnsi="Times New Roman" w:eastAsia="宋体" w:cs="Times New Roman"/>
                    </w:rPr>
                  </w:pPr>
                  <w:r>
                    <w:rPr>
                      <w:rFonts w:hint="default" w:ascii="Times New Roman" w:hAnsi="Times New Roman" w:eastAsia="宋体" w:cs="Times New Roman"/>
                    </w:rPr>
                    <w:t>38°56′40.317″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90" w:type="pct"/>
                  <w:noWrap w:val="0"/>
                  <w:vAlign w:val="center"/>
                </w:tcPr>
                <w:p>
                  <w:pPr>
                    <w:pStyle w:val="6"/>
                    <w:bidi w:val="0"/>
                  </w:pPr>
                  <w:r>
                    <w:rPr>
                      <w:rFonts w:hint="eastAsia"/>
                      <w:lang w:val="en-US" w:eastAsia="zh-CN"/>
                    </w:rPr>
                    <w:t>DA002</w:t>
                  </w:r>
                </w:p>
              </w:tc>
              <w:tc>
                <w:tcPr>
                  <w:tcW w:w="635" w:type="pct"/>
                  <w:noWrap w:val="0"/>
                  <w:vAlign w:val="center"/>
                </w:tcPr>
                <w:p>
                  <w:pPr>
                    <w:pStyle w:val="6"/>
                    <w:bidi w:val="0"/>
                  </w:pPr>
                  <w:r>
                    <w:rPr>
                      <w:rFonts w:hint="eastAsia"/>
                      <w:lang w:val="en-US" w:eastAsia="zh-CN"/>
                    </w:rPr>
                    <w:t>搅拌废气排放口</w:t>
                  </w:r>
                </w:p>
              </w:tc>
              <w:tc>
                <w:tcPr>
                  <w:tcW w:w="427" w:type="pct"/>
                  <w:noWrap w:val="0"/>
                  <w:vAlign w:val="center"/>
                </w:tcPr>
                <w:p>
                  <w:pPr>
                    <w:pStyle w:val="6"/>
                    <w:bidi w:val="0"/>
                  </w:pPr>
                  <w:r>
                    <w:t>一般排放口</w:t>
                  </w:r>
                </w:p>
              </w:tc>
              <w:tc>
                <w:tcPr>
                  <w:tcW w:w="576" w:type="pct"/>
                  <w:noWrap w:val="0"/>
                  <w:vAlign w:val="center"/>
                </w:tcPr>
                <w:p>
                  <w:pPr>
                    <w:pStyle w:val="6"/>
                    <w:bidi w:val="0"/>
                    <w:rPr>
                      <w:rFonts w:hint="eastAsia"/>
                    </w:rPr>
                  </w:pPr>
                  <w:r>
                    <w:rPr>
                      <w:rFonts w:hint="eastAsia"/>
                    </w:rPr>
                    <w:t>颗粒物</w:t>
                  </w:r>
                </w:p>
              </w:tc>
              <w:tc>
                <w:tcPr>
                  <w:tcW w:w="420" w:type="pct"/>
                  <w:noWrap w:val="0"/>
                  <w:vAlign w:val="center"/>
                </w:tcPr>
                <w:p>
                  <w:pPr>
                    <w:pStyle w:val="6"/>
                    <w:bidi w:val="0"/>
                  </w:pPr>
                  <w:r>
                    <w:t>15m</w:t>
                  </w:r>
                </w:p>
              </w:tc>
              <w:tc>
                <w:tcPr>
                  <w:tcW w:w="400" w:type="pct"/>
                  <w:noWrap w:val="0"/>
                  <w:vAlign w:val="center"/>
                </w:tcPr>
                <w:p>
                  <w:pPr>
                    <w:pStyle w:val="6"/>
                    <w:bidi w:val="0"/>
                  </w:pPr>
                  <w:r>
                    <w:t>0.4m</w:t>
                  </w:r>
                </w:p>
              </w:tc>
              <w:tc>
                <w:tcPr>
                  <w:tcW w:w="376" w:type="pct"/>
                  <w:noWrap w:val="0"/>
                  <w:vAlign w:val="center"/>
                </w:tcPr>
                <w:p>
                  <w:pPr>
                    <w:pStyle w:val="6"/>
                    <w:bidi w:val="0"/>
                  </w:pPr>
                  <w:r>
                    <w:t>常温</w:t>
                  </w:r>
                </w:p>
              </w:tc>
              <w:tc>
                <w:tcPr>
                  <w:tcW w:w="758" w:type="pct"/>
                  <w:noWrap w:val="0"/>
                  <w:vAlign w:val="center"/>
                </w:tcPr>
                <w:p>
                  <w:pPr>
                    <w:pStyle w:val="6"/>
                    <w:bidi w:val="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88°7′7.870″</w:t>
                  </w:r>
                </w:p>
              </w:tc>
              <w:tc>
                <w:tcPr>
                  <w:tcW w:w="915" w:type="pct"/>
                  <w:noWrap w:val="0"/>
                  <w:vAlign w:val="center"/>
                </w:tcPr>
                <w:p>
                  <w:pPr>
                    <w:pStyle w:val="6"/>
                    <w:bidi w:val="0"/>
                    <w:rPr>
                      <w:rFonts w:hint="default" w:ascii="Times New Roman" w:hAnsi="Times New Roman" w:eastAsia="宋体" w:cs="Times New Roman"/>
                    </w:rPr>
                  </w:pPr>
                  <w:r>
                    <w:rPr>
                      <w:rFonts w:hint="default" w:ascii="Times New Roman" w:hAnsi="Times New Roman" w:eastAsia="宋体" w:cs="Times New Roman"/>
                    </w:rPr>
                    <w:t>38°56′39.991″</w:t>
                  </w:r>
                </w:p>
              </w:tc>
            </w:tr>
          </w:tbl>
          <w:p>
            <w:pPr>
              <w:pStyle w:val="4"/>
              <w:bidi w:val="0"/>
            </w:pPr>
            <w:r>
              <w:rPr>
                <w:rFonts w:hint="eastAsia"/>
              </w:rPr>
              <w:t>1.2废气治理措施及影响分析</w:t>
            </w:r>
          </w:p>
          <w:p>
            <w:pPr>
              <w:bidi w:val="0"/>
              <w:rPr>
                <w:rFonts w:hint="default" w:eastAsia="宋体"/>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无组织废气</w:t>
            </w:r>
            <w:r>
              <w:rPr>
                <w:rFonts w:hint="eastAsia"/>
              </w:rPr>
              <w:t>治理措施及影响分析</w:t>
            </w:r>
          </w:p>
          <w:p>
            <w:pPr>
              <w:bidi w:val="0"/>
              <w:rPr>
                <w:rFonts w:hint="eastAsia"/>
                <w:lang w:val="en-US" w:eastAsia="zh-CN"/>
              </w:rPr>
            </w:pPr>
            <w:r>
              <w:rPr>
                <w:rFonts w:hint="default"/>
              </w:rPr>
              <w:t>本项目</w:t>
            </w:r>
            <w:r>
              <w:rPr>
                <w:rFonts w:hint="default"/>
                <w:lang w:val="en-US" w:eastAsia="zh-CN"/>
              </w:rPr>
              <w:t>砂石料</w:t>
            </w:r>
            <w:r>
              <w:rPr>
                <w:rFonts w:hint="default"/>
              </w:rPr>
              <w:t>堆存于</w:t>
            </w:r>
            <w:r>
              <w:rPr>
                <w:rFonts w:hint="eastAsia"/>
                <w:lang w:val="en-US" w:eastAsia="zh-CN"/>
              </w:rPr>
              <w:t>采用</w:t>
            </w:r>
            <w:r>
              <w:rPr>
                <w:rFonts w:hint="eastAsia" w:ascii="Times New Roman" w:hAnsi="Times New Roman" w:eastAsia="宋体" w:cs="Times New Roman"/>
                <w:color w:val="000000"/>
                <w:kern w:val="0"/>
                <w:sz w:val="24"/>
                <w:lang w:val="en-US" w:eastAsia="zh-CN" w:bidi="ar"/>
              </w:rPr>
              <w:t>围挡</w:t>
            </w:r>
            <w:r>
              <w:rPr>
                <w:rFonts w:hint="eastAsia" w:cs="Times New Roman"/>
                <w:color w:val="000000"/>
                <w:kern w:val="0"/>
                <w:sz w:val="24"/>
                <w:lang w:val="en-US" w:eastAsia="zh-CN" w:bidi="ar"/>
              </w:rPr>
              <w:t>（防风抑尘墙）</w:t>
            </w:r>
            <w:r>
              <w:rPr>
                <w:rFonts w:hint="eastAsia" w:ascii="Times New Roman" w:hAnsi="Times New Roman" w:eastAsia="宋体" w:cs="Times New Roman"/>
                <w:color w:val="000000"/>
                <w:kern w:val="0"/>
                <w:sz w:val="24"/>
                <w:lang w:val="en-US" w:eastAsia="zh-CN" w:bidi="ar"/>
              </w:rPr>
              <w:t>+定期洒水</w:t>
            </w:r>
            <w:r>
              <w:rPr>
                <w:rFonts w:hint="default"/>
                <w:lang w:val="en-US" w:eastAsia="zh-CN"/>
              </w:rPr>
              <w:t>，</w:t>
            </w:r>
            <w:r>
              <w:rPr>
                <w:rFonts w:ascii="Times New Roman" w:hAnsi="Times New Roman" w:eastAsia="宋体" w:cs="Times New Roman"/>
                <w:color w:val="000000"/>
                <w:kern w:val="0"/>
                <w:sz w:val="24"/>
                <w:lang w:bidi="ar"/>
              </w:rPr>
              <w:t>砂石料储存及装卸起尘量为</w:t>
            </w:r>
            <w:r>
              <w:rPr>
                <w:rFonts w:hint="eastAsia" w:ascii="Times New Roman" w:hAnsi="Times New Roman" w:cs="Times New Roman"/>
                <w:color w:val="000000"/>
                <w:kern w:val="0"/>
                <w:sz w:val="24"/>
                <w:lang w:val="en-US" w:eastAsia="zh-CN" w:bidi="ar"/>
              </w:rPr>
              <w:t>2.094</w:t>
            </w:r>
            <w:r>
              <w:rPr>
                <w:rFonts w:ascii="Times New Roman" w:hAnsi="Times New Roman" w:eastAsia="宋体" w:cs="Times New Roman"/>
                <w:color w:val="000000"/>
                <w:kern w:val="0"/>
                <w:sz w:val="24"/>
                <w:lang w:bidi="ar"/>
              </w:rPr>
              <w:t>t/a</w:t>
            </w:r>
            <w:r>
              <w:rPr>
                <w:rFonts w:hint="eastAsia" w:ascii="Times New Roman" w:hAnsi="Times New Roman" w:cs="Times New Roman"/>
                <w:color w:val="000000"/>
                <w:kern w:val="0"/>
                <w:sz w:val="24"/>
                <w:lang w:eastAsia="zh-CN" w:bidi="ar"/>
              </w:rPr>
              <w:t>，</w:t>
            </w:r>
            <w:r>
              <w:rPr>
                <w:rFonts w:hint="eastAsia" w:ascii="Times New Roman" w:hAnsi="Times New Roman" w:cs="Times New Roman"/>
                <w:color w:val="000000"/>
                <w:kern w:val="0"/>
                <w:sz w:val="24"/>
                <w:lang w:val="en-US" w:eastAsia="zh-CN" w:bidi="ar"/>
              </w:rPr>
              <w:t>产生速率1.091</w:t>
            </w:r>
            <w:r>
              <w:rPr>
                <w:rFonts w:hint="eastAsia"/>
                <w:lang w:val="en-US" w:eastAsia="zh-CN"/>
              </w:rPr>
              <w:t>kg/h，去除效率为</w:t>
            </w:r>
            <w:r>
              <w:rPr>
                <w:rFonts w:hint="eastAsia" w:ascii="Times New Roman" w:hAnsi="Times New Roman" w:eastAsia="宋体" w:cs="Times New Roman"/>
                <w:color w:val="000000"/>
                <w:kern w:val="0"/>
                <w:sz w:val="24"/>
                <w:lang w:val="en-US" w:eastAsia="zh-CN" w:bidi="ar"/>
              </w:rPr>
              <w:t>89.6%</w:t>
            </w:r>
            <w:r>
              <w:rPr>
                <w:rFonts w:hint="eastAsia" w:cs="Times New Roman"/>
                <w:color w:val="000000"/>
                <w:kern w:val="0"/>
                <w:sz w:val="24"/>
                <w:lang w:val="en-US" w:eastAsia="zh-CN" w:bidi="ar"/>
              </w:rPr>
              <w:t>，</w:t>
            </w:r>
            <w:r>
              <w:rPr>
                <w:rFonts w:hint="eastAsia"/>
                <w:lang w:val="en-US" w:eastAsia="zh-CN"/>
              </w:rPr>
              <w:t>砂石料堆场无组织排放量为0.218t/a，排放速率为0.113kg/h，堆料场的设置满足《工业料堆场扬尘整治规范》（DB65/T 4061-2017）中的Ⅱ类堆场要求，粉尘排放</w:t>
            </w:r>
            <w:r>
              <w:rPr>
                <w:rFonts w:hint="eastAsia" w:ascii="Times New Roman" w:hAnsi="Times New Roman" w:eastAsia="宋体" w:cs="Times New Roman"/>
                <w:lang w:val="en-US" w:eastAsia="zh-CN"/>
              </w:rPr>
              <w:t>满足</w:t>
            </w:r>
            <w:r>
              <w:rPr>
                <w:rFonts w:hint="default" w:ascii="Times New Roman" w:hAnsi="Times New Roman" w:eastAsia="宋体" w:cs="Times New Roman"/>
                <w:lang w:val="en-US" w:eastAsia="zh-CN"/>
              </w:rPr>
              <w:t>《</w:t>
            </w:r>
            <w:r>
              <w:rPr>
                <w:rFonts w:hint="default"/>
              </w:rPr>
              <w:t>水泥工业大气污染物排放标准》（GB4915-2013）中无组织排放限值0.5mg/m</w:t>
            </w:r>
            <w:r>
              <w:rPr>
                <w:rFonts w:hint="eastAsia"/>
                <w:vertAlign w:val="superscript"/>
                <w:lang w:val="en-US" w:eastAsia="zh-CN"/>
              </w:rPr>
              <w:t>3</w:t>
            </w:r>
            <w:r>
              <w:rPr>
                <w:rFonts w:hint="eastAsia"/>
                <w:vertAlign w:val="baseline"/>
                <w:lang w:val="en-US" w:eastAsia="zh-CN"/>
              </w:rPr>
              <w:t>。</w:t>
            </w:r>
          </w:p>
          <w:p>
            <w:pPr>
              <w:bidi w:val="0"/>
              <w:rPr>
                <w:rFonts w:hint="eastAsia"/>
                <w:lang w:val="en-US" w:eastAsia="zh-CN"/>
              </w:rPr>
            </w:pPr>
            <w:r>
              <w:rPr>
                <w:rFonts w:hint="eastAsia" w:cs="Times New Roman"/>
                <w:kern w:val="2"/>
                <w:sz w:val="24"/>
                <w:szCs w:val="24"/>
                <w:lang w:val="en-US" w:eastAsia="zh-CN" w:bidi="ar-SA"/>
              </w:rPr>
              <w:t>成砖体积较大，</w:t>
            </w:r>
            <w:r>
              <w:rPr>
                <w:rFonts w:hint="eastAsia"/>
                <w:lang w:val="en-US" w:eastAsia="zh-CN"/>
              </w:rPr>
              <w:t>成品堆场采取</w:t>
            </w:r>
            <w:r>
              <w:rPr>
                <w:rFonts w:hint="eastAsia" w:cs="Times New Roman"/>
                <w:kern w:val="2"/>
                <w:sz w:val="24"/>
                <w:szCs w:val="24"/>
                <w:lang w:val="en-US" w:eastAsia="zh-CN" w:bidi="ar-SA"/>
              </w:rPr>
              <w:t>遮盖+喷洒水，粉尘忽略不计。成品堆场满足</w:t>
            </w:r>
            <w:r>
              <w:rPr>
                <w:rFonts w:hint="eastAsia"/>
                <w:lang w:val="en-US" w:eastAsia="zh-CN"/>
              </w:rPr>
              <w:t>《工业料堆场扬尘整治规范》（DB65/T 4061-2017）中的Ⅲ类堆场要求，粉尘排放</w:t>
            </w:r>
            <w:r>
              <w:rPr>
                <w:rFonts w:hint="eastAsia" w:ascii="Times New Roman" w:hAnsi="Times New Roman" w:eastAsia="宋体" w:cs="Times New Roman"/>
                <w:lang w:val="en-US" w:eastAsia="zh-CN"/>
              </w:rPr>
              <w:t>满足</w:t>
            </w:r>
            <w:r>
              <w:rPr>
                <w:rFonts w:hint="default" w:ascii="Times New Roman" w:hAnsi="Times New Roman" w:eastAsia="宋体" w:cs="Times New Roman"/>
                <w:lang w:val="en-US" w:eastAsia="zh-CN"/>
              </w:rPr>
              <w:t>《</w:t>
            </w:r>
            <w:r>
              <w:rPr>
                <w:rFonts w:hint="default"/>
              </w:rPr>
              <w:t>水泥工业大气污染物排放标准》（GB4915-2013）中无组织排放限值0.5mg/m</w:t>
            </w:r>
            <w:r>
              <w:rPr>
                <w:rFonts w:hint="eastAsia"/>
                <w:vertAlign w:val="superscript"/>
                <w:lang w:val="en-US" w:eastAsia="zh-CN"/>
              </w:rPr>
              <w:t>3</w:t>
            </w:r>
            <w:r>
              <w:rPr>
                <w:rFonts w:hint="eastAsia"/>
                <w:lang w:val="en-US" w:eastAsia="zh-CN"/>
              </w:rPr>
              <w:t>。</w:t>
            </w:r>
          </w:p>
          <w:p>
            <w:pPr>
              <w:bidi w:val="0"/>
              <w:rPr>
                <w:rFonts w:hint="eastAsia" w:cs="Times New Roman"/>
                <w:color w:val="000000"/>
                <w:kern w:val="0"/>
                <w:sz w:val="24"/>
                <w:lang w:val="en-US" w:eastAsia="zh-CN" w:bidi="ar"/>
              </w:rPr>
            </w:pPr>
            <w:r>
              <w:rPr>
                <w:rFonts w:hint="eastAsia"/>
                <w:lang w:val="en-US" w:eastAsia="zh-CN"/>
              </w:rPr>
              <w:t>上料粉尘采用</w:t>
            </w:r>
            <w:r>
              <w:rPr>
                <w:rFonts w:hint="eastAsia" w:ascii="Times New Roman" w:hAnsi="Times New Roman" w:eastAsia="宋体" w:cs="Times New Roman"/>
                <w:color w:val="000000"/>
                <w:kern w:val="0"/>
                <w:sz w:val="24"/>
                <w:lang w:val="en-US" w:eastAsia="zh-CN" w:bidi="ar"/>
              </w:rPr>
              <w:t>边洒水边作业</w:t>
            </w:r>
            <w:r>
              <w:rPr>
                <w:rFonts w:hint="eastAsia" w:cs="Times New Roman"/>
                <w:color w:val="000000"/>
                <w:kern w:val="0"/>
                <w:sz w:val="24"/>
                <w:lang w:val="en-US" w:eastAsia="zh-CN" w:bidi="ar"/>
              </w:rPr>
              <w:t>的抑尘措施，</w:t>
            </w:r>
            <w:r>
              <w:rPr>
                <w:rFonts w:ascii="Times New Roman" w:hAnsi="Times New Roman" w:eastAsia="宋体" w:cs="Times New Roman"/>
                <w:color w:val="000000"/>
                <w:kern w:val="0"/>
                <w:sz w:val="24"/>
                <w:lang w:bidi="ar"/>
              </w:rPr>
              <w:t>上料过程中产生的粉尘量为</w:t>
            </w:r>
            <w:r>
              <w:rPr>
                <w:rFonts w:hint="eastAsia" w:ascii="Times New Roman" w:hAnsi="Times New Roman" w:cs="Times New Roman"/>
                <w:color w:val="000000"/>
                <w:kern w:val="0"/>
                <w:sz w:val="24"/>
                <w:lang w:val="en-US" w:eastAsia="zh-CN" w:bidi="ar"/>
              </w:rPr>
              <w:t>0.32</w:t>
            </w:r>
            <w:r>
              <w:rPr>
                <w:rFonts w:ascii="Times New Roman" w:hAnsi="Times New Roman" w:eastAsia="宋体" w:cs="Times New Roman"/>
                <w:color w:val="000000"/>
                <w:kern w:val="0"/>
                <w:sz w:val="24"/>
                <w:lang w:bidi="ar"/>
              </w:rPr>
              <w:t>t/a，</w:t>
            </w:r>
            <w:r>
              <w:rPr>
                <w:rFonts w:hint="eastAsia" w:ascii="Times New Roman" w:hAnsi="Times New Roman" w:cs="Times New Roman"/>
                <w:color w:val="000000"/>
                <w:kern w:val="0"/>
                <w:sz w:val="24"/>
                <w:lang w:val="en-US" w:eastAsia="zh-CN" w:bidi="ar"/>
              </w:rPr>
              <w:t>产生速率0.167kg/h</w:t>
            </w:r>
            <w:r>
              <w:rPr>
                <w:rFonts w:hint="eastAsia" w:cs="Times New Roman"/>
                <w:color w:val="000000"/>
                <w:kern w:val="0"/>
                <w:sz w:val="24"/>
                <w:lang w:val="en-US" w:eastAsia="zh-CN" w:bidi="ar"/>
              </w:rPr>
              <w:t>，</w:t>
            </w:r>
            <w:r>
              <w:rPr>
                <w:rFonts w:hint="eastAsia" w:ascii="Times New Roman" w:hAnsi="Times New Roman" w:eastAsia="宋体" w:cs="Times New Roman"/>
                <w:color w:val="000000"/>
                <w:kern w:val="0"/>
                <w:sz w:val="24"/>
                <w:lang w:val="en-US" w:eastAsia="zh-CN" w:bidi="ar"/>
              </w:rPr>
              <w:t>洒水去除效率为74%</w:t>
            </w:r>
            <w:r>
              <w:rPr>
                <w:rFonts w:ascii="Times New Roman" w:hAnsi="Times New Roman" w:eastAsia="宋体" w:cs="Times New Roman"/>
                <w:color w:val="000000"/>
                <w:kern w:val="0"/>
                <w:sz w:val="24"/>
                <w:lang w:bidi="ar"/>
              </w:rPr>
              <w:t>，粉尘</w:t>
            </w:r>
            <w:r>
              <w:rPr>
                <w:rFonts w:hint="eastAsia" w:cs="Times New Roman"/>
                <w:color w:val="000000"/>
                <w:kern w:val="0"/>
                <w:sz w:val="24"/>
                <w:lang w:val="en-US" w:eastAsia="zh-CN" w:bidi="ar"/>
              </w:rPr>
              <w:t>排放</w:t>
            </w:r>
            <w:r>
              <w:rPr>
                <w:rFonts w:ascii="Times New Roman" w:hAnsi="Times New Roman" w:eastAsia="宋体" w:cs="Times New Roman"/>
                <w:color w:val="000000"/>
                <w:kern w:val="0"/>
                <w:sz w:val="24"/>
                <w:lang w:bidi="ar"/>
              </w:rPr>
              <w:t>量为</w:t>
            </w:r>
            <w:r>
              <w:rPr>
                <w:rFonts w:hint="eastAsia" w:ascii="Times New Roman" w:hAnsi="Times New Roman" w:cs="Times New Roman"/>
                <w:color w:val="000000"/>
                <w:kern w:val="0"/>
                <w:sz w:val="24"/>
                <w:lang w:val="en-US" w:eastAsia="zh-CN" w:bidi="ar"/>
              </w:rPr>
              <w:t>0.083</w:t>
            </w:r>
            <w:r>
              <w:rPr>
                <w:rFonts w:ascii="Times New Roman" w:hAnsi="Times New Roman" w:eastAsia="宋体" w:cs="Times New Roman"/>
                <w:color w:val="000000"/>
                <w:kern w:val="0"/>
                <w:sz w:val="24"/>
                <w:lang w:bidi="ar"/>
              </w:rPr>
              <w:t>t/a</w:t>
            </w:r>
            <w:r>
              <w:rPr>
                <w:rFonts w:hint="eastAsia" w:ascii="Times New Roman" w:hAnsi="Times New Roman" w:cs="Times New Roman"/>
                <w:color w:val="000000"/>
                <w:kern w:val="0"/>
                <w:sz w:val="24"/>
                <w:lang w:eastAsia="zh-CN" w:bidi="ar"/>
              </w:rPr>
              <w:t>，</w:t>
            </w:r>
            <w:r>
              <w:rPr>
                <w:rFonts w:hint="eastAsia" w:ascii="Times New Roman" w:hAnsi="Times New Roman" w:cs="Times New Roman"/>
                <w:color w:val="000000"/>
                <w:kern w:val="0"/>
                <w:sz w:val="24"/>
                <w:lang w:val="en-US" w:eastAsia="zh-CN" w:bidi="ar"/>
              </w:rPr>
              <w:t>排放速率0.043kg/h</w:t>
            </w:r>
            <w:r>
              <w:rPr>
                <w:rFonts w:hint="eastAsia" w:cs="Times New Roman"/>
                <w:color w:val="000000"/>
                <w:kern w:val="0"/>
                <w:sz w:val="24"/>
                <w:lang w:val="en-US" w:eastAsia="zh-CN" w:bidi="ar"/>
              </w:rPr>
              <w:t>，粉尘排放满足《水泥工业大气污染物排放标准》（GB4915-2013）中无组织排放限值0.5mg/m</w:t>
            </w:r>
            <w:r>
              <w:rPr>
                <w:rFonts w:hint="eastAsia" w:cs="Times New Roman"/>
                <w:color w:val="000000"/>
                <w:kern w:val="0"/>
                <w:sz w:val="24"/>
                <w:vertAlign w:val="superscript"/>
                <w:lang w:val="en-US" w:eastAsia="zh-CN" w:bidi="ar"/>
              </w:rPr>
              <w:t>3</w:t>
            </w:r>
            <w:r>
              <w:rPr>
                <w:rFonts w:hint="eastAsia" w:cs="Times New Roman"/>
                <w:color w:val="000000"/>
                <w:kern w:val="0"/>
                <w:sz w:val="24"/>
                <w:lang w:val="en-US" w:eastAsia="zh-CN" w:bidi="ar"/>
              </w:rPr>
              <w:t>。</w:t>
            </w:r>
          </w:p>
          <w:p>
            <w:pPr>
              <w:bidi w:val="0"/>
              <w:rPr>
                <w:rFonts w:hint="default"/>
                <w:lang w:val="en-US" w:eastAsia="zh-CN"/>
              </w:rPr>
            </w:pPr>
            <w:r>
              <w:rPr>
                <w:rFonts w:hint="default"/>
                <w:lang w:val="en-US" w:eastAsia="zh-CN"/>
              </w:rPr>
              <w:t>本项目属于水泥制品制造，主要污染物是粉尘（颗粒物）。根据《工业料堆场扬尘整治规范》（DB65/T4061-2017）中基本规定“5.8对工业料堆场内装卸、运输等作业过程中，易产生扬尘污染的物料必须采取封闭、遮盖、洒水降尘措施，密闭输送物料必须在装料、卸料处配备吸尘、喷淋防尘措施”，本项目对</w:t>
            </w:r>
            <w:r>
              <w:rPr>
                <w:rFonts w:hint="eastAsia"/>
                <w:lang w:val="en-US" w:eastAsia="zh-CN"/>
              </w:rPr>
              <w:t>砂石料堆场采用围挡（防风抑尘墙）+定期洒水</w:t>
            </w:r>
            <w:r>
              <w:rPr>
                <w:rFonts w:hint="default"/>
                <w:lang w:val="en-US" w:eastAsia="zh-CN"/>
              </w:rPr>
              <w:t>，配备喷淋设施等措施对无组织粉尘（颗粒物）进行治理，粉尘（颗粒物）</w:t>
            </w:r>
            <w:r>
              <w:rPr>
                <w:rFonts w:hint="eastAsia"/>
                <w:lang w:val="en-US" w:eastAsia="zh-CN"/>
              </w:rPr>
              <w:t>排放满足</w:t>
            </w:r>
            <w:r>
              <w:rPr>
                <w:rFonts w:hint="default"/>
                <w:lang w:val="en-US" w:eastAsia="zh-CN"/>
              </w:rPr>
              <w:t>《水泥工业大气污染物排放标准》（GB4915-2013）中标准限值要求，符合《工业料堆场扬尘整治规范》（DB65/T4061-2017）中基本要求。</w:t>
            </w:r>
            <w:r>
              <w:rPr>
                <w:rFonts w:hint="eastAsia"/>
                <w:lang w:val="en-US" w:eastAsia="zh-CN"/>
              </w:rPr>
              <w:t>严格落实各项污染防治措施的基础上，本项目对周围大气 环境的影响可以接受。且本项目采取的废气污染防治措施可行，排放的废气 污染物对周围环境影响较小，不会改变区域的环境空气质量类别</w:t>
            </w:r>
            <w:r>
              <w:rPr>
                <w:rFonts w:hint="default"/>
                <w:lang w:val="en-US" w:eastAsia="zh-CN"/>
              </w:rPr>
              <w:t>。</w:t>
            </w:r>
          </w:p>
          <w:p>
            <w:pPr>
              <w:bidi w:val="0"/>
              <w:rPr>
                <w:rFonts w:hint="default"/>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有组织废气</w:t>
            </w:r>
            <w:r>
              <w:rPr>
                <w:rFonts w:hint="eastAsia"/>
              </w:rPr>
              <w:t>治理措施及影响分析</w:t>
            </w:r>
          </w:p>
          <w:p>
            <w:pPr>
              <w:bidi w:val="0"/>
              <w:rPr>
                <w:rFonts w:hint="eastAsia" w:cs="Times New Roman"/>
                <w:b w:val="0"/>
                <w:bCs/>
                <w:snapToGrid w:val="0"/>
                <w:kern w:val="0"/>
                <w:sz w:val="24"/>
                <w:szCs w:val="22"/>
                <w:vertAlign w:val="superscript"/>
                <w:lang w:val="en-US" w:eastAsia="zh-CN" w:bidi="ar-SA"/>
              </w:rPr>
            </w:pPr>
            <w:r>
              <w:rPr>
                <w:rFonts w:hint="default"/>
              </w:rPr>
              <w:t>水泥入仓粉尘经仓顶脉冲布袋除尘器处理后</w:t>
            </w:r>
            <w:r>
              <w:rPr>
                <w:rFonts w:hint="default"/>
                <w:lang w:val="en-US" w:eastAsia="zh-CN"/>
              </w:rPr>
              <w:t>通过15m排气筒排放</w:t>
            </w:r>
            <w:r>
              <w:rPr>
                <w:rFonts w:hint="default"/>
              </w:rPr>
              <w:t>，</w:t>
            </w:r>
            <w:r>
              <w:rPr>
                <w:rFonts w:ascii="Times New Roman" w:hAnsi="Times New Roman" w:eastAsia="宋体" w:cs="Times New Roman"/>
                <w:b w:val="0"/>
                <w:bCs/>
                <w:snapToGrid w:val="0"/>
                <w:kern w:val="0"/>
                <w:sz w:val="24"/>
                <w:szCs w:val="22"/>
                <w:lang w:val="en-US" w:eastAsia="zh-CN" w:bidi="ar-SA"/>
              </w:rPr>
              <w:t>除尘效率99</w:t>
            </w:r>
            <w:r>
              <w:rPr>
                <w:rFonts w:hint="eastAsia" w:ascii="Times New Roman" w:hAnsi="Times New Roman" w:eastAsia="宋体" w:cs="Times New Roman"/>
                <w:b w:val="0"/>
                <w:bCs/>
                <w:snapToGrid w:val="0"/>
                <w:kern w:val="0"/>
                <w:sz w:val="24"/>
                <w:szCs w:val="22"/>
                <w:lang w:val="en-US" w:eastAsia="zh-CN" w:bidi="ar-SA"/>
              </w:rPr>
              <w:t>.7</w:t>
            </w:r>
            <w:r>
              <w:rPr>
                <w:rFonts w:ascii="Times New Roman" w:hAnsi="Times New Roman" w:eastAsia="宋体" w:cs="Times New Roman"/>
                <w:b w:val="0"/>
                <w:bCs/>
                <w:snapToGrid w:val="0"/>
                <w:kern w:val="0"/>
                <w:sz w:val="24"/>
                <w:szCs w:val="22"/>
                <w:lang w:val="en-US" w:eastAsia="zh-CN" w:bidi="ar-SA"/>
              </w:rPr>
              <w:t>%</w:t>
            </w:r>
            <w:r>
              <w:rPr>
                <w:rFonts w:hint="eastAsia" w:ascii="Times New Roman" w:hAnsi="Times New Roman" w:cs="Times New Roman"/>
                <w:b w:val="0"/>
                <w:bCs/>
                <w:snapToGrid w:val="0"/>
                <w:kern w:val="0"/>
                <w:sz w:val="24"/>
                <w:szCs w:val="22"/>
                <w:lang w:val="en-US" w:eastAsia="zh-CN" w:bidi="ar-SA"/>
              </w:rPr>
              <w:t>，</w:t>
            </w:r>
            <w:r>
              <w:rPr>
                <w:rFonts w:hint="eastAsia" w:ascii="Times New Roman" w:hAnsi="Times New Roman" w:eastAsia="宋体" w:cs="Times New Roman"/>
                <w:b w:val="0"/>
                <w:bCs/>
                <w:snapToGrid w:val="0"/>
                <w:kern w:val="0"/>
                <w:sz w:val="24"/>
                <w:szCs w:val="22"/>
                <w:lang w:val="en-US" w:eastAsia="zh-CN" w:bidi="ar-SA"/>
              </w:rPr>
              <w:t>粉尘产生量为</w:t>
            </w:r>
            <w:r>
              <w:rPr>
                <w:rFonts w:hint="eastAsia" w:ascii="Times New Roman" w:hAnsi="Times New Roman" w:cs="Times New Roman"/>
                <w:b w:val="0"/>
                <w:bCs/>
                <w:snapToGrid w:val="0"/>
                <w:kern w:val="0"/>
                <w:sz w:val="24"/>
                <w:szCs w:val="22"/>
                <w:lang w:val="en-US" w:eastAsia="zh-CN" w:bidi="ar-SA"/>
              </w:rPr>
              <w:t>0.36</w:t>
            </w:r>
            <w:r>
              <w:rPr>
                <w:rFonts w:hint="eastAsia" w:ascii="Times New Roman" w:hAnsi="Times New Roman" w:eastAsia="宋体" w:cs="Times New Roman"/>
                <w:b w:val="0"/>
                <w:bCs/>
                <w:snapToGrid w:val="0"/>
                <w:kern w:val="0"/>
                <w:sz w:val="24"/>
                <w:szCs w:val="22"/>
                <w:lang w:val="en-US" w:eastAsia="zh-CN" w:bidi="ar-SA"/>
              </w:rPr>
              <w:t>t/a，产生速率为</w:t>
            </w:r>
            <w:r>
              <w:rPr>
                <w:rFonts w:hint="eastAsia" w:ascii="Times New Roman" w:hAnsi="Times New Roman" w:cs="Times New Roman"/>
                <w:b w:val="0"/>
                <w:bCs/>
                <w:snapToGrid w:val="0"/>
                <w:kern w:val="0"/>
                <w:sz w:val="24"/>
                <w:szCs w:val="22"/>
                <w:lang w:val="en-US" w:eastAsia="zh-CN" w:bidi="ar-SA"/>
              </w:rPr>
              <w:t>6</w:t>
            </w:r>
            <w:r>
              <w:rPr>
                <w:rFonts w:hint="eastAsia" w:ascii="Times New Roman" w:hAnsi="Times New Roman" w:eastAsia="宋体" w:cs="Times New Roman"/>
                <w:b w:val="0"/>
                <w:bCs/>
                <w:snapToGrid w:val="0"/>
                <w:kern w:val="0"/>
                <w:sz w:val="24"/>
                <w:szCs w:val="22"/>
                <w:lang w:val="en-US" w:eastAsia="zh-CN" w:bidi="ar-SA"/>
              </w:rPr>
              <w:t>kg/h，</w:t>
            </w:r>
            <w:r>
              <w:rPr>
                <w:rFonts w:hint="eastAsia" w:cs="Times New Roman"/>
                <w:b w:val="0"/>
                <w:bCs/>
                <w:snapToGrid w:val="0"/>
                <w:kern w:val="0"/>
                <w:sz w:val="24"/>
                <w:szCs w:val="22"/>
                <w:lang w:val="en-US" w:eastAsia="zh-CN" w:bidi="ar-SA"/>
              </w:rPr>
              <w:t>产生浓度为1714.286mg/m</w:t>
            </w:r>
            <w:r>
              <w:rPr>
                <w:rFonts w:hint="eastAsia" w:cs="Times New Roman"/>
                <w:b w:val="0"/>
                <w:bCs/>
                <w:snapToGrid w:val="0"/>
                <w:kern w:val="0"/>
                <w:sz w:val="24"/>
                <w:szCs w:val="22"/>
                <w:vertAlign w:val="superscript"/>
                <w:lang w:val="en-US" w:eastAsia="zh-CN" w:bidi="ar-SA"/>
              </w:rPr>
              <w:t>3</w:t>
            </w:r>
            <w:r>
              <w:rPr>
                <w:rFonts w:hint="eastAsia" w:cs="Times New Roman"/>
                <w:b w:val="0"/>
                <w:bCs/>
                <w:snapToGrid w:val="0"/>
                <w:kern w:val="0"/>
                <w:sz w:val="24"/>
                <w:szCs w:val="22"/>
                <w:lang w:val="en-US" w:eastAsia="zh-CN" w:bidi="ar-SA"/>
              </w:rPr>
              <w:t>；</w:t>
            </w:r>
            <w:r>
              <w:rPr>
                <w:rFonts w:hint="eastAsia" w:ascii="Times New Roman" w:hAnsi="Times New Roman" w:eastAsia="宋体" w:cs="Times New Roman"/>
                <w:b w:val="0"/>
                <w:bCs/>
                <w:snapToGrid w:val="0"/>
                <w:kern w:val="0"/>
                <w:sz w:val="24"/>
                <w:szCs w:val="22"/>
                <w:lang w:val="en-US" w:eastAsia="zh-CN" w:bidi="ar-SA"/>
              </w:rPr>
              <w:t>粉尘排放量为</w:t>
            </w:r>
            <w:r>
              <w:rPr>
                <w:rFonts w:hint="eastAsia" w:ascii="Times New Roman" w:hAnsi="Times New Roman" w:cs="Times New Roman"/>
                <w:b w:val="0"/>
                <w:bCs/>
                <w:snapToGrid w:val="0"/>
                <w:kern w:val="0"/>
                <w:sz w:val="24"/>
                <w:szCs w:val="22"/>
                <w:lang w:val="en-US" w:eastAsia="zh-CN" w:bidi="ar-SA"/>
              </w:rPr>
              <w:t>0.001</w:t>
            </w:r>
            <w:r>
              <w:rPr>
                <w:rFonts w:hint="eastAsia" w:ascii="Times New Roman" w:hAnsi="Times New Roman" w:eastAsia="宋体" w:cs="Times New Roman"/>
                <w:b w:val="0"/>
                <w:bCs/>
                <w:snapToGrid w:val="0"/>
                <w:kern w:val="0"/>
                <w:sz w:val="24"/>
                <w:szCs w:val="22"/>
                <w:lang w:val="en-US" w:eastAsia="zh-CN" w:bidi="ar-SA"/>
              </w:rPr>
              <w:t>t/a，排放速率为</w:t>
            </w:r>
            <w:r>
              <w:rPr>
                <w:rFonts w:hint="eastAsia" w:ascii="Times New Roman" w:hAnsi="Times New Roman" w:cs="Times New Roman"/>
                <w:b w:val="0"/>
                <w:bCs/>
                <w:snapToGrid w:val="0"/>
                <w:kern w:val="0"/>
                <w:sz w:val="24"/>
                <w:szCs w:val="22"/>
                <w:lang w:val="en-US" w:eastAsia="zh-CN" w:bidi="ar-SA"/>
              </w:rPr>
              <w:t>0.018</w:t>
            </w:r>
            <w:r>
              <w:rPr>
                <w:rFonts w:hint="eastAsia" w:ascii="Times New Roman" w:hAnsi="Times New Roman" w:eastAsia="宋体" w:cs="Times New Roman"/>
                <w:b w:val="0"/>
                <w:bCs/>
                <w:snapToGrid w:val="0"/>
                <w:kern w:val="0"/>
                <w:sz w:val="24"/>
                <w:szCs w:val="22"/>
                <w:lang w:val="en-US" w:eastAsia="zh-CN" w:bidi="ar-SA"/>
              </w:rPr>
              <w:t>kg/h</w:t>
            </w:r>
            <w:r>
              <w:rPr>
                <w:rFonts w:hint="eastAsia" w:cs="Times New Roman"/>
                <w:b w:val="0"/>
                <w:bCs/>
                <w:snapToGrid w:val="0"/>
                <w:kern w:val="0"/>
                <w:sz w:val="24"/>
                <w:szCs w:val="22"/>
                <w:lang w:val="en-US" w:eastAsia="zh-CN" w:bidi="ar-SA"/>
              </w:rPr>
              <w:t>，排放浓度为5.143mg/m</w:t>
            </w:r>
            <w:r>
              <w:rPr>
                <w:rFonts w:hint="eastAsia" w:cs="Times New Roman"/>
                <w:b w:val="0"/>
                <w:bCs/>
                <w:snapToGrid w:val="0"/>
                <w:kern w:val="0"/>
                <w:sz w:val="24"/>
                <w:szCs w:val="22"/>
                <w:vertAlign w:val="superscript"/>
                <w:lang w:val="en-US" w:eastAsia="zh-CN" w:bidi="ar-SA"/>
              </w:rPr>
              <w:t>3</w:t>
            </w:r>
            <w:r>
              <w:rPr>
                <w:rFonts w:hint="eastAsia" w:cs="Times New Roman"/>
                <w:b w:val="0"/>
                <w:bCs/>
                <w:snapToGrid w:val="0"/>
                <w:kern w:val="0"/>
                <w:sz w:val="24"/>
                <w:szCs w:val="22"/>
                <w:vertAlign w:val="baseline"/>
                <w:lang w:val="en-US" w:eastAsia="zh-CN" w:bidi="ar-SA"/>
              </w:rPr>
              <w:t>，</w:t>
            </w:r>
            <w:r>
              <w:rPr>
                <w:rFonts w:hint="eastAsia"/>
                <w:lang w:val="en-US" w:eastAsia="zh-CN"/>
              </w:rPr>
              <w:t>满足《</w:t>
            </w:r>
            <w:r>
              <w:rPr>
                <w:rFonts w:hint="default"/>
                <w:lang w:val="en-US" w:eastAsia="zh-CN"/>
              </w:rPr>
              <w:t>水泥工业大气污染物排放标准》（GB4915-2013）中表1水泥仓及其他通风生产设备</w:t>
            </w:r>
            <w:r>
              <w:rPr>
                <w:rFonts w:hint="eastAsia"/>
                <w:lang w:val="en-US" w:eastAsia="zh-CN"/>
              </w:rPr>
              <w:t>20</w:t>
            </w:r>
            <w:r>
              <w:rPr>
                <w:rFonts w:hint="eastAsia" w:cs="Times New Roman"/>
                <w:b w:val="0"/>
                <w:bCs/>
                <w:snapToGrid w:val="0"/>
                <w:kern w:val="0"/>
                <w:sz w:val="24"/>
                <w:szCs w:val="22"/>
                <w:lang w:val="en-US" w:eastAsia="zh-CN" w:bidi="ar-SA"/>
              </w:rPr>
              <w:t>mg/m</w:t>
            </w:r>
            <w:r>
              <w:rPr>
                <w:rFonts w:hint="eastAsia" w:cs="Times New Roman"/>
                <w:b w:val="0"/>
                <w:bCs/>
                <w:snapToGrid w:val="0"/>
                <w:kern w:val="0"/>
                <w:sz w:val="24"/>
                <w:szCs w:val="22"/>
                <w:vertAlign w:val="superscript"/>
                <w:lang w:val="en-US" w:eastAsia="zh-CN" w:bidi="ar-SA"/>
              </w:rPr>
              <w:t>3</w:t>
            </w:r>
            <w:r>
              <w:rPr>
                <w:rFonts w:hint="eastAsia" w:cs="Times New Roman"/>
                <w:b w:val="0"/>
                <w:bCs/>
                <w:snapToGrid w:val="0"/>
                <w:kern w:val="0"/>
                <w:sz w:val="24"/>
                <w:szCs w:val="22"/>
                <w:vertAlign w:val="baseline"/>
                <w:lang w:val="en-US" w:eastAsia="zh-CN" w:bidi="ar-SA"/>
              </w:rPr>
              <w:t>的</w:t>
            </w:r>
            <w:r>
              <w:rPr>
                <w:rFonts w:hint="default"/>
                <w:lang w:val="en-US" w:eastAsia="zh-CN"/>
              </w:rPr>
              <w:t>排放限值</w:t>
            </w:r>
            <w:r>
              <w:rPr>
                <w:rFonts w:hint="eastAsia"/>
                <w:lang w:val="en-US" w:eastAsia="zh-CN"/>
              </w:rPr>
              <w:t>。</w:t>
            </w:r>
          </w:p>
          <w:p>
            <w:pPr>
              <w:bidi w:val="0"/>
              <w:rPr>
                <w:rFonts w:hint="default"/>
                <w:lang w:val="en-US" w:eastAsia="zh-CN"/>
              </w:rPr>
            </w:pPr>
            <w:r>
              <w:rPr>
                <w:rFonts w:hint="default"/>
                <w:lang w:val="en-US" w:eastAsia="zh-CN"/>
              </w:rPr>
              <w:t>搅拌过程产生的粉尘经袋式除尘处理后通过15m排气筒排放，</w:t>
            </w:r>
            <w:r>
              <w:rPr>
                <w:rFonts w:hint="eastAsia" w:ascii="Times New Roman" w:hAnsi="Times New Roman" w:eastAsia="宋体" w:cs="Times New Roman"/>
                <w:snapToGrid w:val="0"/>
                <w:kern w:val="0"/>
                <w:sz w:val="24"/>
                <w:lang w:val="en-US" w:eastAsia="zh-CN"/>
              </w:rPr>
              <w:t>布袋除尘器去除效率为99.7%，颗粒物产生量为9.937t/a，产生速率为5.176kg/h，产生浓度为1035.104 mg/m</w:t>
            </w:r>
            <w:r>
              <w:rPr>
                <w:rFonts w:hint="eastAsia" w:ascii="Times New Roman" w:hAnsi="Times New Roman" w:eastAsia="宋体" w:cs="Times New Roman"/>
                <w:snapToGrid w:val="0"/>
                <w:kern w:val="0"/>
                <w:sz w:val="24"/>
                <w:vertAlign w:val="superscript"/>
                <w:lang w:val="en-US" w:eastAsia="zh-CN"/>
              </w:rPr>
              <w:t>3</w:t>
            </w:r>
            <w:r>
              <w:rPr>
                <w:rFonts w:hint="eastAsia" w:ascii="Times New Roman" w:hAnsi="Times New Roman" w:eastAsia="宋体" w:cs="Times New Roman"/>
                <w:snapToGrid w:val="0"/>
                <w:kern w:val="0"/>
                <w:sz w:val="24"/>
                <w:lang w:val="en-US" w:eastAsia="zh-CN"/>
              </w:rPr>
              <w:t>，颗粒物排放量为0.03t/a，排放速率为0.016kg/h，排放浓度为3.105mg/m</w:t>
            </w:r>
            <w:r>
              <w:rPr>
                <w:rFonts w:hint="eastAsia" w:ascii="Times New Roman" w:hAnsi="Times New Roman" w:eastAsia="宋体" w:cs="Times New Roman"/>
                <w:snapToGrid w:val="0"/>
                <w:kern w:val="0"/>
                <w:sz w:val="24"/>
                <w:vertAlign w:val="superscript"/>
                <w:lang w:val="en-US" w:eastAsia="zh-CN"/>
              </w:rPr>
              <w:t>3</w:t>
            </w:r>
            <w:r>
              <w:rPr>
                <w:rFonts w:hint="eastAsia" w:cs="Times New Roman"/>
                <w:snapToGrid w:val="0"/>
                <w:kern w:val="0"/>
                <w:sz w:val="24"/>
                <w:lang w:val="en-US" w:eastAsia="zh-CN"/>
              </w:rPr>
              <w:t>，</w:t>
            </w:r>
            <w:r>
              <w:rPr>
                <w:rFonts w:hint="default"/>
                <w:lang w:val="en-US" w:eastAsia="zh-CN"/>
              </w:rPr>
              <w:t>排放浓度</w:t>
            </w:r>
            <w:r>
              <w:rPr>
                <w:rFonts w:hint="eastAsia"/>
                <w:lang w:val="en-US" w:eastAsia="zh-CN"/>
              </w:rPr>
              <w:t>满足《</w:t>
            </w:r>
            <w:r>
              <w:rPr>
                <w:rFonts w:hint="default"/>
                <w:lang w:val="en-US" w:eastAsia="zh-CN"/>
              </w:rPr>
              <w:t>水泥工业大气污染物排放标准》（GB4915-2013）中表1水泥仓及其他通风生产设备</w:t>
            </w:r>
            <w:r>
              <w:rPr>
                <w:rFonts w:hint="eastAsia"/>
                <w:lang w:val="en-US" w:eastAsia="zh-CN"/>
              </w:rPr>
              <w:t>20</w:t>
            </w:r>
            <w:r>
              <w:rPr>
                <w:rFonts w:hint="eastAsia" w:cs="Times New Roman"/>
                <w:b w:val="0"/>
                <w:bCs/>
                <w:snapToGrid w:val="0"/>
                <w:kern w:val="0"/>
                <w:sz w:val="24"/>
                <w:szCs w:val="22"/>
                <w:lang w:val="en-US" w:eastAsia="zh-CN" w:bidi="ar-SA"/>
              </w:rPr>
              <w:t>mg/m</w:t>
            </w:r>
            <w:r>
              <w:rPr>
                <w:rFonts w:hint="eastAsia" w:cs="Times New Roman"/>
                <w:b w:val="0"/>
                <w:bCs/>
                <w:snapToGrid w:val="0"/>
                <w:kern w:val="0"/>
                <w:sz w:val="24"/>
                <w:szCs w:val="22"/>
                <w:vertAlign w:val="superscript"/>
                <w:lang w:val="en-US" w:eastAsia="zh-CN" w:bidi="ar-SA"/>
              </w:rPr>
              <w:t>3</w:t>
            </w:r>
            <w:r>
              <w:rPr>
                <w:rFonts w:hint="eastAsia" w:cs="Times New Roman"/>
                <w:b w:val="0"/>
                <w:bCs/>
                <w:snapToGrid w:val="0"/>
                <w:kern w:val="0"/>
                <w:sz w:val="24"/>
                <w:szCs w:val="22"/>
                <w:vertAlign w:val="baseline"/>
                <w:lang w:val="en-US" w:eastAsia="zh-CN" w:bidi="ar-SA"/>
              </w:rPr>
              <w:t>的</w:t>
            </w:r>
            <w:r>
              <w:rPr>
                <w:rFonts w:hint="default"/>
                <w:lang w:val="en-US" w:eastAsia="zh-CN"/>
              </w:rPr>
              <w:t>排放限值。</w:t>
            </w:r>
          </w:p>
          <w:p>
            <w:pPr>
              <w:keepNext w:val="0"/>
              <w:keepLines w:val="0"/>
              <w:widowControl/>
              <w:suppressLineNumbers w:val="0"/>
              <w:jc w:val="left"/>
              <w:rPr>
                <w:rFonts w:hint="default"/>
                <w:lang w:val="en-US" w:eastAsia="zh-CN"/>
              </w:rPr>
            </w:pPr>
            <w:r>
              <w:rPr>
                <w:rFonts w:hint="default"/>
              </w:rPr>
              <w:t>本项目采用的筒仓仓顶布袋除尘器和搅拌</w:t>
            </w:r>
            <w:r>
              <w:rPr>
                <w:rFonts w:hint="eastAsia"/>
                <w:lang w:val="en-US" w:eastAsia="zh-CN"/>
              </w:rPr>
              <w:t>系统设置</w:t>
            </w:r>
            <w:r>
              <w:rPr>
                <w:rFonts w:hint="default"/>
              </w:rPr>
              <w:t>布袋除尘器为末端治理措施属于《排污许可证申请与核发技术规范 水泥工业》（HJ847-2019）中的可行技术。</w:t>
            </w:r>
            <w:r>
              <w:rPr>
                <w:rFonts w:hint="eastAsia" w:ascii="宋体" w:hAnsi="宋体" w:eastAsia="宋体" w:cs="宋体"/>
                <w:color w:val="000000"/>
                <w:kern w:val="0"/>
                <w:sz w:val="24"/>
                <w:szCs w:val="24"/>
                <w:lang w:val="en-US" w:eastAsia="zh-CN" w:bidi="ar"/>
              </w:rPr>
              <w:t>本项目采取的废气污染防治措施可行，排放的废气污染物对周围环境影响较小，不会改变区域的环境空气质量类别。</w:t>
            </w:r>
          </w:p>
          <w:p>
            <w:pPr>
              <w:bidi w:val="0"/>
              <w:rPr>
                <w:rFonts w:hint="default"/>
                <w:lang w:val="en-US" w:eastAsia="zh-CN"/>
              </w:rPr>
            </w:pPr>
            <w:r>
              <w:rPr>
                <w:rFonts w:hint="default"/>
                <w:lang w:val="en-US" w:eastAsia="zh-CN"/>
              </w:rPr>
              <w:t>脉冲布袋除尘器的基本工作原理是：含尘气体进入挂有一定数量滤袋的袋室后，被滤袋纤维过滤。随着阻留的粉尘不断增加，一部分粉尘嵌入滤料内部；一部分覆盖在滤袋表面形成一层粉尘层。此时，含尘气体的过滤主要依靠粉尘层进行。其除尘机理为含尘气体通过粉尘层与滤料时产生的筛分、惯性、粘附、扩散与静电等作用，使粉尘得到捕集。当粉尘层加厚，压力损失达到一定程度时，需要进行清灰。清灰后压力降低，但仍有一部分粉尘残留在滤袋上，在下一个过滤周期开始时，起良好的捕尘作用。</w:t>
            </w:r>
          </w:p>
          <w:p>
            <w:pPr>
              <w:bidi w:val="0"/>
              <w:rPr>
                <w:rFonts w:hint="default"/>
                <w:lang w:val="en-US" w:eastAsia="zh-CN"/>
              </w:rPr>
            </w:pPr>
            <w:r>
              <w:rPr>
                <w:rFonts w:hint="default"/>
                <w:lang w:val="en-US" w:eastAsia="zh-CN"/>
              </w:rPr>
              <w:t>脉冲布袋除尘器的主要特点是：①除尘效率高，一般在99%以上，对亚微米粒径的细尘也具有较高净化效率；②处理风量范围广，小的仅每分钟数立方米，大的可达每分钟数万立方米，可用于尘源的通风除尘，改善作业场所的空气质量，减少大气污染物的排放；③结构比较简单，维护操作方便；④在保证同样高的除尘效率前提下，造价低于电除尘器；⑤对粉尘的特征不敏感，不受粉尘比电阻的影响。</w:t>
            </w:r>
          </w:p>
          <w:p>
            <w:pPr>
              <w:bidi w:val="0"/>
              <w:rPr>
                <w:rFonts w:hint="default"/>
                <w:lang w:val="en-US" w:eastAsia="zh-CN"/>
              </w:rPr>
            </w:pPr>
            <w:r>
              <w:rPr>
                <w:rFonts w:hint="default"/>
                <w:lang w:val="en-US" w:eastAsia="zh-CN"/>
              </w:rPr>
              <w:t>布袋除尘器是各企业常用的环保设备之一，大部分产尘工序都可以采用，生产设施的通风除尘系统中，布袋除尘器占主导地位。在各个企业，该除尘设施的采用取得了明显的经济效益和社会环境效益，本项目产生废气其温度、湿度适宜，可充分发挥布袋除尘器除尘效率高、运行稳定、维护方便的特点。</w:t>
            </w:r>
          </w:p>
          <w:p>
            <w:pPr>
              <w:pStyle w:val="4"/>
              <w:bidi w:val="0"/>
            </w:pPr>
            <w:r>
              <w:rPr>
                <w:rFonts w:hint="eastAsia"/>
              </w:rPr>
              <w:t>1.3</w:t>
            </w:r>
            <w:r>
              <w:t>非正常工况</w:t>
            </w:r>
          </w:p>
          <w:p>
            <w:pPr>
              <w:bidi w:val="0"/>
            </w:pPr>
            <w:r>
              <w:t>非正常工况主要为</w:t>
            </w:r>
            <w:r>
              <w:rPr>
                <w:rFonts w:hint="eastAsia"/>
              </w:rPr>
              <w:t>末端治理</w:t>
            </w:r>
            <w:r>
              <w:t>设施故障导致的事故排放，本项目非正常工况主要为布袋除尘器中布袋的破损导致除尘效率达不到要求</w:t>
            </w:r>
            <w:r>
              <w:rPr>
                <w:rFonts w:hint="eastAsia"/>
              </w:rPr>
              <w:t>故障对颗粒物</w:t>
            </w:r>
            <w:r>
              <w:t>去除效率按</w:t>
            </w:r>
            <w:r>
              <w:rPr>
                <w:rFonts w:hint="eastAsia"/>
                <w:lang w:val="en-US" w:eastAsia="zh-CN"/>
              </w:rPr>
              <w:t>50</w:t>
            </w:r>
            <w:r>
              <w:t>%计，事故情况排放量见表</w:t>
            </w:r>
            <w:r>
              <w:rPr>
                <w:rFonts w:hint="eastAsia"/>
                <w:lang w:val="en-US" w:eastAsia="zh-CN"/>
              </w:rPr>
              <w:t>4-3</w:t>
            </w:r>
            <w:r>
              <w:t>。</w:t>
            </w:r>
          </w:p>
          <w:p>
            <w:pPr>
              <w:keepLines w:val="0"/>
              <w:pageBreakBefore w:val="0"/>
              <w:widowControl/>
              <w:tabs>
                <w:tab w:val="left" w:pos="6480"/>
              </w:tabs>
              <w:kinsoku/>
              <w:wordWrap/>
              <w:overflowPunct/>
              <w:bidi w:val="0"/>
              <w:adjustRightInd w:val="0"/>
              <w:snapToGrid w:val="0"/>
              <w:spacing w:line="240" w:lineRule="auto"/>
              <w:ind w:firstLine="422" w:firstLineChars="200"/>
              <w:rPr>
                <w:b/>
                <w:bCs/>
                <w:color w:val="000000"/>
                <w:spacing w:val="0"/>
                <w:kern w:val="0"/>
                <w:sz w:val="21"/>
                <w:szCs w:val="21"/>
                <w:lang w:bidi="ar"/>
              </w:rPr>
            </w:pPr>
            <w:r>
              <w:rPr>
                <w:b/>
                <w:bCs/>
                <w:color w:val="000000"/>
                <w:spacing w:val="0"/>
                <w:kern w:val="0"/>
                <w:sz w:val="21"/>
                <w:szCs w:val="21"/>
                <w:lang w:bidi="ar"/>
              </w:rPr>
              <w:t>表</w:t>
            </w:r>
            <w:r>
              <w:rPr>
                <w:rFonts w:hint="eastAsia"/>
                <w:b/>
                <w:bCs/>
                <w:color w:val="000000"/>
                <w:spacing w:val="0"/>
                <w:kern w:val="0"/>
                <w:sz w:val="21"/>
                <w:szCs w:val="21"/>
                <w:lang w:val="en-US" w:eastAsia="zh-CN" w:bidi="ar"/>
              </w:rPr>
              <w:t>4-3</w:t>
            </w:r>
            <w:r>
              <w:rPr>
                <w:b/>
                <w:bCs/>
                <w:color w:val="000000"/>
                <w:spacing w:val="0"/>
                <w:kern w:val="0"/>
                <w:sz w:val="21"/>
                <w:szCs w:val="21"/>
                <w:lang w:bidi="ar"/>
              </w:rPr>
              <w:t xml:space="preserve">                    非正常工况一览表</w:t>
            </w:r>
          </w:p>
          <w:tbl>
            <w:tblPr>
              <w:tblStyle w:val="4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164"/>
              <w:gridCol w:w="1345"/>
              <w:gridCol w:w="1365"/>
              <w:gridCol w:w="1164"/>
              <w:gridCol w:w="129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pPr>
                    <w:pStyle w:val="6"/>
                    <w:bidi w:val="0"/>
                  </w:pPr>
                  <w:r>
                    <w:t>工况</w:t>
                  </w:r>
                </w:p>
              </w:tc>
              <w:tc>
                <w:tcPr>
                  <w:tcW w:w="693" w:type="pct"/>
                  <w:noWrap w:val="0"/>
                  <w:vAlign w:val="center"/>
                </w:tcPr>
                <w:p>
                  <w:pPr>
                    <w:pStyle w:val="6"/>
                    <w:bidi w:val="0"/>
                  </w:pPr>
                  <w:r>
                    <w:rPr>
                      <w:rFonts w:hint="eastAsia"/>
                    </w:rPr>
                    <w:t>排放口</w:t>
                  </w:r>
                </w:p>
              </w:tc>
              <w:tc>
                <w:tcPr>
                  <w:tcW w:w="801" w:type="pct"/>
                  <w:noWrap w:val="0"/>
                  <w:vAlign w:val="center"/>
                </w:tcPr>
                <w:p>
                  <w:pPr>
                    <w:pStyle w:val="6"/>
                    <w:bidi w:val="0"/>
                  </w:pPr>
                  <w:r>
                    <w:rPr>
                      <w:rFonts w:hint="eastAsia"/>
                      <w:lang w:val="en-US" w:eastAsia="zh-CN"/>
                    </w:rPr>
                    <w:t>单次</w:t>
                  </w:r>
                  <w:r>
                    <w:t>持续时间</w:t>
                  </w:r>
                </w:p>
              </w:tc>
              <w:tc>
                <w:tcPr>
                  <w:tcW w:w="813" w:type="pct"/>
                  <w:noWrap w:val="0"/>
                  <w:vAlign w:val="center"/>
                </w:tcPr>
                <w:p>
                  <w:pPr>
                    <w:pStyle w:val="6"/>
                    <w:bidi w:val="0"/>
                  </w:pPr>
                  <w:r>
                    <w:rPr>
                      <w:rFonts w:hint="eastAsia"/>
                    </w:rPr>
                    <w:t>污染物</w:t>
                  </w:r>
                </w:p>
              </w:tc>
              <w:tc>
                <w:tcPr>
                  <w:tcW w:w="693" w:type="pct"/>
                  <w:noWrap w:val="0"/>
                  <w:vAlign w:val="center"/>
                </w:tcPr>
                <w:p>
                  <w:pPr>
                    <w:pStyle w:val="6"/>
                    <w:bidi w:val="0"/>
                    <w:rPr>
                      <w:rFonts w:hint="eastAsia"/>
                      <w:lang w:eastAsia="zh-CN"/>
                    </w:rPr>
                  </w:pPr>
                  <w:r>
                    <w:rPr>
                      <w:rFonts w:hint="eastAsia"/>
                    </w:rPr>
                    <w:t>排放量</w:t>
                  </w:r>
                  <w:r>
                    <w:rPr>
                      <w:rFonts w:hint="eastAsia"/>
                      <w:lang w:eastAsia="zh-CN"/>
                    </w:rPr>
                    <w:t>（</w:t>
                  </w:r>
                  <w:r>
                    <w:rPr>
                      <w:rFonts w:hint="eastAsia"/>
                      <w:lang w:val="en-US" w:eastAsia="zh-CN"/>
                    </w:rPr>
                    <w:t>kg</w:t>
                  </w:r>
                  <w:r>
                    <w:rPr>
                      <w:rFonts w:hint="eastAsia"/>
                      <w:lang w:eastAsia="zh-CN"/>
                    </w:rPr>
                    <w:t>）</w:t>
                  </w:r>
                </w:p>
              </w:tc>
              <w:tc>
                <w:tcPr>
                  <w:tcW w:w="770" w:type="pct"/>
                  <w:noWrap w:val="0"/>
                  <w:vAlign w:val="center"/>
                </w:tcPr>
                <w:p>
                  <w:pPr>
                    <w:pStyle w:val="6"/>
                    <w:bidi w:val="0"/>
                    <w:rPr>
                      <w:rFonts w:hint="eastAsia"/>
                      <w:lang w:eastAsia="zh-CN"/>
                    </w:rPr>
                  </w:pPr>
                  <w:r>
                    <w:rPr>
                      <w:rFonts w:hint="eastAsia"/>
                    </w:rPr>
                    <w:t>排放浓度</w:t>
                  </w:r>
                  <w:r>
                    <w:rPr>
                      <w:rFonts w:hint="eastAsia"/>
                      <w:lang w:eastAsia="zh-CN"/>
                    </w:rPr>
                    <w:t>（</w:t>
                  </w:r>
                  <w:r>
                    <w:rPr>
                      <w:rFonts w:hint="eastAsia"/>
                      <w:lang w:val="en-US" w:eastAsia="zh-CN"/>
                    </w:rPr>
                    <w:t>mg/m</w:t>
                  </w:r>
                  <w:r>
                    <w:rPr>
                      <w:rFonts w:hint="eastAsia"/>
                      <w:vertAlign w:val="superscript"/>
                      <w:lang w:val="en-US" w:eastAsia="zh-CN"/>
                    </w:rPr>
                    <w:t>3</w:t>
                  </w:r>
                  <w:r>
                    <w:rPr>
                      <w:rFonts w:hint="eastAsia"/>
                      <w:lang w:eastAsia="zh-CN"/>
                    </w:rPr>
                    <w:t>）</w:t>
                  </w:r>
                </w:p>
              </w:tc>
              <w:tc>
                <w:tcPr>
                  <w:tcW w:w="767" w:type="pct"/>
                  <w:noWrap w:val="0"/>
                  <w:vAlign w:val="center"/>
                </w:tcPr>
                <w:p>
                  <w:pPr>
                    <w:pStyle w:val="6"/>
                    <w:bidi w:val="0"/>
                    <w:rPr>
                      <w:rFonts w:hint="eastAsia"/>
                    </w:rPr>
                  </w:pPr>
                  <w:r>
                    <w:rPr>
                      <w:rFonts w:hint="eastAsia"/>
                    </w:rPr>
                    <w:t>发生频次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61" w:type="pct"/>
                  <w:vMerge w:val="restart"/>
                  <w:noWrap w:val="0"/>
                  <w:vAlign w:val="center"/>
                </w:tcPr>
                <w:p>
                  <w:pPr>
                    <w:pStyle w:val="6"/>
                    <w:bidi w:val="0"/>
                  </w:pPr>
                  <w:r>
                    <w:rPr>
                      <w:rFonts w:hint="eastAsia"/>
                    </w:rPr>
                    <w:t>非正常工况</w:t>
                  </w:r>
                </w:p>
              </w:tc>
              <w:tc>
                <w:tcPr>
                  <w:tcW w:w="693" w:type="pct"/>
                  <w:noWrap w:val="0"/>
                  <w:vAlign w:val="center"/>
                </w:tcPr>
                <w:p>
                  <w:pPr>
                    <w:pStyle w:val="6"/>
                    <w:bidi w:val="0"/>
                    <w:rPr>
                      <w:rFonts w:hint="default"/>
                      <w:lang w:val="en-US" w:eastAsia="zh-CN"/>
                    </w:rPr>
                  </w:pPr>
                  <w:r>
                    <w:rPr>
                      <w:rFonts w:hint="eastAsia"/>
                      <w:lang w:val="en-US" w:eastAsia="zh-CN"/>
                    </w:rPr>
                    <w:t>DA001</w:t>
                  </w:r>
                </w:p>
              </w:tc>
              <w:tc>
                <w:tcPr>
                  <w:tcW w:w="801" w:type="pct"/>
                  <w:noWrap w:val="0"/>
                  <w:vAlign w:val="center"/>
                </w:tcPr>
                <w:p>
                  <w:pPr>
                    <w:pStyle w:val="6"/>
                    <w:bidi w:val="0"/>
                    <w:rPr>
                      <w:rFonts w:hint="default" w:eastAsia="宋体"/>
                      <w:lang w:val="en-US" w:eastAsia="zh-CN"/>
                    </w:rPr>
                  </w:pPr>
                  <w:r>
                    <w:rPr>
                      <w:rFonts w:hint="eastAsia"/>
                      <w:lang w:val="en-US" w:eastAsia="zh-CN"/>
                    </w:rPr>
                    <w:t>1h</w:t>
                  </w:r>
                </w:p>
              </w:tc>
              <w:tc>
                <w:tcPr>
                  <w:tcW w:w="813" w:type="pct"/>
                  <w:noWrap w:val="0"/>
                  <w:vAlign w:val="center"/>
                </w:tcPr>
                <w:p>
                  <w:pPr>
                    <w:pStyle w:val="6"/>
                    <w:bidi w:val="0"/>
                    <w:rPr>
                      <w:rFonts w:hint="eastAsia"/>
                      <w:lang w:val="en-US" w:eastAsia="zh-CN"/>
                    </w:rPr>
                  </w:pPr>
                  <w:r>
                    <w:rPr>
                      <w:rFonts w:hint="eastAsia"/>
                      <w:lang w:val="en-US" w:eastAsia="zh-CN"/>
                    </w:rPr>
                    <w:t>颗粒物</w:t>
                  </w:r>
                </w:p>
              </w:tc>
              <w:tc>
                <w:tcPr>
                  <w:tcW w:w="693" w:type="pct"/>
                  <w:shd w:val="clear" w:color="auto" w:fill="auto"/>
                  <w:noWrap w:val="0"/>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ascii="Times New Roman" w:hAnsi="Times New Roman" w:eastAsia="宋体" w:cs="Times New Roman"/>
                      <w:lang w:val="en-US" w:eastAsia="zh-CN"/>
                    </w:rPr>
                    <w:t>3</w:t>
                  </w:r>
                </w:p>
              </w:tc>
              <w:tc>
                <w:tcPr>
                  <w:tcW w:w="770" w:type="pct"/>
                  <w:shd w:val="clear" w:color="auto" w:fill="auto"/>
                  <w:noWrap w:val="0"/>
                  <w:vAlign w:val="center"/>
                </w:tcPr>
                <w:p>
                  <w:pPr>
                    <w:pStyle w:val="6"/>
                    <w:bidi w:val="0"/>
                    <w:ind w:firstLine="0" w:firstLineChars="0"/>
                    <w:rPr>
                      <w:rFonts w:hint="default" w:ascii="Times New Roman" w:hAnsi="Times New Roman" w:eastAsia="宋体" w:cs="Times New Roman"/>
                      <w:bCs/>
                      <w:kern w:val="2"/>
                      <w:sz w:val="21"/>
                      <w:szCs w:val="28"/>
                      <w:lang w:val="en-US" w:eastAsia="zh-CN" w:bidi="ar-SA"/>
                    </w:rPr>
                  </w:pPr>
                  <w:r>
                    <w:rPr>
                      <w:rFonts w:hint="eastAsia" w:ascii="Times New Roman" w:hAnsi="Times New Roman" w:eastAsia="宋体" w:cs="Times New Roman"/>
                      <w:lang w:val="en-US" w:eastAsia="zh-CN"/>
                    </w:rPr>
                    <w:t>857.143</w:t>
                  </w:r>
                </w:p>
              </w:tc>
              <w:tc>
                <w:tcPr>
                  <w:tcW w:w="767" w:type="pct"/>
                  <w:noWrap w:val="0"/>
                  <w:vAlign w:val="center"/>
                </w:tcPr>
                <w:p>
                  <w:pPr>
                    <w:pStyle w:val="6"/>
                    <w:bidi w:val="0"/>
                    <w:rPr>
                      <w:rFonts w:hint="eastAsia"/>
                      <w:lang w:val="en-US" w:eastAsia="zh-CN"/>
                    </w:rPr>
                  </w:pPr>
                  <w:r>
                    <w:rPr>
                      <w:rFonts w:hint="eastAsia"/>
                      <w:lang w:val="en-US" w:eastAsia="zh-CN"/>
                    </w:rPr>
                    <w:t>2</w:t>
                  </w:r>
                  <w:r>
                    <w:rPr>
                      <w:rFonts w:hint="eastAsia"/>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61" w:type="pct"/>
                  <w:vMerge w:val="continue"/>
                  <w:noWrap w:val="0"/>
                  <w:vAlign w:val="center"/>
                </w:tcPr>
                <w:p>
                  <w:pPr>
                    <w:pStyle w:val="6"/>
                    <w:bidi w:val="0"/>
                  </w:pPr>
                </w:p>
              </w:tc>
              <w:tc>
                <w:tcPr>
                  <w:tcW w:w="693" w:type="pct"/>
                  <w:noWrap w:val="0"/>
                  <w:vAlign w:val="center"/>
                </w:tcPr>
                <w:p>
                  <w:pPr>
                    <w:pStyle w:val="6"/>
                    <w:bidi w:val="0"/>
                    <w:rPr>
                      <w:rFonts w:hint="default"/>
                      <w:lang w:val="en-US" w:eastAsia="zh-CN"/>
                    </w:rPr>
                  </w:pPr>
                  <w:r>
                    <w:rPr>
                      <w:rFonts w:hint="eastAsia"/>
                      <w:lang w:val="en-US" w:eastAsia="zh-CN"/>
                    </w:rPr>
                    <w:t>DA002</w:t>
                  </w:r>
                </w:p>
              </w:tc>
              <w:tc>
                <w:tcPr>
                  <w:tcW w:w="801" w:type="pct"/>
                  <w:noWrap w:val="0"/>
                  <w:vAlign w:val="center"/>
                </w:tcPr>
                <w:p>
                  <w:pPr>
                    <w:pStyle w:val="6"/>
                    <w:bidi w:val="0"/>
                  </w:pPr>
                  <w:r>
                    <w:rPr>
                      <w:rFonts w:hint="eastAsia"/>
                      <w:lang w:val="en-US" w:eastAsia="zh-CN"/>
                    </w:rPr>
                    <w:t>1</w:t>
                  </w:r>
                  <w:r>
                    <w:t>h</w:t>
                  </w:r>
                </w:p>
              </w:tc>
              <w:tc>
                <w:tcPr>
                  <w:tcW w:w="813" w:type="pct"/>
                  <w:noWrap w:val="0"/>
                  <w:vAlign w:val="center"/>
                </w:tcPr>
                <w:p>
                  <w:pPr>
                    <w:pStyle w:val="6"/>
                    <w:bidi w:val="0"/>
                  </w:pPr>
                  <w:r>
                    <w:rPr>
                      <w:rFonts w:hint="eastAsia"/>
                      <w:lang w:val="en-US" w:eastAsia="zh-CN"/>
                    </w:rPr>
                    <w:t>颗粒物</w:t>
                  </w:r>
                </w:p>
              </w:tc>
              <w:tc>
                <w:tcPr>
                  <w:tcW w:w="693" w:type="pct"/>
                  <w:shd w:val="clear" w:color="auto" w:fill="auto"/>
                  <w:noWrap w:val="0"/>
                  <w:vAlign w:val="center"/>
                </w:tcPr>
                <w:p>
                  <w:pPr>
                    <w:pStyle w:val="6"/>
                    <w:bidi w:val="0"/>
                    <w:ind w:firstLine="0" w:firstLineChars="0"/>
                    <w:rPr>
                      <w:rFonts w:hint="default" w:ascii="Times New Roman" w:hAnsi="Times New Roman" w:eastAsia="宋体" w:cs="Times New Roman"/>
                      <w:bCs/>
                      <w:kern w:val="2"/>
                      <w:sz w:val="21"/>
                      <w:szCs w:val="28"/>
                      <w:lang w:val="en-US" w:eastAsia="zh-CN" w:bidi="ar-SA"/>
                    </w:rPr>
                  </w:pPr>
                  <w:r>
                    <w:rPr>
                      <w:rFonts w:hint="eastAsia" w:ascii="Times New Roman" w:hAnsi="Times New Roman" w:eastAsia="宋体" w:cs="Times New Roman"/>
                      <w:lang w:val="en-US" w:eastAsia="zh-CN"/>
                    </w:rPr>
                    <w:t>2.588</w:t>
                  </w:r>
                </w:p>
              </w:tc>
              <w:tc>
                <w:tcPr>
                  <w:tcW w:w="770" w:type="pct"/>
                  <w:shd w:val="clear" w:color="auto" w:fill="auto"/>
                  <w:noWrap w:val="0"/>
                  <w:vAlign w:val="center"/>
                </w:tcPr>
                <w:p>
                  <w:pPr>
                    <w:pStyle w:val="6"/>
                    <w:bidi w:val="0"/>
                    <w:ind w:firstLine="0" w:firstLineChars="0"/>
                    <w:rPr>
                      <w:rFonts w:hint="default" w:ascii="Times New Roman" w:hAnsi="Times New Roman" w:eastAsia="宋体" w:cs="Times New Roman"/>
                      <w:bCs/>
                      <w:kern w:val="2"/>
                      <w:sz w:val="21"/>
                      <w:szCs w:val="28"/>
                      <w:lang w:val="en-US" w:eastAsia="zh-CN" w:bidi="ar-SA"/>
                    </w:rPr>
                  </w:pPr>
                  <w:r>
                    <w:rPr>
                      <w:rFonts w:hint="eastAsia" w:ascii="Times New Roman" w:hAnsi="Times New Roman" w:eastAsia="宋体" w:cs="Times New Roman"/>
                      <w:lang w:val="en-US" w:eastAsia="zh-CN"/>
                    </w:rPr>
                    <w:t xml:space="preserve">517.552 </w:t>
                  </w:r>
                </w:p>
              </w:tc>
              <w:tc>
                <w:tcPr>
                  <w:tcW w:w="767" w:type="pct"/>
                  <w:noWrap w:val="0"/>
                  <w:vAlign w:val="center"/>
                </w:tcPr>
                <w:p>
                  <w:pPr>
                    <w:pStyle w:val="6"/>
                    <w:bidi w:val="0"/>
                  </w:pPr>
                  <w:r>
                    <w:rPr>
                      <w:rFonts w:hint="eastAsia"/>
                      <w:lang w:val="en-US" w:eastAsia="zh-CN"/>
                    </w:rPr>
                    <w:t>2</w:t>
                  </w:r>
                  <w:r>
                    <w:rPr>
                      <w:rFonts w:hint="eastAsia"/>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00" w:type="pct"/>
                  <w:gridSpan w:val="7"/>
                  <w:noWrap w:val="0"/>
                  <w:vAlign w:val="center"/>
                </w:tcPr>
                <w:p>
                  <w:pPr>
                    <w:pStyle w:val="6"/>
                    <w:bidi w:val="0"/>
                    <w:rPr>
                      <w:rFonts w:hint="eastAsia"/>
                    </w:rPr>
                  </w:pPr>
                  <w:r>
                    <w:rPr>
                      <w:rFonts w:hint="eastAsia"/>
                    </w:rPr>
                    <w:t>措施：加强设备保养，定期开展自行监测，存储必要的配件，发生故障时停产并及时维修，尽快恢复设备运行。</w:t>
                  </w:r>
                </w:p>
              </w:tc>
            </w:tr>
          </w:tbl>
          <w:p>
            <w:pPr>
              <w:pStyle w:val="4"/>
              <w:bidi w:val="0"/>
            </w:pPr>
            <w:r>
              <w:t>1.4自行监测</w:t>
            </w:r>
          </w:p>
          <w:p>
            <w:pPr>
              <w:bidi w:val="0"/>
              <w:rPr>
                <w:rFonts w:ascii="楷体_GB2312" w:hAnsi="楷体_GB2312" w:eastAsia="楷体_GB2312" w:cs="楷体_GB2312"/>
                <w:b/>
                <w:bCs/>
                <w:color w:val="000000"/>
                <w:kern w:val="0"/>
                <w:sz w:val="28"/>
                <w:szCs w:val="21"/>
                <w:lang w:val="en-US" w:eastAsia="zh-CN" w:bidi="ar-SA"/>
              </w:rPr>
            </w:pPr>
            <w:r>
              <w:rPr>
                <w:rFonts w:ascii="Times New Roman" w:hAnsi="Times New Roman" w:eastAsia="宋体" w:cs="Times New Roman"/>
                <w:b w:val="0"/>
                <w:bCs/>
                <w:kern w:val="0"/>
                <w:sz w:val="24"/>
                <w:szCs w:val="24"/>
                <w:lang w:val="en-US" w:eastAsia="zh-CN" w:bidi="ar-SA"/>
              </w:rPr>
              <w:t>本工程</w:t>
            </w:r>
            <w:r>
              <w:rPr>
                <w:rFonts w:hint="eastAsia" w:ascii="Times New Roman" w:hAnsi="Times New Roman" w:eastAsia="宋体" w:cs="Times New Roman"/>
                <w:b w:val="0"/>
                <w:bCs/>
                <w:kern w:val="0"/>
                <w:sz w:val="24"/>
                <w:szCs w:val="24"/>
                <w:lang w:val="en-US" w:eastAsia="zh-CN" w:bidi="ar-SA"/>
              </w:rPr>
              <w:t>废气</w:t>
            </w:r>
            <w:r>
              <w:rPr>
                <w:rFonts w:ascii="Times New Roman" w:hAnsi="Times New Roman" w:eastAsia="宋体" w:cs="Times New Roman"/>
                <w:b w:val="0"/>
                <w:bCs/>
                <w:kern w:val="0"/>
                <w:sz w:val="24"/>
                <w:szCs w:val="24"/>
                <w:lang w:val="en-US" w:eastAsia="zh-CN" w:bidi="ar-SA"/>
              </w:rPr>
              <w:t>污染源监测计划详见表</w:t>
            </w:r>
            <w:r>
              <w:rPr>
                <w:rFonts w:hint="eastAsia" w:ascii="Times New Roman" w:hAnsi="Times New Roman" w:eastAsia="宋体" w:cs="Times New Roman"/>
                <w:b w:val="0"/>
                <w:bCs/>
                <w:kern w:val="0"/>
                <w:sz w:val="24"/>
                <w:szCs w:val="24"/>
                <w:lang w:val="en-US" w:eastAsia="zh-CN" w:bidi="ar-SA"/>
              </w:rPr>
              <w:t>4-4</w:t>
            </w:r>
            <w:r>
              <w:rPr>
                <w:rFonts w:hint="eastAsia" w:ascii="楷体_GB2312" w:hAnsi="楷体_GB2312" w:eastAsia="宋体" w:cs="楷体_GB2312"/>
                <w:b w:val="0"/>
                <w:bCs/>
                <w:kern w:val="0"/>
                <w:sz w:val="28"/>
                <w:szCs w:val="28"/>
                <w:lang w:val="en-US" w:eastAsia="zh-CN" w:bidi="ar-SA"/>
              </w:rPr>
              <w:t>。</w:t>
            </w:r>
          </w:p>
          <w:p>
            <w:pPr>
              <w:keepLines w:val="0"/>
              <w:pageBreakBefore w:val="0"/>
              <w:widowControl/>
              <w:kinsoku/>
              <w:wordWrap/>
              <w:overflowPunct/>
              <w:bidi w:val="0"/>
              <w:adjustRightInd w:val="0"/>
              <w:snapToGrid w:val="0"/>
              <w:spacing w:line="240" w:lineRule="auto"/>
              <w:ind w:firstLine="422" w:firstLineChars="200"/>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表</w:t>
            </w:r>
            <w:r>
              <w:rPr>
                <w:rFonts w:hint="eastAsia" w:ascii="Times New Roman" w:hAnsi="Times New Roman" w:eastAsia="宋体" w:cs="Times New Roman"/>
                <w:b/>
                <w:bCs/>
                <w:color w:val="000000"/>
                <w:sz w:val="21"/>
                <w:szCs w:val="21"/>
                <w:lang w:val="en-US" w:eastAsia="zh-CN"/>
              </w:rPr>
              <w:t>4-4</w:t>
            </w:r>
            <w:r>
              <w:rPr>
                <w:rFonts w:ascii="Times New Roman" w:hAnsi="Times New Roman" w:eastAsia="宋体" w:cs="Times New Roman"/>
                <w:b/>
                <w:bCs/>
                <w:color w:val="000000"/>
                <w:sz w:val="21"/>
                <w:szCs w:val="21"/>
              </w:rPr>
              <w:t xml:space="preserve">          </w:t>
            </w:r>
            <w:r>
              <w:rPr>
                <w:rFonts w:hint="eastAsia" w:ascii="Times New Roman" w:hAnsi="Times New Roman" w:eastAsia="宋体" w:cs="Times New Roman"/>
                <w:b/>
                <w:bCs/>
                <w:color w:val="000000"/>
                <w:sz w:val="21"/>
                <w:szCs w:val="21"/>
                <w:lang w:val="en-US" w:eastAsia="zh-CN"/>
              </w:rPr>
              <w:t xml:space="preserve">    </w:t>
            </w:r>
            <w:r>
              <w:rPr>
                <w:rFonts w:ascii="Times New Roman" w:hAnsi="Times New Roman" w:eastAsia="宋体" w:cs="Times New Roman"/>
                <w:b/>
                <w:bCs/>
                <w:color w:val="000000"/>
                <w:sz w:val="21"/>
                <w:szCs w:val="21"/>
              </w:rPr>
              <w:t xml:space="preserve">  </w:t>
            </w:r>
            <w:r>
              <w:rPr>
                <w:rFonts w:hint="eastAsia" w:ascii="Times New Roman" w:hAnsi="Times New Roman" w:eastAsia="宋体" w:cs="Times New Roman"/>
                <w:b/>
                <w:bCs/>
                <w:color w:val="000000"/>
                <w:sz w:val="21"/>
                <w:szCs w:val="21"/>
              </w:rPr>
              <w:t xml:space="preserve">    废气监测方案</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604"/>
              <w:gridCol w:w="1055"/>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3" w:type="dxa"/>
                  <w:noWrap w:val="0"/>
                  <w:vAlign w:val="center"/>
                </w:tcPr>
                <w:p>
                  <w:pPr>
                    <w:pStyle w:val="6"/>
                    <w:bidi w:val="0"/>
                    <w:rPr>
                      <w:rFonts w:hint="default"/>
                      <w:lang w:val="en-US" w:eastAsia="zh-CN"/>
                    </w:rPr>
                  </w:pPr>
                  <w:r>
                    <w:rPr>
                      <w:rFonts w:hint="default"/>
                      <w:lang w:val="en-US" w:eastAsia="zh-CN"/>
                    </w:rPr>
                    <w:t>监测点位</w:t>
                  </w:r>
                </w:p>
              </w:tc>
              <w:tc>
                <w:tcPr>
                  <w:tcW w:w="1575" w:type="dxa"/>
                  <w:noWrap w:val="0"/>
                  <w:vAlign w:val="center"/>
                </w:tcPr>
                <w:p>
                  <w:pPr>
                    <w:pStyle w:val="6"/>
                    <w:bidi w:val="0"/>
                    <w:rPr>
                      <w:rFonts w:hint="default"/>
                      <w:lang w:val="en-US" w:eastAsia="zh-CN"/>
                    </w:rPr>
                  </w:pPr>
                  <w:r>
                    <w:rPr>
                      <w:rFonts w:hint="default"/>
                      <w:lang w:val="en-US" w:eastAsia="zh-CN"/>
                    </w:rPr>
                    <w:t>监测指标</w:t>
                  </w:r>
                </w:p>
              </w:tc>
              <w:tc>
                <w:tcPr>
                  <w:tcW w:w="1036" w:type="dxa"/>
                  <w:noWrap w:val="0"/>
                  <w:vAlign w:val="center"/>
                </w:tcPr>
                <w:p>
                  <w:pPr>
                    <w:pStyle w:val="6"/>
                    <w:bidi w:val="0"/>
                    <w:rPr>
                      <w:rFonts w:hint="default"/>
                      <w:lang w:val="en-US" w:eastAsia="zh-CN"/>
                    </w:rPr>
                  </w:pPr>
                  <w:r>
                    <w:rPr>
                      <w:rFonts w:hint="default"/>
                      <w:lang w:val="en-US" w:eastAsia="zh-CN"/>
                    </w:rPr>
                    <w:t>监测频次</w:t>
                  </w:r>
                </w:p>
              </w:tc>
              <w:tc>
                <w:tcPr>
                  <w:tcW w:w="4741" w:type="dxa"/>
                  <w:noWrap w:val="0"/>
                  <w:vAlign w:val="center"/>
                </w:tcPr>
                <w:p>
                  <w:pPr>
                    <w:pStyle w:val="6"/>
                    <w:bidi w:val="0"/>
                    <w:rPr>
                      <w:rFonts w:hint="default"/>
                      <w:lang w:val="en-US" w:eastAsia="zh-CN"/>
                    </w:rPr>
                  </w:pPr>
                  <w:r>
                    <w:rPr>
                      <w:rFonts w:hint="default"/>
                      <w:lang w:val="en-US" w:eastAsia="zh-CN"/>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93" w:type="dxa"/>
                  <w:noWrap w:val="0"/>
                  <w:vAlign w:val="center"/>
                </w:tcPr>
                <w:p>
                  <w:pPr>
                    <w:pStyle w:val="6"/>
                    <w:bidi w:val="0"/>
                    <w:rPr>
                      <w:rFonts w:hint="default"/>
                      <w:lang w:val="en-US" w:eastAsia="zh-CN"/>
                    </w:rPr>
                  </w:pPr>
                  <w:r>
                    <w:rPr>
                      <w:rFonts w:hint="eastAsia"/>
                      <w:lang w:val="en-US" w:eastAsia="zh-CN"/>
                    </w:rPr>
                    <w:t>DA001</w:t>
                  </w:r>
                </w:p>
              </w:tc>
              <w:tc>
                <w:tcPr>
                  <w:tcW w:w="1575" w:type="dxa"/>
                  <w:shd w:val="clear" w:color="auto" w:fill="auto"/>
                  <w:noWrap w:val="0"/>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TSP</w:t>
                  </w:r>
                </w:p>
              </w:tc>
              <w:tc>
                <w:tcPr>
                  <w:tcW w:w="1036" w:type="dxa"/>
                  <w:shd w:val="clear" w:color="auto" w:fill="auto"/>
                  <w:noWrap w:val="0"/>
                  <w:vAlign w:val="center"/>
                </w:tcPr>
                <w:p>
                  <w:pPr>
                    <w:pStyle w:val="6"/>
                    <w:bidi w:val="0"/>
                    <w:ind w:firstLine="0" w:firstLineChars="0"/>
                    <w:rPr>
                      <w:rFonts w:hint="eastAsia" w:ascii="Times New Roman" w:hAnsi="Times New Roman" w:eastAsia="宋体" w:cs="Times New Roman"/>
                      <w:bCs/>
                      <w:kern w:val="2"/>
                      <w:sz w:val="21"/>
                      <w:szCs w:val="28"/>
                      <w:lang w:val="en-US" w:eastAsia="zh-CN" w:bidi="ar-SA"/>
                    </w:rPr>
                  </w:pPr>
                  <w:r>
                    <w:rPr>
                      <w:rFonts w:hint="eastAsia"/>
                      <w:lang w:val="en-US" w:eastAsia="zh-CN"/>
                    </w:rPr>
                    <w:t>两年/次</w:t>
                  </w:r>
                </w:p>
              </w:tc>
              <w:tc>
                <w:tcPr>
                  <w:tcW w:w="4741" w:type="dxa"/>
                  <w:vMerge w:val="restart"/>
                  <w:noWrap w:val="0"/>
                  <w:vAlign w:val="center"/>
                </w:tcPr>
                <w:p>
                  <w:pPr>
                    <w:pStyle w:val="6"/>
                    <w:bidi w:val="0"/>
                    <w:rPr>
                      <w:rFonts w:hint="default"/>
                      <w:lang w:val="en-US" w:eastAsia="zh-CN"/>
                    </w:rPr>
                  </w:pPr>
                  <w:r>
                    <w:rPr>
                      <w:rFonts w:hint="default"/>
                      <w:lang w:val="en-US" w:eastAsia="zh-CN"/>
                    </w:rPr>
                    <w:t>《水泥工业大气污染物排放标准》（GB4915-2013）中表</w:t>
                  </w:r>
                  <w:r>
                    <w:rPr>
                      <w:rFonts w:hint="eastAsia"/>
                      <w:lang w:val="en-US" w:eastAsia="zh-CN"/>
                    </w:rPr>
                    <w:t>1</w:t>
                  </w:r>
                  <w:r>
                    <w:rPr>
                      <w:rFonts w:hint="default"/>
                      <w:lang w:val="en-US" w:eastAsia="zh-CN"/>
                    </w:rPr>
                    <w:t>中水泥仓及其他通风生产设备颗粒物有组织最高允许排放浓度</w:t>
                  </w:r>
                  <w:r>
                    <w:rPr>
                      <w:rFonts w:hint="eastAsia"/>
                      <w:lang w:val="en-US" w:eastAsia="zh-CN"/>
                    </w:rPr>
                    <w:t>2</w:t>
                  </w:r>
                  <w:r>
                    <w:rPr>
                      <w:rFonts w:hint="default"/>
                      <w:lang w:val="en-US" w:eastAsia="zh-CN"/>
                    </w:rPr>
                    <w:t>0mg/m³的要求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93" w:type="dxa"/>
                  <w:noWrap w:val="0"/>
                  <w:vAlign w:val="center"/>
                </w:tcPr>
                <w:p>
                  <w:pPr>
                    <w:pStyle w:val="6"/>
                    <w:bidi w:val="0"/>
                    <w:rPr>
                      <w:rFonts w:hint="default"/>
                      <w:lang w:val="en-US" w:eastAsia="zh-CN"/>
                    </w:rPr>
                  </w:pPr>
                  <w:r>
                    <w:rPr>
                      <w:rFonts w:hint="eastAsia"/>
                      <w:lang w:val="en-US" w:eastAsia="zh-CN"/>
                    </w:rPr>
                    <w:t>DA002</w:t>
                  </w:r>
                </w:p>
              </w:tc>
              <w:tc>
                <w:tcPr>
                  <w:tcW w:w="1575" w:type="dxa"/>
                  <w:noWrap w:val="0"/>
                  <w:vAlign w:val="center"/>
                </w:tcPr>
                <w:p>
                  <w:pPr>
                    <w:pStyle w:val="6"/>
                    <w:bidi w:val="0"/>
                    <w:rPr>
                      <w:rFonts w:hint="eastAsia"/>
                      <w:lang w:val="en-US" w:eastAsia="zh-CN"/>
                    </w:rPr>
                  </w:pPr>
                  <w:r>
                    <w:rPr>
                      <w:rFonts w:hint="eastAsia"/>
                      <w:lang w:val="en-US" w:eastAsia="zh-CN"/>
                    </w:rPr>
                    <w:t>TSP</w:t>
                  </w:r>
                </w:p>
              </w:tc>
              <w:tc>
                <w:tcPr>
                  <w:tcW w:w="1036" w:type="dxa"/>
                  <w:noWrap w:val="0"/>
                  <w:vAlign w:val="center"/>
                </w:tcPr>
                <w:p>
                  <w:pPr>
                    <w:pStyle w:val="6"/>
                    <w:bidi w:val="0"/>
                    <w:rPr>
                      <w:rFonts w:hint="eastAsia"/>
                      <w:lang w:val="en-US" w:eastAsia="zh-CN"/>
                    </w:rPr>
                  </w:pPr>
                  <w:r>
                    <w:rPr>
                      <w:rFonts w:hint="eastAsia"/>
                      <w:lang w:val="en-US" w:eastAsia="zh-CN"/>
                    </w:rPr>
                    <w:t>两年/次</w:t>
                  </w:r>
                </w:p>
              </w:tc>
              <w:tc>
                <w:tcPr>
                  <w:tcW w:w="4741" w:type="dxa"/>
                  <w:vMerge w:val="continue"/>
                  <w:noWrap w:val="0"/>
                  <w:vAlign w:val="center"/>
                </w:tcPr>
                <w:p>
                  <w:pPr>
                    <w:pStyle w:val="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3" w:type="dxa"/>
                  <w:noWrap w:val="0"/>
                  <w:vAlign w:val="center"/>
                </w:tcPr>
                <w:p>
                  <w:pPr>
                    <w:pStyle w:val="6"/>
                    <w:bidi w:val="0"/>
                    <w:rPr>
                      <w:rFonts w:hint="eastAsia"/>
                      <w:lang w:val="en-US" w:eastAsia="zh-CN"/>
                    </w:rPr>
                  </w:pPr>
                  <w:r>
                    <w:rPr>
                      <w:lang w:val="en-US" w:eastAsia="zh-CN"/>
                    </w:rPr>
                    <w:t>厂界</w:t>
                  </w:r>
                  <w:r>
                    <w:rPr>
                      <w:rFonts w:hint="eastAsia"/>
                      <w:lang w:val="en-US" w:eastAsia="zh-CN"/>
                    </w:rPr>
                    <w:t>处</w:t>
                  </w:r>
                </w:p>
              </w:tc>
              <w:tc>
                <w:tcPr>
                  <w:tcW w:w="1575" w:type="dxa"/>
                  <w:noWrap w:val="0"/>
                  <w:vAlign w:val="center"/>
                </w:tcPr>
                <w:p>
                  <w:pPr>
                    <w:pStyle w:val="6"/>
                    <w:bidi w:val="0"/>
                    <w:rPr>
                      <w:rFonts w:hint="eastAsia"/>
                      <w:lang w:val="en-US" w:eastAsia="zh-CN"/>
                    </w:rPr>
                  </w:pPr>
                  <w:r>
                    <w:rPr>
                      <w:lang w:val="en-US" w:eastAsia="zh-CN"/>
                    </w:rPr>
                    <w:t>颗粒物</w:t>
                  </w:r>
                </w:p>
              </w:tc>
              <w:tc>
                <w:tcPr>
                  <w:tcW w:w="1036" w:type="dxa"/>
                  <w:noWrap w:val="0"/>
                  <w:vAlign w:val="center"/>
                </w:tcPr>
                <w:p>
                  <w:pPr>
                    <w:pStyle w:val="6"/>
                    <w:bidi w:val="0"/>
                    <w:rPr>
                      <w:rFonts w:hint="eastAsia"/>
                      <w:lang w:val="en-US" w:eastAsia="zh-CN"/>
                    </w:rPr>
                  </w:pPr>
                  <w:r>
                    <w:rPr>
                      <w:rFonts w:hint="eastAsia"/>
                      <w:lang w:val="en-US" w:eastAsia="zh-CN"/>
                    </w:rPr>
                    <w:t>1次/季度</w:t>
                  </w:r>
                </w:p>
              </w:tc>
              <w:tc>
                <w:tcPr>
                  <w:tcW w:w="4741" w:type="dxa"/>
                  <w:noWrap w:val="0"/>
                  <w:vAlign w:val="center"/>
                </w:tcPr>
                <w:p>
                  <w:pPr>
                    <w:pStyle w:val="6"/>
                    <w:bidi w:val="0"/>
                    <w:rPr>
                      <w:rFonts w:hint="eastAsia"/>
                      <w:lang w:val="en-US" w:eastAsia="zh-CN"/>
                    </w:rPr>
                  </w:pPr>
                  <w:r>
                    <w:rPr>
                      <w:rFonts w:hint="default"/>
                      <w:lang w:val="en-US" w:eastAsia="zh-CN"/>
                    </w:rPr>
                    <w:t>《水泥工业大气污染物排放标准》（GB4915-2013）中表</w:t>
                  </w:r>
                  <w:r>
                    <w:rPr>
                      <w:rFonts w:hint="eastAsia"/>
                      <w:lang w:val="en-US" w:eastAsia="zh-CN"/>
                    </w:rPr>
                    <w:t>3无组织排放标准要求</w:t>
                  </w:r>
                </w:p>
              </w:tc>
            </w:tr>
          </w:tbl>
          <w:p>
            <w:pPr>
              <w:pStyle w:val="4"/>
              <w:bidi w:val="0"/>
            </w:pPr>
            <w:r>
              <w:t>2</w:t>
            </w:r>
            <w:r>
              <w:rPr>
                <w:rFonts w:hint="eastAsia"/>
                <w:lang w:eastAsia="zh-CN"/>
              </w:rPr>
              <w:t>、</w:t>
            </w:r>
            <w:r>
              <w:t>废水</w:t>
            </w:r>
          </w:p>
          <w:p>
            <w:pPr>
              <w:pStyle w:val="4"/>
              <w:bidi w:val="0"/>
              <w:rPr>
                <w:rFonts w:hint="eastAsia"/>
              </w:rPr>
            </w:pPr>
            <w:r>
              <w:t>2.1水污染源分析</w:t>
            </w:r>
          </w:p>
          <w:p>
            <w:pPr>
              <w:keepLines w:val="0"/>
              <w:pageBreakBefore w:val="0"/>
              <w:widowControl/>
              <w:kinsoku/>
              <w:wordWrap/>
              <w:overflowPunct/>
              <w:bidi w:val="0"/>
              <w:spacing w:line="360" w:lineRule="auto"/>
              <w:ind w:firstLine="480" w:firstLineChars="200"/>
              <w:jc w:val="both"/>
              <w:rPr>
                <w:rFonts w:hint="default" w:ascii="宋体" w:hAnsi="宋体" w:eastAsia="宋体" w:cs="宋体"/>
                <w:bCs/>
                <w:color w:val="000000"/>
                <w:kern w:val="24"/>
                <w:sz w:val="24"/>
                <w:szCs w:val="24"/>
                <w:lang w:val="en-US" w:eastAsia="zh-CN" w:bidi="ar-SA"/>
              </w:rPr>
            </w:pPr>
            <w:r>
              <w:rPr>
                <w:rFonts w:hint="eastAsia" w:ascii="Times New Roman" w:hAnsi="Times New Roman" w:eastAsia="宋体" w:cs="Times New Roman"/>
                <w:bCs/>
                <w:color w:val="000000"/>
                <w:kern w:val="24"/>
                <w:sz w:val="24"/>
                <w:szCs w:val="24"/>
                <w:lang w:val="en-US" w:eastAsia="zh-CN" w:bidi="ar-SA"/>
              </w:rPr>
              <w:t>生产废水：生产用水进入产品，不外排</w:t>
            </w:r>
            <w:r>
              <w:rPr>
                <w:rFonts w:hint="eastAsia" w:cs="Times New Roman"/>
                <w:bCs/>
                <w:color w:val="000000"/>
                <w:kern w:val="24"/>
                <w:sz w:val="24"/>
                <w:szCs w:val="24"/>
                <w:lang w:val="en-US" w:eastAsia="zh-CN" w:bidi="ar-SA"/>
              </w:rPr>
              <w:t>；搅拌罐清洗废水沉淀后回用于生产线，洗车废水循环使用，不外排。</w:t>
            </w:r>
          </w:p>
          <w:p>
            <w:pPr>
              <w:keepLines w:val="0"/>
              <w:pageBreakBefore w:val="0"/>
              <w:widowControl/>
              <w:kinsoku/>
              <w:wordWrap/>
              <w:overflowPunct/>
              <w:autoSpaceDE w:val="0"/>
              <w:autoSpaceDN w:val="0"/>
              <w:bidi w:val="0"/>
              <w:adjustRightInd w:val="0"/>
              <w:snapToGrid w:val="0"/>
              <w:spacing w:line="360" w:lineRule="auto"/>
              <w:ind w:firstLine="480" w:firstLineChars="200"/>
              <w:rPr>
                <w:rFonts w:ascii="宋体" w:hAnsi="宋体" w:eastAsia="宋体" w:cs="宋体"/>
                <w:sz w:val="24"/>
              </w:rPr>
            </w:pPr>
            <w:r>
              <w:rPr>
                <w:rFonts w:hint="eastAsia" w:ascii="Times New Roman" w:hAnsi="Times New Roman" w:eastAsia="宋体" w:cs="Times New Roman"/>
                <w:sz w:val="24"/>
              </w:rPr>
              <w:t>生活污水：本项目生活用水384m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/a，排水量按用水量80%计，则排水量为307.2m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/a。本项目生活污水排入厂区防渗化粪池（50m</w:t>
            </w:r>
            <w:r>
              <w:rPr>
                <w:rFonts w:hint="eastAsia" w:ascii="Times New Roman" w:hAnsi="Times New Roman" w:eastAsia="宋体" w:cs="Times New Roman"/>
                <w:sz w:val="24"/>
                <w:vertAlign w:val="superscript"/>
              </w:rPr>
              <w:t>3</w:t>
            </w:r>
            <w:r>
              <w:rPr>
                <w:rFonts w:hint="eastAsia" w:ascii="Times New Roman" w:hAnsi="Times New Roman" w:eastAsia="宋体" w:cs="Times New Roman"/>
                <w:sz w:val="24"/>
              </w:rPr>
              <w:t>），定期由清污车清掏至若羌县污水处理厂处理。</w:t>
            </w:r>
            <w:r>
              <w:rPr>
                <w:rFonts w:ascii="Times New Roman" w:hAnsi="Times New Roman" w:eastAsia="宋体" w:cs="Times New Roman"/>
                <w:bCs/>
                <w:sz w:val="24"/>
              </w:rPr>
              <w:t>各类排水污染物浓度及排放量见表</w:t>
            </w:r>
            <w:r>
              <w:rPr>
                <w:rFonts w:hint="eastAsia" w:ascii="Times New Roman" w:hAnsi="Times New Roman" w:eastAsia="宋体" w:cs="Times New Roman"/>
                <w:bCs/>
                <w:sz w:val="24"/>
                <w:lang w:val="en-US" w:eastAsia="zh-CN"/>
              </w:rPr>
              <w:t>4-5</w:t>
            </w:r>
            <w:r>
              <w:rPr>
                <w:rFonts w:ascii="Times New Roman" w:hAnsi="Times New Roman" w:eastAsia="宋体" w:cs="Times New Roman"/>
                <w:bCs/>
                <w:sz w:val="24"/>
              </w:rPr>
              <w:t>。</w:t>
            </w:r>
          </w:p>
          <w:p>
            <w:pPr>
              <w:pStyle w:val="10"/>
              <w:bidi w:val="0"/>
              <w:rPr>
                <w:lang w:val="en-US" w:eastAsia="zh-CN"/>
              </w:rPr>
            </w:pPr>
            <w:r>
              <w:rPr>
                <w:rFonts w:hint="eastAsia"/>
                <w:lang w:val="en-US" w:eastAsia="zh-CN"/>
              </w:rPr>
              <w:t>表4-5              本项目废水污染产生排放情况一览表</w:t>
            </w:r>
          </w:p>
          <w:tbl>
            <w:tblPr>
              <w:tblStyle w:val="40"/>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039"/>
              <w:gridCol w:w="1790"/>
              <w:gridCol w:w="205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2" w:type="dxa"/>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color w:val="auto"/>
                      <w:highlight w:val="none"/>
                    </w:rPr>
                  </w:pPr>
                  <w:r>
                    <w:rPr>
                      <w:rFonts w:hint="eastAsia"/>
                      <w:color w:val="auto"/>
                      <w:highlight w:val="none"/>
                    </w:rPr>
                    <w:t>排放口编号</w:t>
                  </w:r>
                </w:p>
              </w:tc>
              <w:tc>
                <w:tcPr>
                  <w:tcW w:w="1039" w:type="dxa"/>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color w:val="auto"/>
                      <w:highlight w:val="none"/>
                    </w:rPr>
                  </w:pPr>
                  <w:r>
                    <w:rPr>
                      <w:rFonts w:hint="default"/>
                      <w:color w:val="auto"/>
                      <w:highlight w:val="none"/>
                    </w:rPr>
                    <w:t>废水量</w:t>
                  </w:r>
                </w:p>
              </w:tc>
              <w:tc>
                <w:tcPr>
                  <w:tcW w:w="1790" w:type="dxa"/>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color w:val="auto"/>
                      <w:highlight w:val="none"/>
                    </w:rPr>
                  </w:pPr>
                  <w:r>
                    <w:rPr>
                      <w:rFonts w:hint="default"/>
                      <w:color w:val="auto"/>
                      <w:highlight w:val="none"/>
                    </w:rPr>
                    <w:t>污染物</w:t>
                  </w:r>
                </w:p>
              </w:tc>
              <w:tc>
                <w:tcPr>
                  <w:tcW w:w="2057" w:type="dxa"/>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color w:val="auto"/>
                      <w:highlight w:val="none"/>
                    </w:rPr>
                  </w:pPr>
                  <w:r>
                    <w:rPr>
                      <w:rFonts w:hint="default"/>
                      <w:color w:val="auto"/>
                      <w:highlight w:val="none"/>
                    </w:rPr>
                    <w:t>排放浓度（mg/L）</w:t>
                  </w:r>
                </w:p>
              </w:tc>
              <w:tc>
                <w:tcPr>
                  <w:tcW w:w="2097" w:type="dxa"/>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年产生量（t/a）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2" w:type="dxa"/>
                  <w:vMerge w:val="restart"/>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color w:val="auto"/>
                      <w:highlight w:val="none"/>
                    </w:rPr>
                  </w:pPr>
                  <w:r>
                    <w:rPr>
                      <w:rFonts w:hint="eastAsia"/>
                      <w:color w:val="auto"/>
                      <w:highlight w:val="none"/>
                    </w:rPr>
                    <w:t>DW001</w:t>
                  </w:r>
                </w:p>
              </w:tc>
              <w:tc>
                <w:tcPr>
                  <w:tcW w:w="1039" w:type="dxa"/>
                  <w:vMerge w:val="restart"/>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color w:val="auto"/>
                      <w:highlight w:val="none"/>
                    </w:rPr>
                  </w:pPr>
                  <w:r>
                    <w:rPr>
                      <w:rFonts w:hint="eastAsia"/>
                      <w:color w:val="auto"/>
                      <w:highlight w:val="none"/>
                      <w:lang w:val="en-US" w:eastAsia="zh-CN"/>
                    </w:rPr>
                    <w:t>307.2</w:t>
                  </w:r>
                  <w:r>
                    <w:rPr>
                      <w:rFonts w:hint="default"/>
                      <w:color w:val="auto"/>
                      <w:highlight w:val="none"/>
                    </w:rPr>
                    <w:t>m</w:t>
                  </w:r>
                  <w:r>
                    <w:rPr>
                      <w:rFonts w:hint="default"/>
                      <w:color w:val="auto"/>
                      <w:highlight w:val="none"/>
                      <w:vertAlign w:val="superscript"/>
                    </w:rPr>
                    <w:t>3</w:t>
                  </w:r>
                  <w:r>
                    <w:rPr>
                      <w:rFonts w:hint="default"/>
                      <w:color w:val="auto"/>
                      <w:highlight w:val="none"/>
                    </w:rPr>
                    <w:t>/a</w:t>
                  </w:r>
                </w:p>
              </w:tc>
              <w:tc>
                <w:tcPr>
                  <w:tcW w:w="1790" w:type="dxa"/>
                  <w:shd w:val="clear" w:color="auto" w:fill="auto"/>
                  <w:tcMar>
                    <w:left w:w="28" w:type="dxa"/>
                    <w:right w:w="28" w:type="dxa"/>
                  </w:tcMar>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rPr>
                    <w:t>COD</w:t>
                  </w:r>
                </w:p>
              </w:tc>
              <w:tc>
                <w:tcPr>
                  <w:tcW w:w="2057" w:type="dxa"/>
                  <w:shd w:val="clear" w:color="auto" w:fill="auto"/>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313.4</w:t>
                  </w:r>
                </w:p>
              </w:tc>
              <w:tc>
                <w:tcPr>
                  <w:tcW w:w="2097" w:type="dxa"/>
                  <w:shd w:val="clear" w:color="auto" w:fill="auto"/>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0.096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2" w:type="dxa"/>
                  <w:vMerge w:val="continue"/>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color w:val="auto"/>
                      <w:highlight w:val="none"/>
                    </w:rPr>
                  </w:pPr>
                </w:p>
              </w:tc>
              <w:tc>
                <w:tcPr>
                  <w:tcW w:w="1039" w:type="dxa"/>
                  <w:vMerge w:val="continue"/>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color w:val="auto"/>
                      <w:highlight w:val="none"/>
                    </w:rPr>
                  </w:pPr>
                </w:p>
              </w:tc>
              <w:tc>
                <w:tcPr>
                  <w:tcW w:w="1790" w:type="dxa"/>
                  <w:shd w:val="clear" w:color="auto" w:fill="auto"/>
                  <w:tcMar>
                    <w:left w:w="28" w:type="dxa"/>
                    <w:right w:w="28" w:type="dxa"/>
                  </w:tcMar>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rPr>
                    <w:t>BOD</w:t>
                  </w:r>
                  <w:r>
                    <w:rPr>
                      <w:rFonts w:hint="default"/>
                      <w:color w:val="auto"/>
                      <w:highlight w:val="none"/>
                      <w:vertAlign w:val="subscript"/>
                    </w:rPr>
                    <w:t>5</w:t>
                  </w:r>
                </w:p>
              </w:tc>
              <w:tc>
                <w:tcPr>
                  <w:tcW w:w="2057" w:type="dxa"/>
                  <w:shd w:val="clear" w:color="auto" w:fill="auto"/>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114.2</w:t>
                  </w:r>
                </w:p>
              </w:tc>
              <w:tc>
                <w:tcPr>
                  <w:tcW w:w="2097" w:type="dxa"/>
                  <w:shd w:val="clear" w:color="auto" w:fill="auto"/>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0.035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2" w:type="dxa"/>
                  <w:vMerge w:val="continue"/>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color w:val="auto"/>
                      <w:highlight w:val="none"/>
                    </w:rPr>
                  </w:pPr>
                </w:p>
              </w:tc>
              <w:tc>
                <w:tcPr>
                  <w:tcW w:w="1039" w:type="dxa"/>
                  <w:vMerge w:val="continue"/>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color w:val="auto"/>
                      <w:highlight w:val="none"/>
                    </w:rPr>
                  </w:pPr>
                </w:p>
              </w:tc>
              <w:tc>
                <w:tcPr>
                  <w:tcW w:w="1790" w:type="dxa"/>
                  <w:shd w:val="clear" w:color="auto" w:fill="auto"/>
                  <w:tcMar>
                    <w:left w:w="28" w:type="dxa"/>
                    <w:right w:w="28" w:type="dxa"/>
                  </w:tcMar>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rPr>
                    <w:t>SS</w:t>
                  </w:r>
                </w:p>
              </w:tc>
              <w:tc>
                <w:tcPr>
                  <w:tcW w:w="2057" w:type="dxa"/>
                  <w:shd w:val="clear" w:color="auto" w:fill="auto"/>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194.7</w:t>
                  </w:r>
                </w:p>
              </w:tc>
              <w:tc>
                <w:tcPr>
                  <w:tcW w:w="2097" w:type="dxa"/>
                  <w:shd w:val="clear" w:color="auto" w:fill="auto"/>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0.060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2" w:type="dxa"/>
                  <w:vMerge w:val="continue"/>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color w:val="auto"/>
                      <w:highlight w:val="none"/>
                    </w:rPr>
                  </w:pPr>
                </w:p>
              </w:tc>
              <w:tc>
                <w:tcPr>
                  <w:tcW w:w="1039" w:type="dxa"/>
                  <w:vMerge w:val="continue"/>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color w:val="auto"/>
                      <w:highlight w:val="none"/>
                    </w:rPr>
                  </w:pPr>
                </w:p>
              </w:tc>
              <w:tc>
                <w:tcPr>
                  <w:tcW w:w="1790" w:type="dxa"/>
                  <w:shd w:val="clear" w:color="auto" w:fill="auto"/>
                  <w:tcMar>
                    <w:left w:w="28" w:type="dxa"/>
                    <w:right w:w="28" w:type="dxa"/>
                  </w:tcMar>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rPr>
                    <w:t>NH</w:t>
                  </w:r>
                  <w:r>
                    <w:rPr>
                      <w:rFonts w:hint="default"/>
                      <w:color w:val="auto"/>
                      <w:highlight w:val="none"/>
                      <w:vertAlign w:val="subscript"/>
                    </w:rPr>
                    <w:t>3</w:t>
                  </w:r>
                  <w:r>
                    <w:rPr>
                      <w:rFonts w:hint="default"/>
                      <w:color w:val="auto"/>
                      <w:highlight w:val="none"/>
                    </w:rPr>
                    <w:t>-N</w:t>
                  </w:r>
                </w:p>
              </w:tc>
              <w:tc>
                <w:tcPr>
                  <w:tcW w:w="2057" w:type="dxa"/>
                  <w:shd w:val="clear" w:color="auto" w:fill="auto"/>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47.7</w:t>
                  </w:r>
                </w:p>
              </w:tc>
              <w:tc>
                <w:tcPr>
                  <w:tcW w:w="2097" w:type="dxa"/>
                  <w:shd w:val="clear" w:color="auto" w:fill="auto"/>
                  <w:tcMar>
                    <w:left w:w="28" w:type="dxa"/>
                    <w:right w:w="28" w:type="dxa"/>
                  </w:tcMar>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0.015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75" w:type="dxa"/>
                  <w:gridSpan w:val="5"/>
                  <w:tcMar>
                    <w:left w:w="28" w:type="dxa"/>
                    <w:right w:w="28" w:type="dxa"/>
                  </w:tcMar>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SS产生浓度参考《社会区域类影响评价/环境影响评价工程师职业资格登记培训教材》中房地产项目取值；CODcr、</w:t>
                  </w:r>
                  <w:r>
                    <w:rPr>
                      <w:rFonts w:hint="default" w:ascii="Times New Roman" w:hAnsi="Times New Roman" w:eastAsia="宋体" w:cs="Times New Roman"/>
                      <w:color w:val="auto"/>
                      <w:sz w:val="21"/>
                      <w:szCs w:val="21"/>
                      <w:highlight w:val="none"/>
                      <w:lang w:val="en-US" w:eastAsia="zh-CN"/>
                    </w:rPr>
                    <w:t>BOD</w:t>
                  </w:r>
                  <w:r>
                    <w:rPr>
                      <w:rFonts w:hint="default" w:ascii="Times New Roman" w:hAnsi="Times New Roman" w:eastAsia="宋体" w:cs="Times New Roman"/>
                      <w:color w:val="auto"/>
                      <w:sz w:val="21"/>
                      <w:szCs w:val="21"/>
                      <w:highlight w:val="none"/>
                      <w:vertAlign w:val="subscript"/>
                      <w:lang w:val="en-US" w:eastAsia="zh-CN"/>
                    </w:rPr>
                    <w:t>5</w:t>
                  </w:r>
                  <w:r>
                    <w:rPr>
                      <w:rFonts w:hint="eastAsia" w:ascii="Times New Roman" w:hAnsi="Times New Roman" w:eastAsia="宋体" w:cs="Times New Roman"/>
                      <w:color w:val="auto"/>
                      <w:sz w:val="21"/>
                      <w:szCs w:val="21"/>
                      <w:highlight w:val="none"/>
                      <w:vertAlign w:val="baseline"/>
                      <w:lang w:val="en-US" w:eastAsia="zh-CN"/>
                    </w:rPr>
                    <w:t>、氨氮参考《排放源统计调查产排污核算方法和系数手册》中“集中式污染治理设施产排污系数手册”巴音郭楞蒙古自治州污水处理厂进水水质浓度</w:t>
                  </w:r>
                </w:p>
              </w:tc>
            </w:tr>
          </w:tbl>
          <w:p>
            <w:pPr>
              <w:pStyle w:val="10"/>
              <w:keepNext w:val="0"/>
              <w:keepLines w:val="0"/>
              <w:suppressLineNumbers w:val="0"/>
              <w:spacing w:before="0" w:beforeAutospacing="0" w:after="0" w:afterAutospacing="0"/>
              <w:ind w:left="0" w:right="0" w:firstLine="422"/>
              <w:rPr>
                <w:rFonts w:hint="default"/>
                <w:color w:val="auto"/>
                <w:highlight w:val="none"/>
              </w:rPr>
            </w:pPr>
            <w:r>
              <w:rPr>
                <w:rFonts w:hint="eastAsia"/>
                <w:color w:val="auto"/>
                <w:highlight w:val="none"/>
              </w:rPr>
              <w:t>表4-</w:t>
            </w:r>
            <w:r>
              <w:rPr>
                <w:rFonts w:hint="eastAsia"/>
                <w:color w:val="auto"/>
                <w:highlight w:val="none"/>
                <w:lang w:val="en-US" w:eastAsia="zh-CN"/>
              </w:rPr>
              <w:t>6</w:t>
            </w:r>
            <w:r>
              <w:rPr>
                <w:rFonts w:hint="eastAsia"/>
                <w:color w:val="auto"/>
                <w:highlight w:val="none"/>
              </w:rPr>
              <w:t xml:space="preserve">              排放口基本情况表</w:t>
            </w:r>
            <w:r>
              <w:rPr>
                <w:rFonts w:hint="eastAsia"/>
                <w:color w:val="auto"/>
                <w:highlight w:val="none"/>
                <w:lang w:val="en-US" w:eastAsia="zh-CN"/>
              </w:rPr>
              <w:t xml:space="preserve">           单位：mg/L</w:t>
            </w:r>
            <w:r>
              <w:rPr>
                <w:rFonts w:hint="default" w:ascii="Times New Roman" w:hAnsi="Times New Roman" w:eastAsia="宋体" w:cs="Times New Roman"/>
                <w:b/>
                <w:bCs/>
                <w:color w:val="auto"/>
                <w:kern w:val="2"/>
                <w:sz w:val="21"/>
                <w:szCs w:val="21"/>
                <w:highlight w:val="none"/>
                <w:lang w:val="en-US" w:eastAsia="zh-CN" w:bidi="ar-SA"/>
              </w:rPr>
              <w:t>（</w:t>
            </w:r>
            <w:r>
              <w:rPr>
                <w:rFonts w:hint="eastAsia" w:eastAsia="宋体" w:cs="Times New Roman"/>
                <w:b/>
                <w:bCs/>
                <w:color w:val="auto"/>
                <w:kern w:val="2"/>
                <w:sz w:val="21"/>
                <w:szCs w:val="21"/>
                <w:highlight w:val="none"/>
                <w:lang w:val="en-US" w:eastAsia="zh-CN" w:bidi="ar-SA"/>
              </w:rPr>
              <w:t>p</w:t>
            </w:r>
            <w:r>
              <w:rPr>
                <w:rFonts w:hint="default" w:ascii="Times New Roman" w:hAnsi="Times New Roman" w:eastAsia="宋体" w:cs="Times New Roman"/>
                <w:b/>
                <w:bCs/>
                <w:color w:val="auto"/>
                <w:kern w:val="2"/>
                <w:sz w:val="21"/>
                <w:szCs w:val="21"/>
                <w:highlight w:val="none"/>
                <w:lang w:val="en-US" w:eastAsia="zh-CN" w:bidi="ar-SA"/>
              </w:rPr>
              <w:t>H无量纲）</w:t>
            </w:r>
          </w:p>
          <w:tbl>
            <w:tblPr>
              <w:tblStyle w:val="41"/>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18"/>
              <w:gridCol w:w="1423"/>
              <w:gridCol w:w="684"/>
              <w:gridCol w:w="1099"/>
              <w:gridCol w:w="489"/>
              <w:gridCol w:w="529"/>
              <w:gridCol w:w="1035"/>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Merge w:val="restart"/>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排放口编号</w:t>
                  </w:r>
                </w:p>
              </w:tc>
              <w:tc>
                <w:tcPr>
                  <w:tcW w:w="1691" w:type="pct"/>
                  <w:gridSpan w:val="2"/>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地理坐标</w:t>
                  </w:r>
                </w:p>
              </w:tc>
              <w:tc>
                <w:tcPr>
                  <w:tcW w:w="407" w:type="pct"/>
                  <w:vMerge w:val="restart"/>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废水排放量</w:t>
                  </w:r>
                  <w:r>
                    <w:rPr>
                      <w:rFonts w:hint="default" w:ascii="Times New Roman" w:hAnsi="Times New Roman" w:eastAsia="宋体" w:cs="Times New Roman"/>
                      <w:color w:val="auto"/>
                      <w:highlight w:val="none"/>
                    </w:rPr>
                    <w:t>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/a</w:t>
                  </w:r>
                </w:p>
              </w:tc>
              <w:tc>
                <w:tcPr>
                  <w:tcW w:w="654" w:type="pct"/>
                  <w:vMerge w:val="restart"/>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废水排放去向</w:t>
                  </w:r>
                </w:p>
              </w:tc>
              <w:tc>
                <w:tcPr>
                  <w:tcW w:w="291" w:type="pct"/>
                  <w:vMerge w:val="restart"/>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排放规律</w:t>
                  </w:r>
                </w:p>
              </w:tc>
              <w:tc>
                <w:tcPr>
                  <w:tcW w:w="1432" w:type="pct"/>
                  <w:gridSpan w:val="3"/>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844" w:type="pct"/>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N</w:t>
                  </w:r>
                </w:p>
              </w:tc>
              <w:tc>
                <w:tcPr>
                  <w:tcW w:w="847" w:type="pct"/>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E</w:t>
                  </w:r>
                </w:p>
              </w:tc>
              <w:tc>
                <w:tcPr>
                  <w:tcW w:w="407"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654"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291"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315" w:type="pct"/>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名称</w:t>
                  </w:r>
                </w:p>
              </w:tc>
              <w:tc>
                <w:tcPr>
                  <w:tcW w:w="616" w:type="pct"/>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污染物</w:t>
                  </w:r>
                </w:p>
              </w:tc>
              <w:tc>
                <w:tcPr>
                  <w:tcW w:w="500" w:type="pct"/>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Merge w:val="restart"/>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DW001</w:t>
                  </w:r>
                </w:p>
              </w:tc>
              <w:tc>
                <w:tcPr>
                  <w:tcW w:w="844" w:type="pct"/>
                  <w:vMerge w:val="restart"/>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sz w:val="24"/>
                      <w:szCs w:val="24"/>
                      <w:highlight w:val="none"/>
                      <w:lang w:val="en-US" w:eastAsia="zh-CN"/>
                    </w:rPr>
                    <w:t>88</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rPr>
                    <w:t>″</w:t>
                  </w:r>
                </w:p>
              </w:tc>
              <w:tc>
                <w:tcPr>
                  <w:tcW w:w="847" w:type="pct"/>
                  <w:vMerge w:val="restart"/>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sz w:val="24"/>
                      <w:szCs w:val="24"/>
                      <w:highlight w:val="none"/>
                      <w:lang w:val="en-US" w:eastAsia="zh-CN"/>
                    </w:rPr>
                    <w:t>39</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40</w:t>
                  </w:r>
                  <w:r>
                    <w:rPr>
                      <w:rFonts w:hint="default" w:ascii="Times New Roman" w:hAnsi="Times New Roman" w:eastAsia="宋体" w:cs="Times New Roman"/>
                      <w:color w:val="auto"/>
                      <w:sz w:val="24"/>
                      <w:szCs w:val="24"/>
                      <w:highlight w:val="none"/>
                    </w:rPr>
                    <w:t>″</w:t>
                  </w:r>
                </w:p>
              </w:tc>
              <w:tc>
                <w:tcPr>
                  <w:tcW w:w="407" w:type="pct"/>
                  <w:vMerge w:val="restart"/>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lang w:val="en-US"/>
                    </w:rPr>
                  </w:pPr>
                  <w:r>
                    <w:rPr>
                      <w:rFonts w:hint="eastAsia"/>
                      <w:color w:val="auto"/>
                      <w:highlight w:val="none"/>
                      <w:lang w:val="en-US" w:eastAsia="zh-CN"/>
                    </w:rPr>
                    <w:t>6.714</w:t>
                  </w:r>
                </w:p>
              </w:tc>
              <w:tc>
                <w:tcPr>
                  <w:tcW w:w="654" w:type="pct"/>
                  <w:vMerge w:val="restar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集中收至化粪池，定期由清污车清掏至若羌县污水处理厂处理</w:t>
                  </w:r>
                </w:p>
              </w:tc>
              <w:tc>
                <w:tcPr>
                  <w:tcW w:w="291" w:type="pct"/>
                  <w:vMerge w:val="restar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间歇排放</w:t>
                  </w:r>
                </w:p>
              </w:tc>
              <w:tc>
                <w:tcPr>
                  <w:tcW w:w="315" w:type="pct"/>
                  <w:vMerge w:val="restar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若羌县污水处理厂处理</w:t>
                  </w:r>
                </w:p>
              </w:tc>
              <w:tc>
                <w:tcPr>
                  <w:tcW w:w="616" w:type="pc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p</w:t>
                  </w:r>
                  <w:r>
                    <w:rPr>
                      <w:rFonts w:hint="default" w:ascii="Times New Roman" w:hAnsi="Times New Roman" w:eastAsia="宋体" w:cs="Times New Roman"/>
                      <w:color w:val="auto"/>
                      <w:kern w:val="2"/>
                      <w:sz w:val="21"/>
                      <w:szCs w:val="21"/>
                      <w:highlight w:val="none"/>
                      <w:lang w:val="en-US" w:eastAsia="zh-CN" w:bidi="ar-SA"/>
                    </w:rPr>
                    <w:t>H</w:t>
                  </w:r>
                </w:p>
              </w:tc>
              <w:tc>
                <w:tcPr>
                  <w:tcW w:w="500" w:type="pc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844"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847"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407"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654"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291"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315"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616" w:type="pc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COD</w:t>
                  </w:r>
                </w:p>
              </w:tc>
              <w:tc>
                <w:tcPr>
                  <w:tcW w:w="500" w:type="pc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844"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847"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407"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654"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291"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315"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616" w:type="pc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BOD</w:t>
                  </w:r>
                  <w:r>
                    <w:rPr>
                      <w:rFonts w:hint="default" w:ascii="Times New Roman" w:hAnsi="Times New Roman" w:eastAsia="宋体" w:cs="Times New Roman"/>
                      <w:color w:val="auto"/>
                      <w:kern w:val="2"/>
                      <w:sz w:val="21"/>
                      <w:szCs w:val="21"/>
                      <w:highlight w:val="none"/>
                      <w:vertAlign w:val="subscript"/>
                      <w:lang w:val="en-US" w:eastAsia="zh-CN" w:bidi="ar-SA"/>
                    </w:rPr>
                    <w:t>5</w:t>
                  </w:r>
                </w:p>
              </w:tc>
              <w:tc>
                <w:tcPr>
                  <w:tcW w:w="500" w:type="pc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844"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847"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407"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654"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291"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315"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616" w:type="pc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SS</w:t>
                  </w:r>
                </w:p>
              </w:tc>
              <w:tc>
                <w:tcPr>
                  <w:tcW w:w="500" w:type="pc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844"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847"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407"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654"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291"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315"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616" w:type="pc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总氮</w:t>
                  </w:r>
                </w:p>
              </w:tc>
              <w:tc>
                <w:tcPr>
                  <w:tcW w:w="500" w:type="pc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844"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847"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407"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654"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291"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315"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616" w:type="pc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氨氮</w:t>
                  </w:r>
                </w:p>
              </w:tc>
              <w:tc>
                <w:tcPr>
                  <w:tcW w:w="500" w:type="pc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844"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847"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407"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654"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291"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315" w:type="pct"/>
                  <w:vMerge w:val="continue"/>
                  <w:tcBorders>
                    <w:tl2br w:val="nil"/>
                    <w:tr2bl w:val="nil"/>
                  </w:tcBorders>
                  <w:vAlign w:val="center"/>
                </w:tcPr>
                <w:p>
                  <w:pPr>
                    <w:pStyle w:val="87"/>
                    <w:keepNext w:val="0"/>
                    <w:keepLines w:val="0"/>
                    <w:suppressLineNumbers w:val="0"/>
                    <w:topLinePunct/>
                    <w:spacing w:before="0" w:beforeAutospacing="0" w:after="0" w:afterAutospacing="0" w:line="240" w:lineRule="auto"/>
                    <w:ind w:left="0" w:firstLine="0" w:firstLineChars="0"/>
                    <w:textAlignment w:val="center"/>
                    <w:rPr>
                      <w:rFonts w:hint="default" w:ascii="Times New Roman" w:hAnsi="Times New Roman" w:eastAsia="宋体" w:cs="Times New Roman"/>
                      <w:color w:val="auto"/>
                      <w:highlight w:val="none"/>
                    </w:rPr>
                  </w:pPr>
                </w:p>
              </w:tc>
              <w:tc>
                <w:tcPr>
                  <w:tcW w:w="616" w:type="pc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总磷</w:t>
                  </w:r>
                </w:p>
              </w:tc>
              <w:tc>
                <w:tcPr>
                  <w:tcW w:w="500" w:type="pct"/>
                  <w:tcBorders>
                    <w:tl2br w:val="nil"/>
                    <w:tr2bl w:val="nil"/>
                  </w:tcBorders>
                  <w:vAlign w:val="center"/>
                </w:tcPr>
                <w:p>
                  <w:pPr>
                    <w:keepNext w:val="0"/>
                    <w:keepLines w:val="0"/>
                    <w:widowControl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0.5</w:t>
                  </w:r>
                </w:p>
              </w:tc>
            </w:tr>
          </w:tbl>
          <w:p>
            <w:pPr>
              <w:pStyle w:val="4"/>
              <w:bidi w:val="0"/>
              <w:ind w:firstLine="482" w:firstLineChars="200"/>
              <w:rPr>
                <w:rFonts w:hint="eastAsia"/>
                <w:lang w:val="en-US" w:eastAsia="zh-CN"/>
              </w:rPr>
            </w:pPr>
            <w:r>
              <w:rPr>
                <w:rFonts w:hint="eastAsia"/>
                <w:lang w:val="en-US" w:eastAsia="zh-CN"/>
              </w:rPr>
              <w:t>生活污水管理要求：</w:t>
            </w:r>
          </w:p>
          <w:p>
            <w:pPr>
              <w:bidi w:val="0"/>
              <w:rPr>
                <w:rFonts w:hint="eastAsia"/>
                <w:lang w:val="en-US" w:eastAsia="zh-CN"/>
              </w:rPr>
            </w:pPr>
            <w:r>
              <w:rPr>
                <w:rFonts w:hint="eastAsia"/>
                <w:lang w:val="en-US" w:eastAsia="zh-CN"/>
              </w:rPr>
              <w:t>①储存要求：生活污水集中收集至防渗化粪池中并张贴排污口标识标牌。</w:t>
            </w:r>
          </w:p>
          <w:p>
            <w:pPr>
              <w:bidi w:val="0"/>
              <w:rPr>
                <w:rFonts w:hint="eastAsia"/>
                <w:lang w:val="en-US" w:eastAsia="zh-CN"/>
              </w:rPr>
            </w:pPr>
            <w:r>
              <w:rPr>
                <w:rFonts w:hint="eastAsia"/>
                <w:lang w:val="en-US" w:eastAsia="zh-CN"/>
              </w:rPr>
              <w:t>②建立台账：建立生活污水清运管理台账，内容包括时间、委托单位、车辆信息、清运量等。</w:t>
            </w:r>
          </w:p>
          <w:p>
            <w:pPr>
              <w:bidi w:val="0"/>
              <w:rPr>
                <w:rFonts w:hint="eastAsia"/>
                <w:lang w:val="en-US" w:eastAsia="zh-CN"/>
              </w:rPr>
            </w:pPr>
            <w:r>
              <w:rPr>
                <w:rFonts w:hint="eastAsia"/>
                <w:lang w:val="en-US" w:eastAsia="zh-CN"/>
              </w:rPr>
              <w:t>③运输要求：委托他人运输、利用、处置生活污水的，应当对受托方的主体资格和技术能力进行核实，依法签订书面合同，在合同中约定污染防治要求。</w:t>
            </w:r>
          </w:p>
          <w:p>
            <w:pPr>
              <w:pStyle w:val="4"/>
              <w:bidi w:val="0"/>
              <w:rPr>
                <w:rFonts w:hint="eastAsia"/>
                <w:b/>
                <w:bCs w:val="0"/>
                <w:spacing w:val="0"/>
                <w:kern w:val="0"/>
                <w:lang w:val="en-US" w:eastAsia="zh-CN"/>
              </w:rPr>
            </w:pPr>
            <w:r>
              <w:rPr>
                <w:rFonts w:hint="eastAsia"/>
                <w:b/>
                <w:bCs w:val="0"/>
                <w:spacing w:val="0"/>
                <w:kern w:val="0"/>
              </w:rPr>
              <w:t>2.2</w:t>
            </w:r>
            <w:r>
              <w:rPr>
                <w:rFonts w:hint="eastAsia"/>
                <w:b/>
                <w:bCs w:val="0"/>
                <w:spacing w:val="0"/>
                <w:kern w:val="0"/>
                <w:lang w:val="en-US" w:eastAsia="zh-CN"/>
              </w:rPr>
              <w:t>自行监测计划</w:t>
            </w:r>
          </w:p>
          <w:p>
            <w:pPr>
              <w:rPr>
                <w:rFonts w:hint="default"/>
                <w:lang w:val="en-US" w:eastAsia="zh-CN"/>
              </w:rPr>
            </w:pPr>
            <w:r>
              <w:rPr>
                <w:rFonts w:hint="eastAsia"/>
                <w:lang w:val="en-US" w:eastAsia="zh-CN"/>
              </w:rPr>
              <w:t>本项目生活污水根据《排污单位自行监测技术指南水泥工业》（HJ848-2017）中制定监测计划，详见下表4-7。</w:t>
            </w:r>
          </w:p>
          <w:p>
            <w:pPr>
              <w:pStyle w:val="10"/>
              <w:bidi w:val="0"/>
              <w:rPr>
                <w:rFonts w:hint="default"/>
                <w:lang w:val="en-US" w:eastAsia="zh-CN"/>
              </w:rPr>
            </w:pPr>
            <w:r>
              <w:rPr>
                <w:rFonts w:hint="eastAsia"/>
                <w:lang w:val="en-US" w:eastAsia="zh-CN"/>
              </w:rPr>
              <w:t>表4-7                              废水自行监测计划</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809"/>
              <w:gridCol w:w="1073"/>
              <w:gridCol w:w="749"/>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6"/>
                    <w:bidi w:val="0"/>
                    <w:jc w:val="center"/>
                    <w:rPr>
                      <w:rFonts w:hint="default"/>
                      <w:lang w:val="en-US" w:eastAsia="zh-CN"/>
                    </w:rPr>
                  </w:pPr>
                  <w:r>
                    <w:rPr>
                      <w:rFonts w:hint="eastAsia"/>
                      <w:lang w:val="en-US" w:eastAsia="zh-CN"/>
                    </w:rPr>
                    <w:t>环境要素</w:t>
                  </w:r>
                </w:p>
              </w:tc>
              <w:tc>
                <w:tcPr>
                  <w:tcW w:w="3809" w:type="dxa"/>
                  <w:vAlign w:val="center"/>
                </w:tcPr>
                <w:p>
                  <w:pPr>
                    <w:pStyle w:val="6"/>
                    <w:bidi w:val="0"/>
                    <w:jc w:val="center"/>
                    <w:rPr>
                      <w:rFonts w:hint="default"/>
                      <w:lang w:val="en-US" w:eastAsia="zh-CN"/>
                    </w:rPr>
                  </w:pPr>
                  <w:r>
                    <w:rPr>
                      <w:rFonts w:hint="eastAsia"/>
                      <w:lang w:val="en-US" w:eastAsia="zh-CN"/>
                    </w:rPr>
                    <w:t>监测因子</w:t>
                  </w:r>
                </w:p>
              </w:tc>
              <w:tc>
                <w:tcPr>
                  <w:tcW w:w="1073" w:type="dxa"/>
                  <w:vAlign w:val="center"/>
                </w:tcPr>
                <w:p>
                  <w:pPr>
                    <w:pStyle w:val="6"/>
                    <w:bidi w:val="0"/>
                    <w:jc w:val="center"/>
                    <w:rPr>
                      <w:rFonts w:hint="default"/>
                      <w:lang w:val="en-US" w:eastAsia="zh-CN"/>
                    </w:rPr>
                  </w:pPr>
                  <w:r>
                    <w:rPr>
                      <w:rFonts w:hint="eastAsia"/>
                      <w:lang w:val="en-US" w:eastAsia="zh-CN"/>
                    </w:rPr>
                    <w:t>监测点位</w:t>
                  </w:r>
                </w:p>
              </w:tc>
              <w:tc>
                <w:tcPr>
                  <w:tcW w:w="749" w:type="dxa"/>
                  <w:vAlign w:val="center"/>
                </w:tcPr>
                <w:p>
                  <w:pPr>
                    <w:pStyle w:val="6"/>
                    <w:bidi w:val="0"/>
                    <w:jc w:val="center"/>
                    <w:rPr>
                      <w:rFonts w:hint="default"/>
                      <w:lang w:val="en-US" w:eastAsia="zh-CN"/>
                    </w:rPr>
                  </w:pPr>
                  <w:r>
                    <w:rPr>
                      <w:rFonts w:hint="eastAsia"/>
                      <w:lang w:val="en-US" w:eastAsia="zh-CN"/>
                    </w:rPr>
                    <w:t>监测频次</w:t>
                  </w:r>
                </w:p>
              </w:tc>
              <w:tc>
                <w:tcPr>
                  <w:tcW w:w="3131" w:type="dxa"/>
                  <w:vAlign w:val="center"/>
                </w:tcPr>
                <w:p>
                  <w:pPr>
                    <w:pStyle w:val="6"/>
                    <w:bidi w:val="0"/>
                    <w:jc w:val="center"/>
                    <w:rPr>
                      <w:rFonts w:hint="default"/>
                      <w:lang w:val="en-US" w:eastAsia="zh-CN"/>
                    </w:rPr>
                  </w:pPr>
                  <w:r>
                    <w:rPr>
                      <w:rFonts w:hint="eastAsia"/>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6"/>
                    <w:bidi w:val="0"/>
                    <w:jc w:val="center"/>
                    <w:rPr>
                      <w:rFonts w:hint="default"/>
                      <w:lang w:val="en-US" w:eastAsia="zh-CN"/>
                    </w:rPr>
                  </w:pPr>
                  <w:r>
                    <w:rPr>
                      <w:rFonts w:hint="eastAsia"/>
                      <w:lang w:val="en-US" w:eastAsia="zh-CN"/>
                    </w:rPr>
                    <w:t>废水</w:t>
                  </w:r>
                </w:p>
              </w:tc>
              <w:tc>
                <w:tcPr>
                  <w:tcW w:w="3809" w:type="dxa"/>
                  <w:vAlign w:val="center"/>
                </w:tcPr>
                <w:p>
                  <w:pPr>
                    <w:pStyle w:val="6"/>
                    <w:bidi w:val="0"/>
                    <w:jc w:val="center"/>
                    <w:rPr>
                      <w:rFonts w:hint="default"/>
                      <w:lang w:val="en-US" w:eastAsia="zh-CN"/>
                    </w:rPr>
                  </w:pPr>
                  <w:r>
                    <w:rPr>
                      <w:rFonts w:hint="default"/>
                      <w:lang w:val="en-US" w:eastAsia="zh-CN"/>
                    </w:rPr>
                    <w:t>pH、悬浮物、化学需氧量、五日生化需氧量、氨氮、总磷</w:t>
                  </w:r>
                  <w:r>
                    <w:rPr>
                      <w:rFonts w:hint="eastAsia"/>
                      <w:lang w:val="en-US" w:eastAsia="zh-CN"/>
                    </w:rPr>
                    <w:t>、流量、水温</w:t>
                  </w:r>
                </w:p>
              </w:tc>
              <w:tc>
                <w:tcPr>
                  <w:tcW w:w="1073" w:type="dxa"/>
                  <w:vAlign w:val="center"/>
                </w:tcPr>
                <w:p>
                  <w:pPr>
                    <w:pStyle w:val="6"/>
                    <w:bidi w:val="0"/>
                    <w:jc w:val="center"/>
                    <w:rPr>
                      <w:rFonts w:hint="default"/>
                      <w:lang w:val="en-US" w:eastAsia="zh-CN"/>
                    </w:rPr>
                  </w:pPr>
                  <w:r>
                    <w:rPr>
                      <w:rFonts w:hint="eastAsia"/>
                      <w:lang w:val="en-US" w:eastAsia="zh-CN"/>
                    </w:rPr>
                    <w:t>生活污水排放口</w:t>
                  </w:r>
                </w:p>
              </w:tc>
              <w:tc>
                <w:tcPr>
                  <w:tcW w:w="749" w:type="dxa"/>
                  <w:vAlign w:val="center"/>
                </w:tcPr>
                <w:p>
                  <w:pPr>
                    <w:pStyle w:val="6"/>
                    <w:bidi w:val="0"/>
                    <w:jc w:val="center"/>
                    <w:rPr>
                      <w:rFonts w:hint="default"/>
                      <w:lang w:val="en-US" w:eastAsia="zh-CN"/>
                    </w:rPr>
                  </w:pPr>
                  <w:r>
                    <w:rPr>
                      <w:rFonts w:hint="eastAsia"/>
                      <w:lang w:val="en-US" w:eastAsia="zh-CN"/>
                    </w:rPr>
                    <w:t>半年一次</w:t>
                  </w:r>
                </w:p>
              </w:tc>
              <w:tc>
                <w:tcPr>
                  <w:tcW w:w="3131" w:type="dxa"/>
                  <w:vAlign w:val="center"/>
                </w:tcPr>
                <w:p>
                  <w:pPr>
                    <w:pStyle w:val="6"/>
                    <w:bidi w:val="0"/>
                    <w:jc w:val="center"/>
                    <w:rPr>
                      <w:rFonts w:hint="default"/>
                      <w:lang w:val="en-US" w:eastAsia="zh-CN"/>
                    </w:rPr>
                  </w:pPr>
                  <w:r>
                    <w:t>《污水综合排放标准》（GB</w:t>
                  </w:r>
                  <w:r>
                    <w:rPr>
                      <w:rFonts w:hint="eastAsia"/>
                    </w:rPr>
                    <w:t xml:space="preserve"> </w:t>
                  </w:r>
                  <w:r>
                    <w:t>8978-1996）三级标准</w:t>
                  </w:r>
                </w:p>
              </w:tc>
            </w:tr>
          </w:tbl>
          <w:p>
            <w:pPr>
              <w:pStyle w:val="4"/>
              <w:bidi w:val="0"/>
              <w:rPr>
                <w:rFonts w:hint="eastAsia"/>
              </w:rPr>
            </w:pPr>
            <w:r>
              <w:rPr>
                <w:rFonts w:hint="eastAsia"/>
                <w:lang w:val="en-US" w:eastAsia="zh-CN"/>
              </w:rPr>
              <w:t>2.3</w:t>
            </w:r>
            <w:r>
              <w:rPr>
                <w:rFonts w:hint="eastAsia"/>
              </w:rPr>
              <w:t>依托污水处理可行性分析</w:t>
            </w:r>
          </w:p>
          <w:p>
            <w:pPr>
              <w:bidi w:val="0"/>
            </w:pPr>
            <w:r>
              <w:rPr>
                <w:rFonts w:hint="eastAsia"/>
                <w:lang w:val="en-US" w:eastAsia="zh-CN"/>
              </w:rPr>
              <w:t>根据表4-5可知，本项目生活污水污染物产生浓度较低，</w:t>
            </w:r>
            <w:r>
              <w:t>生活污水经化粪池预处理达到《污水综合排放标准》（GB8978-1996）中三级排放标准后可使用吸污车定期抽运至若羌县污水处理厂处理。根据《排污许可证申请与核发技术规范水处理通用工序》（HJ1120-2020）中化粪池为推荐可行技术。因此，本项目生活污水处理工艺可行。</w:t>
            </w:r>
          </w:p>
          <w:p>
            <w:pPr>
              <w:bidi w:val="0"/>
              <w:rPr>
                <w:rFonts w:hint="eastAsia"/>
                <w:lang w:val="en-US" w:eastAsia="zh-CN"/>
              </w:rPr>
            </w:pPr>
            <w:r>
              <w:rPr>
                <w:rFonts w:hint="eastAsia" w:ascii="Times New Roman" w:hAnsi="Times New Roman" w:eastAsia="宋体" w:cs="Times New Roman"/>
                <w:color w:val="auto"/>
                <w:sz w:val="24"/>
                <w:szCs w:val="24"/>
                <w:highlight w:val="none"/>
                <w:lang w:val="en-US" w:eastAsia="zh-CN"/>
              </w:rPr>
              <w:t>若羌</w:t>
            </w:r>
            <w:r>
              <w:rPr>
                <w:rFonts w:hint="default" w:ascii="Times New Roman" w:hAnsi="Times New Roman" w:eastAsia="宋体" w:cs="Times New Roman"/>
                <w:color w:val="auto"/>
                <w:sz w:val="24"/>
                <w:szCs w:val="24"/>
                <w:highlight w:val="none"/>
              </w:rPr>
              <w:t>县污水处理厂位于新疆巴音郭楞若羌县218国道1113公里处，地理位置坐标为：东经</w:t>
            </w:r>
            <w:r>
              <w:rPr>
                <w:rFonts w:hint="eastAsia" w:ascii="Times New Roman" w:hAnsi="Times New Roman" w:eastAsia="宋体" w:cs="Times New Roman"/>
                <w:color w:val="auto"/>
                <w:sz w:val="24"/>
                <w:szCs w:val="24"/>
                <w:highlight w:val="none"/>
                <w:lang w:val="en-US" w:eastAsia="zh-CN"/>
              </w:rPr>
              <w:t>88</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rPr>
              <w:t>″，北纬：</w:t>
            </w:r>
            <w:r>
              <w:rPr>
                <w:rFonts w:hint="eastAsia" w:ascii="Times New Roman" w:hAnsi="Times New Roman" w:eastAsia="宋体" w:cs="Times New Roman"/>
                <w:color w:val="auto"/>
                <w:sz w:val="24"/>
                <w:szCs w:val="24"/>
                <w:highlight w:val="none"/>
                <w:lang w:val="en-US" w:eastAsia="zh-CN"/>
              </w:rPr>
              <w:t>39</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40</w:t>
            </w:r>
            <w:r>
              <w:rPr>
                <w:rFonts w:hint="default" w:ascii="Times New Roman" w:hAnsi="Times New Roman" w:eastAsia="宋体" w:cs="Times New Roman"/>
                <w:color w:val="auto"/>
                <w:sz w:val="24"/>
                <w:szCs w:val="24"/>
                <w:highlight w:val="none"/>
              </w:rPr>
              <w:t>″，主要接纳</w:t>
            </w:r>
            <w:r>
              <w:rPr>
                <w:rFonts w:hint="eastAsia" w:ascii="Times New Roman" w:hAnsi="Times New Roman" w:eastAsia="宋体" w:cs="Times New Roman"/>
                <w:color w:val="auto"/>
                <w:sz w:val="24"/>
                <w:szCs w:val="24"/>
                <w:highlight w:val="none"/>
                <w:lang w:val="en-US" w:eastAsia="zh-CN"/>
              </w:rPr>
              <w:t>若羌</w:t>
            </w:r>
            <w:r>
              <w:rPr>
                <w:rFonts w:hint="default" w:ascii="Times New Roman" w:hAnsi="Times New Roman" w:eastAsia="宋体" w:cs="Times New Roman"/>
                <w:color w:val="auto"/>
                <w:sz w:val="24"/>
                <w:szCs w:val="24"/>
                <w:highlight w:val="none"/>
              </w:rPr>
              <w:t>县县城</w:t>
            </w:r>
            <w:r>
              <w:rPr>
                <w:rFonts w:hint="eastAsia" w:ascii="Times New Roman" w:hAnsi="Times New Roman" w:eastAsia="宋体" w:cs="Times New Roman"/>
                <w:color w:val="auto"/>
                <w:sz w:val="24"/>
                <w:szCs w:val="24"/>
                <w:highlight w:val="none"/>
                <w:lang w:val="en-US" w:eastAsia="zh-CN"/>
              </w:rPr>
              <w:t>及周边乡镇</w:t>
            </w:r>
            <w:r>
              <w:rPr>
                <w:rFonts w:hint="default" w:ascii="Times New Roman" w:hAnsi="Times New Roman" w:eastAsia="宋体" w:cs="Times New Roman"/>
                <w:color w:val="auto"/>
                <w:sz w:val="24"/>
                <w:szCs w:val="24"/>
                <w:highlight w:val="none"/>
              </w:rPr>
              <w:t>生活污水。</w:t>
            </w:r>
            <w:r>
              <w:rPr>
                <w:rFonts w:hint="eastAsia" w:ascii="Times New Roman" w:hAnsi="Times New Roman" w:eastAsia="宋体" w:cs="Times New Roman"/>
                <w:color w:val="auto"/>
                <w:sz w:val="24"/>
                <w:szCs w:val="24"/>
                <w:highlight w:val="none"/>
                <w:lang w:val="en-US" w:eastAsia="zh-CN"/>
              </w:rPr>
              <w:t>若羌</w:t>
            </w:r>
            <w:r>
              <w:rPr>
                <w:rFonts w:hint="default" w:ascii="Times New Roman" w:hAnsi="Times New Roman" w:eastAsia="宋体" w:cs="Times New Roman"/>
                <w:color w:val="auto"/>
                <w:sz w:val="24"/>
                <w:szCs w:val="24"/>
                <w:highlight w:val="none"/>
              </w:rPr>
              <w:t>县污水处理厂包含了曝气生物滤池2座、隔栅间1栋、值班室1栋、氧化塘3座。其中，曝气生物滤池容量约1000</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，氧化塘库容量83000</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，总库容量25.2万</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污水处理厂</w:t>
            </w:r>
            <w:r>
              <w:rPr>
                <w:rFonts w:hint="default" w:ascii="Times New Roman" w:hAnsi="Times New Roman" w:eastAsia="宋体" w:cs="Times New Roman"/>
                <w:color w:val="auto"/>
                <w:sz w:val="24"/>
                <w:szCs w:val="24"/>
                <w:highlight w:val="none"/>
              </w:rPr>
              <w:t>处理能力</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000</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d</w:t>
            </w:r>
            <w:r>
              <w:rPr>
                <w:rFonts w:hint="default" w:ascii="Times New Roman" w:hAnsi="Times New Roman" w:eastAsia="宋体" w:cs="Times New Roman"/>
                <w:color w:val="auto"/>
                <w:sz w:val="24"/>
                <w:szCs w:val="24"/>
                <w:highlight w:val="none"/>
              </w:rPr>
              <w:t>。污水处理厂采用格栅+曝气沉沙的预处理工艺，A</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O+二沉池作为二级生化处理工艺，三级处理工艺采用滤布滤池的过滤，经过滤和紫外消毒后达标排放。</w:t>
            </w:r>
            <w:r>
              <w:t>若羌县污水处理厂始建于2009年，最初只是简单的氧化塘处理工艺，于2017年实施了《若羌县城乡污水处理厂提升改造项目》一期，建成第一座规范化生活污水处理厂，项目于2017年4月23日开工、2017年12月12日通过环保验收，</w:t>
            </w:r>
            <w:r>
              <w:rPr>
                <w:rFonts w:hint="eastAsia" w:ascii="Times New Roman" w:hAnsi="Times New Roman" w:eastAsia="宋体" w:cs="Times New Roman"/>
                <w:color w:val="auto"/>
                <w:sz w:val="24"/>
                <w:szCs w:val="24"/>
                <w:highlight w:val="none"/>
                <w:lang w:eastAsia="zh-CN"/>
              </w:rPr>
              <w:t>目前</w:t>
            </w:r>
            <w:r>
              <w:rPr>
                <w:rFonts w:hint="eastAsia" w:ascii="Times New Roman" w:hAnsi="Times New Roman" w:eastAsia="宋体" w:cs="Times New Roman"/>
                <w:color w:val="auto"/>
                <w:sz w:val="24"/>
                <w:szCs w:val="24"/>
                <w:highlight w:val="none"/>
                <w:lang w:val="en-US" w:eastAsia="zh-CN"/>
              </w:rPr>
              <w:t>若羌县</w:t>
            </w:r>
            <w:r>
              <w:rPr>
                <w:rFonts w:hint="eastAsia" w:ascii="Times New Roman" w:hAnsi="Times New Roman" w:eastAsia="宋体" w:cs="Times New Roman"/>
                <w:color w:val="auto"/>
                <w:sz w:val="24"/>
                <w:szCs w:val="24"/>
                <w:highlight w:val="none"/>
                <w:lang w:eastAsia="zh-CN"/>
              </w:rPr>
              <w:t>污水处理厂运行正常，且已取得排污许可证（证书号：91652824MA776AX14L001C），本项目污水排放量</w:t>
            </w:r>
            <w:r>
              <w:rPr>
                <w:rFonts w:hint="eastAsia" w:ascii="Times New Roman" w:hAnsi="Times New Roman" w:eastAsia="宋体" w:cs="Times New Roman"/>
                <w:color w:val="auto"/>
                <w:sz w:val="24"/>
                <w:szCs w:val="24"/>
                <w:highlight w:val="none"/>
                <w:lang w:val="en-US" w:eastAsia="zh-CN"/>
              </w:rPr>
              <w:t>仅</w:t>
            </w:r>
            <w:r>
              <w:rPr>
                <w:rFonts w:hint="eastAsia" w:ascii="Times New Roman" w:hAnsi="Times New Roman" w:cs="Times New Roman"/>
                <w:color w:val="auto"/>
                <w:sz w:val="24"/>
                <w:szCs w:val="24"/>
                <w:highlight w:val="none"/>
                <w:lang w:val="en-US" w:eastAsia="zh-CN"/>
              </w:rPr>
              <w:t>1.28</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lang w:val="en-US" w:eastAsia="zh-CN"/>
              </w:rPr>
              <w:t>/d，因此若羌县污水处理厂可消纳本项目污水排放量，污水去向合理可行</w:t>
            </w:r>
            <w:r>
              <w:t>。</w:t>
            </w:r>
          </w:p>
          <w:p>
            <w:pPr>
              <w:pStyle w:val="4"/>
              <w:bidi w:val="0"/>
            </w:pPr>
            <w:r>
              <w:t>3</w:t>
            </w:r>
            <w:r>
              <w:rPr>
                <w:rFonts w:hint="eastAsia"/>
                <w:lang w:eastAsia="zh-CN"/>
              </w:rPr>
              <w:t>、</w:t>
            </w:r>
            <w:r>
              <w:t>噪声</w:t>
            </w:r>
          </w:p>
          <w:p>
            <w:pPr>
              <w:pStyle w:val="4"/>
              <w:bidi w:val="0"/>
            </w:pPr>
            <w:r>
              <w:t>3.1噪声源强</w:t>
            </w:r>
          </w:p>
          <w:p>
            <w:pPr>
              <w:pStyle w:val="82"/>
              <w:keepLines w:val="0"/>
              <w:pageBreakBefore w:val="0"/>
              <w:widowControl/>
              <w:kinsoku/>
              <w:wordWrap/>
              <w:overflowPunct/>
              <w:bidi w:val="0"/>
              <w:rPr>
                <w:spacing w:val="0"/>
                <w:kern w:val="0"/>
              </w:rPr>
            </w:pPr>
            <w:r>
              <w:t>本项目运营期噪声主要</w:t>
            </w:r>
            <w:r>
              <w:rPr>
                <w:rFonts w:hint="eastAsia"/>
                <w:lang w:val="en-US" w:eastAsia="zh-CN"/>
              </w:rPr>
              <w:t>设备</w:t>
            </w:r>
            <w:r>
              <w:t>为</w:t>
            </w:r>
            <w:r>
              <w:rPr>
                <w:rFonts w:hint="default"/>
                <w:lang w:val="en-US" w:eastAsia="zh-CN"/>
              </w:rPr>
              <w:t>搅拌机</w:t>
            </w:r>
            <w:r>
              <w:rPr>
                <w:rFonts w:hint="eastAsia"/>
                <w:lang w:val="en-US" w:eastAsia="zh-CN"/>
              </w:rPr>
              <w:t>、叉车</w:t>
            </w:r>
            <w:r>
              <w:t>等生产设备产生的噪声，本项目通过选用低</w:t>
            </w:r>
            <w:r>
              <w:rPr>
                <w:rFonts w:hint="eastAsia"/>
                <w:lang w:eastAsia="zh-CN"/>
              </w:rPr>
              <w:t>噪</w:t>
            </w:r>
            <w:r>
              <w:t>设备，对设备安装</w:t>
            </w:r>
            <w:r>
              <w:rPr>
                <w:rFonts w:hint="eastAsia"/>
                <w:lang w:eastAsia="zh-CN"/>
              </w:rPr>
              <w:t>减振</w:t>
            </w:r>
            <w:r>
              <w:t>垫，生产设备布置在车间内，利用房间进行隔声，对高噪声设备设置专门的隔声间等措施降噪。</w:t>
            </w:r>
            <w:r>
              <w:rPr>
                <w:rFonts w:hint="eastAsia"/>
                <w:lang w:val="en-US" w:eastAsia="zh-CN"/>
              </w:rPr>
              <w:t>原点坐标（</w:t>
            </w:r>
            <w:bookmarkStart w:id="16" w:name="PO_4"/>
            <w:r>
              <w:rPr>
                <w:rFonts w:hint="eastAsia"/>
                <w:lang w:val="en-US" w:eastAsia="zh-CN"/>
              </w:rPr>
              <w:t>东经</w:t>
            </w:r>
            <w:r>
              <w:rPr>
                <w:rFonts w:hint="default"/>
                <w:lang w:val="en-US" w:eastAsia="zh-CN"/>
              </w:rPr>
              <w:t>88.1182480</w:t>
            </w:r>
            <w:r>
              <w:rPr>
                <w:rFonts w:hint="eastAsia"/>
                <w:lang w:val="en-US" w:eastAsia="zh-CN"/>
              </w:rPr>
              <w:t>，北纬</w:t>
            </w:r>
            <w:r>
              <w:rPr>
                <w:rFonts w:hint="default"/>
                <w:lang w:val="en-US" w:eastAsia="zh-CN"/>
              </w:rPr>
              <w:t>38.943965</w:t>
            </w:r>
            <w:bookmarkEnd w:id="16"/>
            <w:r>
              <w:rPr>
                <w:rFonts w:hint="eastAsia"/>
                <w:lang w:val="en-US" w:eastAsia="zh-CN"/>
              </w:rPr>
              <w:t>），</w:t>
            </w:r>
            <w:r>
              <w:t>本项目设备噪声源强详见表</w:t>
            </w:r>
            <w:r>
              <w:rPr>
                <w:rFonts w:hint="eastAsia"/>
                <w:lang w:val="en-US" w:eastAsia="zh-CN"/>
              </w:rPr>
              <w:t>4-8、4-9</w:t>
            </w:r>
            <w:r>
              <w:rPr>
                <w:rFonts w:hint="eastAsia"/>
                <w:spacing w:val="0"/>
                <w:kern w:val="0"/>
              </w:rPr>
              <w:t>。</w:t>
            </w:r>
          </w:p>
          <w:p>
            <w:pPr>
              <w:pStyle w:val="10"/>
              <w:bidi w:val="0"/>
              <w:rPr>
                <w:b/>
                <w:bCs/>
                <w:color w:val="000000"/>
                <w:spacing w:val="0"/>
                <w:kern w:val="0"/>
                <w:sz w:val="21"/>
                <w:szCs w:val="16"/>
                <w:lang w:eastAsia="zh-CN"/>
              </w:rPr>
            </w:pPr>
            <w:r>
              <w:rPr>
                <w:b/>
                <w:bCs/>
                <w:color w:val="000000"/>
                <w:spacing w:val="0"/>
                <w:kern w:val="0"/>
                <w:sz w:val="21"/>
                <w:szCs w:val="16"/>
                <w:lang w:eastAsia="zh-CN"/>
              </w:rPr>
              <w:t>表</w:t>
            </w:r>
            <w:r>
              <w:rPr>
                <w:rFonts w:hint="eastAsia"/>
                <w:b/>
                <w:bCs/>
                <w:color w:val="000000"/>
                <w:spacing w:val="0"/>
                <w:kern w:val="0"/>
                <w:sz w:val="21"/>
                <w:szCs w:val="16"/>
                <w:lang w:val="en-US" w:eastAsia="zh-CN"/>
              </w:rPr>
              <w:t xml:space="preserve">4-8          </w:t>
            </w:r>
            <w:r>
              <w:rPr>
                <w:b/>
                <w:bCs/>
                <w:color w:val="000000"/>
                <w:spacing w:val="0"/>
                <w:kern w:val="0"/>
                <w:sz w:val="21"/>
                <w:szCs w:val="16"/>
                <w:lang w:eastAsia="zh-CN"/>
              </w:rPr>
              <w:tab/>
            </w:r>
            <w:r>
              <w:rPr>
                <w:b/>
                <w:bCs/>
                <w:color w:val="000000"/>
                <w:spacing w:val="0"/>
                <w:kern w:val="0"/>
                <w:sz w:val="21"/>
                <w:szCs w:val="16"/>
                <w:lang w:eastAsia="zh-CN"/>
              </w:rPr>
              <w:t>工业企业噪声源强调查清单（室外声源）</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702"/>
              <w:gridCol w:w="592"/>
              <w:gridCol w:w="592"/>
              <w:gridCol w:w="486"/>
              <w:gridCol w:w="2919"/>
              <w:gridCol w:w="1179"/>
              <w:gridCol w:w="1280"/>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18" w:type="dxa"/>
                  <w:vMerge w:val="restart"/>
                  <w:shd w:val="clear" w:color="auto" w:fill="auto"/>
                  <w:vAlign w:val="center"/>
                </w:tcPr>
                <w:p>
                  <w:pPr>
                    <w:pStyle w:val="6"/>
                    <w:bidi w:val="0"/>
                  </w:pPr>
                  <w:r>
                    <w:t>序号</w:t>
                  </w:r>
                </w:p>
              </w:tc>
              <w:tc>
                <w:tcPr>
                  <w:tcW w:w="702" w:type="dxa"/>
                  <w:vMerge w:val="restart"/>
                  <w:shd w:val="clear" w:color="auto" w:fill="auto"/>
                  <w:vAlign w:val="center"/>
                </w:tcPr>
                <w:p>
                  <w:pPr>
                    <w:pStyle w:val="6"/>
                    <w:bidi w:val="0"/>
                  </w:pPr>
                  <w:r>
                    <w:t>声源名称</w:t>
                  </w:r>
                </w:p>
              </w:tc>
              <w:tc>
                <w:tcPr>
                  <w:tcW w:w="1670" w:type="dxa"/>
                  <w:gridSpan w:val="3"/>
                  <w:shd w:val="clear" w:color="auto" w:fill="auto"/>
                  <w:vAlign w:val="center"/>
                </w:tcPr>
                <w:p>
                  <w:pPr>
                    <w:pStyle w:val="6"/>
                    <w:bidi w:val="0"/>
                  </w:pPr>
                  <w:r>
                    <w:t>空间相对位置/m</w:t>
                  </w:r>
                </w:p>
              </w:tc>
              <w:tc>
                <w:tcPr>
                  <w:tcW w:w="4098" w:type="dxa"/>
                  <w:gridSpan w:val="2"/>
                  <w:shd w:val="clear" w:color="auto" w:fill="auto"/>
                  <w:vAlign w:val="center"/>
                </w:tcPr>
                <w:p>
                  <w:pPr>
                    <w:pStyle w:val="6"/>
                    <w:bidi w:val="0"/>
                    <w:rPr>
                      <w:lang w:eastAsia="zh-CN"/>
                    </w:rPr>
                  </w:pPr>
                  <w:r>
                    <w:rPr>
                      <w:lang w:eastAsia="zh-CN"/>
                    </w:rPr>
                    <w:t>声源源强（任选一种）</w:t>
                  </w:r>
                </w:p>
              </w:tc>
              <w:tc>
                <w:tcPr>
                  <w:tcW w:w="1280" w:type="dxa"/>
                  <w:vMerge w:val="restart"/>
                  <w:shd w:val="clear" w:color="auto" w:fill="auto"/>
                  <w:vAlign w:val="center"/>
                </w:tcPr>
                <w:p>
                  <w:pPr>
                    <w:pStyle w:val="6"/>
                    <w:bidi w:val="0"/>
                  </w:pPr>
                  <w:r>
                    <w:t>声源控制措施</w:t>
                  </w:r>
                </w:p>
              </w:tc>
              <w:tc>
                <w:tcPr>
                  <w:tcW w:w="1243" w:type="dxa"/>
                  <w:vMerge w:val="restart"/>
                  <w:shd w:val="clear" w:color="auto" w:fill="auto"/>
                  <w:vAlign w:val="center"/>
                </w:tcPr>
                <w:p>
                  <w:pPr>
                    <w:pStyle w:val="6"/>
                    <w:bidi w:val="0"/>
                  </w:pPr>
                  <w: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18" w:type="dxa"/>
                  <w:vMerge w:val="continue"/>
                  <w:shd w:val="clear" w:color="auto" w:fill="auto"/>
                  <w:vAlign w:val="center"/>
                </w:tcPr>
                <w:p>
                  <w:pPr>
                    <w:pStyle w:val="6"/>
                    <w:bidi w:val="0"/>
                  </w:pPr>
                </w:p>
              </w:tc>
              <w:tc>
                <w:tcPr>
                  <w:tcW w:w="702" w:type="dxa"/>
                  <w:vMerge w:val="continue"/>
                  <w:shd w:val="clear" w:color="auto" w:fill="auto"/>
                  <w:vAlign w:val="center"/>
                </w:tcPr>
                <w:p>
                  <w:pPr>
                    <w:pStyle w:val="6"/>
                    <w:bidi w:val="0"/>
                  </w:pPr>
                </w:p>
              </w:tc>
              <w:tc>
                <w:tcPr>
                  <w:tcW w:w="592" w:type="dxa"/>
                  <w:shd w:val="clear" w:color="auto" w:fill="auto"/>
                  <w:vAlign w:val="center"/>
                </w:tcPr>
                <w:p>
                  <w:pPr>
                    <w:pStyle w:val="6"/>
                    <w:bidi w:val="0"/>
                  </w:pPr>
                  <w:r>
                    <w:t>X</w:t>
                  </w:r>
                </w:p>
              </w:tc>
              <w:tc>
                <w:tcPr>
                  <w:tcW w:w="592" w:type="dxa"/>
                  <w:shd w:val="clear" w:color="auto" w:fill="auto"/>
                  <w:vAlign w:val="center"/>
                </w:tcPr>
                <w:p>
                  <w:pPr>
                    <w:pStyle w:val="6"/>
                    <w:bidi w:val="0"/>
                  </w:pPr>
                  <w:r>
                    <w:t>Y</w:t>
                  </w:r>
                </w:p>
              </w:tc>
              <w:tc>
                <w:tcPr>
                  <w:tcW w:w="486" w:type="dxa"/>
                  <w:shd w:val="clear" w:color="auto" w:fill="auto"/>
                  <w:vAlign w:val="center"/>
                </w:tcPr>
                <w:p>
                  <w:pPr>
                    <w:pStyle w:val="6"/>
                    <w:bidi w:val="0"/>
                  </w:pPr>
                  <w:r>
                    <w:t>Z</w:t>
                  </w:r>
                </w:p>
              </w:tc>
              <w:tc>
                <w:tcPr>
                  <w:tcW w:w="2919" w:type="dxa"/>
                  <w:shd w:val="clear" w:color="auto" w:fill="auto"/>
                  <w:vAlign w:val="center"/>
                </w:tcPr>
                <w:p>
                  <w:pPr>
                    <w:pStyle w:val="6"/>
                    <w:bidi w:val="0"/>
                    <w:rPr>
                      <w:rFonts w:hint="eastAsia" w:eastAsia="宋体"/>
                      <w:lang w:eastAsia="zh-CN"/>
                    </w:rPr>
                  </w:pPr>
                  <w:r>
                    <w:t>（声压级/距声源距离）/（dB(A)/m）</w:t>
                  </w:r>
                  <w:r>
                    <w:rPr>
                      <w:rFonts w:hint="eastAsia"/>
                      <w:lang w:eastAsia="zh-CN"/>
                    </w:rPr>
                    <w:t>（</w:t>
                  </w:r>
                  <w:r>
                    <w:rPr>
                      <w:rFonts w:hint="eastAsia"/>
                      <w:lang w:val="en-US" w:eastAsia="zh-CN"/>
                    </w:rPr>
                    <w:t>产生强度</w:t>
                  </w:r>
                  <w:r>
                    <w:rPr>
                      <w:rFonts w:hint="eastAsia"/>
                      <w:lang w:eastAsia="zh-CN"/>
                    </w:rPr>
                    <w:t>）</w:t>
                  </w:r>
                </w:p>
              </w:tc>
              <w:tc>
                <w:tcPr>
                  <w:tcW w:w="1179" w:type="dxa"/>
                  <w:shd w:val="clear" w:color="auto" w:fill="auto"/>
                  <w:vAlign w:val="center"/>
                </w:tcPr>
                <w:p>
                  <w:pPr>
                    <w:pStyle w:val="6"/>
                    <w:bidi w:val="0"/>
                  </w:pPr>
                  <w:r>
                    <w:t>声功率级/dB(A)</w:t>
                  </w:r>
                </w:p>
              </w:tc>
              <w:tc>
                <w:tcPr>
                  <w:tcW w:w="1280" w:type="dxa"/>
                  <w:vMerge w:val="continue"/>
                  <w:shd w:val="clear" w:color="auto" w:fill="auto"/>
                  <w:vAlign w:val="center"/>
                </w:tcPr>
                <w:p>
                  <w:pPr>
                    <w:pStyle w:val="6"/>
                    <w:bidi w:val="0"/>
                  </w:pPr>
                </w:p>
              </w:tc>
              <w:tc>
                <w:tcPr>
                  <w:tcW w:w="1243" w:type="dxa"/>
                  <w:vMerge w:val="continue"/>
                  <w:shd w:val="clear" w:color="auto" w:fill="auto"/>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18" w:type="dxa"/>
                  <w:shd w:val="clear" w:color="auto" w:fill="auto"/>
                  <w:vAlign w:val="center"/>
                </w:tcPr>
                <w:p>
                  <w:pPr>
                    <w:pStyle w:val="6"/>
                    <w:bidi w:val="0"/>
                  </w:pPr>
                  <w:r>
                    <w:t>1</w:t>
                  </w:r>
                </w:p>
              </w:tc>
              <w:tc>
                <w:tcPr>
                  <w:tcW w:w="702" w:type="dxa"/>
                  <w:shd w:val="clear" w:color="auto" w:fill="auto"/>
                  <w:vAlign w:val="center"/>
                </w:tcPr>
                <w:p>
                  <w:pPr>
                    <w:pStyle w:val="6"/>
                    <w:bidi w:val="0"/>
                  </w:pPr>
                  <w:r>
                    <w:t>装载机</w:t>
                  </w:r>
                </w:p>
              </w:tc>
              <w:tc>
                <w:tcPr>
                  <w:tcW w:w="592" w:type="dxa"/>
                  <w:shd w:val="clear" w:color="auto" w:fill="auto"/>
                  <w:vAlign w:val="center"/>
                </w:tcPr>
                <w:p>
                  <w:pPr>
                    <w:pStyle w:val="6"/>
                    <w:bidi w:val="0"/>
                  </w:pPr>
                  <w:r>
                    <w:t>34.6</w:t>
                  </w:r>
                </w:p>
              </w:tc>
              <w:tc>
                <w:tcPr>
                  <w:tcW w:w="592" w:type="dxa"/>
                  <w:shd w:val="clear" w:color="auto" w:fill="auto"/>
                  <w:vAlign w:val="center"/>
                </w:tcPr>
                <w:p>
                  <w:pPr>
                    <w:pStyle w:val="6"/>
                    <w:bidi w:val="0"/>
                  </w:pPr>
                  <w:r>
                    <w:t>41.6</w:t>
                  </w:r>
                </w:p>
              </w:tc>
              <w:tc>
                <w:tcPr>
                  <w:tcW w:w="486" w:type="dxa"/>
                  <w:shd w:val="clear" w:color="auto" w:fill="auto"/>
                  <w:vAlign w:val="center"/>
                </w:tcPr>
                <w:p>
                  <w:pPr>
                    <w:pStyle w:val="6"/>
                    <w:bidi w:val="0"/>
                  </w:pPr>
                  <w:r>
                    <w:t>1.2</w:t>
                  </w:r>
                </w:p>
              </w:tc>
              <w:tc>
                <w:tcPr>
                  <w:tcW w:w="2919" w:type="dxa"/>
                  <w:shd w:val="clear" w:color="auto" w:fill="auto"/>
                  <w:vAlign w:val="center"/>
                </w:tcPr>
                <w:p>
                  <w:pPr>
                    <w:pStyle w:val="6"/>
                    <w:bidi w:val="0"/>
                    <w:rPr>
                      <w:rFonts w:hint="eastAsia"/>
                      <w:lang w:val="en-US" w:eastAsia="zh-CN"/>
                    </w:rPr>
                  </w:pPr>
                  <w:r>
                    <w:rPr>
                      <w:rFonts w:hint="eastAsia"/>
                      <w:lang w:val="en-US" w:eastAsia="zh-CN"/>
                    </w:rPr>
                    <w:t>/</w:t>
                  </w:r>
                </w:p>
              </w:tc>
              <w:tc>
                <w:tcPr>
                  <w:tcW w:w="1179" w:type="dxa"/>
                  <w:shd w:val="clear" w:color="auto" w:fill="auto"/>
                  <w:vAlign w:val="center"/>
                </w:tcPr>
                <w:p>
                  <w:pPr>
                    <w:pStyle w:val="6"/>
                    <w:bidi w:val="0"/>
                  </w:pPr>
                  <w:r>
                    <w:t>80</w:t>
                  </w:r>
                </w:p>
              </w:tc>
              <w:tc>
                <w:tcPr>
                  <w:tcW w:w="1280" w:type="dxa"/>
                  <w:vMerge w:val="restart"/>
                  <w:shd w:val="clear" w:color="auto" w:fill="auto"/>
                  <w:vAlign w:val="center"/>
                </w:tcPr>
                <w:p>
                  <w:pPr>
                    <w:pStyle w:val="6"/>
                    <w:bidi w:val="0"/>
                    <w:rPr>
                      <w:rFonts w:hint="default"/>
                      <w:lang w:val="en-US" w:eastAsia="zh-CN"/>
                    </w:rPr>
                  </w:pPr>
                  <w:r>
                    <w:t>低</w:t>
                  </w:r>
                  <w:r>
                    <w:rPr>
                      <w:rFonts w:hint="eastAsia"/>
                      <w:lang w:eastAsia="zh-CN"/>
                    </w:rPr>
                    <w:t>噪</w:t>
                  </w:r>
                  <w:r>
                    <w:t>设备</w:t>
                  </w:r>
                  <w:r>
                    <w:rPr>
                      <w:rFonts w:hint="eastAsia"/>
                      <w:lang w:eastAsia="zh-CN"/>
                    </w:rPr>
                    <w:t>，</w:t>
                  </w:r>
                  <w:r>
                    <w:rPr>
                      <w:rFonts w:hint="eastAsia"/>
                      <w:lang w:val="en-US" w:eastAsia="zh-CN"/>
                    </w:rPr>
                    <w:t>定期维护</w:t>
                  </w:r>
                </w:p>
              </w:tc>
              <w:tc>
                <w:tcPr>
                  <w:tcW w:w="1243" w:type="dxa"/>
                  <w:shd w:val="clear" w:color="auto" w:fill="auto"/>
                  <w:vAlign w:val="center"/>
                </w:tcPr>
                <w:p>
                  <w:pPr>
                    <w:pStyle w:val="6"/>
                    <w:bidi w:val="0"/>
                    <w:rPr>
                      <w:rFonts w:hint="default" w:eastAsia="宋体"/>
                      <w:lang w:val="en-US" w:eastAsia="zh-CN"/>
                    </w:rPr>
                  </w:pPr>
                  <w:r>
                    <w:rPr>
                      <w:rFonts w:hint="eastAsia"/>
                      <w:lang w:eastAsia="zh-CN"/>
                    </w:rPr>
                    <w:t>1</w:t>
                  </w:r>
                  <w:r>
                    <w:rPr>
                      <w:rFonts w:hint="eastAsia"/>
                      <w:lang w:val="en-US" w:eastAsia="zh-CN"/>
                    </w:rPr>
                    <w:t>0:00-19:00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18" w:type="dxa"/>
                  <w:shd w:val="clear" w:color="auto" w:fill="auto"/>
                  <w:vAlign w:val="center"/>
                </w:tcPr>
                <w:p>
                  <w:pPr>
                    <w:pStyle w:val="6"/>
                    <w:bidi w:val="0"/>
                  </w:pPr>
                  <w:r>
                    <w:t>2</w:t>
                  </w:r>
                </w:p>
              </w:tc>
              <w:tc>
                <w:tcPr>
                  <w:tcW w:w="702" w:type="dxa"/>
                  <w:shd w:val="clear" w:color="auto" w:fill="auto"/>
                  <w:vAlign w:val="center"/>
                </w:tcPr>
                <w:p>
                  <w:pPr>
                    <w:pStyle w:val="6"/>
                    <w:bidi w:val="0"/>
                  </w:pPr>
                  <w:r>
                    <w:t>叉车</w:t>
                  </w:r>
                </w:p>
              </w:tc>
              <w:tc>
                <w:tcPr>
                  <w:tcW w:w="592" w:type="dxa"/>
                  <w:shd w:val="clear" w:color="auto" w:fill="auto"/>
                  <w:vAlign w:val="center"/>
                </w:tcPr>
                <w:p>
                  <w:pPr>
                    <w:pStyle w:val="6"/>
                    <w:bidi w:val="0"/>
                  </w:pPr>
                  <w:r>
                    <w:t>61.4</w:t>
                  </w:r>
                </w:p>
              </w:tc>
              <w:tc>
                <w:tcPr>
                  <w:tcW w:w="592" w:type="dxa"/>
                  <w:shd w:val="clear" w:color="auto" w:fill="auto"/>
                  <w:vAlign w:val="center"/>
                </w:tcPr>
                <w:p>
                  <w:pPr>
                    <w:pStyle w:val="6"/>
                    <w:bidi w:val="0"/>
                  </w:pPr>
                  <w:r>
                    <w:t>45.1</w:t>
                  </w:r>
                </w:p>
              </w:tc>
              <w:tc>
                <w:tcPr>
                  <w:tcW w:w="486" w:type="dxa"/>
                  <w:shd w:val="clear" w:color="auto" w:fill="auto"/>
                  <w:vAlign w:val="center"/>
                </w:tcPr>
                <w:p>
                  <w:pPr>
                    <w:pStyle w:val="6"/>
                    <w:bidi w:val="0"/>
                  </w:pPr>
                  <w:r>
                    <w:t>1.2</w:t>
                  </w:r>
                </w:p>
              </w:tc>
              <w:tc>
                <w:tcPr>
                  <w:tcW w:w="2919" w:type="dxa"/>
                  <w:shd w:val="clear" w:color="auto" w:fill="auto"/>
                  <w:vAlign w:val="center"/>
                </w:tcPr>
                <w:p>
                  <w:pPr>
                    <w:pStyle w:val="6"/>
                    <w:bidi w:val="0"/>
                    <w:rPr>
                      <w:rFonts w:hint="eastAsia"/>
                      <w:lang w:val="en-US" w:eastAsia="zh-CN"/>
                    </w:rPr>
                  </w:pPr>
                  <w:r>
                    <w:rPr>
                      <w:rFonts w:hint="eastAsia"/>
                      <w:lang w:val="en-US" w:eastAsia="zh-CN"/>
                    </w:rPr>
                    <w:t>/</w:t>
                  </w:r>
                </w:p>
              </w:tc>
              <w:tc>
                <w:tcPr>
                  <w:tcW w:w="1179" w:type="dxa"/>
                  <w:shd w:val="clear" w:color="auto" w:fill="auto"/>
                  <w:vAlign w:val="center"/>
                </w:tcPr>
                <w:p>
                  <w:pPr>
                    <w:pStyle w:val="6"/>
                    <w:bidi w:val="0"/>
                  </w:pPr>
                  <w:r>
                    <w:t>80</w:t>
                  </w:r>
                </w:p>
              </w:tc>
              <w:tc>
                <w:tcPr>
                  <w:tcW w:w="1280" w:type="dxa"/>
                  <w:vMerge w:val="continue"/>
                  <w:shd w:val="clear" w:color="auto" w:fill="auto"/>
                  <w:vAlign w:val="center"/>
                </w:tcPr>
                <w:p>
                  <w:pPr>
                    <w:pStyle w:val="6"/>
                    <w:bidi w:val="0"/>
                  </w:pPr>
                </w:p>
              </w:tc>
              <w:tc>
                <w:tcPr>
                  <w:tcW w:w="1243" w:type="dxa"/>
                  <w:shd w:val="clear" w:color="auto" w:fill="auto"/>
                  <w:vAlign w:val="center"/>
                </w:tcPr>
                <w:p>
                  <w:pPr>
                    <w:pStyle w:val="6"/>
                    <w:bidi w:val="0"/>
                    <w:rPr>
                      <w:rFonts w:hint="default"/>
                      <w:lang w:val="en-US"/>
                    </w:rPr>
                  </w:pPr>
                  <w:r>
                    <w:rPr>
                      <w:rFonts w:hint="eastAsia"/>
                      <w:lang w:eastAsia="zh-CN"/>
                    </w:rPr>
                    <w:t>1</w:t>
                  </w:r>
                  <w:r>
                    <w:rPr>
                      <w:rFonts w:hint="eastAsia"/>
                      <w:lang w:val="en-US" w:eastAsia="zh-CN"/>
                    </w:rPr>
                    <w:t>0:00-19:00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18" w:type="dxa"/>
                  <w:shd w:val="clear" w:color="auto" w:fill="auto"/>
                  <w:vAlign w:val="center"/>
                </w:tcPr>
                <w:p>
                  <w:pPr>
                    <w:pStyle w:val="6"/>
                    <w:bidi w:val="0"/>
                  </w:pPr>
                  <w:r>
                    <w:t>3</w:t>
                  </w:r>
                </w:p>
              </w:tc>
              <w:tc>
                <w:tcPr>
                  <w:tcW w:w="702" w:type="dxa"/>
                  <w:shd w:val="clear" w:color="auto" w:fill="auto"/>
                  <w:vAlign w:val="center"/>
                </w:tcPr>
                <w:p>
                  <w:pPr>
                    <w:pStyle w:val="6"/>
                    <w:bidi w:val="0"/>
                  </w:pPr>
                  <w:r>
                    <w:t>叉车</w:t>
                  </w:r>
                </w:p>
              </w:tc>
              <w:tc>
                <w:tcPr>
                  <w:tcW w:w="592" w:type="dxa"/>
                  <w:shd w:val="clear" w:color="auto" w:fill="auto"/>
                  <w:vAlign w:val="center"/>
                </w:tcPr>
                <w:p>
                  <w:pPr>
                    <w:pStyle w:val="6"/>
                    <w:bidi w:val="0"/>
                  </w:pPr>
                  <w:r>
                    <w:t>42.5</w:t>
                  </w:r>
                </w:p>
              </w:tc>
              <w:tc>
                <w:tcPr>
                  <w:tcW w:w="592" w:type="dxa"/>
                  <w:shd w:val="clear" w:color="auto" w:fill="auto"/>
                  <w:vAlign w:val="center"/>
                </w:tcPr>
                <w:p>
                  <w:pPr>
                    <w:pStyle w:val="6"/>
                    <w:bidi w:val="0"/>
                  </w:pPr>
                  <w:r>
                    <w:t>37.4</w:t>
                  </w:r>
                </w:p>
              </w:tc>
              <w:tc>
                <w:tcPr>
                  <w:tcW w:w="486" w:type="dxa"/>
                  <w:shd w:val="clear" w:color="auto" w:fill="auto"/>
                  <w:vAlign w:val="center"/>
                </w:tcPr>
                <w:p>
                  <w:pPr>
                    <w:pStyle w:val="6"/>
                    <w:bidi w:val="0"/>
                  </w:pPr>
                  <w:r>
                    <w:t>1.2</w:t>
                  </w:r>
                </w:p>
              </w:tc>
              <w:tc>
                <w:tcPr>
                  <w:tcW w:w="2919" w:type="dxa"/>
                  <w:shd w:val="clear" w:color="auto" w:fill="auto"/>
                  <w:vAlign w:val="center"/>
                </w:tcPr>
                <w:p>
                  <w:pPr>
                    <w:pStyle w:val="6"/>
                    <w:bidi w:val="0"/>
                    <w:rPr>
                      <w:rFonts w:hint="eastAsia"/>
                      <w:lang w:val="en-US" w:eastAsia="zh-CN"/>
                    </w:rPr>
                  </w:pPr>
                  <w:r>
                    <w:rPr>
                      <w:rFonts w:hint="eastAsia"/>
                      <w:lang w:val="en-US" w:eastAsia="zh-CN"/>
                    </w:rPr>
                    <w:t>/</w:t>
                  </w:r>
                </w:p>
              </w:tc>
              <w:tc>
                <w:tcPr>
                  <w:tcW w:w="1179" w:type="dxa"/>
                  <w:shd w:val="clear" w:color="auto" w:fill="auto"/>
                  <w:vAlign w:val="center"/>
                </w:tcPr>
                <w:p>
                  <w:pPr>
                    <w:pStyle w:val="6"/>
                    <w:bidi w:val="0"/>
                  </w:pPr>
                  <w:r>
                    <w:t>80</w:t>
                  </w:r>
                </w:p>
              </w:tc>
              <w:tc>
                <w:tcPr>
                  <w:tcW w:w="1280" w:type="dxa"/>
                  <w:vMerge w:val="continue"/>
                  <w:shd w:val="clear" w:color="auto" w:fill="auto"/>
                  <w:vAlign w:val="center"/>
                </w:tcPr>
                <w:p>
                  <w:pPr>
                    <w:pStyle w:val="6"/>
                    <w:bidi w:val="0"/>
                  </w:pPr>
                </w:p>
              </w:tc>
              <w:tc>
                <w:tcPr>
                  <w:tcW w:w="1243" w:type="dxa"/>
                  <w:shd w:val="clear" w:color="auto" w:fill="auto"/>
                  <w:vAlign w:val="center"/>
                </w:tcPr>
                <w:p>
                  <w:pPr>
                    <w:pStyle w:val="6"/>
                    <w:bidi w:val="0"/>
                    <w:rPr>
                      <w:rFonts w:hint="default"/>
                      <w:lang w:val="en-US"/>
                    </w:rPr>
                  </w:pPr>
                  <w:r>
                    <w:rPr>
                      <w:rFonts w:hint="eastAsia"/>
                      <w:lang w:eastAsia="zh-CN"/>
                    </w:rPr>
                    <w:t>1</w:t>
                  </w:r>
                  <w:r>
                    <w:rPr>
                      <w:rFonts w:hint="eastAsia"/>
                      <w:lang w:val="en-US" w:eastAsia="zh-CN"/>
                    </w:rPr>
                    <w:t>0:00-19:00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18" w:type="dxa"/>
                  <w:shd w:val="clear" w:color="auto" w:fill="auto"/>
                  <w:vAlign w:val="center"/>
                </w:tcPr>
                <w:p>
                  <w:pPr>
                    <w:pStyle w:val="6"/>
                    <w:bidi w:val="0"/>
                  </w:pPr>
                  <w:r>
                    <w:t>4</w:t>
                  </w:r>
                </w:p>
              </w:tc>
              <w:tc>
                <w:tcPr>
                  <w:tcW w:w="702" w:type="dxa"/>
                  <w:shd w:val="clear" w:color="auto" w:fill="auto"/>
                  <w:vAlign w:val="center"/>
                </w:tcPr>
                <w:p>
                  <w:pPr>
                    <w:pStyle w:val="6"/>
                    <w:bidi w:val="0"/>
                  </w:pPr>
                  <w:r>
                    <w:t>叉车</w:t>
                  </w:r>
                </w:p>
              </w:tc>
              <w:tc>
                <w:tcPr>
                  <w:tcW w:w="592" w:type="dxa"/>
                  <w:shd w:val="clear" w:color="auto" w:fill="auto"/>
                  <w:vAlign w:val="center"/>
                </w:tcPr>
                <w:p>
                  <w:pPr>
                    <w:pStyle w:val="6"/>
                    <w:bidi w:val="0"/>
                  </w:pPr>
                  <w:r>
                    <w:t>51.4</w:t>
                  </w:r>
                </w:p>
              </w:tc>
              <w:tc>
                <w:tcPr>
                  <w:tcW w:w="592" w:type="dxa"/>
                  <w:shd w:val="clear" w:color="auto" w:fill="auto"/>
                  <w:vAlign w:val="center"/>
                </w:tcPr>
                <w:p>
                  <w:pPr>
                    <w:pStyle w:val="6"/>
                    <w:bidi w:val="0"/>
                  </w:pPr>
                  <w:r>
                    <w:t>37.2</w:t>
                  </w:r>
                </w:p>
              </w:tc>
              <w:tc>
                <w:tcPr>
                  <w:tcW w:w="486" w:type="dxa"/>
                  <w:shd w:val="clear" w:color="auto" w:fill="auto"/>
                  <w:vAlign w:val="center"/>
                </w:tcPr>
                <w:p>
                  <w:pPr>
                    <w:pStyle w:val="6"/>
                    <w:bidi w:val="0"/>
                  </w:pPr>
                  <w:r>
                    <w:t>1.2</w:t>
                  </w:r>
                </w:p>
              </w:tc>
              <w:tc>
                <w:tcPr>
                  <w:tcW w:w="2919" w:type="dxa"/>
                  <w:shd w:val="clear" w:color="auto" w:fill="auto"/>
                  <w:vAlign w:val="center"/>
                </w:tcPr>
                <w:p>
                  <w:pPr>
                    <w:pStyle w:val="6"/>
                    <w:bidi w:val="0"/>
                    <w:rPr>
                      <w:rFonts w:hint="eastAsia"/>
                      <w:lang w:val="en-US" w:eastAsia="zh-CN"/>
                    </w:rPr>
                  </w:pPr>
                  <w:r>
                    <w:rPr>
                      <w:rFonts w:hint="eastAsia"/>
                      <w:lang w:val="en-US" w:eastAsia="zh-CN"/>
                    </w:rPr>
                    <w:t>/</w:t>
                  </w:r>
                </w:p>
              </w:tc>
              <w:tc>
                <w:tcPr>
                  <w:tcW w:w="1179" w:type="dxa"/>
                  <w:shd w:val="clear" w:color="auto" w:fill="auto"/>
                  <w:vAlign w:val="center"/>
                </w:tcPr>
                <w:p>
                  <w:pPr>
                    <w:pStyle w:val="6"/>
                    <w:bidi w:val="0"/>
                  </w:pPr>
                  <w:r>
                    <w:t>80</w:t>
                  </w:r>
                </w:p>
              </w:tc>
              <w:tc>
                <w:tcPr>
                  <w:tcW w:w="1280" w:type="dxa"/>
                  <w:vMerge w:val="continue"/>
                  <w:shd w:val="clear" w:color="auto" w:fill="auto"/>
                  <w:vAlign w:val="center"/>
                </w:tcPr>
                <w:p>
                  <w:pPr>
                    <w:pStyle w:val="6"/>
                    <w:bidi w:val="0"/>
                  </w:pPr>
                </w:p>
              </w:tc>
              <w:tc>
                <w:tcPr>
                  <w:tcW w:w="1243" w:type="dxa"/>
                  <w:shd w:val="clear" w:color="auto" w:fill="auto"/>
                  <w:vAlign w:val="center"/>
                </w:tcPr>
                <w:p>
                  <w:pPr>
                    <w:pStyle w:val="6"/>
                    <w:bidi w:val="0"/>
                    <w:rPr>
                      <w:rFonts w:hint="default"/>
                      <w:lang w:val="en-US"/>
                    </w:rPr>
                  </w:pPr>
                  <w:r>
                    <w:rPr>
                      <w:rFonts w:hint="eastAsia"/>
                      <w:lang w:eastAsia="zh-CN"/>
                    </w:rPr>
                    <w:t>1</w:t>
                  </w:r>
                  <w:r>
                    <w:rPr>
                      <w:rFonts w:hint="eastAsia"/>
                      <w:lang w:val="en-US" w:eastAsia="zh-CN"/>
                    </w:rPr>
                    <w:t>0:00-19:00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18" w:type="dxa"/>
                  <w:shd w:val="clear" w:color="auto" w:fill="auto"/>
                  <w:vAlign w:val="center"/>
                </w:tcPr>
                <w:p>
                  <w:pPr>
                    <w:pStyle w:val="6"/>
                    <w:bidi w:val="0"/>
                  </w:pPr>
                  <w:r>
                    <w:t>5</w:t>
                  </w:r>
                </w:p>
              </w:tc>
              <w:tc>
                <w:tcPr>
                  <w:tcW w:w="702" w:type="dxa"/>
                  <w:shd w:val="clear" w:color="auto" w:fill="auto"/>
                  <w:vAlign w:val="center"/>
                </w:tcPr>
                <w:p>
                  <w:pPr>
                    <w:pStyle w:val="6"/>
                    <w:bidi w:val="0"/>
                  </w:pPr>
                  <w:r>
                    <w:t>叉车</w:t>
                  </w:r>
                </w:p>
              </w:tc>
              <w:tc>
                <w:tcPr>
                  <w:tcW w:w="592" w:type="dxa"/>
                  <w:shd w:val="clear" w:color="auto" w:fill="auto"/>
                  <w:vAlign w:val="center"/>
                </w:tcPr>
                <w:p>
                  <w:pPr>
                    <w:pStyle w:val="6"/>
                    <w:bidi w:val="0"/>
                  </w:pPr>
                  <w:r>
                    <w:t>76.4</w:t>
                  </w:r>
                </w:p>
              </w:tc>
              <w:tc>
                <w:tcPr>
                  <w:tcW w:w="592" w:type="dxa"/>
                  <w:shd w:val="clear" w:color="auto" w:fill="auto"/>
                  <w:vAlign w:val="center"/>
                </w:tcPr>
                <w:p>
                  <w:pPr>
                    <w:pStyle w:val="6"/>
                    <w:bidi w:val="0"/>
                  </w:pPr>
                  <w:r>
                    <w:t>22.5</w:t>
                  </w:r>
                </w:p>
              </w:tc>
              <w:tc>
                <w:tcPr>
                  <w:tcW w:w="486" w:type="dxa"/>
                  <w:shd w:val="clear" w:color="auto" w:fill="auto"/>
                  <w:vAlign w:val="center"/>
                </w:tcPr>
                <w:p>
                  <w:pPr>
                    <w:pStyle w:val="6"/>
                    <w:bidi w:val="0"/>
                  </w:pPr>
                  <w:r>
                    <w:t>1.2</w:t>
                  </w:r>
                </w:p>
              </w:tc>
              <w:tc>
                <w:tcPr>
                  <w:tcW w:w="2919" w:type="dxa"/>
                  <w:shd w:val="clear" w:color="auto" w:fill="auto"/>
                  <w:vAlign w:val="center"/>
                </w:tcPr>
                <w:p>
                  <w:pPr>
                    <w:pStyle w:val="6"/>
                    <w:bidi w:val="0"/>
                    <w:rPr>
                      <w:rFonts w:hint="eastAsia"/>
                      <w:lang w:val="en-US" w:eastAsia="zh-CN"/>
                    </w:rPr>
                  </w:pPr>
                  <w:r>
                    <w:rPr>
                      <w:rFonts w:hint="eastAsia"/>
                      <w:lang w:val="en-US" w:eastAsia="zh-CN"/>
                    </w:rPr>
                    <w:t>/</w:t>
                  </w:r>
                </w:p>
              </w:tc>
              <w:tc>
                <w:tcPr>
                  <w:tcW w:w="1179" w:type="dxa"/>
                  <w:shd w:val="clear" w:color="auto" w:fill="auto"/>
                  <w:vAlign w:val="center"/>
                </w:tcPr>
                <w:p>
                  <w:pPr>
                    <w:pStyle w:val="6"/>
                    <w:bidi w:val="0"/>
                  </w:pPr>
                  <w:r>
                    <w:t>80</w:t>
                  </w:r>
                </w:p>
              </w:tc>
              <w:tc>
                <w:tcPr>
                  <w:tcW w:w="1280" w:type="dxa"/>
                  <w:vMerge w:val="continue"/>
                  <w:shd w:val="clear" w:color="auto" w:fill="auto"/>
                  <w:vAlign w:val="center"/>
                </w:tcPr>
                <w:p>
                  <w:pPr>
                    <w:pStyle w:val="6"/>
                    <w:bidi w:val="0"/>
                  </w:pPr>
                </w:p>
              </w:tc>
              <w:tc>
                <w:tcPr>
                  <w:tcW w:w="1243" w:type="dxa"/>
                  <w:shd w:val="clear" w:color="auto" w:fill="auto"/>
                  <w:vAlign w:val="center"/>
                </w:tcPr>
                <w:p>
                  <w:pPr>
                    <w:pStyle w:val="6"/>
                    <w:bidi w:val="0"/>
                    <w:rPr>
                      <w:rFonts w:hint="default"/>
                      <w:lang w:val="en-US"/>
                    </w:rPr>
                  </w:pPr>
                  <w:r>
                    <w:rPr>
                      <w:rFonts w:hint="eastAsia"/>
                      <w:lang w:eastAsia="zh-CN"/>
                    </w:rPr>
                    <w:t>1</w:t>
                  </w:r>
                  <w:r>
                    <w:rPr>
                      <w:rFonts w:hint="eastAsia"/>
                      <w:lang w:val="en-US" w:eastAsia="zh-CN"/>
                    </w:rPr>
                    <w:t>0:00-19:00</w:t>
                  </w:r>
                </w:p>
              </w:tc>
            </w:tr>
          </w:tbl>
          <w:p>
            <w:pPr>
              <w:pStyle w:val="10"/>
              <w:bidi w:val="0"/>
              <w:rPr>
                <w:b/>
                <w:bCs/>
                <w:color w:val="000000"/>
                <w:spacing w:val="0"/>
                <w:kern w:val="0"/>
                <w:sz w:val="21"/>
                <w:szCs w:val="16"/>
                <w:lang w:eastAsia="zh-CN"/>
              </w:rPr>
            </w:pPr>
            <w:r>
              <w:rPr>
                <w:b/>
                <w:bCs/>
                <w:color w:val="000000"/>
                <w:spacing w:val="0"/>
                <w:kern w:val="0"/>
                <w:sz w:val="21"/>
                <w:szCs w:val="16"/>
                <w:lang w:eastAsia="zh-CN"/>
              </w:rPr>
              <w:t>表</w:t>
            </w:r>
            <w:r>
              <w:rPr>
                <w:rFonts w:hint="eastAsia"/>
                <w:b/>
                <w:bCs/>
                <w:color w:val="000000"/>
                <w:spacing w:val="0"/>
                <w:kern w:val="0"/>
                <w:sz w:val="21"/>
                <w:szCs w:val="16"/>
                <w:lang w:val="en-US" w:eastAsia="zh-CN"/>
              </w:rPr>
              <w:t>4-9</w:t>
            </w:r>
            <w:r>
              <w:rPr>
                <w:b/>
                <w:bCs/>
                <w:color w:val="000000"/>
                <w:spacing w:val="0"/>
                <w:kern w:val="0"/>
                <w:sz w:val="21"/>
                <w:szCs w:val="16"/>
                <w:lang w:eastAsia="zh-CN"/>
              </w:rPr>
              <w:tab/>
            </w:r>
            <w:r>
              <w:rPr>
                <w:rFonts w:hint="eastAsia"/>
                <w:b/>
                <w:bCs/>
                <w:color w:val="000000"/>
                <w:spacing w:val="0"/>
                <w:kern w:val="0"/>
                <w:sz w:val="21"/>
                <w:szCs w:val="16"/>
                <w:lang w:val="en-US" w:eastAsia="zh-CN"/>
              </w:rPr>
              <w:t xml:space="preserve">         </w:t>
            </w:r>
            <w:r>
              <w:rPr>
                <w:b/>
                <w:bCs/>
                <w:color w:val="000000"/>
                <w:spacing w:val="0"/>
                <w:kern w:val="0"/>
                <w:sz w:val="21"/>
                <w:szCs w:val="16"/>
                <w:lang w:eastAsia="zh-CN"/>
              </w:rPr>
              <w:t>工业企业噪声源强调查清单（室内声源）</w:t>
            </w:r>
          </w:p>
          <w:tbl>
            <w:tblPr>
              <w:tblStyle w:val="40"/>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8"/>
              <w:gridCol w:w="331"/>
              <w:gridCol w:w="314"/>
              <w:gridCol w:w="248"/>
              <w:gridCol w:w="379"/>
              <w:gridCol w:w="322"/>
              <w:gridCol w:w="354"/>
              <w:gridCol w:w="354"/>
              <w:gridCol w:w="363"/>
              <w:gridCol w:w="295"/>
              <w:gridCol w:w="296"/>
              <w:gridCol w:w="296"/>
              <w:gridCol w:w="303"/>
              <w:gridCol w:w="291"/>
              <w:gridCol w:w="291"/>
              <w:gridCol w:w="291"/>
              <w:gridCol w:w="302"/>
              <w:gridCol w:w="251"/>
              <w:gridCol w:w="280"/>
              <w:gridCol w:w="280"/>
              <w:gridCol w:w="280"/>
              <w:gridCol w:w="294"/>
              <w:gridCol w:w="300"/>
              <w:gridCol w:w="300"/>
              <w:gridCol w:w="300"/>
              <w:gridCol w:w="301"/>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dxa"/>
                  <w:vMerge w:val="restart"/>
                  <w:shd w:val="clear" w:color="auto" w:fill="auto"/>
                  <w:vAlign w:val="center"/>
                </w:tcPr>
                <w:p>
                  <w:pPr>
                    <w:pStyle w:val="6"/>
                    <w:bidi w:val="0"/>
                    <w:rPr>
                      <w:sz w:val="18"/>
                      <w:szCs w:val="18"/>
                    </w:rPr>
                  </w:pPr>
                  <w:bookmarkStart w:id="17" w:name="PT_6"/>
                  <w:r>
                    <w:rPr>
                      <w:sz w:val="18"/>
                      <w:szCs w:val="18"/>
                    </w:rPr>
                    <w:t>序号</w:t>
                  </w:r>
                </w:p>
              </w:tc>
              <w:tc>
                <w:tcPr>
                  <w:tcW w:w="331" w:type="dxa"/>
                  <w:vMerge w:val="restart"/>
                  <w:shd w:val="clear" w:color="auto" w:fill="auto"/>
                  <w:vAlign w:val="center"/>
                </w:tcPr>
                <w:p>
                  <w:pPr>
                    <w:pStyle w:val="6"/>
                    <w:bidi w:val="0"/>
                    <w:rPr>
                      <w:sz w:val="18"/>
                      <w:szCs w:val="18"/>
                    </w:rPr>
                  </w:pPr>
                  <w:r>
                    <w:rPr>
                      <w:sz w:val="18"/>
                      <w:szCs w:val="18"/>
                    </w:rPr>
                    <w:t>建筑物名称</w:t>
                  </w:r>
                </w:p>
              </w:tc>
              <w:tc>
                <w:tcPr>
                  <w:tcW w:w="314" w:type="dxa"/>
                  <w:vMerge w:val="restart"/>
                  <w:shd w:val="clear" w:color="auto" w:fill="auto"/>
                  <w:vAlign w:val="center"/>
                </w:tcPr>
                <w:p>
                  <w:pPr>
                    <w:pStyle w:val="6"/>
                    <w:bidi w:val="0"/>
                    <w:rPr>
                      <w:sz w:val="18"/>
                      <w:szCs w:val="18"/>
                    </w:rPr>
                  </w:pPr>
                  <w:r>
                    <w:rPr>
                      <w:sz w:val="18"/>
                      <w:szCs w:val="18"/>
                    </w:rPr>
                    <w:t>声源名称</w:t>
                  </w:r>
                </w:p>
              </w:tc>
              <w:tc>
                <w:tcPr>
                  <w:tcW w:w="248" w:type="dxa"/>
                  <w:vMerge w:val="restart"/>
                  <w:shd w:val="clear" w:color="auto" w:fill="auto"/>
                  <w:vAlign w:val="center"/>
                </w:tcPr>
                <w:p>
                  <w:pPr>
                    <w:pStyle w:val="6"/>
                    <w:bidi w:val="0"/>
                    <w:rPr>
                      <w:sz w:val="18"/>
                      <w:szCs w:val="18"/>
                    </w:rPr>
                  </w:pPr>
                  <w:r>
                    <w:rPr>
                      <w:sz w:val="18"/>
                      <w:szCs w:val="18"/>
                    </w:rPr>
                    <w:t>型号</w:t>
                  </w:r>
                </w:p>
              </w:tc>
              <w:tc>
                <w:tcPr>
                  <w:tcW w:w="379" w:type="dxa"/>
                  <w:shd w:val="clear" w:color="auto" w:fill="auto"/>
                  <w:vAlign w:val="center"/>
                </w:tcPr>
                <w:p>
                  <w:pPr>
                    <w:pStyle w:val="6"/>
                    <w:bidi w:val="0"/>
                    <w:rPr>
                      <w:sz w:val="18"/>
                      <w:szCs w:val="18"/>
                      <w:lang w:eastAsia="zh-CN"/>
                    </w:rPr>
                  </w:pPr>
                  <w:r>
                    <w:rPr>
                      <w:sz w:val="18"/>
                      <w:szCs w:val="18"/>
                      <w:lang w:eastAsia="zh-CN"/>
                    </w:rPr>
                    <w:t>声</w:t>
                  </w:r>
                  <w:r>
                    <w:rPr>
                      <w:rFonts w:hint="eastAsia"/>
                      <w:sz w:val="18"/>
                      <w:szCs w:val="18"/>
                      <w:lang w:eastAsia="zh-CN"/>
                    </w:rPr>
                    <w:t>源</w:t>
                  </w:r>
                  <w:r>
                    <w:rPr>
                      <w:sz w:val="18"/>
                      <w:szCs w:val="18"/>
                      <w:lang w:eastAsia="zh-CN"/>
                    </w:rPr>
                    <w:t>强</w:t>
                  </w:r>
                  <w:r>
                    <w:rPr>
                      <w:rFonts w:hint="eastAsia"/>
                      <w:lang w:eastAsia="zh-CN"/>
                    </w:rPr>
                    <w:t>（</w:t>
                  </w:r>
                  <w:r>
                    <w:rPr>
                      <w:rFonts w:hint="eastAsia"/>
                      <w:lang w:val="en-US" w:eastAsia="zh-CN"/>
                    </w:rPr>
                    <w:t>产生强度</w:t>
                  </w:r>
                  <w:r>
                    <w:rPr>
                      <w:rFonts w:hint="eastAsia"/>
                      <w:lang w:eastAsia="zh-CN"/>
                    </w:rPr>
                    <w:t>）</w:t>
                  </w:r>
                </w:p>
              </w:tc>
              <w:tc>
                <w:tcPr>
                  <w:tcW w:w="322" w:type="dxa"/>
                  <w:vMerge w:val="restart"/>
                  <w:shd w:val="clear" w:color="auto" w:fill="auto"/>
                  <w:vAlign w:val="center"/>
                </w:tcPr>
                <w:p>
                  <w:pPr>
                    <w:pStyle w:val="6"/>
                    <w:bidi w:val="0"/>
                    <w:rPr>
                      <w:sz w:val="18"/>
                      <w:szCs w:val="18"/>
                    </w:rPr>
                  </w:pPr>
                  <w:r>
                    <w:rPr>
                      <w:sz w:val="18"/>
                      <w:szCs w:val="18"/>
                    </w:rPr>
                    <w:t>声源控制措施</w:t>
                  </w:r>
                </w:p>
              </w:tc>
              <w:tc>
                <w:tcPr>
                  <w:tcW w:w="1071" w:type="dxa"/>
                  <w:gridSpan w:val="3"/>
                  <w:shd w:val="clear" w:color="auto" w:fill="auto"/>
                  <w:vAlign w:val="center"/>
                </w:tcPr>
                <w:p>
                  <w:pPr>
                    <w:pStyle w:val="6"/>
                    <w:bidi w:val="0"/>
                    <w:rPr>
                      <w:sz w:val="18"/>
                      <w:szCs w:val="18"/>
                    </w:rPr>
                  </w:pPr>
                  <w:r>
                    <w:rPr>
                      <w:sz w:val="18"/>
                      <w:szCs w:val="18"/>
                    </w:rPr>
                    <w:t>空间相对位置/m</w:t>
                  </w:r>
                </w:p>
              </w:tc>
              <w:tc>
                <w:tcPr>
                  <w:tcW w:w="1190" w:type="dxa"/>
                  <w:gridSpan w:val="4"/>
                  <w:shd w:val="clear" w:color="auto" w:fill="auto"/>
                  <w:vAlign w:val="center"/>
                </w:tcPr>
                <w:p>
                  <w:pPr>
                    <w:pStyle w:val="6"/>
                    <w:bidi w:val="0"/>
                    <w:rPr>
                      <w:sz w:val="18"/>
                      <w:szCs w:val="18"/>
                    </w:rPr>
                  </w:pPr>
                  <w:r>
                    <w:rPr>
                      <w:sz w:val="18"/>
                      <w:szCs w:val="18"/>
                    </w:rPr>
                    <w:t>距室内边界距离/m</w:t>
                  </w:r>
                </w:p>
              </w:tc>
              <w:tc>
                <w:tcPr>
                  <w:tcW w:w="1175" w:type="dxa"/>
                  <w:gridSpan w:val="4"/>
                  <w:shd w:val="clear" w:color="auto" w:fill="auto"/>
                  <w:vAlign w:val="center"/>
                </w:tcPr>
                <w:p>
                  <w:pPr>
                    <w:pStyle w:val="6"/>
                    <w:bidi w:val="0"/>
                    <w:rPr>
                      <w:sz w:val="18"/>
                      <w:szCs w:val="18"/>
                    </w:rPr>
                  </w:pPr>
                  <w:r>
                    <w:rPr>
                      <w:sz w:val="18"/>
                      <w:szCs w:val="18"/>
                    </w:rPr>
                    <w:t>室内边界声级/dB(A)</w:t>
                  </w:r>
                </w:p>
              </w:tc>
              <w:tc>
                <w:tcPr>
                  <w:tcW w:w="251" w:type="dxa"/>
                  <w:vMerge w:val="restart"/>
                  <w:shd w:val="clear" w:color="auto" w:fill="auto"/>
                  <w:vAlign w:val="center"/>
                </w:tcPr>
                <w:p>
                  <w:pPr>
                    <w:pStyle w:val="6"/>
                    <w:bidi w:val="0"/>
                    <w:rPr>
                      <w:sz w:val="18"/>
                      <w:szCs w:val="18"/>
                    </w:rPr>
                  </w:pPr>
                  <w:r>
                    <w:rPr>
                      <w:sz w:val="18"/>
                      <w:szCs w:val="18"/>
                    </w:rPr>
                    <w:t>运行时段</w:t>
                  </w:r>
                </w:p>
              </w:tc>
              <w:tc>
                <w:tcPr>
                  <w:tcW w:w="1134" w:type="dxa"/>
                  <w:gridSpan w:val="4"/>
                  <w:shd w:val="clear" w:color="auto" w:fill="auto"/>
                  <w:vAlign w:val="center"/>
                </w:tcPr>
                <w:p>
                  <w:pPr>
                    <w:pStyle w:val="6"/>
                    <w:bidi w:val="0"/>
                    <w:rPr>
                      <w:sz w:val="18"/>
                      <w:szCs w:val="18"/>
                    </w:rPr>
                  </w:pPr>
                  <w:r>
                    <w:rPr>
                      <w:sz w:val="18"/>
                      <w:szCs w:val="18"/>
                    </w:rPr>
                    <w:t>建筑物插入损失 / dB(A)</w:t>
                  </w:r>
                  <w:bookmarkStart w:id="18" w:name="PT_10"/>
                  <w:bookmarkEnd w:id="18"/>
                </w:p>
              </w:tc>
              <w:tc>
                <w:tcPr>
                  <w:tcW w:w="1631" w:type="dxa"/>
                  <w:gridSpan w:val="5"/>
                  <w:shd w:val="clear" w:color="auto" w:fill="auto"/>
                  <w:vAlign w:val="center"/>
                </w:tcPr>
                <w:p>
                  <w:pPr>
                    <w:pStyle w:val="6"/>
                    <w:bidi w:val="0"/>
                    <w:rPr>
                      <w:sz w:val="18"/>
                      <w:szCs w:val="18"/>
                    </w:rPr>
                  </w:pPr>
                  <w:r>
                    <w:rPr>
                      <w:sz w:val="18"/>
                      <w:szCs w:val="18"/>
                    </w:rPr>
                    <w:t>建筑物外噪声声压级/dB(A)</w:t>
                  </w:r>
                  <w:r>
                    <w:rPr>
                      <w:rFonts w:hint="eastAsia"/>
                      <w:lang w:eastAsia="zh-CN"/>
                    </w:rPr>
                    <w:t>（</w:t>
                  </w:r>
                  <w:r>
                    <w:rPr>
                      <w:rFonts w:hint="eastAsia"/>
                      <w:lang w:val="en-US" w:eastAsia="zh-CN"/>
                    </w:rPr>
                    <w:t>排放强度</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dxa"/>
                  <w:vMerge w:val="continue"/>
                  <w:shd w:val="clear" w:color="auto" w:fill="auto"/>
                  <w:tcMar>
                    <w:top w:w="0" w:type="dxa"/>
                    <w:left w:w="0" w:type="dxa"/>
                    <w:bottom w:w="0" w:type="dxa"/>
                    <w:right w:w="0" w:type="dxa"/>
                  </w:tcMar>
                  <w:vAlign w:val="center"/>
                </w:tcPr>
                <w:p>
                  <w:pPr>
                    <w:pStyle w:val="6"/>
                    <w:bidi w:val="0"/>
                    <w:rPr>
                      <w:rFonts w:hint="default"/>
                      <w:sz w:val="18"/>
                      <w:szCs w:val="18"/>
                      <w:lang w:val="en-US" w:eastAsia="zh-CN"/>
                    </w:rPr>
                  </w:pPr>
                </w:p>
              </w:tc>
              <w:tc>
                <w:tcPr>
                  <w:tcW w:w="331" w:type="dxa"/>
                  <w:vMerge w:val="continue"/>
                  <w:shd w:val="clear" w:color="auto" w:fill="auto"/>
                  <w:tcMar>
                    <w:top w:w="0" w:type="dxa"/>
                    <w:left w:w="0" w:type="dxa"/>
                    <w:bottom w:w="0" w:type="dxa"/>
                    <w:right w:w="0" w:type="dxa"/>
                  </w:tcMar>
                  <w:vAlign w:val="center"/>
                </w:tcPr>
                <w:p>
                  <w:pPr>
                    <w:pStyle w:val="6"/>
                    <w:bidi w:val="0"/>
                    <w:rPr>
                      <w:sz w:val="18"/>
                      <w:szCs w:val="18"/>
                    </w:rPr>
                  </w:pPr>
                </w:p>
              </w:tc>
              <w:tc>
                <w:tcPr>
                  <w:tcW w:w="314" w:type="dxa"/>
                  <w:vMerge w:val="continue"/>
                  <w:shd w:val="clear" w:color="auto" w:fill="auto"/>
                  <w:tcMar>
                    <w:top w:w="0" w:type="dxa"/>
                    <w:left w:w="0" w:type="dxa"/>
                    <w:bottom w:w="0" w:type="dxa"/>
                    <w:right w:w="0" w:type="dxa"/>
                  </w:tcMar>
                  <w:vAlign w:val="center"/>
                </w:tcPr>
                <w:p>
                  <w:pPr>
                    <w:pStyle w:val="6"/>
                    <w:bidi w:val="0"/>
                    <w:rPr>
                      <w:sz w:val="18"/>
                      <w:szCs w:val="18"/>
                    </w:rPr>
                  </w:pPr>
                </w:p>
              </w:tc>
              <w:tc>
                <w:tcPr>
                  <w:tcW w:w="248" w:type="dxa"/>
                  <w:vMerge w:val="continue"/>
                  <w:shd w:val="clear" w:color="auto" w:fill="auto"/>
                  <w:tcMar>
                    <w:top w:w="0" w:type="dxa"/>
                    <w:left w:w="0" w:type="dxa"/>
                    <w:bottom w:w="0" w:type="dxa"/>
                    <w:right w:w="0" w:type="dxa"/>
                  </w:tcMar>
                  <w:vAlign w:val="center"/>
                </w:tcPr>
                <w:p>
                  <w:pPr>
                    <w:pStyle w:val="6"/>
                    <w:bidi w:val="0"/>
                    <w:rPr>
                      <w:sz w:val="18"/>
                      <w:szCs w:val="18"/>
                    </w:rPr>
                  </w:pPr>
                </w:p>
              </w:tc>
              <w:tc>
                <w:tcPr>
                  <w:tcW w:w="379" w:type="dxa"/>
                  <w:shd w:val="clear" w:color="auto" w:fill="auto"/>
                  <w:tcMar>
                    <w:top w:w="0" w:type="dxa"/>
                    <w:left w:w="0" w:type="dxa"/>
                    <w:bottom w:w="0" w:type="dxa"/>
                    <w:right w:w="0" w:type="dxa"/>
                  </w:tcMar>
                  <w:vAlign w:val="center"/>
                </w:tcPr>
                <w:p>
                  <w:pPr>
                    <w:pStyle w:val="6"/>
                    <w:bidi w:val="0"/>
                    <w:rPr>
                      <w:sz w:val="18"/>
                      <w:szCs w:val="18"/>
                    </w:rPr>
                  </w:pPr>
                  <w:r>
                    <w:rPr>
                      <w:sz w:val="18"/>
                      <w:szCs w:val="18"/>
                    </w:rPr>
                    <w:t>声功率级/dB(A)</w:t>
                  </w:r>
                </w:p>
              </w:tc>
              <w:tc>
                <w:tcPr>
                  <w:tcW w:w="322" w:type="dxa"/>
                  <w:vMerge w:val="continue"/>
                  <w:shd w:val="clear" w:color="auto" w:fill="auto"/>
                  <w:tcMar>
                    <w:top w:w="0" w:type="dxa"/>
                    <w:left w:w="0" w:type="dxa"/>
                    <w:bottom w:w="0" w:type="dxa"/>
                    <w:right w:w="0" w:type="dxa"/>
                  </w:tcMar>
                  <w:vAlign w:val="center"/>
                </w:tcPr>
                <w:p>
                  <w:pPr>
                    <w:pStyle w:val="6"/>
                    <w:bidi w:val="0"/>
                    <w:rPr>
                      <w:sz w:val="18"/>
                      <w:szCs w:val="18"/>
                    </w:rPr>
                  </w:pPr>
                </w:p>
              </w:tc>
              <w:tc>
                <w:tcPr>
                  <w:tcW w:w="354" w:type="dxa"/>
                  <w:shd w:val="clear" w:color="auto" w:fill="auto"/>
                  <w:tcMar>
                    <w:top w:w="0" w:type="dxa"/>
                    <w:left w:w="0" w:type="dxa"/>
                    <w:bottom w:w="0" w:type="dxa"/>
                    <w:right w:w="0" w:type="dxa"/>
                  </w:tcMar>
                  <w:vAlign w:val="center"/>
                </w:tcPr>
                <w:p>
                  <w:pPr>
                    <w:pStyle w:val="6"/>
                    <w:bidi w:val="0"/>
                    <w:rPr>
                      <w:sz w:val="18"/>
                      <w:szCs w:val="18"/>
                    </w:rPr>
                  </w:pPr>
                  <w:r>
                    <w:rPr>
                      <w:sz w:val="18"/>
                      <w:szCs w:val="18"/>
                    </w:rPr>
                    <w:t>X</w:t>
                  </w:r>
                </w:p>
              </w:tc>
              <w:tc>
                <w:tcPr>
                  <w:tcW w:w="354" w:type="dxa"/>
                  <w:shd w:val="clear" w:color="auto" w:fill="auto"/>
                  <w:tcMar>
                    <w:top w:w="0" w:type="dxa"/>
                    <w:left w:w="0" w:type="dxa"/>
                    <w:bottom w:w="0" w:type="dxa"/>
                    <w:right w:w="0" w:type="dxa"/>
                  </w:tcMar>
                  <w:vAlign w:val="center"/>
                </w:tcPr>
                <w:p>
                  <w:pPr>
                    <w:pStyle w:val="6"/>
                    <w:bidi w:val="0"/>
                    <w:rPr>
                      <w:sz w:val="18"/>
                      <w:szCs w:val="18"/>
                    </w:rPr>
                  </w:pPr>
                  <w:r>
                    <w:rPr>
                      <w:sz w:val="18"/>
                      <w:szCs w:val="18"/>
                    </w:rPr>
                    <w:t>Y</w:t>
                  </w:r>
                </w:p>
              </w:tc>
              <w:tc>
                <w:tcPr>
                  <w:tcW w:w="363" w:type="dxa"/>
                  <w:shd w:val="clear" w:color="auto" w:fill="auto"/>
                  <w:tcMar>
                    <w:top w:w="0" w:type="dxa"/>
                    <w:left w:w="0" w:type="dxa"/>
                    <w:bottom w:w="0" w:type="dxa"/>
                    <w:right w:w="0" w:type="dxa"/>
                  </w:tcMar>
                  <w:vAlign w:val="center"/>
                </w:tcPr>
                <w:p>
                  <w:pPr>
                    <w:pStyle w:val="6"/>
                    <w:bidi w:val="0"/>
                    <w:rPr>
                      <w:sz w:val="18"/>
                      <w:szCs w:val="18"/>
                    </w:rPr>
                  </w:pPr>
                  <w:r>
                    <w:rPr>
                      <w:sz w:val="18"/>
                      <w:szCs w:val="18"/>
                    </w:rPr>
                    <w:t>Z</w:t>
                  </w:r>
                </w:p>
              </w:tc>
              <w:tc>
                <w:tcPr>
                  <w:tcW w:w="295"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东</w:t>
                  </w:r>
                </w:p>
              </w:tc>
              <w:tc>
                <w:tcPr>
                  <w:tcW w:w="296"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南</w:t>
                  </w:r>
                </w:p>
              </w:tc>
              <w:tc>
                <w:tcPr>
                  <w:tcW w:w="296"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西</w:t>
                  </w:r>
                </w:p>
              </w:tc>
              <w:tc>
                <w:tcPr>
                  <w:tcW w:w="303"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北</w:t>
                  </w:r>
                </w:p>
              </w:tc>
              <w:tc>
                <w:tcPr>
                  <w:tcW w:w="291"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东</w:t>
                  </w:r>
                </w:p>
              </w:tc>
              <w:tc>
                <w:tcPr>
                  <w:tcW w:w="291"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南</w:t>
                  </w:r>
                </w:p>
              </w:tc>
              <w:tc>
                <w:tcPr>
                  <w:tcW w:w="291"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西</w:t>
                  </w:r>
                </w:p>
              </w:tc>
              <w:tc>
                <w:tcPr>
                  <w:tcW w:w="302"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北</w:t>
                  </w:r>
                </w:p>
              </w:tc>
              <w:tc>
                <w:tcPr>
                  <w:tcW w:w="251" w:type="dxa"/>
                  <w:vMerge w:val="continue"/>
                  <w:shd w:val="clear" w:color="auto" w:fill="auto"/>
                  <w:tcMar>
                    <w:top w:w="0" w:type="dxa"/>
                    <w:left w:w="0" w:type="dxa"/>
                    <w:bottom w:w="0" w:type="dxa"/>
                    <w:right w:w="0" w:type="dxa"/>
                  </w:tcMar>
                  <w:vAlign w:val="center"/>
                </w:tcPr>
                <w:p>
                  <w:pPr>
                    <w:pStyle w:val="6"/>
                    <w:bidi w:val="0"/>
                    <w:rPr>
                      <w:sz w:val="18"/>
                      <w:szCs w:val="18"/>
                    </w:rPr>
                  </w:pPr>
                </w:p>
              </w:tc>
              <w:tc>
                <w:tcPr>
                  <w:tcW w:w="280"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东</w:t>
                  </w:r>
                </w:p>
              </w:tc>
              <w:tc>
                <w:tcPr>
                  <w:tcW w:w="280"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南</w:t>
                  </w:r>
                </w:p>
              </w:tc>
              <w:tc>
                <w:tcPr>
                  <w:tcW w:w="280"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西</w:t>
                  </w:r>
                </w:p>
              </w:tc>
              <w:tc>
                <w:tcPr>
                  <w:tcW w:w="294"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北</w:t>
                  </w:r>
                </w:p>
              </w:tc>
              <w:tc>
                <w:tcPr>
                  <w:tcW w:w="300"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东</w:t>
                  </w:r>
                </w:p>
              </w:tc>
              <w:tc>
                <w:tcPr>
                  <w:tcW w:w="300"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南</w:t>
                  </w:r>
                </w:p>
              </w:tc>
              <w:tc>
                <w:tcPr>
                  <w:tcW w:w="300"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西</w:t>
                  </w:r>
                </w:p>
              </w:tc>
              <w:tc>
                <w:tcPr>
                  <w:tcW w:w="301" w:type="dxa"/>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val="en-US" w:eastAsia="zh-CN"/>
                    </w:rPr>
                    <w:t>北</w:t>
                  </w:r>
                </w:p>
              </w:tc>
              <w:tc>
                <w:tcPr>
                  <w:tcW w:w="430" w:type="dxa"/>
                  <w:shd w:val="clear" w:color="auto" w:fill="auto"/>
                  <w:tcMar>
                    <w:top w:w="0" w:type="dxa"/>
                    <w:left w:w="0" w:type="dxa"/>
                    <w:bottom w:w="0" w:type="dxa"/>
                    <w:right w:w="0" w:type="dxa"/>
                  </w:tcMar>
                  <w:vAlign w:val="center"/>
                </w:tcPr>
                <w:p>
                  <w:pPr>
                    <w:pStyle w:val="6"/>
                    <w:bidi w:val="0"/>
                    <w:rPr>
                      <w:sz w:val="18"/>
                      <w:szCs w:val="18"/>
                    </w:rPr>
                  </w:pPr>
                  <w:r>
                    <w:rPr>
                      <w:sz w:val="18"/>
                      <w:szCs w:val="18"/>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48" w:type="dxa"/>
                  <w:shd w:val="clear" w:color="auto" w:fill="auto"/>
                  <w:tcMar>
                    <w:top w:w="0" w:type="dxa"/>
                    <w:left w:w="0" w:type="dxa"/>
                    <w:bottom w:w="0" w:type="dxa"/>
                    <w:right w:w="0" w:type="dxa"/>
                  </w:tcMar>
                  <w:vAlign w:val="center"/>
                </w:tcPr>
                <w:p>
                  <w:pPr>
                    <w:pStyle w:val="6"/>
                    <w:bidi w:val="0"/>
                    <w:rPr>
                      <w:sz w:val="18"/>
                      <w:szCs w:val="18"/>
                    </w:rPr>
                  </w:pPr>
                  <w:r>
                    <w:rPr>
                      <w:sz w:val="18"/>
                      <w:szCs w:val="18"/>
                    </w:rPr>
                    <w:t>1</w:t>
                  </w:r>
                </w:p>
              </w:tc>
              <w:tc>
                <w:tcPr>
                  <w:tcW w:w="331" w:type="dxa"/>
                  <w:vMerge w:val="restart"/>
                  <w:shd w:val="clear" w:color="auto" w:fill="auto"/>
                  <w:tcMar>
                    <w:top w:w="0" w:type="dxa"/>
                    <w:left w:w="0" w:type="dxa"/>
                    <w:bottom w:w="0" w:type="dxa"/>
                    <w:right w:w="0" w:type="dxa"/>
                  </w:tcMar>
                  <w:vAlign w:val="center"/>
                </w:tcPr>
                <w:p>
                  <w:pPr>
                    <w:pStyle w:val="6"/>
                    <w:bidi w:val="0"/>
                    <w:rPr>
                      <w:rFonts w:hint="default" w:eastAsia="宋体"/>
                      <w:sz w:val="18"/>
                      <w:szCs w:val="18"/>
                      <w:lang w:val="en-US" w:eastAsia="zh-CN"/>
                    </w:rPr>
                  </w:pPr>
                  <w:r>
                    <w:rPr>
                      <w:rFonts w:hint="eastAsia"/>
                      <w:sz w:val="18"/>
                      <w:szCs w:val="18"/>
                      <w:lang w:val="en-US" w:eastAsia="zh-CN"/>
                    </w:rPr>
                    <w:t>生产车间</w:t>
                  </w:r>
                </w:p>
              </w:tc>
              <w:tc>
                <w:tcPr>
                  <w:tcW w:w="314" w:type="dxa"/>
                  <w:shd w:val="clear" w:color="auto" w:fill="auto"/>
                  <w:tcMar>
                    <w:top w:w="0" w:type="dxa"/>
                    <w:left w:w="0" w:type="dxa"/>
                    <w:bottom w:w="0" w:type="dxa"/>
                    <w:right w:w="0" w:type="dxa"/>
                  </w:tcMar>
                  <w:vAlign w:val="center"/>
                </w:tcPr>
                <w:p>
                  <w:pPr>
                    <w:pStyle w:val="6"/>
                    <w:bidi w:val="0"/>
                    <w:rPr>
                      <w:sz w:val="18"/>
                      <w:szCs w:val="18"/>
                    </w:rPr>
                  </w:pPr>
                  <w:r>
                    <w:rPr>
                      <w:sz w:val="18"/>
                      <w:szCs w:val="18"/>
                    </w:rPr>
                    <w:t>卧式搅拌机</w:t>
                  </w:r>
                </w:p>
              </w:tc>
              <w:tc>
                <w:tcPr>
                  <w:tcW w:w="248" w:type="dxa"/>
                  <w:shd w:val="clear" w:color="auto" w:fill="auto"/>
                  <w:tcMar>
                    <w:top w:w="0" w:type="dxa"/>
                    <w:left w:w="0" w:type="dxa"/>
                    <w:bottom w:w="0" w:type="dxa"/>
                    <w:right w:w="0" w:type="dxa"/>
                  </w:tcMar>
                  <w:vAlign w:val="center"/>
                </w:tcPr>
                <w:p>
                  <w:pPr>
                    <w:pStyle w:val="6"/>
                    <w:bidi w:val="0"/>
                    <w:rPr>
                      <w:sz w:val="18"/>
                      <w:szCs w:val="18"/>
                    </w:rPr>
                  </w:pPr>
                </w:p>
              </w:tc>
              <w:tc>
                <w:tcPr>
                  <w:tcW w:w="379" w:type="dxa"/>
                  <w:shd w:val="clear" w:color="auto" w:fill="auto"/>
                  <w:tcMar>
                    <w:top w:w="0" w:type="dxa"/>
                    <w:left w:w="0" w:type="dxa"/>
                    <w:bottom w:w="0" w:type="dxa"/>
                    <w:right w:w="0" w:type="dxa"/>
                  </w:tcMar>
                  <w:vAlign w:val="center"/>
                </w:tcPr>
                <w:p>
                  <w:pPr>
                    <w:pStyle w:val="6"/>
                    <w:bidi w:val="0"/>
                    <w:rPr>
                      <w:sz w:val="18"/>
                      <w:szCs w:val="18"/>
                    </w:rPr>
                  </w:pPr>
                  <w:r>
                    <w:rPr>
                      <w:sz w:val="18"/>
                      <w:szCs w:val="18"/>
                    </w:rPr>
                    <w:t>85</w:t>
                  </w:r>
                </w:p>
              </w:tc>
              <w:tc>
                <w:tcPr>
                  <w:tcW w:w="322" w:type="dxa"/>
                  <w:vMerge w:val="restart"/>
                  <w:shd w:val="clear" w:color="auto" w:fill="auto"/>
                  <w:tcMar>
                    <w:top w:w="0" w:type="dxa"/>
                    <w:left w:w="0" w:type="dxa"/>
                    <w:bottom w:w="0" w:type="dxa"/>
                    <w:right w:w="0" w:type="dxa"/>
                  </w:tcMar>
                  <w:vAlign w:val="center"/>
                </w:tcPr>
                <w:p>
                  <w:pPr>
                    <w:pStyle w:val="6"/>
                    <w:bidi w:val="0"/>
                    <w:rPr>
                      <w:sz w:val="18"/>
                      <w:szCs w:val="18"/>
                    </w:rPr>
                  </w:pPr>
                  <w:r>
                    <w:rPr>
                      <w:rFonts w:hint="default"/>
                      <w:sz w:val="18"/>
                      <w:szCs w:val="18"/>
                      <w:lang w:val="en-US" w:eastAsia="zh-CN"/>
                    </w:rPr>
                    <w:t>厂房隔声，基础减振</w:t>
                  </w:r>
                </w:p>
              </w:tc>
              <w:tc>
                <w:tcPr>
                  <w:tcW w:w="354" w:type="dxa"/>
                  <w:shd w:val="clear" w:color="auto" w:fill="auto"/>
                  <w:tcMar>
                    <w:top w:w="0" w:type="dxa"/>
                    <w:left w:w="0" w:type="dxa"/>
                    <w:bottom w:w="0" w:type="dxa"/>
                    <w:right w:w="0" w:type="dxa"/>
                  </w:tcMar>
                  <w:vAlign w:val="center"/>
                </w:tcPr>
                <w:p>
                  <w:pPr>
                    <w:pStyle w:val="6"/>
                    <w:bidi w:val="0"/>
                    <w:rPr>
                      <w:sz w:val="18"/>
                      <w:szCs w:val="18"/>
                    </w:rPr>
                  </w:pPr>
                  <w:r>
                    <w:rPr>
                      <w:sz w:val="18"/>
                      <w:szCs w:val="18"/>
                    </w:rPr>
                    <w:t>48.5</w:t>
                  </w:r>
                </w:p>
              </w:tc>
              <w:tc>
                <w:tcPr>
                  <w:tcW w:w="354" w:type="dxa"/>
                  <w:shd w:val="clear" w:color="auto" w:fill="auto"/>
                  <w:tcMar>
                    <w:top w:w="0" w:type="dxa"/>
                    <w:left w:w="0" w:type="dxa"/>
                    <w:bottom w:w="0" w:type="dxa"/>
                    <w:right w:w="0" w:type="dxa"/>
                  </w:tcMar>
                  <w:vAlign w:val="center"/>
                </w:tcPr>
                <w:p>
                  <w:pPr>
                    <w:pStyle w:val="6"/>
                    <w:bidi w:val="0"/>
                    <w:rPr>
                      <w:sz w:val="18"/>
                      <w:szCs w:val="18"/>
                    </w:rPr>
                  </w:pPr>
                  <w:r>
                    <w:rPr>
                      <w:sz w:val="18"/>
                      <w:szCs w:val="18"/>
                    </w:rPr>
                    <w:t>47.5</w:t>
                  </w:r>
                </w:p>
              </w:tc>
              <w:tc>
                <w:tcPr>
                  <w:tcW w:w="363" w:type="dxa"/>
                  <w:shd w:val="clear" w:color="auto" w:fill="auto"/>
                  <w:tcMar>
                    <w:top w:w="0" w:type="dxa"/>
                    <w:left w:w="0" w:type="dxa"/>
                    <w:bottom w:w="0" w:type="dxa"/>
                    <w:right w:w="0" w:type="dxa"/>
                  </w:tcMar>
                  <w:vAlign w:val="center"/>
                </w:tcPr>
                <w:p>
                  <w:pPr>
                    <w:pStyle w:val="6"/>
                    <w:bidi w:val="0"/>
                    <w:rPr>
                      <w:sz w:val="18"/>
                      <w:szCs w:val="18"/>
                    </w:rPr>
                  </w:pPr>
                  <w:r>
                    <w:rPr>
                      <w:sz w:val="18"/>
                      <w:szCs w:val="18"/>
                    </w:rPr>
                    <w:t>1.2</w:t>
                  </w:r>
                </w:p>
              </w:tc>
              <w:tc>
                <w:tcPr>
                  <w:tcW w:w="295" w:type="dxa"/>
                  <w:shd w:val="clear" w:color="auto" w:fill="auto"/>
                  <w:tcMar>
                    <w:top w:w="0" w:type="dxa"/>
                    <w:left w:w="0" w:type="dxa"/>
                    <w:bottom w:w="0" w:type="dxa"/>
                    <w:right w:w="0" w:type="dxa"/>
                  </w:tcMar>
                  <w:vAlign w:val="center"/>
                </w:tcPr>
                <w:p>
                  <w:pPr>
                    <w:pStyle w:val="6"/>
                    <w:bidi w:val="0"/>
                    <w:rPr>
                      <w:sz w:val="18"/>
                      <w:szCs w:val="18"/>
                    </w:rPr>
                  </w:pPr>
                  <w:r>
                    <w:rPr>
                      <w:sz w:val="18"/>
                      <w:szCs w:val="18"/>
                    </w:rPr>
                    <w:t>11.4</w:t>
                  </w:r>
                </w:p>
              </w:tc>
              <w:tc>
                <w:tcPr>
                  <w:tcW w:w="296" w:type="dxa"/>
                  <w:shd w:val="clear" w:color="auto" w:fill="auto"/>
                  <w:tcMar>
                    <w:top w:w="0" w:type="dxa"/>
                    <w:left w:w="0" w:type="dxa"/>
                    <w:bottom w:w="0" w:type="dxa"/>
                    <w:right w:w="0" w:type="dxa"/>
                  </w:tcMar>
                  <w:vAlign w:val="center"/>
                </w:tcPr>
                <w:p>
                  <w:pPr>
                    <w:pStyle w:val="6"/>
                    <w:bidi w:val="0"/>
                    <w:rPr>
                      <w:sz w:val="18"/>
                      <w:szCs w:val="18"/>
                    </w:rPr>
                  </w:pPr>
                  <w:r>
                    <w:rPr>
                      <w:sz w:val="18"/>
                      <w:szCs w:val="18"/>
                    </w:rPr>
                    <w:t>5.9</w:t>
                  </w:r>
                </w:p>
              </w:tc>
              <w:tc>
                <w:tcPr>
                  <w:tcW w:w="296" w:type="dxa"/>
                  <w:shd w:val="clear" w:color="auto" w:fill="auto"/>
                  <w:tcMar>
                    <w:top w:w="0" w:type="dxa"/>
                    <w:left w:w="0" w:type="dxa"/>
                    <w:bottom w:w="0" w:type="dxa"/>
                    <w:right w:w="0" w:type="dxa"/>
                  </w:tcMar>
                  <w:vAlign w:val="center"/>
                </w:tcPr>
                <w:p>
                  <w:pPr>
                    <w:pStyle w:val="6"/>
                    <w:bidi w:val="0"/>
                    <w:rPr>
                      <w:sz w:val="18"/>
                      <w:szCs w:val="18"/>
                    </w:rPr>
                  </w:pPr>
                  <w:r>
                    <w:rPr>
                      <w:sz w:val="18"/>
                      <w:szCs w:val="18"/>
                    </w:rPr>
                    <w:t>4.2</w:t>
                  </w:r>
                </w:p>
              </w:tc>
              <w:tc>
                <w:tcPr>
                  <w:tcW w:w="303" w:type="dxa"/>
                  <w:shd w:val="clear" w:color="auto" w:fill="auto"/>
                  <w:tcMar>
                    <w:top w:w="0" w:type="dxa"/>
                    <w:left w:w="0" w:type="dxa"/>
                    <w:bottom w:w="0" w:type="dxa"/>
                    <w:right w:w="0" w:type="dxa"/>
                  </w:tcMar>
                  <w:vAlign w:val="center"/>
                </w:tcPr>
                <w:p>
                  <w:pPr>
                    <w:pStyle w:val="6"/>
                    <w:bidi w:val="0"/>
                    <w:rPr>
                      <w:sz w:val="18"/>
                      <w:szCs w:val="18"/>
                    </w:rPr>
                  </w:pPr>
                  <w:r>
                    <w:rPr>
                      <w:sz w:val="18"/>
                      <w:szCs w:val="18"/>
                    </w:rPr>
                    <w:t>8.8</w:t>
                  </w:r>
                </w:p>
              </w:tc>
              <w:tc>
                <w:tcPr>
                  <w:tcW w:w="291" w:type="dxa"/>
                  <w:shd w:val="clear" w:color="auto" w:fill="auto"/>
                  <w:tcMar>
                    <w:top w:w="0" w:type="dxa"/>
                    <w:left w:w="0" w:type="dxa"/>
                    <w:bottom w:w="0" w:type="dxa"/>
                    <w:right w:w="0" w:type="dxa"/>
                  </w:tcMar>
                  <w:vAlign w:val="center"/>
                </w:tcPr>
                <w:p>
                  <w:pPr>
                    <w:pStyle w:val="6"/>
                    <w:bidi w:val="0"/>
                    <w:rPr>
                      <w:sz w:val="18"/>
                      <w:szCs w:val="18"/>
                    </w:rPr>
                  </w:pPr>
                  <w:r>
                    <w:rPr>
                      <w:sz w:val="18"/>
                      <w:szCs w:val="18"/>
                    </w:rPr>
                    <w:t>76.1</w:t>
                  </w:r>
                </w:p>
              </w:tc>
              <w:tc>
                <w:tcPr>
                  <w:tcW w:w="291" w:type="dxa"/>
                  <w:shd w:val="clear" w:color="auto" w:fill="auto"/>
                  <w:tcMar>
                    <w:top w:w="0" w:type="dxa"/>
                    <w:left w:w="0" w:type="dxa"/>
                    <w:bottom w:w="0" w:type="dxa"/>
                    <w:right w:w="0" w:type="dxa"/>
                  </w:tcMar>
                  <w:vAlign w:val="center"/>
                </w:tcPr>
                <w:p>
                  <w:pPr>
                    <w:pStyle w:val="6"/>
                    <w:bidi w:val="0"/>
                    <w:rPr>
                      <w:sz w:val="18"/>
                      <w:szCs w:val="18"/>
                    </w:rPr>
                  </w:pPr>
                  <w:r>
                    <w:rPr>
                      <w:sz w:val="18"/>
                      <w:szCs w:val="18"/>
                    </w:rPr>
                    <w:t>76.2</w:t>
                  </w:r>
                </w:p>
              </w:tc>
              <w:tc>
                <w:tcPr>
                  <w:tcW w:w="291" w:type="dxa"/>
                  <w:shd w:val="clear" w:color="auto" w:fill="auto"/>
                  <w:tcMar>
                    <w:top w:w="0" w:type="dxa"/>
                    <w:left w:w="0" w:type="dxa"/>
                    <w:bottom w:w="0" w:type="dxa"/>
                    <w:right w:w="0" w:type="dxa"/>
                  </w:tcMar>
                  <w:vAlign w:val="center"/>
                </w:tcPr>
                <w:p>
                  <w:pPr>
                    <w:pStyle w:val="6"/>
                    <w:bidi w:val="0"/>
                    <w:rPr>
                      <w:sz w:val="18"/>
                      <w:szCs w:val="18"/>
                    </w:rPr>
                  </w:pPr>
                  <w:r>
                    <w:rPr>
                      <w:sz w:val="18"/>
                      <w:szCs w:val="18"/>
                    </w:rPr>
                    <w:t>76.3</w:t>
                  </w:r>
                </w:p>
              </w:tc>
              <w:tc>
                <w:tcPr>
                  <w:tcW w:w="302" w:type="dxa"/>
                  <w:shd w:val="clear" w:color="auto" w:fill="auto"/>
                  <w:tcMar>
                    <w:top w:w="0" w:type="dxa"/>
                    <w:left w:w="0" w:type="dxa"/>
                    <w:bottom w:w="0" w:type="dxa"/>
                    <w:right w:w="0" w:type="dxa"/>
                  </w:tcMar>
                  <w:vAlign w:val="center"/>
                </w:tcPr>
                <w:p>
                  <w:pPr>
                    <w:pStyle w:val="6"/>
                    <w:bidi w:val="0"/>
                    <w:rPr>
                      <w:sz w:val="18"/>
                      <w:szCs w:val="18"/>
                    </w:rPr>
                  </w:pPr>
                  <w:r>
                    <w:rPr>
                      <w:sz w:val="18"/>
                      <w:szCs w:val="18"/>
                    </w:rPr>
                    <w:t>76.1</w:t>
                  </w:r>
                </w:p>
              </w:tc>
              <w:tc>
                <w:tcPr>
                  <w:tcW w:w="251" w:type="dxa"/>
                  <w:vMerge w:val="restart"/>
                  <w:shd w:val="clear" w:color="auto" w:fill="auto"/>
                  <w:tcMar>
                    <w:top w:w="0" w:type="dxa"/>
                    <w:left w:w="0" w:type="dxa"/>
                    <w:bottom w:w="0" w:type="dxa"/>
                    <w:right w:w="0" w:type="dxa"/>
                  </w:tcMar>
                  <w:vAlign w:val="center"/>
                </w:tcPr>
                <w:p>
                  <w:pPr>
                    <w:pStyle w:val="6"/>
                    <w:bidi w:val="0"/>
                    <w:rPr>
                      <w:sz w:val="18"/>
                      <w:szCs w:val="18"/>
                    </w:rPr>
                  </w:pPr>
                  <w:r>
                    <w:rPr>
                      <w:rFonts w:hint="eastAsia"/>
                      <w:sz w:val="18"/>
                      <w:szCs w:val="18"/>
                      <w:lang w:eastAsia="zh-CN"/>
                    </w:rPr>
                    <w:t>1</w:t>
                  </w:r>
                  <w:r>
                    <w:rPr>
                      <w:rFonts w:hint="eastAsia"/>
                      <w:sz w:val="18"/>
                      <w:szCs w:val="18"/>
                      <w:lang w:val="en-US" w:eastAsia="zh-CN"/>
                    </w:rPr>
                    <w:t>0:00-19:00</w:t>
                  </w:r>
                </w:p>
              </w:tc>
              <w:tc>
                <w:tcPr>
                  <w:tcW w:w="280"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280"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280"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294"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300" w:type="dxa"/>
                  <w:shd w:val="clear" w:color="auto" w:fill="auto"/>
                  <w:tcMar>
                    <w:top w:w="0" w:type="dxa"/>
                    <w:left w:w="0" w:type="dxa"/>
                    <w:bottom w:w="0" w:type="dxa"/>
                    <w:right w:w="0" w:type="dxa"/>
                  </w:tcMar>
                  <w:vAlign w:val="center"/>
                </w:tcPr>
                <w:p>
                  <w:pPr>
                    <w:pStyle w:val="6"/>
                    <w:bidi w:val="0"/>
                    <w:rPr>
                      <w:sz w:val="18"/>
                      <w:szCs w:val="18"/>
                    </w:rPr>
                  </w:pPr>
                  <w:r>
                    <w:rPr>
                      <w:sz w:val="18"/>
                      <w:szCs w:val="18"/>
                    </w:rPr>
                    <w:t>50.1</w:t>
                  </w:r>
                </w:p>
              </w:tc>
              <w:tc>
                <w:tcPr>
                  <w:tcW w:w="300" w:type="dxa"/>
                  <w:shd w:val="clear" w:color="auto" w:fill="auto"/>
                  <w:tcMar>
                    <w:top w:w="0" w:type="dxa"/>
                    <w:left w:w="0" w:type="dxa"/>
                    <w:bottom w:w="0" w:type="dxa"/>
                    <w:right w:w="0" w:type="dxa"/>
                  </w:tcMar>
                  <w:vAlign w:val="center"/>
                </w:tcPr>
                <w:p>
                  <w:pPr>
                    <w:pStyle w:val="6"/>
                    <w:bidi w:val="0"/>
                    <w:rPr>
                      <w:sz w:val="18"/>
                      <w:szCs w:val="18"/>
                    </w:rPr>
                  </w:pPr>
                  <w:r>
                    <w:rPr>
                      <w:sz w:val="18"/>
                      <w:szCs w:val="18"/>
                    </w:rPr>
                    <w:t>50.2</w:t>
                  </w:r>
                </w:p>
              </w:tc>
              <w:tc>
                <w:tcPr>
                  <w:tcW w:w="300" w:type="dxa"/>
                  <w:shd w:val="clear" w:color="auto" w:fill="auto"/>
                  <w:tcMar>
                    <w:top w:w="0" w:type="dxa"/>
                    <w:left w:w="0" w:type="dxa"/>
                    <w:bottom w:w="0" w:type="dxa"/>
                    <w:right w:w="0" w:type="dxa"/>
                  </w:tcMar>
                  <w:vAlign w:val="center"/>
                </w:tcPr>
                <w:p>
                  <w:pPr>
                    <w:pStyle w:val="6"/>
                    <w:bidi w:val="0"/>
                    <w:rPr>
                      <w:sz w:val="18"/>
                      <w:szCs w:val="18"/>
                    </w:rPr>
                  </w:pPr>
                  <w:r>
                    <w:rPr>
                      <w:sz w:val="18"/>
                      <w:szCs w:val="18"/>
                    </w:rPr>
                    <w:t>50.3</w:t>
                  </w:r>
                </w:p>
              </w:tc>
              <w:tc>
                <w:tcPr>
                  <w:tcW w:w="301" w:type="dxa"/>
                  <w:shd w:val="clear" w:color="auto" w:fill="auto"/>
                  <w:tcMar>
                    <w:top w:w="0" w:type="dxa"/>
                    <w:left w:w="0" w:type="dxa"/>
                    <w:bottom w:w="0" w:type="dxa"/>
                    <w:right w:w="0" w:type="dxa"/>
                  </w:tcMar>
                  <w:vAlign w:val="center"/>
                </w:tcPr>
                <w:p>
                  <w:pPr>
                    <w:pStyle w:val="6"/>
                    <w:bidi w:val="0"/>
                    <w:rPr>
                      <w:sz w:val="18"/>
                      <w:szCs w:val="18"/>
                    </w:rPr>
                  </w:pPr>
                  <w:r>
                    <w:rPr>
                      <w:sz w:val="18"/>
                      <w:szCs w:val="18"/>
                    </w:rPr>
                    <w:t>50.1</w:t>
                  </w:r>
                </w:p>
              </w:tc>
              <w:tc>
                <w:tcPr>
                  <w:tcW w:w="430" w:type="dxa"/>
                  <w:shd w:val="clear" w:color="auto" w:fill="auto"/>
                  <w:tcMar>
                    <w:top w:w="0" w:type="dxa"/>
                    <w:left w:w="0" w:type="dxa"/>
                    <w:bottom w:w="0" w:type="dxa"/>
                    <w:right w:w="0" w:type="dxa"/>
                  </w:tcMar>
                  <w:vAlign w:val="center"/>
                </w:tcPr>
                <w:p>
                  <w:pPr>
                    <w:pStyle w:val="6"/>
                    <w:bidi w:val="0"/>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48" w:type="dxa"/>
                  <w:shd w:val="clear" w:color="auto" w:fill="auto"/>
                  <w:tcMar>
                    <w:top w:w="0" w:type="dxa"/>
                    <w:left w:w="0" w:type="dxa"/>
                    <w:bottom w:w="0" w:type="dxa"/>
                    <w:right w:w="0" w:type="dxa"/>
                  </w:tcMar>
                  <w:vAlign w:val="center"/>
                </w:tcPr>
                <w:p>
                  <w:pPr>
                    <w:pStyle w:val="6"/>
                    <w:bidi w:val="0"/>
                    <w:rPr>
                      <w:sz w:val="18"/>
                      <w:szCs w:val="18"/>
                    </w:rPr>
                  </w:pPr>
                  <w:r>
                    <w:rPr>
                      <w:sz w:val="18"/>
                      <w:szCs w:val="18"/>
                    </w:rPr>
                    <w:t>2</w:t>
                  </w:r>
                </w:p>
              </w:tc>
              <w:tc>
                <w:tcPr>
                  <w:tcW w:w="331" w:type="dxa"/>
                  <w:vMerge w:val="continue"/>
                  <w:shd w:val="clear" w:color="auto" w:fill="auto"/>
                  <w:tcMar>
                    <w:top w:w="0" w:type="dxa"/>
                    <w:left w:w="0" w:type="dxa"/>
                    <w:bottom w:w="0" w:type="dxa"/>
                    <w:right w:w="0" w:type="dxa"/>
                  </w:tcMar>
                  <w:vAlign w:val="center"/>
                </w:tcPr>
                <w:p>
                  <w:pPr>
                    <w:pStyle w:val="6"/>
                    <w:bidi w:val="0"/>
                    <w:rPr>
                      <w:sz w:val="18"/>
                      <w:szCs w:val="18"/>
                    </w:rPr>
                  </w:pPr>
                </w:p>
              </w:tc>
              <w:tc>
                <w:tcPr>
                  <w:tcW w:w="314" w:type="dxa"/>
                  <w:shd w:val="clear" w:color="auto" w:fill="auto"/>
                  <w:tcMar>
                    <w:top w:w="0" w:type="dxa"/>
                    <w:left w:w="0" w:type="dxa"/>
                    <w:bottom w:w="0" w:type="dxa"/>
                    <w:right w:w="0" w:type="dxa"/>
                  </w:tcMar>
                  <w:vAlign w:val="center"/>
                </w:tcPr>
                <w:p>
                  <w:pPr>
                    <w:pStyle w:val="6"/>
                    <w:bidi w:val="0"/>
                    <w:rPr>
                      <w:sz w:val="18"/>
                      <w:szCs w:val="18"/>
                    </w:rPr>
                  </w:pPr>
                  <w:r>
                    <w:rPr>
                      <w:sz w:val="18"/>
                      <w:szCs w:val="18"/>
                    </w:rPr>
                    <w:t>输送带</w:t>
                  </w:r>
                </w:p>
              </w:tc>
              <w:tc>
                <w:tcPr>
                  <w:tcW w:w="248" w:type="dxa"/>
                  <w:shd w:val="clear" w:color="auto" w:fill="auto"/>
                  <w:tcMar>
                    <w:top w:w="0" w:type="dxa"/>
                    <w:left w:w="0" w:type="dxa"/>
                    <w:bottom w:w="0" w:type="dxa"/>
                    <w:right w:w="0" w:type="dxa"/>
                  </w:tcMar>
                  <w:vAlign w:val="center"/>
                </w:tcPr>
                <w:p>
                  <w:pPr>
                    <w:pStyle w:val="6"/>
                    <w:bidi w:val="0"/>
                    <w:rPr>
                      <w:sz w:val="18"/>
                      <w:szCs w:val="18"/>
                    </w:rPr>
                  </w:pPr>
                </w:p>
              </w:tc>
              <w:tc>
                <w:tcPr>
                  <w:tcW w:w="379" w:type="dxa"/>
                  <w:shd w:val="clear" w:color="auto" w:fill="auto"/>
                  <w:tcMar>
                    <w:top w:w="0" w:type="dxa"/>
                    <w:left w:w="0" w:type="dxa"/>
                    <w:bottom w:w="0" w:type="dxa"/>
                    <w:right w:w="0" w:type="dxa"/>
                  </w:tcMar>
                  <w:vAlign w:val="center"/>
                </w:tcPr>
                <w:p>
                  <w:pPr>
                    <w:pStyle w:val="6"/>
                    <w:bidi w:val="0"/>
                    <w:rPr>
                      <w:sz w:val="18"/>
                      <w:szCs w:val="18"/>
                    </w:rPr>
                  </w:pPr>
                  <w:r>
                    <w:rPr>
                      <w:sz w:val="18"/>
                      <w:szCs w:val="18"/>
                    </w:rPr>
                    <w:t>70</w:t>
                  </w:r>
                </w:p>
              </w:tc>
              <w:tc>
                <w:tcPr>
                  <w:tcW w:w="322" w:type="dxa"/>
                  <w:vMerge w:val="continue"/>
                  <w:shd w:val="clear" w:color="auto" w:fill="auto"/>
                  <w:tcMar>
                    <w:top w:w="0" w:type="dxa"/>
                    <w:left w:w="0" w:type="dxa"/>
                    <w:bottom w:w="0" w:type="dxa"/>
                    <w:right w:w="0" w:type="dxa"/>
                  </w:tcMar>
                  <w:vAlign w:val="center"/>
                </w:tcPr>
                <w:p>
                  <w:pPr>
                    <w:pStyle w:val="6"/>
                    <w:bidi w:val="0"/>
                    <w:rPr>
                      <w:sz w:val="18"/>
                      <w:szCs w:val="18"/>
                    </w:rPr>
                  </w:pPr>
                </w:p>
              </w:tc>
              <w:tc>
                <w:tcPr>
                  <w:tcW w:w="354" w:type="dxa"/>
                  <w:shd w:val="clear" w:color="auto" w:fill="auto"/>
                  <w:tcMar>
                    <w:top w:w="0" w:type="dxa"/>
                    <w:left w:w="0" w:type="dxa"/>
                    <w:bottom w:w="0" w:type="dxa"/>
                    <w:right w:w="0" w:type="dxa"/>
                  </w:tcMar>
                  <w:vAlign w:val="center"/>
                </w:tcPr>
                <w:p>
                  <w:pPr>
                    <w:pStyle w:val="6"/>
                    <w:bidi w:val="0"/>
                    <w:rPr>
                      <w:sz w:val="18"/>
                      <w:szCs w:val="18"/>
                    </w:rPr>
                  </w:pPr>
                  <w:r>
                    <w:rPr>
                      <w:sz w:val="18"/>
                      <w:szCs w:val="18"/>
                    </w:rPr>
                    <w:t>48</w:t>
                  </w:r>
                </w:p>
              </w:tc>
              <w:tc>
                <w:tcPr>
                  <w:tcW w:w="354" w:type="dxa"/>
                  <w:shd w:val="clear" w:color="auto" w:fill="auto"/>
                  <w:tcMar>
                    <w:top w:w="0" w:type="dxa"/>
                    <w:left w:w="0" w:type="dxa"/>
                    <w:bottom w:w="0" w:type="dxa"/>
                    <w:right w:w="0" w:type="dxa"/>
                  </w:tcMar>
                  <w:vAlign w:val="center"/>
                </w:tcPr>
                <w:p>
                  <w:pPr>
                    <w:pStyle w:val="6"/>
                    <w:bidi w:val="0"/>
                    <w:rPr>
                      <w:sz w:val="18"/>
                      <w:szCs w:val="18"/>
                    </w:rPr>
                  </w:pPr>
                  <w:r>
                    <w:rPr>
                      <w:sz w:val="18"/>
                      <w:szCs w:val="18"/>
                    </w:rPr>
                    <w:t>47.2</w:t>
                  </w:r>
                </w:p>
              </w:tc>
              <w:tc>
                <w:tcPr>
                  <w:tcW w:w="363" w:type="dxa"/>
                  <w:shd w:val="clear" w:color="auto" w:fill="auto"/>
                  <w:tcMar>
                    <w:top w:w="0" w:type="dxa"/>
                    <w:left w:w="0" w:type="dxa"/>
                    <w:bottom w:w="0" w:type="dxa"/>
                    <w:right w:w="0" w:type="dxa"/>
                  </w:tcMar>
                  <w:vAlign w:val="center"/>
                </w:tcPr>
                <w:p>
                  <w:pPr>
                    <w:pStyle w:val="6"/>
                    <w:bidi w:val="0"/>
                    <w:rPr>
                      <w:sz w:val="18"/>
                      <w:szCs w:val="18"/>
                    </w:rPr>
                  </w:pPr>
                  <w:r>
                    <w:rPr>
                      <w:sz w:val="18"/>
                      <w:szCs w:val="18"/>
                    </w:rPr>
                    <w:t>1.2</w:t>
                  </w:r>
                </w:p>
              </w:tc>
              <w:tc>
                <w:tcPr>
                  <w:tcW w:w="295" w:type="dxa"/>
                  <w:shd w:val="clear" w:color="auto" w:fill="auto"/>
                  <w:tcMar>
                    <w:top w:w="0" w:type="dxa"/>
                    <w:left w:w="0" w:type="dxa"/>
                    <w:bottom w:w="0" w:type="dxa"/>
                    <w:right w:w="0" w:type="dxa"/>
                  </w:tcMar>
                  <w:vAlign w:val="center"/>
                </w:tcPr>
                <w:p>
                  <w:pPr>
                    <w:pStyle w:val="6"/>
                    <w:bidi w:val="0"/>
                    <w:rPr>
                      <w:sz w:val="18"/>
                      <w:szCs w:val="18"/>
                    </w:rPr>
                  </w:pPr>
                  <w:r>
                    <w:rPr>
                      <w:sz w:val="18"/>
                      <w:szCs w:val="18"/>
                    </w:rPr>
                    <w:t>11.9</w:t>
                  </w:r>
                </w:p>
              </w:tc>
              <w:tc>
                <w:tcPr>
                  <w:tcW w:w="296" w:type="dxa"/>
                  <w:shd w:val="clear" w:color="auto" w:fill="auto"/>
                  <w:tcMar>
                    <w:top w:w="0" w:type="dxa"/>
                    <w:left w:w="0" w:type="dxa"/>
                    <w:bottom w:w="0" w:type="dxa"/>
                    <w:right w:w="0" w:type="dxa"/>
                  </w:tcMar>
                  <w:vAlign w:val="center"/>
                </w:tcPr>
                <w:p>
                  <w:pPr>
                    <w:pStyle w:val="6"/>
                    <w:bidi w:val="0"/>
                    <w:rPr>
                      <w:sz w:val="18"/>
                      <w:szCs w:val="18"/>
                    </w:rPr>
                  </w:pPr>
                  <w:r>
                    <w:rPr>
                      <w:sz w:val="18"/>
                      <w:szCs w:val="18"/>
                    </w:rPr>
                    <w:t>5.9</w:t>
                  </w:r>
                </w:p>
              </w:tc>
              <w:tc>
                <w:tcPr>
                  <w:tcW w:w="296" w:type="dxa"/>
                  <w:shd w:val="clear" w:color="auto" w:fill="auto"/>
                  <w:tcMar>
                    <w:top w:w="0" w:type="dxa"/>
                    <w:left w:w="0" w:type="dxa"/>
                    <w:bottom w:w="0" w:type="dxa"/>
                    <w:right w:w="0" w:type="dxa"/>
                  </w:tcMar>
                  <w:vAlign w:val="center"/>
                </w:tcPr>
                <w:p>
                  <w:pPr>
                    <w:pStyle w:val="6"/>
                    <w:bidi w:val="0"/>
                    <w:rPr>
                      <w:sz w:val="18"/>
                      <w:szCs w:val="18"/>
                    </w:rPr>
                  </w:pPr>
                  <w:r>
                    <w:rPr>
                      <w:sz w:val="18"/>
                      <w:szCs w:val="18"/>
                    </w:rPr>
                    <w:t>3.6</w:t>
                  </w:r>
                </w:p>
              </w:tc>
              <w:tc>
                <w:tcPr>
                  <w:tcW w:w="303" w:type="dxa"/>
                  <w:shd w:val="clear" w:color="auto" w:fill="auto"/>
                  <w:tcMar>
                    <w:top w:w="0" w:type="dxa"/>
                    <w:left w:w="0" w:type="dxa"/>
                    <w:bottom w:w="0" w:type="dxa"/>
                    <w:right w:w="0" w:type="dxa"/>
                  </w:tcMar>
                  <w:vAlign w:val="center"/>
                </w:tcPr>
                <w:p>
                  <w:pPr>
                    <w:pStyle w:val="6"/>
                    <w:bidi w:val="0"/>
                    <w:rPr>
                      <w:sz w:val="18"/>
                      <w:szCs w:val="18"/>
                    </w:rPr>
                  </w:pPr>
                  <w:r>
                    <w:rPr>
                      <w:sz w:val="18"/>
                      <w:szCs w:val="18"/>
                    </w:rPr>
                    <w:t>8.8</w:t>
                  </w:r>
                </w:p>
              </w:tc>
              <w:tc>
                <w:tcPr>
                  <w:tcW w:w="291" w:type="dxa"/>
                  <w:shd w:val="clear" w:color="auto" w:fill="auto"/>
                  <w:tcMar>
                    <w:top w:w="0" w:type="dxa"/>
                    <w:left w:w="0" w:type="dxa"/>
                    <w:bottom w:w="0" w:type="dxa"/>
                    <w:right w:w="0" w:type="dxa"/>
                  </w:tcMar>
                  <w:vAlign w:val="center"/>
                </w:tcPr>
                <w:p>
                  <w:pPr>
                    <w:pStyle w:val="6"/>
                    <w:bidi w:val="0"/>
                    <w:rPr>
                      <w:sz w:val="18"/>
                      <w:szCs w:val="18"/>
                    </w:rPr>
                  </w:pPr>
                  <w:r>
                    <w:rPr>
                      <w:sz w:val="18"/>
                      <w:szCs w:val="18"/>
                    </w:rPr>
                    <w:t>61.1</w:t>
                  </w:r>
                </w:p>
              </w:tc>
              <w:tc>
                <w:tcPr>
                  <w:tcW w:w="291" w:type="dxa"/>
                  <w:shd w:val="clear" w:color="auto" w:fill="auto"/>
                  <w:tcMar>
                    <w:top w:w="0" w:type="dxa"/>
                    <w:left w:w="0" w:type="dxa"/>
                    <w:bottom w:w="0" w:type="dxa"/>
                    <w:right w:w="0" w:type="dxa"/>
                  </w:tcMar>
                  <w:vAlign w:val="center"/>
                </w:tcPr>
                <w:p>
                  <w:pPr>
                    <w:pStyle w:val="6"/>
                    <w:bidi w:val="0"/>
                    <w:rPr>
                      <w:sz w:val="18"/>
                      <w:szCs w:val="18"/>
                    </w:rPr>
                  </w:pPr>
                  <w:r>
                    <w:rPr>
                      <w:sz w:val="18"/>
                      <w:szCs w:val="18"/>
                    </w:rPr>
                    <w:t>61.2</w:t>
                  </w:r>
                </w:p>
              </w:tc>
              <w:tc>
                <w:tcPr>
                  <w:tcW w:w="291" w:type="dxa"/>
                  <w:shd w:val="clear" w:color="auto" w:fill="auto"/>
                  <w:tcMar>
                    <w:top w:w="0" w:type="dxa"/>
                    <w:left w:w="0" w:type="dxa"/>
                    <w:bottom w:w="0" w:type="dxa"/>
                    <w:right w:w="0" w:type="dxa"/>
                  </w:tcMar>
                  <w:vAlign w:val="center"/>
                </w:tcPr>
                <w:p>
                  <w:pPr>
                    <w:pStyle w:val="6"/>
                    <w:bidi w:val="0"/>
                    <w:rPr>
                      <w:sz w:val="18"/>
                      <w:szCs w:val="18"/>
                    </w:rPr>
                  </w:pPr>
                  <w:r>
                    <w:rPr>
                      <w:sz w:val="18"/>
                      <w:szCs w:val="18"/>
                    </w:rPr>
                    <w:t>61.3</w:t>
                  </w:r>
                </w:p>
              </w:tc>
              <w:tc>
                <w:tcPr>
                  <w:tcW w:w="302" w:type="dxa"/>
                  <w:shd w:val="clear" w:color="auto" w:fill="auto"/>
                  <w:tcMar>
                    <w:top w:w="0" w:type="dxa"/>
                    <w:left w:w="0" w:type="dxa"/>
                    <w:bottom w:w="0" w:type="dxa"/>
                    <w:right w:w="0" w:type="dxa"/>
                  </w:tcMar>
                  <w:vAlign w:val="center"/>
                </w:tcPr>
                <w:p>
                  <w:pPr>
                    <w:pStyle w:val="6"/>
                    <w:bidi w:val="0"/>
                    <w:rPr>
                      <w:sz w:val="18"/>
                      <w:szCs w:val="18"/>
                    </w:rPr>
                  </w:pPr>
                  <w:r>
                    <w:rPr>
                      <w:sz w:val="18"/>
                      <w:szCs w:val="18"/>
                    </w:rPr>
                    <w:t>61.1</w:t>
                  </w:r>
                </w:p>
              </w:tc>
              <w:tc>
                <w:tcPr>
                  <w:tcW w:w="251" w:type="dxa"/>
                  <w:vMerge w:val="continue"/>
                  <w:shd w:val="clear" w:color="auto" w:fill="auto"/>
                  <w:tcMar>
                    <w:top w:w="0" w:type="dxa"/>
                    <w:left w:w="0" w:type="dxa"/>
                    <w:bottom w:w="0" w:type="dxa"/>
                    <w:right w:w="0" w:type="dxa"/>
                  </w:tcMar>
                  <w:vAlign w:val="center"/>
                </w:tcPr>
                <w:p>
                  <w:pPr>
                    <w:pStyle w:val="6"/>
                    <w:bidi w:val="0"/>
                    <w:rPr>
                      <w:sz w:val="18"/>
                      <w:szCs w:val="18"/>
                    </w:rPr>
                  </w:pPr>
                </w:p>
              </w:tc>
              <w:tc>
                <w:tcPr>
                  <w:tcW w:w="280"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280"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280"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294"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300" w:type="dxa"/>
                  <w:shd w:val="clear" w:color="auto" w:fill="auto"/>
                  <w:tcMar>
                    <w:top w:w="0" w:type="dxa"/>
                    <w:left w:w="0" w:type="dxa"/>
                    <w:bottom w:w="0" w:type="dxa"/>
                    <w:right w:w="0" w:type="dxa"/>
                  </w:tcMar>
                  <w:vAlign w:val="center"/>
                </w:tcPr>
                <w:p>
                  <w:pPr>
                    <w:pStyle w:val="6"/>
                    <w:bidi w:val="0"/>
                    <w:rPr>
                      <w:sz w:val="18"/>
                      <w:szCs w:val="18"/>
                    </w:rPr>
                  </w:pPr>
                  <w:r>
                    <w:rPr>
                      <w:sz w:val="18"/>
                      <w:szCs w:val="18"/>
                    </w:rPr>
                    <w:t>35.1</w:t>
                  </w:r>
                </w:p>
              </w:tc>
              <w:tc>
                <w:tcPr>
                  <w:tcW w:w="300" w:type="dxa"/>
                  <w:shd w:val="clear" w:color="auto" w:fill="auto"/>
                  <w:tcMar>
                    <w:top w:w="0" w:type="dxa"/>
                    <w:left w:w="0" w:type="dxa"/>
                    <w:bottom w:w="0" w:type="dxa"/>
                    <w:right w:w="0" w:type="dxa"/>
                  </w:tcMar>
                  <w:vAlign w:val="center"/>
                </w:tcPr>
                <w:p>
                  <w:pPr>
                    <w:pStyle w:val="6"/>
                    <w:bidi w:val="0"/>
                    <w:rPr>
                      <w:sz w:val="18"/>
                      <w:szCs w:val="18"/>
                    </w:rPr>
                  </w:pPr>
                  <w:r>
                    <w:rPr>
                      <w:sz w:val="18"/>
                      <w:szCs w:val="18"/>
                    </w:rPr>
                    <w:t>35.2</w:t>
                  </w:r>
                </w:p>
              </w:tc>
              <w:tc>
                <w:tcPr>
                  <w:tcW w:w="300" w:type="dxa"/>
                  <w:shd w:val="clear" w:color="auto" w:fill="auto"/>
                  <w:tcMar>
                    <w:top w:w="0" w:type="dxa"/>
                    <w:left w:w="0" w:type="dxa"/>
                    <w:bottom w:w="0" w:type="dxa"/>
                    <w:right w:w="0" w:type="dxa"/>
                  </w:tcMar>
                  <w:vAlign w:val="center"/>
                </w:tcPr>
                <w:p>
                  <w:pPr>
                    <w:pStyle w:val="6"/>
                    <w:bidi w:val="0"/>
                    <w:rPr>
                      <w:sz w:val="18"/>
                      <w:szCs w:val="18"/>
                    </w:rPr>
                  </w:pPr>
                  <w:r>
                    <w:rPr>
                      <w:sz w:val="18"/>
                      <w:szCs w:val="18"/>
                    </w:rPr>
                    <w:t>35.3</w:t>
                  </w:r>
                </w:p>
              </w:tc>
              <w:tc>
                <w:tcPr>
                  <w:tcW w:w="301" w:type="dxa"/>
                  <w:shd w:val="clear" w:color="auto" w:fill="auto"/>
                  <w:tcMar>
                    <w:top w:w="0" w:type="dxa"/>
                    <w:left w:w="0" w:type="dxa"/>
                    <w:bottom w:w="0" w:type="dxa"/>
                    <w:right w:w="0" w:type="dxa"/>
                  </w:tcMar>
                  <w:vAlign w:val="center"/>
                </w:tcPr>
                <w:p>
                  <w:pPr>
                    <w:pStyle w:val="6"/>
                    <w:bidi w:val="0"/>
                    <w:rPr>
                      <w:sz w:val="18"/>
                      <w:szCs w:val="18"/>
                    </w:rPr>
                  </w:pPr>
                  <w:r>
                    <w:rPr>
                      <w:sz w:val="18"/>
                      <w:szCs w:val="18"/>
                    </w:rPr>
                    <w:t>35.1</w:t>
                  </w:r>
                </w:p>
              </w:tc>
              <w:tc>
                <w:tcPr>
                  <w:tcW w:w="430" w:type="dxa"/>
                  <w:shd w:val="clear" w:color="auto" w:fill="auto"/>
                  <w:tcMar>
                    <w:top w:w="0" w:type="dxa"/>
                    <w:left w:w="0" w:type="dxa"/>
                    <w:bottom w:w="0" w:type="dxa"/>
                    <w:right w:w="0" w:type="dxa"/>
                  </w:tcMar>
                  <w:vAlign w:val="center"/>
                </w:tcPr>
                <w:p>
                  <w:pPr>
                    <w:pStyle w:val="6"/>
                    <w:bidi w:val="0"/>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48" w:type="dxa"/>
                  <w:shd w:val="clear" w:color="auto" w:fill="auto"/>
                  <w:tcMar>
                    <w:top w:w="0" w:type="dxa"/>
                    <w:left w:w="0" w:type="dxa"/>
                    <w:bottom w:w="0" w:type="dxa"/>
                    <w:right w:w="0" w:type="dxa"/>
                  </w:tcMar>
                  <w:vAlign w:val="center"/>
                </w:tcPr>
                <w:p>
                  <w:pPr>
                    <w:pStyle w:val="6"/>
                    <w:bidi w:val="0"/>
                    <w:rPr>
                      <w:sz w:val="18"/>
                      <w:szCs w:val="18"/>
                    </w:rPr>
                  </w:pPr>
                  <w:r>
                    <w:rPr>
                      <w:sz w:val="18"/>
                      <w:szCs w:val="18"/>
                    </w:rPr>
                    <w:t>3</w:t>
                  </w:r>
                </w:p>
              </w:tc>
              <w:tc>
                <w:tcPr>
                  <w:tcW w:w="331" w:type="dxa"/>
                  <w:vMerge w:val="continue"/>
                  <w:shd w:val="clear" w:color="auto" w:fill="auto"/>
                  <w:tcMar>
                    <w:top w:w="0" w:type="dxa"/>
                    <w:left w:w="0" w:type="dxa"/>
                    <w:bottom w:w="0" w:type="dxa"/>
                    <w:right w:w="0" w:type="dxa"/>
                  </w:tcMar>
                  <w:vAlign w:val="center"/>
                </w:tcPr>
                <w:p>
                  <w:pPr>
                    <w:pStyle w:val="6"/>
                    <w:bidi w:val="0"/>
                    <w:rPr>
                      <w:sz w:val="18"/>
                      <w:szCs w:val="18"/>
                    </w:rPr>
                  </w:pPr>
                </w:p>
              </w:tc>
              <w:tc>
                <w:tcPr>
                  <w:tcW w:w="314" w:type="dxa"/>
                  <w:shd w:val="clear" w:color="auto" w:fill="auto"/>
                  <w:tcMar>
                    <w:top w:w="0" w:type="dxa"/>
                    <w:left w:w="0" w:type="dxa"/>
                    <w:bottom w:w="0" w:type="dxa"/>
                    <w:right w:w="0" w:type="dxa"/>
                  </w:tcMar>
                  <w:vAlign w:val="center"/>
                </w:tcPr>
                <w:p>
                  <w:pPr>
                    <w:pStyle w:val="6"/>
                    <w:bidi w:val="0"/>
                    <w:rPr>
                      <w:sz w:val="18"/>
                      <w:szCs w:val="18"/>
                    </w:rPr>
                  </w:pPr>
                  <w:r>
                    <w:rPr>
                      <w:sz w:val="18"/>
                      <w:szCs w:val="18"/>
                    </w:rPr>
                    <w:t>挤压主机</w:t>
                  </w:r>
                </w:p>
              </w:tc>
              <w:tc>
                <w:tcPr>
                  <w:tcW w:w="248" w:type="dxa"/>
                  <w:shd w:val="clear" w:color="auto" w:fill="auto"/>
                  <w:tcMar>
                    <w:top w:w="0" w:type="dxa"/>
                    <w:left w:w="0" w:type="dxa"/>
                    <w:bottom w:w="0" w:type="dxa"/>
                    <w:right w:w="0" w:type="dxa"/>
                  </w:tcMar>
                  <w:vAlign w:val="center"/>
                </w:tcPr>
                <w:p>
                  <w:pPr>
                    <w:pStyle w:val="6"/>
                    <w:bidi w:val="0"/>
                    <w:rPr>
                      <w:sz w:val="18"/>
                      <w:szCs w:val="18"/>
                    </w:rPr>
                  </w:pPr>
                </w:p>
              </w:tc>
              <w:tc>
                <w:tcPr>
                  <w:tcW w:w="379" w:type="dxa"/>
                  <w:shd w:val="clear" w:color="auto" w:fill="auto"/>
                  <w:tcMar>
                    <w:top w:w="0" w:type="dxa"/>
                    <w:left w:w="0" w:type="dxa"/>
                    <w:bottom w:w="0" w:type="dxa"/>
                    <w:right w:w="0" w:type="dxa"/>
                  </w:tcMar>
                  <w:vAlign w:val="center"/>
                </w:tcPr>
                <w:p>
                  <w:pPr>
                    <w:pStyle w:val="6"/>
                    <w:bidi w:val="0"/>
                    <w:rPr>
                      <w:sz w:val="18"/>
                      <w:szCs w:val="18"/>
                    </w:rPr>
                  </w:pPr>
                  <w:r>
                    <w:rPr>
                      <w:sz w:val="18"/>
                      <w:szCs w:val="18"/>
                    </w:rPr>
                    <w:t>75</w:t>
                  </w:r>
                </w:p>
              </w:tc>
              <w:tc>
                <w:tcPr>
                  <w:tcW w:w="322" w:type="dxa"/>
                  <w:vMerge w:val="continue"/>
                  <w:shd w:val="clear" w:color="auto" w:fill="auto"/>
                  <w:tcMar>
                    <w:top w:w="0" w:type="dxa"/>
                    <w:left w:w="0" w:type="dxa"/>
                    <w:bottom w:w="0" w:type="dxa"/>
                    <w:right w:w="0" w:type="dxa"/>
                  </w:tcMar>
                  <w:vAlign w:val="center"/>
                </w:tcPr>
                <w:p>
                  <w:pPr>
                    <w:pStyle w:val="6"/>
                    <w:bidi w:val="0"/>
                    <w:rPr>
                      <w:sz w:val="18"/>
                      <w:szCs w:val="18"/>
                    </w:rPr>
                  </w:pPr>
                </w:p>
              </w:tc>
              <w:tc>
                <w:tcPr>
                  <w:tcW w:w="354" w:type="dxa"/>
                  <w:shd w:val="clear" w:color="auto" w:fill="auto"/>
                  <w:tcMar>
                    <w:top w:w="0" w:type="dxa"/>
                    <w:left w:w="0" w:type="dxa"/>
                    <w:bottom w:w="0" w:type="dxa"/>
                    <w:right w:w="0" w:type="dxa"/>
                  </w:tcMar>
                  <w:vAlign w:val="center"/>
                </w:tcPr>
                <w:p>
                  <w:pPr>
                    <w:pStyle w:val="6"/>
                    <w:bidi w:val="0"/>
                    <w:rPr>
                      <w:sz w:val="18"/>
                      <w:szCs w:val="18"/>
                    </w:rPr>
                  </w:pPr>
                  <w:r>
                    <w:rPr>
                      <w:sz w:val="18"/>
                      <w:szCs w:val="18"/>
                    </w:rPr>
                    <w:t>50.3</w:t>
                  </w:r>
                </w:p>
              </w:tc>
              <w:tc>
                <w:tcPr>
                  <w:tcW w:w="354" w:type="dxa"/>
                  <w:shd w:val="clear" w:color="auto" w:fill="auto"/>
                  <w:tcMar>
                    <w:top w:w="0" w:type="dxa"/>
                    <w:left w:w="0" w:type="dxa"/>
                    <w:bottom w:w="0" w:type="dxa"/>
                    <w:right w:w="0" w:type="dxa"/>
                  </w:tcMar>
                  <w:vAlign w:val="center"/>
                </w:tcPr>
                <w:p>
                  <w:pPr>
                    <w:pStyle w:val="6"/>
                    <w:bidi w:val="0"/>
                    <w:rPr>
                      <w:sz w:val="18"/>
                      <w:szCs w:val="18"/>
                    </w:rPr>
                  </w:pPr>
                  <w:r>
                    <w:rPr>
                      <w:sz w:val="18"/>
                      <w:szCs w:val="18"/>
                    </w:rPr>
                    <w:t>48.2</w:t>
                  </w:r>
                </w:p>
              </w:tc>
              <w:tc>
                <w:tcPr>
                  <w:tcW w:w="363" w:type="dxa"/>
                  <w:shd w:val="clear" w:color="auto" w:fill="auto"/>
                  <w:tcMar>
                    <w:top w:w="0" w:type="dxa"/>
                    <w:left w:w="0" w:type="dxa"/>
                    <w:bottom w:w="0" w:type="dxa"/>
                    <w:right w:w="0" w:type="dxa"/>
                  </w:tcMar>
                  <w:vAlign w:val="center"/>
                </w:tcPr>
                <w:p>
                  <w:pPr>
                    <w:pStyle w:val="6"/>
                    <w:bidi w:val="0"/>
                    <w:rPr>
                      <w:sz w:val="18"/>
                      <w:szCs w:val="18"/>
                    </w:rPr>
                  </w:pPr>
                  <w:r>
                    <w:rPr>
                      <w:sz w:val="18"/>
                      <w:szCs w:val="18"/>
                    </w:rPr>
                    <w:t>1.2</w:t>
                  </w:r>
                </w:p>
              </w:tc>
              <w:tc>
                <w:tcPr>
                  <w:tcW w:w="295" w:type="dxa"/>
                  <w:shd w:val="clear" w:color="auto" w:fill="auto"/>
                  <w:tcMar>
                    <w:top w:w="0" w:type="dxa"/>
                    <w:left w:w="0" w:type="dxa"/>
                    <w:bottom w:w="0" w:type="dxa"/>
                    <w:right w:w="0" w:type="dxa"/>
                  </w:tcMar>
                  <w:vAlign w:val="center"/>
                </w:tcPr>
                <w:p>
                  <w:pPr>
                    <w:pStyle w:val="6"/>
                    <w:bidi w:val="0"/>
                    <w:rPr>
                      <w:sz w:val="18"/>
                      <w:szCs w:val="18"/>
                    </w:rPr>
                  </w:pPr>
                  <w:r>
                    <w:rPr>
                      <w:sz w:val="18"/>
                      <w:szCs w:val="18"/>
                    </w:rPr>
                    <w:t>9.5</w:t>
                  </w:r>
                </w:p>
              </w:tc>
              <w:tc>
                <w:tcPr>
                  <w:tcW w:w="296" w:type="dxa"/>
                  <w:shd w:val="clear" w:color="auto" w:fill="auto"/>
                  <w:tcMar>
                    <w:top w:w="0" w:type="dxa"/>
                    <w:left w:w="0" w:type="dxa"/>
                    <w:bottom w:w="0" w:type="dxa"/>
                    <w:right w:w="0" w:type="dxa"/>
                  </w:tcMar>
                  <w:vAlign w:val="center"/>
                </w:tcPr>
                <w:p>
                  <w:pPr>
                    <w:pStyle w:val="6"/>
                    <w:bidi w:val="0"/>
                    <w:rPr>
                      <w:sz w:val="18"/>
                      <w:szCs w:val="18"/>
                    </w:rPr>
                  </w:pPr>
                  <w:r>
                    <w:rPr>
                      <w:sz w:val="18"/>
                      <w:szCs w:val="18"/>
                    </w:rPr>
                    <w:t>5.6</w:t>
                  </w:r>
                </w:p>
              </w:tc>
              <w:tc>
                <w:tcPr>
                  <w:tcW w:w="296" w:type="dxa"/>
                  <w:shd w:val="clear" w:color="auto" w:fill="auto"/>
                  <w:tcMar>
                    <w:top w:w="0" w:type="dxa"/>
                    <w:left w:w="0" w:type="dxa"/>
                    <w:bottom w:w="0" w:type="dxa"/>
                    <w:right w:w="0" w:type="dxa"/>
                  </w:tcMar>
                  <w:vAlign w:val="center"/>
                </w:tcPr>
                <w:p>
                  <w:pPr>
                    <w:pStyle w:val="6"/>
                    <w:bidi w:val="0"/>
                    <w:rPr>
                      <w:sz w:val="18"/>
                      <w:szCs w:val="18"/>
                    </w:rPr>
                  </w:pPr>
                  <w:r>
                    <w:rPr>
                      <w:sz w:val="18"/>
                      <w:szCs w:val="18"/>
                    </w:rPr>
                    <w:t>6.0</w:t>
                  </w:r>
                </w:p>
              </w:tc>
              <w:tc>
                <w:tcPr>
                  <w:tcW w:w="303" w:type="dxa"/>
                  <w:shd w:val="clear" w:color="auto" w:fill="auto"/>
                  <w:tcMar>
                    <w:top w:w="0" w:type="dxa"/>
                    <w:left w:w="0" w:type="dxa"/>
                    <w:bottom w:w="0" w:type="dxa"/>
                    <w:right w:w="0" w:type="dxa"/>
                  </w:tcMar>
                  <w:vAlign w:val="center"/>
                </w:tcPr>
                <w:p>
                  <w:pPr>
                    <w:pStyle w:val="6"/>
                    <w:bidi w:val="0"/>
                    <w:rPr>
                      <w:sz w:val="18"/>
                      <w:szCs w:val="18"/>
                    </w:rPr>
                  </w:pPr>
                  <w:r>
                    <w:rPr>
                      <w:sz w:val="18"/>
                      <w:szCs w:val="18"/>
                    </w:rPr>
                    <w:t>9.1</w:t>
                  </w:r>
                </w:p>
              </w:tc>
              <w:tc>
                <w:tcPr>
                  <w:tcW w:w="291" w:type="dxa"/>
                  <w:shd w:val="clear" w:color="auto" w:fill="auto"/>
                  <w:tcMar>
                    <w:top w:w="0" w:type="dxa"/>
                    <w:left w:w="0" w:type="dxa"/>
                    <w:bottom w:w="0" w:type="dxa"/>
                    <w:right w:w="0" w:type="dxa"/>
                  </w:tcMar>
                  <w:vAlign w:val="center"/>
                </w:tcPr>
                <w:p>
                  <w:pPr>
                    <w:pStyle w:val="6"/>
                    <w:bidi w:val="0"/>
                    <w:rPr>
                      <w:sz w:val="18"/>
                      <w:szCs w:val="18"/>
                    </w:rPr>
                  </w:pPr>
                  <w:r>
                    <w:rPr>
                      <w:sz w:val="18"/>
                      <w:szCs w:val="18"/>
                    </w:rPr>
                    <w:t>66.1</w:t>
                  </w:r>
                </w:p>
              </w:tc>
              <w:tc>
                <w:tcPr>
                  <w:tcW w:w="291" w:type="dxa"/>
                  <w:shd w:val="clear" w:color="auto" w:fill="auto"/>
                  <w:tcMar>
                    <w:top w:w="0" w:type="dxa"/>
                    <w:left w:w="0" w:type="dxa"/>
                    <w:bottom w:w="0" w:type="dxa"/>
                    <w:right w:w="0" w:type="dxa"/>
                  </w:tcMar>
                  <w:vAlign w:val="center"/>
                </w:tcPr>
                <w:p>
                  <w:pPr>
                    <w:pStyle w:val="6"/>
                    <w:bidi w:val="0"/>
                    <w:rPr>
                      <w:sz w:val="18"/>
                      <w:szCs w:val="18"/>
                    </w:rPr>
                  </w:pPr>
                  <w:r>
                    <w:rPr>
                      <w:sz w:val="18"/>
                      <w:szCs w:val="18"/>
                    </w:rPr>
                    <w:t>66.2</w:t>
                  </w:r>
                </w:p>
              </w:tc>
              <w:tc>
                <w:tcPr>
                  <w:tcW w:w="291" w:type="dxa"/>
                  <w:shd w:val="clear" w:color="auto" w:fill="auto"/>
                  <w:tcMar>
                    <w:top w:w="0" w:type="dxa"/>
                    <w:left w:w="0" w:type="dxa"/>
                    <w:bottom w:w="0" w:type="dxa"/>
                    <w:right w:w="0" w:type="dxa"/>
                  </w:tcMar>
                  <w:vAlign w:val="center"/>
                </w:tcPr>
                <w:p>
                  <w:pPr>
                    <w:pStyle w:val="6"/>
                    <w:bidi w:val="0"/>
                    <w:rPr>
                      <w:sz w:val="18"/>
                      <w:szCs w:val="18"/>
                    </w:rPr>
                  </w:pPr>
                  <w:r>
                    <w:rPr>
                      <w:sz w:val="18"/>
                      <w:szCs w:val="18"/>
                    </w:rPr>
                    <w:t>66.2</w:t>
                  </w:r>
                </w:p>
              </w:tc>
              <w:tc>
                <w:tcPr>
                  <w:tcW w:w="302" w:type="dxa"/>
                  <w:shd w:val="clear" w:color="auto" w:fill="auto"/>
                  <w:tcMar>
                    <w:top w:w="0" w:type="dxa"/>
                    <w:left w:w="0" w:type="dxa"/>
                    <w:bottom w:w="0" w:type="dxa"/>
                    <w:right w:w="0" w:type="dxa"/>
                  </w:tcMar>
                  <w:vAlign w:val="center"/>
                </w:tcPr>
                <w:p>
                  <w:pPr>
                    <w:pStyle w:val="6"/>
                    <w:bidi w:val="0"/>
                    <w:rPr>
                      <w:sz w:val="18"/>
                      <w:szCs w:val="18"/>
                    </w:rPr>
                  </w:pPr>
                  <w:r>
                    <w:rPr>
                      <w:sz w:val="18"/>
                      <w:szCs w:val="18"/>
                    </w:rPr>
                    <w:t>66.1</w:t>
                  </w:r>
                </w:p>
              </w:tc>
              <w:tc>
                <w:tcPr>
                  <w:tcW w:w="251" w:type="dxa"/>
                  <w:vMerge w:val="continue"/>
                  <w:shd w:val="clear" w:color="auto" w:fill="auto"/>
                  <w:tcMar>
                    <w:top w:w="0" w:type="dxa"/>
                    <w:left w:w="0" w:type="dxa"/>
                    <w:bottom w:w="0" w:type="dxa"/>
                    <w:right w:w="0" w:type="dxa"/>
                  </w:tcMar>
                  <w:vAlign w:val="center"/>
                </w:tcPr>
                <w:p>
                  <w:pPr>
                    <w:pStyle w:val="6"/>
                    <w:bidi w:val="0"/>
                    <w:rPr>
                      <w:sz w:val="18"/>
                      <w:szCs w:val="18"/>
                    </w:rPr>
                  </w:pPr>
                </w:p>
              </w:tc>
              <w:tc>
                <w:tcPr>
                  <w:tcW w:w="280"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280"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280"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294"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300" w:type="dxa"/>
                  <w:shd w:val="clear" w:color="auto" w:fill="auto"/>
                  <w:tcMar>
                    <w:top w:w="0" w:type="dxa"/>
                    <w:left w:w="0" w:type="dxa"/>
                    <w:bottom w:w="0" w:type="dxa"/>
                    <w:right w:w="0" w:type="dxa"/>
                  </w:tcMar>
                  <w:vAlign w:val="center"/>
                </w:tcPr>
                <w:p>
                  <w:pPr>
                    <w:pStyle w:val="6"/>
                    <w:bidi w:val="0"/>
                    <w:rPr>
                      <w:sz w:val="18"/>
                      <w:szCs w:val="18"/>
                    </w:rPr>
                  </w:pPr>
                  <w:r>
                    <w:rPr>
                      <w:sz w:val="18"/>
                      <w:szCs w:val="18"/>
                    </w:rPr>
                    <w:t>40.1</w:t>
                  </w:r>
                </w:p>
              </w:tc>
              <w:tc>
                <w:tcPr>
                  <w:tcW w:w="300" w:type="dxa"/>
                  <w:shd w:val="clear" w:color="auto" w:fill="auto"/>
                  <w:tcMar>
                    <w:top w:w="0" w:type="dxa"/>
                    <w:left w:w="0" w:type="dxa"/>
                    <w:bottom w:w="0" w:type="dxa"/>
                    <w:right w:w="0" w:type="dxa"/>
                  </w:tcMar>
                  <w:vAlign w:val="center"/>
                </w:tcPr>
                <w:p>
                  <w:pPr>
                    <w:pStyle w:val="6"/>
                    <w:bidi w:val="0"/>
                    <w:rPr>
                      <w:sz w:val="18"/>
                      <w:szCs w:val="18"/>
                    </w:rPr>
                  </w:pPr>
                  <w:r>
                    <w:rPr>
                      <w:sz w:val="18"/>
                      <w:szCs w:val="18"/>
                    </w:rPr>
                    <w:t>40.2</w:t>
                  </w:r>
                </w:p>
              </w:tc>
              <w:tc>
                <w:tcPr>
                  <w:tcW w:w="300" w:type="dxa"/>
                  <w:shd w:val="clear" w:color="auto" w:fill="auto"/>
                  <w:tcMar>
                    <w:top w:w="0" w:type="dxa"/>
                    <w:left w:w="0" w:type="dxa"/>
                    <w:bottom w:w="0" w:type="dxa"/>
                    <w:right w:w="0" w:type="dxa"/>
                  </w:tcMar>
                  <w:vAlign w:val="center"/>
                </w:tcPr>
                <w:p>
                  <w:pPr>
                    <w:pStyle w:val="6"/>
                    <w:bidi w:val="0"/>
                    <w:rPr>
                      <w:sz w:val="18"/>
                      <w:szCs w:val="18"/>
                    </w:rPr>
                  </w:pPr>
                  <w:r>
                    <w:rPr>
                      <w:sz w:val="18"/>
                      <w:szCs w:val="18"/>
                    </w:rPr>
                    <w:t>40.2</w:t>
                  </w:r>
                </w:p>
              </w:tc>
              <w:tc>
                <w:tcPr>
                  <w:tcW w:w="301" w:type="dxa"/>
                  <w:shd w:val="clear" w:color="auto" w:fill="auto"/>
                  <w:tcMar>
                    <w:top w:w="0" w:type="dxa"/>
                    <w:left w:w="0" w:type="dxa"/>
                    <w:bottom w:w="0" w:type="dxa"/>
                    <w:right w:w="0" w:type="dxa"/>
                  </w:tcMar>
                  <w:vAlign w:val="center"/>
                </w:tcPr>
                <w:p>
                  <w:pPr>
                    <w:pStyle w:val="6"/>
                    <w:bidi w:val="0"/>
                    <w:rPr>
                      <w:sz w:val="18"/>
                      <w:szCs w:val="18"/>
                    </w:rPr>
                  </w:pPr>
                  <w:r>
                    <w:rPr>
                      <w:sz w:val="18"/>
                      <w:szCs w:val="18"/>
                    </w:rPr>
                    <w:t>40.1</w:t>
                  </w:r>
                </w:p>
              </w:tc>
              <w:tc>
                <w:tcPr>
                  <w:tcW w:w="430" w:type="dxa"/>
                  <w:shd w:val="clear" w:color="auto" w:fill="auto"/>
                  <w:tcMar>
                    <w:top w:w="0" w:type="dxa"/>
                    <w:left w:w="0" w:type="dxa"/>
                    <w:bottom w:w="0" w:type="dxa"/>
                    <w:right w:w="0" w:type="dxa"/>
                  </w:tcMar>
                  <w:vAlign w:val="center"/>
                </w:tcPr>
                <w:p>
                  <w:pPr>
                    <w:pStyle w:val="6"/>
                    <w:bidi w:val="0"/>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48" w:type="dxa"/>
                  <w:shd w:val="clear" w:color="auto" w:fill="auto"/>
                  <w:tcMar>
                    <w:top w:w="0" w:type="dxa"/>
                    <w:left w:w="0" w:type="dxa"/>
                    <w:bottom w:w="0" w:type="dxa"/>
                    <w:right w:w="0" w:type="dxa"/>
                  </w:tcMar>
                  <w:vAlign w:val="center"/>
                </w:tcPr>
                <w:p>
                  <w:pPr>
                    <w:pStyle w:val="6"/>
                    <w:bidi w:val="0"/>
                    <w:rPr>
                      <w:sz w:val="18"/>
                      <w:szCs w:val="18"/>
                    </w:rPr>
                  </w:pPr>
                  <w:r>
                    <w:rPr>
                      <w:sz w:val="18"/>
                      <w:szCs w:val="18"/>
                    </w:rPr>
                    <w:t>4</w:t>
                  </w:r>
                </w:p>
              </w:tc>
              <w:tc>
                <w:tcPr>
                  <w:tcW w:w="331" w:type="dxa"/>
                  <w:shd w:val="clear" w:color="auto" w:fill="auto"/>
                  <w:tcMar>
                    <w:top w:w="0" w:type="dxa"/>
                    <w:left w:w="0" w:type="dxa"/>
                    <w:bottom w:w="0" w:type="dxa"/>
                    <w:right w:w="0" w:type="dxa"/>
                  </w:tcMar>
                  <w:vAlign w:val="center"/>
                </w:tcPr>
                <w:p>
                  <w:pPr>
                    <w:pStyle w:val="6"/>
                    <w:bidi w:val="0"/>
                    <w:rPr>
                      <w:sz w:val="18"/>
                      <w:szCs w:val="18"/>
                    </w:rPr>
                  </w:pPr>
                  <w:r>
                    <w:rPr>
                      <w:sz w:val="18"/>
                      <w:szCs w:val="18"/>
                    </w:rPr>
                    <w:t>码架机房</w:t>
                  </w:r>
                </w:p>
              </w:tc>
              <w:tc>
                <w:tcPr>
                  <w:tcW w:w="314" w:type="dxa"/>
                  <w:shd w:val="clear" w:color="auto" w:fill="auto"/>
                  <w:tcMar>
                    <w:top w:w="0" w:type="dxa"/>
                    <w:left w:w="0" w:type="dxa"/>
                    <w:bottom w:w="0" w:type="dxa"/>
                    <w:right w:w="0" w:type="dxa"/>
                  </w:tcMar>
                  <w:vAlign w:val="center"/>
                </w:tcPr>
                <w:p>
                  <w:pPr>
                    <w:pStyle w:val="6"/>
                    <w:bidi w:val="0"/>
                    <w:rPr>
                      <w:sz w:val="18"/>
                      <w:szCs w:val="18"/>
                    </w:rPr>
                  </w:pPr>
                  <w:r>
                    <w:rPr>
                      <w:sz w:val="18"/>
                      <w:szCs w:val="18"/>
                    </w:rPr>
                    <w:t>码垛机</w:t>
                  </w:r>
                </w:p>
              </w:tc>
              <w:tc>
                <w:tcPr>
                  <w:tcW w:w="248" w:type="dxa"/>
                  <w:shd w:val="clear" w:color="auto" w:fill="auto"/>
                  <w:tcMar>
                    <w:top w:w="0" w:type="dxa"/>
                    <w:left w:w="0" w:type="dxa"/>
                    <w:bottom w:w="0" w:type="dxa"/>
                    <w:right w:w="0" w:type="dxa"/>
                  </w:tcMar>
                  <w:vAlign w:val="center"/>
                </w:tcPr>
                <w:p>
                  <w:pPr>
                    <w:pStyle w:val="6"/>
                    <w:bidi w:val="0"/>
                    <w:rPr>
                      <w:sz w:val="18"/>
                      <w:szCs w:val="18"/>
                    </w:rPr>
                  </w:pPr>
                </w:p>
              </w:tc>
              <w:tc>
                <w:tcPr>
                  <w:tcW w:w="379" w:type="dxa"/>
                  <w:shd w:val="clear" w:color="auto" w:fill="auto"/>
                  <w:tcMar>
                    <w:top w:w="0" w:type="dxa"/>
                    <w:left w:w="0" w:type="dxa"/>
                    <w:bottom w:w="0" w:type="dxa"/>
                    <w:right w:w="0" w:type="dxa"/>
                  </w:tcMar>
                  <w:vAlign w:val="center"/>
                </w:tcPr>
                <w:p>
                  <w:pPr>
                    <w:pStyle w:val="6"/>
                    <w:bidi w:val="0"/>
                    <w:rPr>
                      <w:sz w:val="18"/>
                      <w:szCs w:val="18"/>
                    </w:rPr>
                  </w:pPr>
                  <w:r>
                    <w:rPr>
                      <w:sz w:val="18"/>
                      <w:szCs w:val="18"/>
                    </w:rPr>
                    <w:t>75</w:t>
                  </w:r>
                </w:p>
              </w:tc>
              <w:tc>
                <w:tcPr>
                  <w:tcW w:w="322" w:type="dxa"/>
                  <w:vMerge w:val="continue"/>
                  <w:shd w:val="clear" w:color="auto" w:fill="auto"/>
                  <w:tcMar>
                    <w:top w:w="0" w:type="dxa"/>
                    <w:left w:w="0" w:type="dxa"/>
                    <w:bottom w:w="0" w:type="dxa"/>
                    <w:right w:w="0" w:type="dxa"/>
                  </w:tcMar>
                  <w:vAlign w:val="center"/>
                </w:tcPr>
                <w:p>
                  <w:pPr>
                    <w:pStyle w:val="6"/>
                    <w:bidi w:val="0"/>
                    <w:rPr>
                      <w:sz w:val="18"/>
                      <w:szCs w:val="18"/>
                    </w:rPr>
                  </w:pPr>
                </w:p>
              </w:tc>
              <w:tc>
                <w:tcPr>
                  <w:tcW w:w="354" w:type="dxa"/>
                  <w:shd w:val="clear" w:color="auto" w:fill="auto"/>
                  <w:tcMar>
                    <w:top w:w="0" w:type="dxa"/>
                    <w:left w:w="0" w:type="dxa"/>
                    <w:bottom w:w="0" w:type="dxa"/>
                    <w:right w:w="0" w:type="dxa"/>
                  </w:tcMar>
                  <w:vAlign w:val="center"/>
                </w:tcPr>
                <w:p>
                  <w:pPr>
                    <w:pStyle w:val="6"/>
                    <w:bidi w:val="0"/>
                    <w:rPr>
                      <w:sz w:val="18"/>
                      <w:szCs w:val="18"/>
                    </w:rPr>
                  </w:pPr>
                  <w:r>
                    <w:rPr>
                      <w:sz w:val="18"/>
                      <w:szCs w:val="18"/>
                    </w:rPr>
                    <w:t>58.8</w:t>
                  </w:r>
                </w:p>
              </w:tc>
              <w:tc>
                <w:tcPr>
                  <w:tcW w:w="354" w:type="dxa"/>
                  <w:shd w:val="clear" w:color="auto" w:fill="auto"/>
                  <w:tcMar>
                    <w:top w:w="0" w:type="dxa"/>
                    <w:left w:w="0" w:type="dxa"/>
                    <w:bottom w:w="0" w:type="dxa"/>
                    <w:right w:w="0" w:type="dxa"/>
                  </w:tcMar>
                  <w:vAlign w:val="center"/>
                </w:tcPr>
                <w:p>
                  <w:pPr>
                    <w:pStyle w:val="6"/>
                    <w:bidi w:val="0"/>
                    <w:rPr>
                      <w:sz w:val="18"/>
                      <w:szCs w:val="18"/>
                    </w:rPr>
                  </w:pPr>
                  <w:r>
                    <w:rPr>
                      <w:sz w:val="18"/>
                      <w:szCs w:val="18"/>
                    </w:rPr>
                    <w:t>34.1</w:t>
                  </w:r>
                </w:p>
              </w:tc>
              <w:tc>
                <w:tcPr>
                  <w:tcW w:w="363" w:type="dxa"/>
                  <w:shd w:val="clear" w:color="auto" w:fill="auto"/>
                  <w:tcMar>
                    <w:top w:w="0" w:type="dxa"/>
                    <w:left w:w="0" w:type="dxa"/>
                    <w:bottom w:w="0" w:type="dxa"/>
                    <w:right w:w="0" w:type="dxa"/>
                  </w:tcMar>
                  <w:vAlign w:val="center"/>
                </w:tcPr>
                <w:p>
                  <w:pPr>
                    <w:pStyle w:val="6"/>
                    <w:bidi w:val="0"/>
                    <w:rPr>
                      <w:sz w:val="18"/>
                      <w:szCs w:val="18"/>
                    </w:rPr>
                  </w:pPr>
                  <w:r>
                    <w:rPr>
                      <w:sz w:val="18"/>
                      <w:szCs w:val="18"/>
                    </w:rPr>
                    <w:t>1.2</w:t>
                  </w:r>
                </w:p>
              </w:tc>
              <w:tc>
                <w:tcPr>
                  <w:tcW w:w="295" w:type="dxa"/>
                  <w:shd w:val="clear" w:color="auto" w:fill="auto"/>
                  <w:tcMar>
                    <w:top w:w="0" w:type="dxa"/>
                    <w:left w:w="0" w:type="dxa"/>
                    <w:bottom w:w="0" w:type="dxa"/>
                    <w:right w:w="0" w:type="dxa"/>
                  </w:tcMar>
                  <w:vAlign w:val="center"/>
                </w:tcPr>
                <w:p>
                  <w:pPr>
                    <w:pStyle w:val="6"/>
                    <w:bidi w:val="0"/>
                    <w:rPr>
                      <w:sz w:val="18"/>
                      <w:szCs w:val="18"/>
                    </w:rPr>
                  </w:pPr>
                  <w:r>
                    <w:rPr>
                      <w:sz w:val="18"/>
                      <w:szCs w:val="18"/>
                    </w:rPr>
                    <w:t>12.6</w:t>
                  </w:r>
                </w:p>
              </w:tc>
              <w:tc>
                <w:tcPr>
                  <w:tcW w:w="296" w:type="dxa"/>
                  <w:shd w:val="clear" w:color="auto" w:fill="auto"/>
                  <w:tcMar>
                    <w:top w:w="0" w:type="dxa"/>
                    <w:left w:w="0" w:type="dxa"/>
                    <w:bottom w:w="0" w:type="dxa"/>
                    <w:right w:w="0" w:type="dxa"/>
                  </w:tcMar>
                  <w:vAlign w:val="center"/>
                </w:tcPr>
                <w:p>
                  <w:pPr>
                    <w:pStyle w:val="6"/>
                    <w:bidi w:val="0"/>
                    <w:rPr>
                      <w:sz w:val="18"/>
                      <w:szCs w:val="18"/>
                    </w:rPr>
                  </w:pPr>
                  <w:r>
                    <w:rPr>
                      <w:sz w:val="18"/>
                      <w:szCs w:val="18"/>
                    </w:rPr>
                    <w:t>6.0</w:t>
                  </w:r>
                </w:p>
              </w:tc>
              <w:tc>
                <w:tcPr>
                  <w:tcW w:w="296" w:type="dxa"/>
                  <w:shd w:val="clear" w:color="auto" w:fill="auto"/>
                  <w:tcMar>
                    <w:top w:w="0" w:type="dxa"/>
                    <w:left w:w="0" w:type="dxa"/>
                    <w:bottom w:w="0" w:type="dxa"/>
                    <w:right w:w="0" w:type="dxa"/>
                  </w:tcMar>
                  <w:vAlign w:val="center"/>
                </w:tcPr>
                <w:p>
                  <w:pPr>
                    <w:pStyle w:val="6"/>
                    <w:bidi w:val="0"/>
                    <w:rPr>
                      <w:sz w:val="18"/>
                      <w:szCs w:val="18"/>
                    </w:rPr>
                  </w:pPr>
                  <w:r>
                    <w:rPr>
                      <w:sz w:val="18"/>
                      <w:szCs w:val="18"/>
                    </w:rPr>
                    <w:t>4.3</w:t>
                  </w:r>
                </w:p>
              </w:tc>
              <w:tc>
                <w:tcPr>
                  <w:tcW w:w="303" w:type="dxa"/>
                  <w:shd w:val="clear" w:color="auto" w:fill="auto"/>
                  <w:tcMar>
                    <w:top w:w="0" w:type="dxa"/>
                    <w:left w:w="0" w:type="dxa"/>
                    <w:bottom w:w="0" w:type="dxa"/>
                    <w:right w:w="0" w:type="dxa"/>
                  </w:tcMar>
                  <w:vAlign w:val="center"/>
                </w:tcPr>
                <w:p>
                  <w:pPr>
                    <w:pStyle w:val="6"/>
                    <w:bidi w:val="0"/>
                    <w:rPr>
                      <w:sz w:val="18"/>
                      <w:szCs w:val="18"/>
                    </w:rPr>
                  </w:pPr>
                  <w:r>
                    <w:rPr>
                      <w:sz w:val="18"/>
                      <w:szCs w:val="18"/>
                    </w:rPr>
                    <w:t>4.4</w:t>
                  </w:r>
                </w:p>
              </w:tc>
              <w:tc>
                <w:tcPr>
                  <w:tcW w:w="291" w:type="dxa"/>
                  <w:shd w:val="clear" w:color="auto" w:fill="auto"/>
                  <w:tcMar>
                    <w:top w:w="0" w:type="dxa"/>
                    <w:left w:w="0" w:type="dxa"/>
                    <w:bottom w:w="0" w:type="dxa"/>
                    <w:right w:w="0" w:type="dxa"/>
                  </w:tcMar>
                  <w:vAlign w:val="center"/>
                </w:tcPr>
                <w:p>
                  <w:pPr>
                    <w:pStyle w:val="6"/>
                    <w:bidi w:val="0"/>
                    <w:rPr>
                      <w:sz w:val="18"/>
                      <w:szCs w:val="18"/>
                    </w:rPr>
                  </w:pPr>
                  <w:r>
                    <w:rPr>
                      <w:sz w:val="18"/>
                      <w:szCs w:val="18"/>
                    </w:rPr>
                    <w:t>66.6</w:t>
                  </w:r>
                </w:p>
              </w:tc>
              <w:tc>
                <w:tcPr>
                  <w:tcW w:w="291" w:type="dxa"/>
                  <w:shd w:val="clear" w:color="auto" w:fill="auto"/>
                  <w:tcMar>
                    <w:top w:w="0" w:type="dxa"/>
                    <w:left w:w="0" w:type="dxa"/>
                    <w:bottom w:w="0" w:type="dxa"/>
                    <w:right w:w="0" w:type="dxa"/>
                  </w:tcMar>
                  <w:vAlign w:val="center"/>
                </w:tcPr>
                <w:p>
                  <w:pPr>
                    <w:pStyle w:val="6"/>
                    <w:bidi w:val="0"/>
                    <w:rPr>
                      <w:sz w:val="18"/>
                      <w:szCs w:val="18"/>
                    </w:rPr>
                  </w:pPr>
                  <w:r>
                    <w:rPr>
                      <w:sz w:val="18"/>
                      <w:szCs w:val="18"/>
                    </w:rPr>
                    <w:t>66.6</w:t>
                  </w:r>
                </w:p>
              </w:tc>
              <w:tc>
                <w:tcPr>
                  <w:tcW w:w="291" w:type="dxa"/>
                  <w:shd w:val="clear" w:color="auto" w:fill="auto"/>
                  <w:tcMar>
                    <w:top w:w="0" w:type="dxa"/>
                    <w:left w:w="0" w:type="dxa"/>
                    <w:bottom w:w="0" w:type="dxa"/>
                    <w:right w:w="0" w:type="dxa"/>
                  </w:tcMar>
                  <w:vAlign w:val="center"/>
                </w:tcPr>
                <w:p>
                  <w:pPr>
                    <w:pStyle w:val="6"/>
                    <w:bidi w:val="0"/>
                    <w:rPr>
                      <w:sz w:val="18"/>
                      <w:szCs w:val="18"/>
                    </w:rPr>
                  </w:pPr>
                  <w:r>
                    <w:rPr>
                      <w:sz w:val="18"/>
                      <w:szCs w:val="18"/>
                    </w:rPr>
                    <w:t>66.7</w:t>
                  </w:r>
                </w:p>
              </w:tc>
              <w:tc>
                <w:tcPr>
                  <w:tcW w:w="302" w:type="dxa"/>
                  <w:shd w:val="clear" w:color="auto" w:fill="auto"/>
                  <w:tcMar>
                    <w:top w:w="0" w:type="dxa"/>
                    <w:left w:w="0" w:type="dxa"/>
                    <w:bottom w:w="0" w:type="dxa"/>
                    <w:right w:w="0" w:type="dxa"/>
                  </w:tcMar>
                  <w:vAlign w:val="center"/>
                </w:tcPr>
                <w:p>
                  <w:pPr>
                    <w:pStyle w:val="6"/>
                    <w:bidi w:val="0"/>
                    <w:rPr>
                      <w:sz w:val="18"/>
                      <w:szCs w:val="18"/>
                    </w:rPr>
                  </w:pPr>
                  <w:r>
                    <w:rPr>
                      <w:sz w:val="18"/>
                      <w:szCs w:val="18"/>
                    </w:rPr>
                    <w:t>66.7</w:t>
                  </w:r>
                </w:p>
              </w:tc>
              <w:tc>
                <w:tcPr>
                  <w:tcW w:w="251" w:type="dxa"/>
                  <w:vMerge w:val="continue"/>
                  <w:shd w:val="clear" w:color="auto" w:fill="auto"/>
                  <w:tcMar>
                    <w:top w:w="0" w:type="dxa"/>
                    <w:left w:w="0" w:type="dxa"/>
                    <w:bottom w:w="0" w:type="dxa"/>
                    <w:right w:w="0" w:type="dxa"/>
                  </w:tcMar>
                  <w:vAlign w:val="center"/>
                </w:tcPr>
                <w:p>
                  <w:pPr>
                    <w:pStyle w:val="6"/>
                    <w:bidi w:val="0"/>
                    <w:rPr>
                      <w:sz w:val="18"/>
                      <w:szCs w:val="18"/>
                    </w:rPr>
                  </w:pPr>
                </w:p>
              </w:tc>
              <w:tc>
                <w:tcPr>
                  <w:tcW w:w="280"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280"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280"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294" w:type="dxa"/>
                  <w:shd w:val="clear" w:color="auto" w:fill="auto"/>
                  <w:tcMar>
                    <w:top w:w="0" w:type="dxa"/>
                    <w:left w:w="0" w:type="dxa"/>
                    <w:bottom w:w="0" w:type="dxa"/>
                    <w:right w:w="0" w:type="dxa"/>
                  </w:tcMar>
                  <w:vAlign w:val="center"/>
                </w:tcPr>
                <w:p>
                  <w:pPr>
                    <w:pStyle w:val="6"/>
                    <w:bidi w:val="0"/>
                    <w:rPr>
                      <w:sz w:val="18"/>
                      <w:szCs w:val="18"/>
                    </w:rPr>
                  </w:pPr>
                  <w:r>
                    <w:rPr>
                      <w:sz w:val="18"/>
                      <w:szCs w:val="18"/>
                    </w:rPr>
                    <w:t>26.0</w:t>
                  </w:r>
                </w:p>
              </w:tc>
              <w:tc>
                <w:tcPr>
                  <w:tcW w:w="300" w:type="dxa"/>
                  <w:shd w:val="clear" w:color="auto" w:fill="auto"/>
                  <w:tcMar>
                    <w:top w:w="0" w:type="dxa"/>
                    <w:left w:w="0" w:type="dxa"/>
                    <w:bottom w:w="0" w:type="dxa"/>
                    <w:right w:w="0" w:type="dxa"/>
                  </w:tcMar>
                  <w:vAlign w:val="center"/>
                </w:tcPr>
                <w:p>
                  <w:pPr>
                    <w:pStyle w:val="6"/>
                    <w:bidi w:val="0"/>
                    <w:rPr>
                      <w:sz w:val="18"/>
                      <w:szCs w:val="18"/>
                    </w:rPr>
                  </w:pPr>
                  <w:r>
                    <w:rPr>
                      <w:sz w:val="18"/>
                      <w:szCs w:val="18"/>
                    </w:rPr>
                    <w:t>40.6</w:t>
                  </w:r>
                </w:p>
              </w:tc>
              <w:tc>
                <w:tcPr>
                  <w:tcW w:w="300" w:type="dxa"/>
                  <w:shd w:val="clear" w:color="auto" w:fill="auto"/>
                  <w:tcMar>
                    <w:top w:w="0" w:type="dxa"/>
                    <w:left w:w="0" w:type="dxa"/>
                    <w:bottom w:w="0" w:type="dxa"/>
                    <w:right w:w="0" w:type="dxa"/>
                  </w:tcMar>
                  <w:vAlign w:val="center"/>
                </w:tcPr>
                <w:p>
                  <w:pPr>
                    <w:pStyle w:val="6"/>
                    <w:bidi w:val="0"/>
                    <w:rPr>
                      <w:sz w:val="18"/>
                      <w:szCs w:val="18"/>
                    </w:rPr>
                  </w:pPr>
                  <w:r>
                    <w:rPr>
                      <w:sz w:val="18"/>
                      <w:szCs w:val="18"/>
                    </w:rPr>
                    <w:t>40.6</w:t>
                  </w:r>
                </w:p>
              </w:tc>
              <w:tc>
                <w:tcPr>
                  <w:tcW w:w="300" w:type="dxa"/>
                  <w:shd w:val="clear" w:color="auto" w:fill="auto"/>
                  <w:tcMar>
                    <w:top w:w="0" w:type="dxa"/>
                    <w:left w:w="0" w:type="dxa"/>
                    <w:bottom w:w="0" w:type="dxa"/>
                    <w:right w:w="0" w:type="dxa"/>
                  </w:tcMar>
                  <w:vAlign w:val="center"/>
                </w:tcPr>
                <w:p>
                  <w:pPr>
                    <w:pStyle w:val="6"/>
                    <w:bidi w:val="0"/>
                    <w:rPr>
                      <w:sz w:val="18"/>
                      <w:szCs w:val="18"/>
                    </w:rPr>
                  </w:pPr>
                  <w:r>
                    <w:rPr>
                      <w:sz w:val="18"/>
                      <w:szCs w:val="18"/>
                    </w:rPr>
                    <w:t>40.7</w:t>
                  </w:r>
                </w:p>
              </w:tc>
              <w:tc>
                <w:tcPr>
                  <w:tcW w:w="301" w:type="dxa"/>
                  <w:shd w:val="clear" w:color="auto" w:fill="auto"/>
                  <w:tcMar>
                    <w:top w:w="0" w:type="dxa"/>
                    <w:left w:w="0" w:type="dxa"/>
                    <w:bottom w:w="0" w:type="dxa"/>
                    <w:right w:w="0" w:type="dxa"/>
                  </w:tcMar>
                  <w:vAlign w:val="center"/>
                </w:tcPr>
                <w:p>
                  <w:pPr>
                    <w:pStyle w:val="6"/>
                    <w:bidi w:val="0"/>
                    <w:rPr>
                      <w:sz w:val="18"/>
                      <w:szCs w:val="18"/>
                    </w:rPr>
                  </w:pPr>
                  <w:r>
                    <w:rPr>
                      <w:sz w:val="18"/>
                      <w:szCs w:val="18"/>
                    </w:rPr>
                    <w:t>40.7</w:t>
                  </w:r>
                </w:p>
              </w:tc>
              <w:tc>
                <w:tcPr>
                  <w:tcW w:w="430" w:type="dxa"/>
                  <w:shd w:val="clear" w:color="auto" w:fill="auto"/>
                  <w:tcMar>
                    <w:top w:w="0" w:type="dxa"/>
                    <w:left w:w="0" w:type="dxa"/>
                    <w:bottom w:w="0" w:type="dxa"/>
                    <w:right w:w="0" w:type="dxa"/>
                  </w:tcMar>
                  <w:vAlign w:val="center"/>
                </w:tcPr>
                <w:p>
                  <w:pPr>
                    <w:pStyle w:val="6"/>
                    <w:bidi w:val="0"/>
                    <w:rPr>
                      <w:sz w:val="18"/>
                      <w:szCs w:val="18"/>
                    </w:rPr>
                  </w:pPr>
                  <w:r>
                    <w:rPr>
                      <w:sz w:val="18"/>
                      <w:szCs w:val="18"/>
                    </w:rPr>
                    <w:t>1</w:t>
                  </w:r>
                </w:p>
              </w:tc>
            </w:tr>
            <w:bookmarkEnd w:id="17"/>
          </w:tbl>
          <w:p>
            <w:pPr>
              <w:pStyle w:val="4"/>
              <w:bidi w:val="0"/>
            </w:pPr>
            <w:r>
              <w:t>3.2</w:t>
            </w:r>
            <w:r>
              <w:rPr>
                <w:rFonts w:hint="eastAsia"/>
              </w:rPr>
              <w:t>预测模式选用</w:t>
            </w:r>
          </w:p>
          <w:p>
            <w:pPr>
              <w:bidi w:val="0"/>
              <w:rPr>
                <w:rFonts w:hint="eastAsia"/>
              </w:rPr>
            </w:pPr>
            <w:r>
              <w:rPr>
                <w:rFonts w:hint="eastAsia"/>
              </w:rPr>
              <w:t>采用《环境影响评价技术导则 声环境》</w:t>
            </w:r>
            <w:r>
              <w:rPr>
                <w:rFonts w:hint="eastAsia"/>
                <w:lang w:eastAsia="zh-CN"/>
              </w:rPr>
              <w:t>（</w:t>
            </w:r>
            <w:r>
              <w:rPr>
                <w:rFonts w:hint="eastAsia"/>
              </w:rPr>
              <w:t>HJ2.4-2021</w:t>
            </w:r>
            <w:r>
              <w:rPr>
                <w:rFonts w:hint="eastAsia"/>
                <w:lang w:eastAsia="zh-CN"/>
              </w:rPr>
              <w:t>）</w:t>
            </w:r>
            <w:r>
              <w:rPr>
                <w:rFonts w:hint="eastAsia"/>
              </w:rPr>
              <w:t>中推荐的模式进行计算。</w:t>
            </w:r>
          </w:p>
          <w:p>
            <w:pPr>
              <w:pStyle w:val="4"/>
              <w:bidi w:val="0"/>
            </w:pPr>
            <w:r>
              <w:t>3.3</w:t>
            </w:r>
            <w:r>
              <w:rPr>
                <w:rFonts w:hint="eastAsia"/>
              </w:rPr>
              <w:t>降噪措施</w:t>
            </w:r>
          </w:p>
          <w:p>
            <w:pPr>
              <w:bidi w:val="0"/>
            </w:pPr>
            <w:r>
              <w:rPr>
                <w:rFonts w:hint="eastAsia"/>
              </w:rPr>
              <w:t>为减少噪声对周边环境的影响，本次提出噪声治理措施如下：</w:t>
            </w:r>
          </w:p>
          <w:p>
            <w:pPr>
              <w:bidi w:val="0"/>
              <w:rPr>
                <w:rFonts w:hint="eastAsia"/>
              </w:rPr>
            </w:pPr>
            <w:r>
              <w:rPr>
                <w:rFonts w:hint="eastAsia"/>
              </w:rPr>
              <w:t>（1）对噪声的防治采用综合治理方法，首先从声源上加以控制，在设备选型上，尽量选用</w:t>
            </w:r>
            <w:r>
              <w:rPr>
                <w:rFonts w:hint="eastAsia"/>
                <w:lang w:eastAsia="zh-CN"/>
              </w:rPr>
              <w:t>低噪声</w:t>
            </w:r>
            <w:r>
              <w:rPr>
                <w:rFonts w:hint="eastAsia"/>
              </w:rPr>
              <w:t>设备或振动小的设备；对振动大的设备在主体与基础之间安装减振装置；</w:t>
            </w:r>
          </w:p>
          <w:p>
            <w:pPr>
              <w:bidi w:val="0"/>
              <w:rPr>
                <w:rFonts w:hint="eastAsia"/>
              </w:rPr>
            </w:pPr>
            <w:r>
              <w:rPr>
                <w:rFonts w:hint="eastAsia"/>
              </w:rPr>
              <w:t>（2）生产设备均位于生产车间内，有效降低噪声；</w:t>
            </w:r>
          </w:p>
          <w:p>
            <w:pPr>
              <w:bidi w:val="0"/>
              <w:rPr>
                <w:rFonts w:hint="eastAsia"/>
              </w:rPr>
            </w:pPr>
            <w:r>
              <w:rPr>
                <w:rFonts w:hint="eastAsia"/>
              </w:rPr>
              <w:t>（3）定期对设备噪声进行检查，掌握其变化规律；加强生产设备的日常维护、更新，确保所有设备尤其是噪声污染防治设备处于正常工况；</w:t>
            </w:r>
          </w:p>
          <w:p>
            <w:pPr>
              <w:bidi w:val="0"/>
              <w:rPr>
                <w:rFonts w:hint="eastAsia"/>
              </w:rPr>
            </w:pPr>
            <w:r>
              <w:rPr>
                <w:rFonts w:hint="eastAsia"/>
              </w:rPr>
              <w:t>（4）加强对工作人员的个人防护和保护，如采用隔声耳罩等。</w:t>
            </w:r>
          </w:p>
          <w:p>
            <w:pPr>
              <w:pStyle w:val="4"/>
              <w:bidi w:val="0"/>
              <w:rPr>
                <w:rFonts w:hint="eastAsia" w:ascii="Times New Roman" w:hAnsi="Times New Roman" w:eastAsia="宋体" w:cs="Times New Roman"/>
                <w:b/>
                <w:bCs/>
                <w:color w:val="000000"/>
                <w:spacing w:val="0"/>
                <w:kern w:val="0"/>
                <w:sz w:val="24"/>
                <w:highlight w:val="none"/>
                <w:lang w:val="en-US" w:eastAsia="zh-CN"/>
              </w:rPr>
            </w:pPr>
            <w:r>
              <w:rPr>
                <w:rFonts w:hint="eastAsia"/>
                <w:b/>
                <w:bCs/>
                <w:color w:val="000000"/>
                <w:spacing w:val="0"/>
                <w:kern w:val="0"/>
              </w:rPr>
              <w:t>3.4</w:t>
            </w:r>
            <w:r>
              <w:rPr>
                <w:rFonts w:hint="eastAsia" w:ascii="Times New Roman" w:hAnsi="Times New Roman" w:eastAsia="宋体" w:cs="Times New Roman"/>
                <w:b/>
                <w:bCs/>
                <w:color w:val="000000"/>
                <w:spacing w:val="0"/>
                <w:kern w:val="0"/>
                <w:sz w:val="24"/>
                <w:highlight w:val="none"/>
                <w:lang w:val="en-US" w:eastAsia="zh-CN"/>
              </w:rPr>
              <w:t>预测模式</w:t>
            </w:r>
          </w:p>
          <w:p>
            <w:pPr>
              <w:bidi w:val="0"/>
            </w:pPr>
            <w:r>
              <w:t>根据运营期各声源噪声排放特点，结合《环境影响评价技术导则 声环境》（HJ2.4-</w:t>
            </w:r>
            <w:r>
              <w:rPr>
                <w:rFonts w:hint="eastAsia"/>
                <w:lang w:val="en-US" w:eastAsia="zh-CN"/>
              </w:rPr>
              <w:t>2021</w:t>
            </w:r>
            <w:r>
              <w:t>）的要求，可选择点声源预测模式来模拟预测这些声源排放噪声随距离衰减变化规律。</w:t>
            </w:r>
          </w:p>
          <w:p>
            <w:pPr>
              <w:keepLines w:val="0"/>
              <w:pageBreakBefore w:val="0"/>
              <w:widowControl/>
              <w:kinsoku/>
              <w:wordWrap/>
              <w:overflowPunct/>
              <w:bidi w:val="0"/>
              <w:adjustRightInd w:val="0"/>
              <w:snapToGrid w:val="0"/>
              <w:spacing w:line="360" w:lineRule="auto"/>
              <w:ind w:firstLine="480" w:firstLineChars="200"/>
              <w:rPr>
                <w:rFonts w:ascii="Times New Roman" w:hAnsi="Times New Roman" w:eastAsia="宋体" w:cs="Times New Roman"/>
                <w:color w:val="000000"/>
                <w:spacing w:val="0"/>
                <w:kern w:val="0"/>
                <w:sz w:val="24"/>
                <w:highlight w:val="none"/>
              </w:rPr>
            </w:pPr>
            <w:r>
              <w:rPr>
                <w:rFonts w:ascii="Times New Roman" w:hAnsi="Times New Roman" w:eastAsia="宋体" w:cs="Times New Roman"/>
                <w:color w:val="000000"/>
                <w:spacing w:val="0"/>
                <w:kern w:val="0"/>
                <w:sz w:val="24"/>
                <w:highlight w:val="none"/>
              </w:rPr>
              <w:t>① 点声源衰减公式</w:t>
            </w:r>
          </w:p>
          <w:p>
            <w:pPr>
              <w:keepLines w:val="0"/>
              <w:pageBreakBefore w:val="0"/>
              <w:widowControl/>
              <w:kinsoku/>
              <w:wordWrap/>
              <w:overflowPunct/>
              <w:bidi w:val="0"/>
              <w:adjustRightInd w:val="0"/>
              <w:snapToGrid w:val="0"/>
              <w:spacing w:line="360" w:lineRule="auto"/>
              <w:ind w:firstLine="480" w:firstLineChars="200"/>
              <w:rPr>
                <w:rFonts w:ascii="Times New Roman" w:hAnsi="Times New Roman" w:eastAsia="宋体" w:cs="Times New Roman"/>
                <w:color w:val="000000"/>
                <w:spacing w:val="0"/>
                <w:kern w:val="0"/>
                <w:sz w:val="24"/>
                <w:highlight w:val="none"/>
              </w:rPr>
            </w:pPr>
            <w:r>
              <w:rPr>
                <w:rFonts w:ascii="Times New Roman" w:hAnsi="Times New Roman" w:eastAsia="宋体" w:cs="Times New Roman"/>
                <w:color w:val="000000"/>
                <w:spacing w:val="0"/>
                <w:kern w:val="0"/>
                <w:sz w:val="24"/>
                <w:highlight w:val="none"/>
              </w:rPr>
              <w:t>预测采用《环境影响评价技术导则 声环境》（HJ2.4-2</w:t>
            </w:r>
            <w:r>
              <w:rPr>
                <w:rFonts w:hint="eastAsia" w:ascii="Times New Roman" w:hAnsi="Times New Roman" w:eastAsia="宋体" w:cs="Times New Roman"/>
                <w:color w:val="000000"/>
                <w:spacing w:val="0"/>
                <w:kern w:val="0"/>
                <w:sz w:val="24"/>
                <w:highlight w:val="none"/>
                <w:lang w:val="en-US" w:eastAsia="zh-CN"/>
              </w:rPr>
              <w:t>021</w:t>
            </w:r>
            <w:r>
              <w:rPr>
                <w:rFonts w:ascii="Times New Roman" w:hAnsi="Times New Roman" w:eastAsia="宋体" w:cs="Times New Roman"/>
                <w:color w:val="000000"/>
                <w:spacing w:val="0"/>
                <w:kern w:val="0"/>
                <w:sz w:val="24"/>
                <w:highlight w:val="none"/>
              </w:rPr>
              <w:t>）中推荐的点声源衰减模式，计算公式如下：</w:t>
            </w:r>
          </w:p>
          <w:p>
            <w:pPr>
              <w:keepLines w:val="0"/>
              <w:pageBreakBefore w:val="0"/>
              <w:widowControl/>
              <w:kinsoku/>
              <w:wordWrap/>
              <w:overflowPunct/>
              <w:bidi w:val="0"/>
              <w:adjustRightInd w:val="0"/>
              <w:snapToGrid w:val="0"/>
              <w:spacing w:line="360" w:lineRule="auto"/>
              <w:ind w:firstLine="480" w:firstLineChars="200"/>
              <w:jc w:val="center"/>
              <w:rPr>
                <w:rFonts w:ascii="Times New Roman" w:hAnsi="Times New Roman" w:eastAsia="宋体" w:cs="Times New Roman"/>
                <w:color w:val="000000"/>
                <w:spacing w:val="0"/>
                <w:kern w:val="0"/>
                <w:sz w:val="24"/>
                <w:highlight w:val="none"/>
              </w:rPr>
            </w:pPr>
            <w:r>
              <w:rPr>
                <w:rFonts w:ascii="Times New Roman" w:hAnsi="Times New Roman" w:eastAsia="宋体" w:cs="Times New Roman"/>
                <w:color w:val="000000"/>
                <w:spacing w:val="0"/>
                <w:kern w:val="0"/>
                <w:sz w:val="24"/>
                <w:highlight w:val="none"/>
              </w:rPr>
              <w:t>L(r)=L(r</w:t>
            </w:r>
            <w:r>
              <w:rPr>
                <w:rFonts w:ascii="Times New Roman" w:hAnsi="Times New Roman" w:eastAsia="宋体" w:cs="Times New Roman"/>
                <w:color w:val="000000"/>
                <w:spacing w:val="0"/>
                <w:kern w:val="0"/>
                <w:sz w:val="24"/>
                <w:highlight w:val="none"/>
                <w:vertAlign w:val="subscript"/>
              </w:rPr>
              <w:t>0</w:t>
            </w:r>
            <w:r>
              <w:rPr>
                <w:rFonts w:ascii="Times New Roman" w:hAnsi="Times New Roman" w:eastAsia="宋体" w:cs="Times New Roman"/>
                <w:color w:val="000000"/>
                <w:spacing w:val="0"/>
                <w:kern w:val="0"/>
                <w:sz w:val="24"/>
                <w:highlight w:val="none"/>
              </w:rPr>
              <w:t>)-20lg(r/r</w:t>
            </w:r>
            <w:r>
              <w:rPr>
                <w:rFonts w:ascii="Times New Roman" w:hAnsi="Times New Roman" w:eastAsia="宋体" w:cs="Times New Roman"/>
                <w:color w:val="000000"/>
                <w:spacing w:val="0"/>
                <w:kern w:val="0"/>
                <w:sz w:val="24"/>
                <w:highlight w:val="none"/>
                <w:vertAlign w:val="subscript"/>
              </w:rPr>
              <w:t>0</w:t>
            </w:r>
            <w:r>
              <w:rPr>
                <w:rFonts w:ascii="Times New Roman" w:hAnsi="Times New Roman" w:eastAsia="宋体" w:cs="Times New Roman"/>
                <w:color w:val="000000"/>
                <w:spacing w:val="0"/>
                <w:kern w:val="0"/>
                <w:sz w:val="24"/>
                <w:highlight w:val="none"/>
              </w:rPr>
              <w:t>)-ΔL</w:t>
            </w:r>
          </w:p>
          <w:p>
            <w:pPr>
              <w:keepLines w:val="0"/>
              <w:pageBreakBefore w:val="0"/>
              <w:widowControl/>
              <w:kinsoku/>
              <w:wordWrap/>
              <w:overflowPunct/>
              <w:bidi w:val="0"/>
              <w:adjustRightInd w:val="0"/>
              <w:snapToGrid w:val="0"/>
              <w:spacing w:line="360" w:lineRule="auto"/>
              <w:ind w:firstLine="480" w:firstLineChars="200"/>
              <w:rPr>
                <w:rFonts w:ascii="Times New Roman" w:hAnsi="Times New Roman" w:eastAsia="宋体" w:cs="Times New Roman"/>
                <w:color w:val="000000"/>
                <w:spacing w:val="0"/>
                <w:kern w:val="0"/>
                <w:sz w:val="24"/>
                <w:highlight w:val="none"/>
              </w:rPr>
            </w:pPr>
            <w:r>
              <w:rPr>
                <w:rFonts w:ascii="Times New Roman" w:hAnsi="Times New Roman" w:eastAsia="宋体" w:cs="Times New Roman"/>
                <w:color w:val="000000"/>
                <w:spacing w:val="0"/>
                <w:kern w:val="0"/>
                <w:sz w:val="24"/>
                <w:highlight w:val="none"/>
              </w:rPr>
              <w:t>式中：L(r)——距声源r处的A声级，dB(A)；</w:t>
            </w:r>
          </w:p>
          <w:p>
            <w:pPr>
              <w:keepLines w:val="0"/>
              <w:pageBreakBefore w:val="0"/>
              <w:widowControl/>
              <w:kinsoku/>
              <w:wordWrap/>
              <w:overflowPunct/>
              <w:bidi w:val="0"/>
              <w:adjustRightInd w:val="0"/>
              <w:snapToGrid w:val="0"/>
              <w:spacing w:line="360" w:lineRule="auto"/>
              <w:ind w:firstLine="1200" w:firstLineChars="500"/>
              <w:rPr>
                <w:rFonts w:ascii="Times New Roman" w:hAnsi="Times New Roman" w:eastAsia="宋体" w:cs="Times New Roman"/>
                <w:color w:val="000000"/>
                <w:spacing w:val="0"/>
                <w:kern w:val="0"/>
                <w:sz w:val="24"/>
                <w:highlight w:val="none"/>
              </w:rPr>
            </w:pPr>
            <w:r>
              <w:rPr>
                <w:rFonts w:ascii="Times New Roman" w:hAnsi="Times New Roman" w:eastAsia="宋体" w:cs="Times New Roman"/>
                <w:color w:val="000000"/>
                <w:spacing w:val="0"/>
                <w:kern w:val="0"/>
                <w:sz w:val="24"/>
                <w:highlight w:val="none"/>
              </w:rPr>
              <w:t>L(r</w:t>
            </w:r>
            <w:r>
              <w:rPr>
                <w:rFonts w:ascii="Times New Roman" w:hAnsi="Times New Roman" w:eastAsia="宋体" w:cs="Times New Roman"/>
                <w:color w:val="000000"/>
                <w:spacing w:val="0"/>
                <w:kern w:val="0"/>
                <w:sz w:val="24"/>
                <w:highlight w:val="none"/>
                <w:vertAlign w:val="subscript"/>
              </w:rPr>
              <w:t>0</w:t>
            </w:r>
            <w:r>
              <w:rPr>
                <w:rFonts w:ascii="Times New Roman" w:hAnsi="Times New Roman" w:eastAsia="宋体" w:cs="Times New Roman"/>
                <w:color w:val="000000"/>
                <w:spacing w:val="0"/>
                <w:kern w:val="0"/>
                <w:sz w:val="24"/>
                <w:highlight w:val="none"/>
              </w:rPr>
              <w:t>)——距声源r</w:t>
            </w:r>
            <w:r>
              <w:rPr>
                <w:rFonts w:ascii="Times New Roman" w:hAnsi="Times New Roman" w:eastAsia="宋体" w:cs="Times New Roman"/>
                <w:color w:val="000000"/>
                <w:spacing w:val="0"/>
                <w:kern w:val="0"/>
                <w:sz w:val="24"/>
                <w:highlight w:val="none"/>
                <w:vertAlign w:val="subscript"/>
              </w:rPr>
              <w:t>0</w:t>
            </w:r>
            <w:r>
              <w:rPr>
                <w:rFonts w:ascii="Times New Roman" w:hAnsi="Times New Roman" w:eastAsia="宋体" w:cs="Times New Roman"/>
                <w:color w:val="000000"/>
                <w:spacing w:val="0"/>
                <w:kern w:val="0"/>
                <w:sz w:val="24"/>
                <w:highlight w:val="none"/>
              </w:rPr>
              <w:t>处的A声级，dB(A)；</w:t>
            </w:r>
          </w:p>
          <w:p>
            <w:pPr>
              <w:keepLines w:val="0"/>
              <w:pageBreakBefore w:val="0"/>
              <w:widowControl/>
              <w:kinsoku/>
              <w:wordWrap/>
              <w:overflowPunct/>
              <w:bidi w:val="0"/>
              <w:adjustRightInd w:val="0"/>
              <w:snapToGrid w:val="0"/>
              <w:spacing w:line="360" w:lineRule="auto"/>
              <w:ind w:firstLine="1200" w:firstLineChars="500"/>
              <w:rPr>
                <w:rFonts w:ascii="Times New Roman" w:hAnsi="Times New Roman" w:eastAsia="宋体" w:cs="Times New Roman"/>
                <w:color w:val="000000"/>
                <w:spacing w:val="0"/>
                <w:kern w:val="0"/>
                <w:sz w:val="24"/>
                <w:highlight w:val="none"/>
              </w:rPr>
            </w:pPr>
            <w:r>
              <w:rPr>
                <w:rFonts w:ascii="Times New Roman" w:hAnsi="Times New Roman" w:eastAsia="宋体" w:cs="Times New Roman"/>
                <w:color w:val="000000"/>
                <w:spacing w:val="0"/>
                <w:kern w:val="0"/>
                <w:sz w:val="24"/>
                <w:highlight w:val="none"/>
              </w:rPr>
              <w:t>ΔL——声屏障、遮挡物、空气吸收地面效应引起的衰减量，dB(A)；</w:t>
            </w:r>
          </w:p>
          <w:p>
            <w:pPr>
              <w:keepLines w:val="0"/>
              <w:pageBreakBefore w:val="0"/>
              <w:widowControl/>
              <w:kinsoku/>
              <w:wordWrap/>
              <w:overflowPunct/>
              <w:bidi w:val="0"/>
              <w:adjustRightInd w:val="0"/>
              <w:snapToGrid w:val="0"/>
              <w:spacing w:line="360" w:lineRule="auto"/>
              <w:ind w:firstLine="1200" w:firstLineChars="500"/>
              <w:rPr>
                <w:rFonts w:ascii="Times New Roman" w:hAnsi="Times New Roman" w:eastAsia="宋体" w:cs="Times New Roman"/>
                <w:color w:val="000000"/>
                <w:spacing w:val="0"/>
                <w:kern w:val="0"/>
                <w:sz w:val="24"/>
                <w:highlight w:val="none"/>
              </w:rPr>
            </w:pPr>
            <w:r>
              <w:rPr>
                <w:rFonts w:ascii="Times New Roman" w:hAnsi="Times New Roman" w:eastAsia="宋体" w:cs="Times New Roman"/>
                <w:color w:val="000000"/>
                <w:spacing w:val="0"/>
                <w:kern w:val="0"/>
                <w:sz w:val="24"/>
                <w:highlight w:val="none"/>
              </w:rPr>
              <w:t>r、r</w:t>
            </w:r>
            <w:r>
              <w:rPr>
                <w:rFonts w:ascii="Times New Roman" w:hAnsi="Times New Roman" w:eastAsia="宋体" w:cs="Times New Roman"/>
                <w:color w:val="000000"/>
                <w:spacing w:val="0"/>
                <w:kern w:val="0"/>
                <w:sz w:val="24"/>
                <w:highlight w:val="none"/>
                <w:vertAlign w:val="subscript"/>
              </w:rPr>
              <w:t>0</w:t>
            </w:r>
            <w:r>
              <w:rPr>
                <w:rFonts w:ascii="Times New Roman" w:hAnsi="Times New Roman" w:eastAsia="宋体" w:cs="Times New Roman"/>
                <w:color w:val="000000"/>
                <w:spacing w:val="0"/>
                <w:kern w:val="0"/>
                <w:sz w:val="24"/>
                <w:highlight w:val="none"/>
              </w:rPr>
              <w:t>——距声源距离，m。</w:t>
            </w:r>
          </w:p>
          <w:p>
            <w:pPr>
              <w:keepLines w:val="0"/>
              <w:pageBreakBefore w:val="0"/>
              <w:widowControl/>
              <w:kinsoku/>
              <w:wordWrap/>
              <w:overflowPunct/>
              <w:bidi w:val="0"/>
              <w:adjustRightInd w:val="0"/>
              <w:snapToGrid w:val="0"/>
              <w:spacing w:line="360" w:lineRule="auto"/>
              <w:ind w:firstLine="480" w:firstLineChars="200"/>
              <w:rPr>
                <w:rFonts w:ascii="Times New Roman" w:hAnsi="Times New Roman" w:eastAsia="宋体" w:cs="Times New Roman"/>
                <w:color w:val="000000"/>
                <w:spacing w:val="0"/>
                <w:kern w:val="0"/>
                <w:sz w:val="24"/>
                <w:highlight w:val="none"/>
              </w:rPr>
            </w:pPr>
            <w:r>
              <w:rPr>
                <w:rFonts w:ascii="Times New Roman" w:hAnsi="Times New Roman" w:eastAsia="宋体" w:cs="Times New Roman"/>
                <w:color w:val="000000"/>
                <w:spacing w:val="0"/>
                <w:kern w:val="0"/>
                <w:sz w:val="24"/>
                <w:highlight w:val="none"/>
              </w:rPr>
              <w:t>② 多声源叠加公式</w:t>
            </w:r>
          </w:p>
          <w:p>
            <w:pPr>
              <w:keepLines w:val="0"/>
              <w:pageBreakBefore w:val="0"/>
              <w:widowControl/>
              <w:kinsoku/>
              <w:wordWrap/>
              <w:overflowPunct/>
              <w:bidi w:val="0"/>
              <w:adjustRightInd w:val="0"/>
              <w:snapToGrid w:val="0"/>
              <w:spacing w:line="360" w:lineRule="auto"/>
              <w:ind w:firstLine="480" w:firstLineChars="200"/>
              <w:rPr>
                <w:rFonts w:ascii="Times New Roman" w:hAnsi="Times New Roman" w:eastAsia="宋体" w:cs="Times New Roman"/>
                <w:color w:val="000000"/>
                <w:spacing w:val="0"/>
                <w:kern w:val="0"/>
                <w:sz w:val="24"/>
                <w:highlight w:val="none"/>
              </w:rPr>
            </w:pPr>
            <w:r>
              <w:rPr>
                <w:rFonts w:ascii="Times New Roman" w:hAnsi="Times New Roman" w:eastAsia="宋体" w:cs="Times New Roman"/>
                <w:color w:val="000000"/>
                <w:spacing w:val="0"/>
                <w:kern w:val="0"/>
                <w:sz w:val="24"/>
                <w:highlight w:val="none"/>
              </w:rPr>
              <w:t>各受声点上受到多个声源的影响叠加，计算公式如下：</w:t>
            </w:r>
          </w:p>
          <w:p>
            <w:pPr>
              <w:keepLines w:val="0"/>
              <w:pageBreakBefore w:val="0"/>
              <w:widowControl/>
              <w:kinsoku/>
              <w:wordWrap/>
              <w:overflowPunct/>
              <w:bidi w:val="0"/>
              <w:adjustRightInd w:val="0"/>
              <w:snapToGrid w:val="0"/>
              <w:spacing w:line="360" w:lineRule="auto"/>
              <w:ind w:firstLine="480" w:firstLineChars="200"/>
              <w:rPr>
                <w:rFonts w:ascii="Times New Roman" w:hAnsi="Times New Roman" w:eastAsia="宋体" w:cs="Times New Roman"/>
                <w:color w:val="000000"/>
                <w:spacing w:val="0"/>
                <w:kern w:val="0"/>
                <w:sz w:val="24"/>
                <w:highlight w:val="none"/>
              </w:rPr>
            </w:pPr>
            <w:r>
              <w:rPr>
                <w:rFonts w:ascii="Times New Roman" w:hAnsi="Times New Roman" w:eastAsia="宋体" w:cs="Times New Roman"/>
                <w:color w:val="000000"/>
                <w:spacing w:val="0"/>
                <w:kern w:val="0"/>
                <w:sz w:val="24"/>
                <w:highlight w:val="none"/>
              </w:rPr>
              <w:drawing>
                <wp:anchor distT="0" distB="0" distL="114300" distR="114300" simplePos="0" relativeHeight="251659264" behindDoc="0" locked="0" layoutInCell="1" allowOverlap="1">
                  <wp:simplePos x="0" y="0"/>
                  <wp:positionH relativeFrom="column">
                    <wp:posOffset>1334135</wp:posOffset>
                  </wp:positionH>
                  <wp:positionV relativeFrom="paragraph">
                    <wp:posOffset>19050</wp:posOffset>
                  </wp:positionV>
                  <wp:extent cx="1485900" cy="428625"/>
                  <wp:effectExtent l="0" t="0" r="0" b="8255"/>
                  <wp:wrapNone/>
                  <wp:docPr id="1"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2"/>
                          <pic:cNvPicPr>
                            <a:picLocks noChangeAspect="1"/>
                          </pic:cNvPicPr>
                        </pic:nvPicPr>
                        <pic:blipFill>
                          <a:blip r:embed="rId22"/>
                          <a:stretch>
                            <a:fillRect/>
                          </a:stretch>
                        </pic:blipFill>
                        <pic:spPr>
                          <a:xfrm>
                            <a:off x="0" y="0"/>
                            <a:ext cx="1485900" cy="428625"/>
                          </a:xfrm>
                          <a:prstGeom prst="rect">
                            <a:avLst/>
                          </a:prstGeom>
                          <a:noFill/>
                          <a:ln>
                            <a:noFill/>
                          </a:ln>
                        </pic:spPr>
                      </pic:pic>
                    </a:graphicData>
                  </a:graphic>
                </wp:anchor>
              </w:drawing>
            </w:r>
          </w:p>
          <w:p>
            <w:pPr>
              <w:keepLines w:val="0"/>
              <w:pageBreakBefore w:val="0"/>
              <w:widowControl/>
              <w:kinsoku/>
              <w:wordWrap/>
              <w:overflowPunct/>
              <w:bidi w:val="0"/>
              <w:adjustRightInd w:val="0"/>
              <w:snapToGrid w:val="0"/>
              <w:spacing w:line="360" w:lineRule="auto"/>
              <w:ind w:firstLine="480" w:firstLineChars="200"/>
              <w:rPr>
                <w:rFonts w:ascii="Times New Roman" w:hAnsi="Times New Roman" w:eastAsia="宋体" w:cs="Times New Roman"/>
                <w:color w:val="000000"/>
                <w:spacing w:val="0"/>
                <w:kern w:val="0"/>
                <w:sz w:val="24"/>
                <w:highlight w:val="none"/>
              </w:rPr>
            </w:pPr>
          </w:p>
          <w:p>
            <w:pPr>
              <w:keepLines w:val="0"/>
              <w:pageBreakBefore w:val="0"/>
              <w:widowControl/>
              <w:kinsoku/>
              <w:wordWrap/>
              <w:overflowPunct/>
              <w:bidi w:val="0"/>
              <w:adjustRightInd w:val="0"/>
              <w:snapToGrid w:val="0"/>
              <w:spacing w:line="360" w:lineRule="auto"/>
              <w:ind w:firstLine="480" w:firstLineChars="200"/>
              <w:rPr>
                <w:rFonts w:ascii="Times New Roman" w:hAnsi="Times New Roman" w:eastAsia="宋体" w:cs="Times New Roman"/>
                <w:color w:val="000000"/>
                <w:spacing w:val="0"/>
                <w:kern w:val="0"/>
                <w:sz w:val="24"/>
                <w:highlight w:val="none"/>
              </w:rPr>
            </w:pPr>
            <w:r>
              <w:rPr>
                <w:rFonts w:ascii="Times New Roman" w:hAnsi="Times New Roman" w:eastAsia="宋体" w:cs="Times New Roman"/>
                <w:color w:val="000000"/>
                <w:spacing w:val="0"/>
                <w:kern w:val="0"/>
                <w:sz w:val="24"/>
                <w:highlight w:val="none"/>
              </w:rPr>
              <w:t>式中：L</w:t>
            </w:r>
            <w:r>
              <w:rPr>
                <w:rFonts w:ascii="Times New Roman" w:hAnsi="Times New Roman" w:eastAsia="宋体" w:cs="Times New Roman"/>
                <w:color w:val="000000"/>
                <w:spacing w:val="0"/>
                <w:kern w:val="0"/>
                <w:sz w:val="24"/>
                <w:highlight w:val="none"/>
                <w:vertAlign w:val="subscript"/>
              </w:rPr>
              <w:t>eq</w:t>
            </w:r>
            <w:r>
              <w:rPr>
                <w:rFonts w:ascii="Times New Roman" w:hAnsi="Times New Roman" w:eastAsia="宋体" w:cs="Times New Roman"/>
                <w:color w:val="000000"/>
                <w:spacing w:val="0"/>
                <w:kern w:val="0"/>
                <w:sz w:val="24"/>
                <w:highlight w:val="none"/>
              </w:rPr>
              <w:t>——总等效声级，dB(A)；</w:t>
            </w:r>
          </w:p>
          <w:p>
            <w:pPr>
              <w:keepLines w:val="0"/>
              <w:pageBreakBefore w:val="0"/>
              <w:widowControl/>
              <w:kinsoku/>
              <w:wordWrap/>
              <w:overflowPunct/>
              <w:bidi w:val="0"/>
              <w:adjustRightInd w:val="0"/>
              <w:snapToGrid w:val="0"/>
              <w:spacing w:line="360" w:lineRule="auto"/>
              <w:ind w:firstLine="480" w:firstLineChars="200"/>
              <w:rPr>
                <w:rFonts w:ascii="Times New Roman" w:hAnsi="Times New Roman" w:eastAsia="宋体" w:cs="Times New Roman"/>
                <w:color w:val="000000"/>
                <w:spacing w:val="0"/>
                <w:kern w:val="0"/>
                <w:sz w:val="24"/>
                <w:highlight w:val="none"/>
              </w:rPr>
            </w:pPr>
            <w:r>
              <w:rPr>
                <w:rFonts w:ascii="Times New Roman" w:hAnsi="Times New Roman" w:eastAsia="宋体" w:cs="Times New Roman"/>
                <w:color w:val="000000"/>
                <w:spacing w:val="0"/>
                <w:kern w:val="0"/>
                <w:sz w:val="24"/>
                <w:highlight w:val="none"/>
              </w:rPr>
              <w:t xml:space="preserve">      L</w:t>
            </w:r>
            <w:r>
              <w:rPr>
                <w:rFonts w:ascii="Times New Roman" w:hAnsi="Times New Roman" w:eastAsia="宋体" w:cs="Times New Roman"/>
                <w:color w:val="000000"/>
                <w:spacing w:val="0"/>
                <w:kern w:val="0"/>
                <w:sz w:val="24"/>
                <w:highlight w:val="none"/>
                <w:vertAlign w:val="subscript"/>
              </w:rPr>
              <w:t>eqi</w:t>
            </w:r>
            <w:r>
              <w:rPr>
                <w:rFonts w:ascii="Times New Roman" w:hAnsi="Times New Roman" w:eastAsia="宋体" w:cs="Times New Roman"/>
                <w:color w:val="000000"/>
                <w:spacing w:val="0"/>
                <w:kern w:val="0"/>
                <w:sz w:val="24"/>
                <w:highlight w:val="none"/>
              </w:rPr>
              <w:t>——第i声源对某预测点的等效声级，dB(A)；</w:t>
            </w:r>
          </w:p>
          <w:p>
            <w:pPr>
              <w:keepLines w:val="0"/>
              <w:pageBreakBefore w:val="0"/>
              <w:widowControl/>
              <w:kinsoku/>
              <w:wordWrap/>
              <w:overflowPunct/>
              <w:bidi w:val="0"/>
              <w:adjustRightInd w:val="0"/>
              <w:snapToGrid w:val="0"/>
              <w:spacing w:line="360" w:lineRule="auto"/>
              <w:ind w:firstLine="480" w:firstLineChars="200"/>
              <w:rPr>
                <w:rFonts w:ascii="Times New Roman" w:hAnsi="Times New Roman" w:eastAsia="宋体" w:cs="Times New Roman"/>
                <w:color w:val="000000"/>
                <w:spacing w:val="0"/>
                <w:kern w:val="0"/>
                <w:sz w:val="24"/>
                <w:highlight w:val="none"/>
              </w:rPr>
            </w:pPr>
            <w:r>
              <w:rPr>
                <w:rFonts w:ascii="Times New Roman" w:hAnsi="Times New Roman" w:eastAsia="宋体" w:cs="Times New Roman"/>
                <w:color w:val="000000"/>
                <w:spacing w:val="0"/>
                <w:kern w:val="0"/>
                <w:sz w:val="24"/>
                <w:highlight w:val="none"/>
              </w:rPr>
              <w:t xml:space="preserve">      n——声源总数。</w:t>
            </w:r>
          </w:p>
          <w:p>
            <w:pPr>
              <w:pStyle w:val="4"/>
              <w:bidi w:val="0"/>
            </w:pPr>
            <w:r>
              <w:rPr>
                <w:rFonts w:hint="eastAsia"/>
                <w:lang w:val="en-US" w:eastAsia="zh-CN"/>
              </w:rPr>
              <w:t>3.5</w:t>
            </w:r>
            <w:r>
              <w:rPr>
                <w:rFonts w:hint="eastAsia"/>
              </w:rPr>
              <w:t>噪声影响分析</w:t>
            </w:r>
          </w:p>
          <w:p>
            <w:pPr>
              <w:bidi w:val="0"/>
              <w:rPr>
                <w:rFonts w:hint="eastAsia"/>
              </w:rPr>
            </w:pPr>
            <w:r>
              <w:rPr>
                <w:rFonts w:hint="eastAsia"/>
              </w:rPr>
              <w:t>本项目所有设备均置于车间内，采用基础减振，厂房门窗隔音及距离衰减等措施治理后，预测结果见表</w:t>
            </w:r>
            <w:r>
              <w:rPr>
                <w:rFonts w:hint="eastAsia"/>
                <w:lang w:val="en-US" w:eastAsia="zh-CN"/>
              </w:rPr>
              <w:t>4-10</w:t>
            </w:r>
            <w:r>
              <w:rPr>
                <w:rFonts w:hint="eastAsia"/>
              </w:rPr>
              <w:t>。</w:t>
            </w:r>
          </w:p>
          <w:p>
            <w:pPr>
              <w:pStyle w:val="10"/>
              <w:bidi w:val="0"/>
            </w:pPr>
            <w:r>
              <w:t>表</w:t>
            </w:r>
            <w:r>
              <w:rPr>
                <w:rFonts w:hint="eastAsia"/>
                <w:lang w:val="en-US" w:eastAsia="zh-CN"/>
              </w:rPr>
              <w:t>4-10</w:t>
            </w:r>
            <w:r>
              <w:t xml:space="preserve">                   噪声预测结果一览表   </w:t>
            </w:r>
            <w:r>
              <w:rPr>
                <w:rFonts w:hint="eastAsia"/>
              </w:rPr>
              <w:t xml:space="preserve">         </w:t>
            </w:r>
            <w:r>
              <w:t xml:space="preserve">  单位：dB（A）</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6"/>
              <w:gridCol w:w="953"/>
              <w:gridCol w:w="915"/>
              <w:gridCol w:w="670"/>
              <w:gridCol w:w="636"/>
              <w:gridCol w:w="1803"/>
              <w:gridCol w:w="2013"/>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 w:hRule="atLeast"/>
                <w:jc w:val="center"/>
              </w:trPr>
              <w:tc>
                <w:tcPr>
                  <w:tcW w:w="1056" w:type="dxa"/>
                  <w:vMerge w:val="restart"/>
                  <w:shd w:val="clear" w:color="auto" w:fill="auto"/>
                  <w:vAlign w:val="center"/>
                </w:tcPr>
                <w:p>
                  <w:pPr>
                    <w:pStyle w:val="6"/>
                    <w:bidi w:val="0"/>
                  </w:pPr>
                  <w:r>
                    <w:t>预测方位</w:t>
                  </w:r>
                </w:p>
              </w:tc>
              <w:tc>
                <w:tcPr>
                  <w:tcW w:w="2538" w:type="dxa"/>
                  <w:gridSpan w:val="3"/>
                  <w:shd w:val="clear" w:color="auto" w:fill="auto"/>
                  <w:vAlign w:val="center"/>
                </w:tcPr>
                <w:p>
                  <w:pPr>
                    <w:pStyle w:val="6"/>
                    <w:bidi w:val="0"/>
                  </w:pPr>
                  <w:r>
                    <w:rPr>
                      <w:rFonts w:hint="eastAsia"/>
                      <w:lang w:val="en-US" w:eastAsia="zh-CN"/>
                    </w:rPr>
                    <w:t>最大值点</w:t>
                  </w:r>
                  <w:r>
                    <w:t>空间相对位置/m</w:t>
                  </w:r>
                </w:p>
              </w:tc>
              <w:tc>
                <w:tcPr>
                  <w:tcW w:w="636" w:type="dxa"/>
                  <w:vMerge w:val="restart"/>
                  <w:shd w:val="clear" w:color="auto" w:fill="auto"/>
                  <w:vAlign w:val="center"/>
                </w:tcPr>
                <w:p>
                  <w:pPr>
                    <w:pStyle w:val="6"/>
                    <w:bidi w:val="0"/>
                  </w:pPr>
                  <w:r>
                    <w:t>时段</w:t>
                  </w:r>
                </w:p>
              </w:tc>
              <w:tc>
                <w:tcPr>
                  <w:tcW w:w="1803" w:type="dxa"/>
                  <w:vMerge w:val="restart"/>
                  <w:shd w:val="clear" w:color="auto" w:fill="auto"/>
                  <w:vAlign w:val="center"/>
                </w:tcPr>
                <w:p>
                  <w:pPr>
                    <w:pStyle w:val="6"/>
                    <w:bidi w:val="0"/>
                  </w:pPr>
                  <w:r>
                    <w:rPr>
                      <w:rFonts w:hint="eastAsia"/>
                    </w:rPr>
                    <w:t>贡献值</w:t>
                  </w:r>
                  <w:r>
                    <w:t>（dB(A)）</w:t>
                  </w:r>
                </w:p>
              </w:tc>
              <w:tc>
                <w:tcPr>
                  <w:tcW w:w="2013" w:type="dxa"/>
                  <w:vMerge w:val="restart"/>
                  <w:shd w:val="clear" w:color="auto" w:fill="auto"/>
                  <w:vAlign w:val="center"/>
                </w:tcPr>
                <w:p>
                  <w:pPr>
                    <w:pStyle w:val="6"/>
                    <w:bidi w:val="0"/>
                  </w:pPr>
                  <w:r>
                    <w:t>标准限值（dB(A)）</w:t>
                  </w:r>
                </w:p>
              </w:tc>
              <w:tc>
                <w:tcPr>
                  <w:tcW w:w="1056" w:type="dxa"/>
                  <w:vMerge w:val="restart"/>
                  <w:shd w:val="clear" w:color="auto" w:fill="auto"/>
                  <w:vAlign w:val="center"/>
                </w:tcPr>
                <w:p>
                  <w:pPr>
                    <w:pStyle w:val="6"/>
                    <w:bidi w:val="0"/>
                  </w:pPr>
                  <w: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 w:hRule="atLeast"/>
                <w:jc w:val="center"/>
              </w:trPr>
              <w:tc>
                <w:tcPr>
                  <w:tcW w:w="1056" w:type="dxa"/>
                  <w:vMerge w:val="continue"/>
                  <w:shd w:val="clear" w:color="auto" w:fill="auto"/>
                  <w:vAlign w:val="center"/>
                </w:tcPr>
                <w:p>
                  <w:pPr>
                    <w:pStyle w:val="6"/>
                    <w:bidi w:val="0"/>
                  </w:pPr>
                </w:p>
              </w:tc>
              <w:tc>
                <w:tcPr>
                  <w:tcW w:w="953" w:type="dxa"/>
                  <w:shd w:val="clear" w:color="auto" w:fill="auto"/>
                  <w:vAlign w:val="center"/>
                </w:tcPr>
                <w:p>
                  <w:pPr>
                    <w:pStyle w:val="6"/>
                    <w:bidi w:val="0"/>
                  </w:pPr>
                  <w:r>
                    <w:t>X</w:t>
                  </w:r>
                </w:p>
              </w:tc>
              <w:tc>
                <w:tcPr>
                  <w:tcW w:w="915" w:type="dxa"/>
                  <w:shd w:val="clear" w:color="auto" w:fill="auto"/>
                  <w:vAlign w:val="center"/>
                </w:tcPr>
                <w:p>
                  <w:pPr>
                    <w:pStyle w:val="6"/>
                    <w:bidi w:val="0"/>
                  </w:pPr>
                  <w:r>
                    <w:t>Y</w:t>
                  </w:r>
                </w:p>
              </w:tc>
              <w:tc>
                <w:tcPr>
                  <w:tcW w:w="670" w:type="dxa"/>
                  <w:shd w:val="clear" w:color="auto" w:fill="auto"/>
                  <w:vAlign w:val="center"/>
                </w:tcPr>
                <w:p>
                  <w:pPr>
                    <w:pStyle w:val="6"/>
                    <w:bidi w:val="0"/>
                  </w:pPr>
                  <w:r>
                    <w:t>Z</w:t>
                  </w:r>
                </w:p>
              </w:tc>
              <w:tc>
                <w:tcPr>
                  <w:tcW w:w="636" w:type="dxa"/>
                  <w:vMerge w:val="continue"/>
                  <w:shd w:val="clear" w:color="auto" w:fill="auto"/>
                  <w:vAlign w:val="center"/>
                </w:tcPr>
                <w:p>
                  <w:pPr>
                    <w:pStyle w:val="6"/>
                    <w:bidi w:val="0"/>
                  </w:pPr>
                </w:p>
              </w:tc>
              <w:tc>
                <w:tcPr>
                  <w:tcW w:w="1803" w:type="dxa"/>
                  <w:vMerge w:val="continue"/>
                  <w:shd w:val="clear" w:color="auto" w:fill="auto"/>
                  <w:vAlign w:val="center"/>
                </w:tcPr>
                <w:p>
                  <w:pPr>
                    <w:pStyle w:val="6"/>
                    <w:bidi w:val="0"/>
                  </w:pPr>
                </w:p>
              </w:tc>
              <w:tc>
                <w:tcPr>
                  <w:tcW w:w="2013" w:type="dxa"/>
                  <w:vMerge w:val="continue"/>
                  <w:shd w:val="clear" w:color="auto" w:fill="auto"/>
                  <w:vAlign w:val="center"/>
                </w:tcPr>
                <w:p>
                  <w:pPr>
                    <w:pStyle w:val="6"/>
                    <w:bidi w:val="0"/>
                  </w:pPr>
                </w:p>
              </w:tc>
              <w:tc>
                <w:tcPr>
                  <w:tcW w:w="1056" w:type="dxa"/>
                  <w:vMerge w:val="continue"/>
                  <w:shd w:val="clear" w:color="auto" w:fill="auto"/>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56" w:type="dxa"/>
                  <w:shd w:val="clear" w:color="auto" w:fill="auto"/>
                  <w:vAlign w:val="center"/>
                </w:tcPr>
                <w:p>
                  <w:pPr>
                    <w:pStyle w:val="6"/>
                    <w:bidi w:val="0"/>
                  </w:pPr>
                  <w:r>
                    <w:t>东侧</w:t>
                  </w:r>
                </w:p>
              </w:tc>
              <w:tc>
                <w:tcPr>
                  <w:tcW w:w="953" w:type="dxa"/>
                  <w:shd w:val="clear" w:color="auto" w:fill="auto"/>
                  <w:vAlign w:val="center"/>
                </w:tcPr>
                <w:p>
                  <w:pPr>
                    <w:pStyle w:val="6"/>
                    <w:bidi w:val="0"/>
                  </w:pPr>
                  <w:r>
                    <w:t>110.1</w:t>
                  </w:r>
                </w:p>
              </w:tc>
              <w:tc>
                <w:tcPr>
                  <w:tcW w:w="915" w:type="dxa"/>
                  <w:shd w:val="clear" w:color="auto" w:fill="auto"/>
                  <w:vAlign w:val="center"/>
                </w:tcPr>
                <w:p>
                  <w:pPr>
                    <w:pStyle w:val="6"/>
                    <w:bidi w:val="0"/>
                  </w:pPr>
                  <w:r>
                    <w:t>48.4</w:t>
                  </w:r>
                </w:p>
              </w:tc>
              <w:tc>
                <w:tcPr>
                  <w:tcW w:w="670" w:type="dxa"/>
                  <w:shd w:val="clear" w:color="auto" w:fill="auto"/>
                  <w:vAlign w:val="center"/>
                </w:tcPr>
                <w:p>
                  <w:pPr>
                    <w:pStyle w:val="6"/>
                    <w:bidi w:val="0"/>
                  </w:pPr>
                  <w:r>
                    <w:t>1.2</w:t>
                  </w:r>
                </w:p>
              </w:tc>
              <w:tc>
                <w:tcPr>
                  <w:tcW w:w="636" w:type="dxa"/>
                  <w:shd w:val="clear" w:color="auto" w:fill="auto"/>
                  <w:vAlign w:val="center"/>
                </w:tcPr>
                <w:p>
                  <w:pPr>
                    <w:pStyle w:val="6"/>
                    <w:bidi w:val="0"/>
                  </w:pPr>
                  <w:r>
                    <w:t>昼间</w:t>
                  </w:r>
                </w:p>
              </w:tc>
              <w:tc>
                <w:tcPr>
                  <w:tcW w:w="1803" w:type="dxa"/>
                  <w:shd w:val="clear" w:color="auto" w:fill="auto"/>
                  <w:vAlign w:val="center"/>
                </w:tcPr>
                <w:p>
                  <w:pPr>
                    <w:pStyle w:val="6"/>
                    <w:bidi w:val="0"/>
                  </w:pPr>
                  <w:r>
                    <w:t>33</w:t>
                  </w:r>
                </w:p>
              </w:tc>
              <w:tc>
                <w:tcPr>
                  <w:tcW w:w="2013" w:type="dxa"/>
                  <w:shd w:val="clear" w:color="auto" w:fill="auto"/>
                  <w:vAlign w:val="center"/>
                </w:tcPr>
                <w:p>
                  <w:pPr>
                    <w:pStyle w:val="6"/>
                    <w:bidi w:val="0"/>
                    <w:rPr>
                      <w:rFonts w:hint="default" w:eastAsia="宋体"/>
                      <w:lang w:val="en-US" w:eastAsia="zh-CN"/>
                    </w:rPr>
                  </w:pPr>
                  <w:r>
                    <w:rPr>
                      <w:rFonts w:hint="eastAsia"/>
                      <w:lang w:eastAsia="zh-CN"/>
                    </w:rPr>
                    <w:t>6</w:t>
                  </w:r>
                  <w:r>
                    <w:rPr>
                      <w:rFonts w:hint="eastAsia"/>
                      <w:lang w:val="en-US" w:eastAsia="zh-CN"/>
                    </w:rPr>
                    <w:t>0</w:t>
                  </w:r>
                </w:p>
              </w:tc>
              <w:tc>
                <w:tcPr>
                  <w:tcW w:w="1056" w:type="dxa"/>
                  <w:shd w:val="clear" w:color="auto" w:fill="auto"/>
                  <w:vAlign w:val="center"/>
                </w:tcPr>
                <w:p>
                  <w:pPr>
                    <w:pStyle w:val="6"/>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56" w:type="dxa"/>
                  <w:shd w:val="clear" w:color="auto" w:fill="auto"/>
                  <w:vAlign w:val="center"/>
                </w:tcPr>
                <w:p>
                  <w:pPr>
                    <w:pStyle w:val="6"/>
                    <w:bidi w:val="0"/>
                  </w:pPr>
                  <w:r>
                    <w:t>南侧</w:t>
                  </w:r>
                </w:p>
              </w:tc>
              <w:tc>
                <w:tcPr>
                  <w:tcW w:w="953" w:type="dxa"/>
                  <w:shd w:val="clear" w:color="auto" w:fill="auto"/>
                  <w:vAlign w:val="center"/>
                </w:tcPr>
                <w:p>
                  <w:pPr>
                    <w:pStyle w:val="6"/>
                    <w:bidi w:val="0"/>
                  </w:pPr>
                  <w:r>
                    <w:t>91.4</w:t>
                  </w:r>
                </w:p>
              </w:tc>
              <w:tc>
                <w:tcPr>
                  <w:tcW w:w="915" w:type="dxa"/>
                  <w:shd w:val="clear" w:color="auto" w:fill="auto"/>
                  <w:vAlign w:val="center"/>
                </w:tcPr>
                <w:p>
                  <w:pPr>
                    <w:pStyle w:val="6"/>
                    <w:bidi w:val="0"/>
                  </w:pPr>
                  <w:r>
                    <w:t>-19.9</w:t>
                  </w:r>
                </w:p>
              </w:tc>
              <w:tc>
                <w:tcPr>
                  <w:tcW w:w="670" w:type="dxa"/>
                  <w:shd w:val="clear" w:color="auto" w:fill="auto"/>
                  <w:vAlign w:val="center"/>
                </w:tcPr>
                <w:p>
                  <w:pPr>
                    <w:pStyle w:val="6"/>
                    <w:bidi w:val="0"/>
                  </w:pPr>
                  <w:r>
                    <w:t>1.2</w:t>
                  </w:r>
                </w:p>
              </w:tc>
              <w:tc>
                <w:tcPr>
                  <w:tcW w:w="636" w:type="dxa"/>
                  <w:shd w:val="clear" w:color="auto" w:fill="auto"/>
                  <w:vAlign w:val="center"/>
                </w:tcPr>
                <w:p>
                  <w:pPr>
                    <w:pStyle w:val="6"/>
                    <w:bidi w:val="0"/>
                  </w:pPr>
                  <w:r>
                    <w:t>昼间</w:t>
                  </w:r>
                </w:p>
              </w:tc>
              <w:tc>
                <w:tcPr>
                  <w:tcW w:w="1803" w:type="dxa"/>
                  <w:shd w:val="clear" w:color="auto" w:fill="auto"/>
                  <w:vAlign w:val="center"/>
                </w:tcPr>
                <w:p>
                  <w:pPr>
                    <w:pStyle w:val="6"/>
                    <w:bidi w:val="0"/>
                    <w:rPr>
                      <w:rFonts w:hint="eastAsia" w:eastAsia="宋体"/>
                      <w:lang w:eastAsia="zh-CN"/>
                    </w:rPr>
                  </w:pPr>
                  <w:r>
                    <w:t>3</w:t>
                  </w:r>
                  <w:r>
                    <w:rPr>
                      <w:rFonts w:hint="eastAsia"/>
                      <w:lang w:val="en-US" w:eastAsia="zh-CN"/>
                    </w:rPr>
                    <w:t>1</w:t>
                  </w:r>
                </w:p>
              </w:tc>
              <w:tc>
                <w:tcPr>
                  <w:tcW w:w="2013" w:type="dxa"/>
                  <w:shd w:val="clear" w:color="auto" w:fill="auto"/>
                  <w:vAlign w:val="center"/>
                </w:tcPr>
                <w:p>
                  <w:pPr>
                    <w:pStyle w:val="6"/>
                    <w:bidi w:val="0"/>
                  </w:pPr>
                  <w:r>
                    <w:rPr>
                      <w:rFonts w:hint="eastAsia"/>
                      <w:lang w:eastAsia="zh-CN"/>
                    </w:rPr>
                    <w:t>6</w:t>
                  </w:r>
                  <w:r>
                    <w:rPr>
                      <w:rFonts w:hint="eastAsia"/>
                      <w:lang w:val="en-US" w:eastAsia="zh-CN"/>
                    </w:rPr>
                    <w:t>0</w:t>
                  </w:r>
                </w:p>
              </w:tc>
              <w:tc>
                <w:tcPr>
                  <w:tcW w:w="1056" w:type="dxa"/>
                  <w:shd w:val="clear" w:color="auto" w:fill="auto"/>
                  <w:vAlign w:val="center"/>
                </w:tcPr>
                <w:p>
                  <w:pPr>
                    <w:pStyle w:val="6"/>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8" w:hRule="atLeast"/>
                <w:jc w:val="center"/>
              </w:trPr>
              <w:tc>
                <w:tcPr>
                  <w:tcW w:w="1056" w:type="dxa"/>
                  <w:shd w:val="clear" w:color="auto" w:fill="auto"/>
                  <w:vAlign w:val="center"/>
                </w:tcPr>
                <w:p>
                  <w:pPr>
                    <w:pStyle w:val="6"/>
                    <w:bidi w:val="0"/>
                  </w:pPr>
                  <w:r>
                    <w:t>西侧</w:t>
                  </w:r>
                </w:p>
              </w:tc>
              <w:tc>
                <w:tcPr>
                  <w:tcW w:w="953" w:type="dxa"/>
                  <w:shd w:val="clear" w:color="auto" w:fill="auto"/>
                  <w:vAlign w:val="center"/>
                </w:tcPr>
                <w:p>
                  <w:pPr>
                    <w:pStyle w:val="6"/>
                    <w:bidi w:val="0"/>
                  </w:pPr>
                  <w:r>
                    <w:t>0</w:t>
                  </w:r>
                </w:p>
              </w:tc>
              <w:tc>
                <w:tcPr>
                  <w:tcW w:w="915" w:type="dxa"/>
                  <w:shd w:val="clear" w:color="auto" w:fill="auto"/>
                  <w:vAlign w:val="center"/>
                </w:tcPr>
                <w:p>
                  <w:pPr>
                    <w:pStyle w:val="6"/>
                    <w:bidi w:val="0"/>
                  </w:pPr>
                  <w:r>
                    <w:t>0</w:t>
                  </w:r>
                </w:p>
              </w:tc>
              <w:tc>
                <w:tcPr>
                  <w:tcW w:w="670" w:type="dxa"/>
                  <w:shd w:val="clear" w:color="auto" w:fill="auto"/>
                  <w:vAlign w:val="center"/>
                </w:tcPr>
                <w:p>
                  <w:pPr>
                    <w:pStyle w:val="6"/>
                    <w:bidi w:val="0"/>
                  </w:pPr>
                  <w:r>
                    <w:t>1.2</w:t>
                  </w:r>
                </w:p>
              </w:tc>
              <w:tc>
                <w:tcPr>
                  <w:tcW w:w="636" w:type="dxa"/>
                  <w:shd w:val="clear" w:color="auto" w:fill="auto"/>
                  <w:vAlign w:val="center"/>
                </w:tcPr>
                <w:p>
                  <w:pPr>
                    <w:pStyle w:val="6"/>
                    <w:bidi w:val="0"/>
                  </w:pPr>
                  <w:r>
                    <w:t>昼间</w:t>
                  </w:r>
                </w:p>
              </w:tc>
              <w:tc>
                <w:tcPr>
                  <w:tcW w:w="1803" w:type="dxa"/>
                  <w:shd w:val="clear" w:color="auto" w:fill="auto"/>
                  <w:vAlign w:val="center"/>
                </w:tcPr>
                <w:p>
                  <w:pPr>
                    <w:pStyle w:val="6"/>
                    <w:bidi w:val="0"/>
                  </w:pPr>
                  <w:r>
                    <w:t>31</w:t>
                  </w:r>
                </w:p>
              </w:tc>
              <w:tc>
                <w:tcPr>
                  <w:tcW w:w="2013" w:type="dxa"/>
                  <w:shd w:val="clear" w:color="auto" w:fill="auto"/>
                  <w:vAlign w:val="center"/>
                </w:tcPr>
                <w:p>
                  <w:pPr>
                    <w:pStyle w:val="6"/>
                    <w:bidi w:val="0"/>
                    <w:ind w:firstLine="0" w:firstLineChars="0"/>
                  </w:pPr>
                  <w:r>
                    <w:rPr>
                      <w:rFonts w:hint="eastAsia"/>
                      <w:lang w:eastAsia="zh-CN"/>
                    </w:rPr>
                    <w:t>6</w:t>
                  </w:r>
                  <w:r>
                    <w:rPr>
                      <w:rFonts w:hint="eastAsia"/>
                      <w:lang w:val="en-US" w:eastAsia="zh-CN"/>
                    </w:rPr>
                    <w:t>0</w:t>
                  </w:r>
                </w:p>
              </w:tc>
              <w:tc>
                <w:tcPr>
                  <w:tcW w:w="1056" w:type="dxa"/>
                  <w:shd w:val="clear" w:color="auto" w:fill="auto"/>
                  <w:vAlign w:val="center"/>
                </w:tcPr>
                <w:p>
                  <w:pPr>
                    <w:pStyle w:val="6"/>
                    <w:bidi w:val="0"/>
                  </w:pPr>
                  <w: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7" w:hRule="atLeast"/>
                <w:jc w:val="center"/>
              </w:trPr>
              <w:tc>
                <w:tcPr>
                  <w:tcW w:w="1056" w:type="dxa"/>
                  <w:shd w:val="clear" w:color="auto" w:fill="auto"/>
                  <w:vAlign w:val="center"/>
                </w:tcPr>
                <w:p>
                  <w:pPr>
                    <w:pStyle w:val="6"/>
                    <w:bidi w:val="0"/>
                  </w:pPr>
                  <w:r>
                    <w:t>北侧</w:t>
                  </w:r>
                </w:p>
              </w:tc>
              <w:tc>
                <w:tcPr>
                  <w:tcW w:w="953" w:type="dxa"/>
                  <w:shd w:val="clear" w:color="auto" w:fill="auto"/>
                  <w:vAlign w:val="center"/>
                </w:tcPr>
                <w:p>
                  <w:pPr>
                    <w:pStyle w:val="6"/>
                    <w:bidi w:val="0"/>
                  </w:pPr>
                  <w:r>
                    <w:t>31.3</w:t>
                  </w:r>
                </w:p>
              </w:tc>
              <w:tc>
                <w:tcPr>
                  <w:tcW w:w="915" w:type="dxa"/>
                  <w:shd w:val="clear" w:color="auto" w:fill="auto"/>
                  <w:vAlign w:val="center"/>
                </w:tcPr>
                <w:p>
                  <w:pPr>
                    <w:pStyle w:val="6"/>
                    <w:bidi w:val="0"/>
                  </w:pPr>
                  <w:r>
                    <w:t>44.4</w:t>
                  </w:r>
                </w:p>
              </w:tc>
              <w:tc>
                <w:tcPr>
                  <w:tcW w:w="670" w:type="dxa"/>
                  <w:shd w:val="clear" w:color="auto" w:fill="auto"/>
                  <w:vAlign w:val="center"/>
                </w:tcPr>
                <w:p>
                  <w:pPr>
                    <w:pStyle w:val="6"/>
                    <w:bidi w:val="0"/>
                  </w:pPr>
                  <w:r>
                    <w:t>1.2</w:t>
                  </w:r>
                </w:p>
              </w:tc>
              <w:tc>
                <w:tcPr>
                  <w:tcW w:w="636" w:type="dxa"/>
                  <w:shd w:val="clear" w:color="auto" w:fill="auto"/>
                  <w:vAlign w:val="center"/>
                </w:tcPr>
                <w:p>
                  <w:pPr>
                    <w:pStyle w:val="6"/>
                    <w:bidi w:val="0"/>
                  </w:pPr>
                  <w:r>
                    <w:t>昼间</w:t>
                  </w:r>
                </w:p>
              </w:tc>
              <w:tc>
                <w:tcPr>
                  <w:tcW w:w="1803" w:type="dxa"/>
                  <w:shd w:val="clear" w:color="auto" w:fill="auto"/>
                  <w:vAlign w:val="center"/>
                </w:tcPr>
                <w:p>
                  <w:pPr>
                    <w:pStyle w:val="6"/>
                    <w:bidi w:val="0"/>
                  </w:pPr>
                  <w:r>
                    <w:t>57</w:t>
                  </w:r>
                </w:p>
              </w:tc>
              <w:tc>
                <w:tcPr>
                  <w:tcW w:w="2013" w:type="dxa"/>
                  <w:shd w:val="clear" w:color="auto" w:fill="auto"/>
                  <w:vAlign w:val="center"/>
                </w:tcPr>
                <w:p>
                  <w:pPr>
                    <w:pStyle w:val="6"/>
                    <w:bidi w:val="0"/>
                    <w:ind w:firstLine="0" w:firstLineChars="0"/>
                    <w:rPr>
                      <w:rFonts w:hint="default"/>
                      <w:lang w:val="en-US"/>
                    </w:rPr>
                  </w:pPr>
                  <w:r>
                    <w:rPr>
                      <w:rFonts w:hint="eastAsia"/>
                      <w:lang w:eastAsia="zh-CN"/>
                    </w:rPr>
                    <w:t>6</w:t>
                  </w:r>
                  <w:r>
                    <w:rPr>
                      <w:rFonts w:hint="eastAsia"/>
                      <w:lang w:val="en-US" w:eastAsia="zh-CN"/>
                    </w:rPr>
                    <w:t>0</w:t>
                  </w:r>
                </w:p>
              </w:tc>
              <w:tc>
                <w:tcPr>
                  <w:tcW w:w="1056" w:type="dxa"/>
                  <w:shd w:val="clear" w:color="auto" w:fill="auto"/>
                  <w:vAlign w:val="center"/>
                </w:tcPr>
                <w:p>
                  <w:pPr>
                    <w:pStyle w:val="6"/>
                    <w:bidi w:val="0"/>
                  </w:pPr>
                  <w:r>
                    <w:t>达标</w:t>
                  </w:r>
                </w:p>
              </w:tc>
            </w:tr>
          </w:tbl>
          <w:p>
            <w:pPr>
              <w:bidi w:val="0"/>
              <w:rPr>
                <w:rFonts w:hint="eastAsia"/>
              </w:rPr>
            </w:pPr>
            <w:r>
              <w:rPr>
                <w:rFonts w:hint="eastAsia"/>
              </w:rPr>
              <w:t>据表</w:t>
            </w:r>
            <w:r>
              <w:rPr>
                <w:rFonts w:hint="eastAsia"/>
                <w:lang w:val="en-US" w:eastAsia="zh-CN"/>
              </w:rPr>
              <w:t>4-8</w:t>
            </w:r>
            <w:r>
              <w:rPr>
                <w:rFonts w:hint="eastAsia"/>
              </w:rPr>
              <w:t>预测结果可知，项目厂界四周边界噪声经建筑物隔声降噪及距离衰减后，厂界噪声满足《工业企业厂界环境噪声排放标准》（</w:t>
            </w:r>
            <w:r>
              <w:t>GB12348-2008</w:t>
            </w:r>
            <w:r>
              <w:rPr>
                <w:rFonts w:hint="eastAsia"/>
              </w:rPr>
              <w:t>）</w:t>
            </w:r>
            <w:r>
              <w:rPr>
                <w:rFonts w:hint="eastAsia"/>
                <w:lang w:val="en-US" w:eastAsia="zh-CN"/>
              </w:rPr>
              <w:t>2</w:t>
            </w:r>
            <w:r>
              <w:rPr>
                <w:rFonts w:hint="eastAsia"/>
              </w:rPr>
              <w:t>类区标准中（昼间</w:t>
            </w:r>
            <w:r>
              <w:t>6</w:t>
            </w:r>
            <w:r>
              <w:rPr>
                <w:rFonts w:hint="eastAsia"/>
                <w:lang w:val="en-US" w:eastAsia="zh-CN"/>
              </w:rPr>
              <w:t>0</w:t>
            </w:r>
            <w:r>
              <w:t>dB</w:t>
            </w:r>
            <w:r>
              <w:rPr>
                <w:rFonts w:hint="eastAsia"/>
                <w:lang w:val="en-US" w:eastAsia="zh-CN"/>
              </w:rPr>
              <w:t>(A)</w:t>
            </w:r>
            <w:r>
              <w:rPr>
                <w:rFonts w:hint="default" w:ascii="Times New Roman" w:hAnsi="Times New Roman" w:cs="Times New Roman"/>
              </w:rPr>
              <w:t>）</w:t>
            </w:r>
            <w:r>
              <w:rPr>
                <w:rFonts w:hint="eastAsia"/>
              </w:rPr>
              <w:t>的排放要求。</w:t>
            </w:r>
          </w:p>
          <w:p>
            <w:pPr>
              <w:pStyle w:val="4"/>
              <w:bidi w:val="0"/>
              <w:rPr>
                <w:rFonts w:hint="eastAsia"/>
              </w:rPr>
            </w:pPr>
            <w:r>
              <w:t>3.</w:t>
            </w:r>
            <w:r>
              <w:rPr>
                <w:rFonts w:hint="eastAsia"/>
                <w:lang w:val="en-US" w:eastAsia="zh-CN"/>
              </w:rPr>
              <w:t>6</w:t>
            </w:r>
            <w:r>
              <w:rPr>
                <w:rFonts w:hint="eastAsia"/>
              </w:rPr>
              <w:t>监测计划</w:t>
            </w:r>
          </w:p>
          <w:p>
            <w:pPr>
              <w:keepLines w:val="0"/>
              <w:pageBreakBefore w:val="0"/>
              <w:widowControl/>
              <w:kinsoku/>
              <w:wordWrap/>
              <w:overflowPunct/>
              <w:autoSpaceDE w:val="0"/>
              <w:autoSpaceDN w:val="0"/>
              <w:bidi w:val="0"/>
              <w:adjustRightInd w:val="0"/>
              <w:snapToGrid w:val="0"/>
              <w:ind w:firstLine="480" w:firstLineChars="200"/>
              <w:rPr>
                <w:rFonts w:hint="eastAsia"/>
                <w:color w:val="000000"/>
                <w:spacing w:val="0"/>
                <w:kern w:val="0"/>
              </w:rPr>
            </w:pPr>
            <w:r>
              <w:rPr>
                <w:rFonts w:hint="eastAsia"/>
                <w:color w:val="000000"/>
                <w:spacing w:val="0"/>
                <w:kern w:val="0"/>
              </w:rPr>
              <w:t>本项目运营后监测计划如下表</w:t>
            </w:r>
            <w:r>
              <w:rPr>
                <w:rFonts w:hint="eastAsia"/>
                <w:color w:val="000000"/>
                <w:spacing w:val="0"/>
                <w:kern w:val="0"/>
                <w:lang w:val="en-US" w:eastAsia="zh-CN"/>
              </w:rPr>
              <w:t>4-11</w:t>
            </w:r>
            <w:r>
              <w:rPr>
                <w:rFonts w:hint="eastAsia"/>
                <w:color w:val="000000"/>
                <w:spacing w:val="0"/>
                <w:kern w:val="0"/>
              </w:rPr>
              <w:t>：</w:t>
            </w:r>
          </w:p>
          <w:p>
            <w:pPr>
              <w:pStyle w:val="10"/>
              <w:bidi w:val="0"/>
            </w:pPr>
            <w:r>
              <w:rPr>
                <w:rFonts w:hint="eastAsia"/>
              </w:rPr>
              <w:t>表</w:t>
            </w:r>
            <w:r>
              <w:rPr>
                <w:rFonts w:hint="eastAsia"/>
                <w:lang w:val="en-US" w:eastAsia="zh-CN"/>
              </w:rPr>
              <w:t>4-11</w:t>
            </w:r>
            <w:r>
              <w:t xml:space="preserve">      </w:t>
            </w:r>
            <w:r>
              <w:rPr>
                <w:rFonts w:hint="eastAsia"/>
              </w:rPr>
              <w:t xml:space="preserve">   </w:t>
            </w:r>
            <w:r>
              <w:t xml:space="preserve">                </w:t>
            </w:r>
            <w:r>
              <w:rPr>
                <w:rFonts w:hint="eastAsia"/>
              </w:rPr>
              <w:t>声环境监测计划</w:t>
            </w:r>
          </w:p>
          <w:tbl>
            <w:tblPr>
              <w:tblStyle w:val="40"/>
              <w:tblW w:w="4998" w:type="pct"/>
              <w:tblInd w:w="-5"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1298"/>
              <w:gridCol w:w="1699"/>
              <w:gridCol w:w="1051"/>
              <w:gridCol w:w="346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c>
                <w:tcPr>
                  <w:tcW w:w="525" w:type="pct"/>
                  <w:tcBorders>
                    <w:bottom w:val="single" w:color="000000" w:sz="4" w:space="0"/>
                    <w:right w:val="single" w:color="000000" w:sz="4" w:space="0"/>
                  </w:tcBorders>
                  <w:noWrap w:val="0"/>
                  <w:vAlign w:val="center"/>
                </w:tcPr>
                <w:p>
                  <w:pPr>
                    <w:pStyle w:val="6"/>
                    <w:bidi w:val="0"/>
                  </w:pPr>
                  <w:r>
                    <w:rPr>
                      <w:rFonts w:hint="eastAsia"/>
                    </w:rPr>
                    <w:t>项目</w:t>
                  </w:r>
                </w:p>
              </w:tc>
              <w:tc>
                <w:tcPr>
                  <w:tcW w:w="773" w:type="pct"/>
                  <w:tcBorders>
                    <w:left w:val="single" w:color="000000" w:sz="4" w:space="0"/>
                    <w:bottom w:val="single" w:color="000000" w:sz="4" w:space="0"/>
                    <w:right w:val="single" w:color="000000" w:sz="4" w:space="0"/>
                  </w:tcBorders>
                  <w:noWrap w:val="0"/>
                  <w:vAlign w:val="center"/>
                </w:tcPr>
                <w:p>
                  <w:pPr>
                    <w:pStyle w:val="6"/>
                    <w:bidi w:val="0"/>
                  </w:pPr>
                  <w:r>
                    <w:rPr>
                      <w:rFonts w:hint="eastAsia"/>
                    </w:rPr>
                    <w:t>监测点位</w:t>
                  </w:r>
                </w:p>
              </w:tc>
              <w:tc>
                <w:tcPr>
                  <w:tcW w:w="1012" w:type="pct"/>
                  <w:tcBorders>
                    <w:left w:val="single" w:color="000000" w:sz="4" w:space="0"/>
                    <w:bottom w:val="single" w:color="000000" w:sz="4" w:space="0"/>
                    <w:right w:val="single" w:color="000000" w:sz="4" w:space="0"/>
                  </w:tcBorders>
                  <w:noWrap w:val="0"/>
                  <w:vAlign w:val="center"/>
                </w:tcPr>
                <w:p>
                  <w:pPr>
                    <w:pStyle w:val="6"/>
                    <w:bidi w:val="0"/>
                  </w:pPr>
                  <w:r>
                    <w:rPr>
                      <w:rFonts w:hint="eastAsia"/>
                    </w:rPr>
                    <w:t>监测项目</w:t>
                  </w:r>
                </w:p>
              </w:tc>
              <w:tc>
                <w:tcPr>
                  <w:tcW w:w="626" w:type="pct"/>
                  <w:tcBorders>
                    <w:left w:val="single" w:color="000000" w:sz="4" w:space="0"/>
                    <w:bottom w:val="single" w:color="000000" w:sz="4" w:space="0"/>
                    <w:right w:val="single" w:color="000000" w:sz="4" w:space="0"/>
                  </w:tcBorders>
                  <w:noWrap w:val="0"/>
                  <w:vAlign w:val="center"/>
                </w:tcPr>
                <w:p>
                  <w:pPr>
                    <w:pStyle w:val="6"/>
                    <w:bidi w:val="0"/>
                  </w:pPr>
                  <w:r>
                    <w:rPr>
                      <w:rFonts w:hint="eastAsia"/>
                    </w:rPr>
                    <w:t>监测频率</w:t>
                  </w:r>
                </w:p>
              </w:tc>
              <w:tc>
                <w:tcPr>
                  <w:tcW w:w="2062" w:type="pct"/>
                  <w:tcBorders>
                    <w:left w:val="single" w:color="000000" w:sz="4" w:space="0"/>
                    <w:bottom w:val="single" w:color="000000" w:sz="4" w:space="0"/>
                  </w:tcBorders>
                  <w:noWrap w:val="0"/>
                  <w:vAlign w:val="center"/>
                </w:tcPr>
                <w:p>
                  <w:pPr>
                    <w:pStyle w:val="6"/>
                    <w:bidi w:val="0"/>
                  </w:pPr>
                  <w:r>
                    <w:rPr>
                      <w:rFonts w:hint="eastAsia"/>
                    </w:rPr>
                    <w:t>排放标准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c>
                <w:tcPr>
                  <w:tcW w:w="525" w:type="pct"/>
                  <w:tcBorders>
                    <w:top w:val="single" w:color="000000" w:sz="4" w:space="0"/>
                    <w:right w:val="single" w:color="000000" w:sz="4" w:space="0"/>
                  </w:tcBorders>
                  <w:noWrap w:val="0"/>
                  <w:vAlign w:val="center"/>
                </w:tcPr>
                <w:p>
                  <w:pPr>
                    <w:pStyle w:val="6"/>
                    <w:bidi w:val="0"/>
                  </w:pPr>
                  <w:r>
                    <w:rPr>
                      <w:rFonts w:hint="eastAsia"/>
                    </w:rPr>
                    <w:t>噪声</w:t>
                  </w:r>
                </w:p>
              </w:tc>
              <w:tc>
                <w:tcPr>
                  <w:tcW w:w="773" w:type="pct"/>
                  <w:tcBorders>
                    <w:top w:val="single" w:color="000000" w:sz="4" w:space="0"/>
                    <w:left w:val="single" w:color="000000" w:sz="4" w:space="0"/>
                    <w:right w:val="single" w:color="000000" w:sz="4" w:space="0"/>
                  </w:tcBorders>
                  <w:noWrap w:val="0"/>
                  <w:vAlign w:val="center"/>
                </w:tcPr>
                <w:p>
                  <w:pPr>
                    <w:pStyle w:val="6"/>
                    <w:bidi w:val="0"/>
                  </w:pPr>
                  <w:r>
                    <w:rPr>
                      <w:rFonts w:hint="eastAsia"/>
                    </w:rPr>
                    <w:t>厂界</w:t>
                  </w:r>
                </w:p>
              </w:tc>
              <w:tc>
                <w:tcPr>
                  <w:tcW w:w="1012" w:type="pct"/>
                  <w:tcBorders>
                    <w:top w:val="single" w:color="000000" w:sz="4" w:space="0"/>
                    <w:left w:val="single" w:color="000000" w:sz="4" w:space="0"/>
                    <w:right w:val="single" w:color="000000" w:sz="4" w:space="0"/>
                  </w:tcBorders>
                  <w:noWrap w:val="0"/>
                  <w:vAlign w:val="center"/>
                </w:tcPr>
                <w:p>
                  <w:pPr>
                    <w:pStyle w:val="6"/>
                    <w:bidi w:val="0"/>
                  </w:pPr>
                  <w:r>
                    <w:rPr>
                      <w:rFonts w:hint="eastAsia"/>
                    </w:rPr>
                    <w:t>等效连续</w:t>
                  </w:r>
                  <w:r>
                    <w:t>A</w:t>
                  </w:r>
                  <w:r>
                    <w:rPr>
                      <w:rFonts w:hint="eastAsia"/>
                    </w:rPr>
                    <w:t>声级</w:t>
                  </w:r>
                </w:p>
              </w:tc>
              <w:tc>
                <w:tcPr>
                  <w:tcW w:w="626" w:type="pct"/>
                  <w:tcBorders>
                    <w:top w:val="single" w:color="000000" w:sz="4" w:space="0"/>
                    <w:left w:val="single" w:color="000000" w:sz="4" w:space="0"/>
                    <w:right w:val="single" w:color="000000" w:sz="4" w:space="0"/>
                  </w:tcBorders>
                  <w:noWrap w:val="0"/>
                  <w:vAlign w:val="center"/>
                </w:tcPr>
                <w:p>
                  <w:pPr>
                    <w:pStyle w:val="6"/>
                    <w:bidi w:val="0"/>
                    <w:rPr>
                      <w:rFonts w:hint="eastAsia"/>
                    </w:rPr>
                  </w:pPr>
                  <w:r>
                    <w:rPr>
                      <w:rFonts w:hint="eastAsia"/>
                    </w:rPr>
                    <w:t>季度</w:t>
                  </w:r>
                </w:p>
              </w:tc>
              <w:tc>
                <w:tcPr>
                  <w:tcW w:w="2062" w:type="pct"/>
                  <w:tcBorders>
                    <w:top w:val="single" w:color="000000" w:sz="4" w:space="0"/>
                    <w:left w:val="single" w:color="000000" w:sz="4" w:space="0"/>
                  </w:tcBorders>
                  <w:noWrap w:val="0"/>
                  <w:vAlign w:val="center"/>
                </w:tcPr>
                <w:p>
                  <w:pPr>
                    <w:pStyle w:val="6"/>
                    <w:bidi w:val="0"/>
                    <w:rPr>
                      <w:rFonts w:hint="eastAsia"/>
                    </w:rPr>
                  </w:pPr>
                  <w:r>
                    <w:rPr>
                      <w:rFonts w:hint="eastAsia"/>
                    </w:rPr>
                    <w:t>《工业企业厂界环境噪声排放标准》</w:t>
                  </w:r>
                  <w:r>
                    <w:t>(GB12348-2008)</w:t>
                  </w:r>
                  <w:r>
                    <w:rPr>
                      <w:rFonts w:hint="eastAsia"/>
                      <w:lang w:eastAsia="zh-CN"/>
                    </w:rPr>
                    <w:t>2类</w:t>
                  </w:r>
                  <w:r>
                    <w:rPr>
                      <w:rFonts w:hint="eastAsia"/>
                    </w:rPr>
                    <w:t>区排放标准</w:t>
                  </w:r>
                </w:p>
              </w:tc>
            </w:tr>
          </w:tbl>
          <w:p>
            <w:pPr>
              <w:pStyle w:val="4"/>
              <w:bidi w:val="0"/>
            </w:pPr>
            <w:r>
              <w:t>4</w:t>
            </w:r>
            <w:r>
              <w:rPr>
                <w:rFonts w:hint="eastAsia"/>
                <w:lang w:eastAsia="zh-CN"/>
              </w:rPr>
              <w:t>、</w:t>
            </w:r>
            <w:r>
              <w:t>固废</w:t>
            </w:r>
          </w:p>
          <w:p>
            <w:pPr>
              <w:bidi w:val="0"/>
            </w:pPr>
            <w:r>
              <w:t>本项目产生的固体废物主要</w:t>
            </w:r>
            <w:r>
              <w:rPr>
                <w:rFonts w:hint="eastAsia"/>
              </w:rPr>
              <w:t>为</w:t>
            </w:r>
            <w:r>
              <w:rPr>
                <w:rFonts w:hint="eastAsia"/>
                <w:lang w:val="en-US" w:eastAsia="zh-CN"/>
              </w:rPr>
              <w:t>生活垃圾、</w:t>
            </w:r>
            <w:r>
              <w:rPr>
                <w:rFonts w:hint="eastAsia"/>
              </w:rPr>
              <w:t>一般工业固废和危险废物。</w:t>
            </w:r>
          </w:p>
          <w:p>
            <w:pPr>
              <w:pStyle w:val="4"/>
              <w:bidi w:val="0"/>
            </w:pPr>
            <w:r>
              <w:t>4.1生活垃圾</w:t>
            </w:r>
          </w:p>
          <w:p>
            <w:pPr>
              <w:bidi w:val="0"/>
            </w:pPr>
            <w:r>
              <w:t>本项目职工人数为</w:t>
            </w:r>
            <w:r>
              <w:rPr>
                <w:rFonts w:hint="eastAsia"/>
                <w:lang w:val="en-US" w:eastAsia="zh-CN"/>
              </w:rPr>
              <w:t>20</w:t>
            </w:r>
            <w:r>
              <w:t>人，工作天数为</w:t>
            </w:r>
            <w:r>
              <w:rPr>
                <w:rFonts w:hint="eastAsia"/>
                <w:lang w:val="en-US" w:eastAsia="zh-CN"/>
              </w:rPr>
              <w:t>240</w:t>
            </w:r>
            <w:r>
              <w:t>d，生活垃圾产生量按每人0.5kg/d计算，则本项目生活垃圾产生量约为</w:t>
            </w:r>
            <w:r>
              <w:rPr>
                <w:rFonts w:hint="eastAsia"/>
                <w:lang w:val="en-US" w:eastAsia="zh-CN"/>
              </w:rPr>
              <w:t>2.4</w:t>
            </w:r>
            <w:r>
              <w:t>t/a</w:t>
            </w:r>
            <w:r>
              <w:rPr>
                <w:rFonts w:hint="eastAsia"/>
              </w:rPr>
              <w:t>，集中收集后定期由环卫部门清运处置</w:t>
            </w:r>
            <w:r>
              <w:t>。</w:t>
            </w:r>
          </w:p>
          <w:p>
            <w:pPr>
              <w:pStyle w:val="4"/>
              <w:bidi w:val="0"/>
            </w:pPr>
            <w:r>
              <w:t>4.2一般工业固体废物</w:t>
            </w:r>
          </w:p>
          <w:p>
            <w:pPr>
              <w:bidi w:val="0"/>
            </w:pPr>
            <w:r>
              <w:t>（1）除尘器收集粉尘</w:t>
            </w:r>
          </w:p>
          <w:p>
            <w:pPr>
              <w:bidi w:val="0"/>
              <w:rPr>
                <w:rFonts w:hint="eastAsia"/>
                <w:lang w:val="en-US" w:eastAsia="zh-CN"/>
              </w:rPr>
            </w:pPr>
            <w:r>
              <w:rPr>
                <w:rFonts w:hint="eastAsia"/>
                <w:lang w:val="en-US" w:eastAsia="zh-CN"/>
              </w:rPr>
              <w:t>本项目除尘器收集的除尘灰和车间沉降粉尘集中收集后回至生产线内重新利用，不外排，收集量12.745t/a。</w:t>
            </w:r>
          </w:p>
          <w:p>
            <w:pPr>
              <w:bidi w:val="0"/>
              <w:rPr>
                <w:rFonts w:hint="default"/>
                <w:lang w:val="en-US"/>
              </w:rPr>
            </w:pPr>
            <w:r>
              <w:t>（2）</w:t>
            </w:r>
            <w:r>
              <w:rPr>
                <w:rFonts w:hint="eastAsia"/>
                <w:lang w:val="en-US" w:eastAsia="zh-CN"/>
              </w:rPr>
              <w:t>不合格产品及边角料</w:t>
            </w:r>
          </w:p>
          <w:p>
            <w:pPr>
              <w:bidi w:val="0"/>
              <w:rPr>
                <w:rFonts w:hint="eastAsia"/>
                <w:lang w:val="en-US" w:eastAsia="zh-CN"/>
              </w:rPr>
            </w:pPr>
            <w:r>
              <w:rPr>
                <w:rFonts w:hint="eastAsia"/>
                <w:lang w:val="en-US" w:eastAsia="zh-CN"/>
              </w:rPr>
              <w:t>不合格产品及边角料产生量约为10t/a，集中收集后定期清运至一般固废填埋场填埋处理。根据《巴音郭楞蒙古自治州 2024 年度固体废物污染环境防治信息公告》，若羌县一般工业固废填埋场设计储量22万立方米，当前已使用库容8.14万立方米，可容纳本项目产生的一般工业固废。</w:t>
            </w:r>
          </w:p>
          <w:p>
            <w:pPr>
              <w:bidi w:val="0"/>
              <w:rPr>
                <w:rFonts w:hint="eastAsia"/>
                <w:lang w:val="en-US" w:eastAsia="zh-CN"/>
              </w:rPr>
            </w:pPr>
            <w:r>
              <w:rPr>
                <w:rFonts w:hint="eastAsia"/>
                <w:lang w:val="en-US" w:eastAsia="zh-CN"/>
              </w:rPr>
              <w:t>（3）循环沉淀池沉渣</w:t>
            </w:r>
          </w:p>
          <w:p>
            <w:pPr>
              <w:bidi w:val="0"/>
              <w:rPr>
                <w:rFonts w:hint="eastAsia"/>
                <w:lang w:val="en-US" w:eastAsia="zh-CN"/>
              </w:rPr>
            </w:pPr>
            <w:r>
              <w:rPr>
                <w:rFonts w:hint="eastAsia"/>
                <w:lang w:val="en-US" w:eastAsia="zh-CN"/>
              </w:rPr>
              <w:t>本项目清洗废水进入沉淀池，沉淀池内产生的沉渣约1t/a，集中收集后回用于生产线，最终进入产品不外排。</w:t>
            </w:r>
          </w:p>
          <w:p>
            <w:pPr>
              <w:keepLines w:val="0"/>
              <w:pageBreakBefore w:val="0"/>
              <w:widowControl/>
              <w:numPr>
                <w:ilvl w:val="0"/>
                <w:numId w:val="0"/>
              </w:numPr>
              <w:kinsoku/>
              <w:wordWrap/>
              <w:overflowPunct/>
              <w:bidi w:val="0"/>
              <w:ind w:left="480" w:leftChars="200"/>
              <w:rPr>
                <w:rFonts w:hint="eastAsia"/>
                <w:color w:val="000000"/>
                <w:spacing w:val="0"/>
                <w:kern w:val="0"/>
              </w:rPr>
            </w:pPr>
            <w:r>
              <w:rPr>
                <w:rFonts w:hint="eastAsia"/>
                <w:lang w:val="en-US" w:eastAsia="zh-CN"/>
              </w:rPr>
              <w:t>（4）</w:t>
            </w:r>
            <w:r>
              <w:rPr>
                <w:rFonts w:hint="eastAsia"/>
                <w:color w:val="000000"/>
                <w:spacing w:val="0"/>
                <w:kern w:val="0"/>
              </w:rPr>
              <w:t>废布袋</w:t>
            </w:r>
          </w:p>
          <w:p>
            <w:pPr>
              <w:keepLines w:val="0"/>
              <w:pageBreakBefore w:val="0"/>
              <w:widowControl/>
              <w:kinsoku/>
              <w:wordWrap/>
              <w:overflowPunct/>
              <w:bidi w:val="0"/>
              <w:ind w:firstLine="480" w:firstLineChars="200"/>
              <w:rPr>
                <w:rFonts w:hint="eastAsia"/>
                <w:color w:val="000000"/>
                <w:spacing w:val="0"/>
                <w:kern w:val="0"/>
              </w:rPr>
            </w:pPr>
            <w:r>
              <w:rPr>
                <w:rFonts w:hint="eastAsia"/>
                <w:color w:val="000000"/>
                <w:spacing w:val="0"/>
                <w:kern w:val="0"/>
              </w:rPr>
              <w:t>本项目使用布袋除尘器为末端治理设施，布袋除尘器中的布袋需定期更换，废布袋产生量约为0.1t/a，集中收集后</w:t>
            </w:r>
            <w:r>
              <w:rPr>
                <w:rFonts w:hint="eastAsia"/>
                <w:color w:val="000000"/>
                <w:spacing w:val="0"/>
                <w:kern w:val="0"/>
                <w:lang w:val="en-US" w:eastAsia="zh-CN"/>
              </w:rPr>
              <w:t>定期清运至一般固废填埋场填埋</w:t>
            </w:r>
            <w:r>
              <w:rPr>
                <w:rFonts w:hint="eastAsia"/>
                <w:color w:val="000000"/>
                <w:spacing w:val="0"/>
                <w:kern w:val="0"/>
              </w:rPr>
              <w:t>。</w:t>
            </w:r>
            <w:r>
              <w:rPr>
                <w:rFonts w:hint="eastAsia"/>
                <w:lang w:val="en-US" w:eastAsia="zh-CN"/>
              </w:rPr>
              <w:t>根据《巴音郭楞蒙古自治州 2024 年度固体废物污染环境防治信息公告》，若羌县一般工业固废填埋场设计储量22万立方米，当前已使用库容8.14万立方米，可容纳本项目产生的一般工业固废。</w:t>
            </w:r>
          </w:p>
          <w:p>
            <w:pPr>
              <w:pStyle w:val="4"/>
              <w:bidi w:val="0"/>
            </w:pPr>
            <w:r>
              <w:t>4.3危险废物</w:t>
            </w:r>
          </w:p>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（1）废润滑油</w:t>
            </w:r>
          </w:p>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本项目各类机械生产加工设备需要定期维护保养，会产生废润滑油，产生量为约0.05</w:t>
            </w:r>
            <w:r>
              <w:rPr>
                <w:rFonts w:hint="default"/>
                <w:lang w:val="en-US" w:eastAsia="zh-CN"/>
              </w:rPr>
              <w:t>t/a</w:t>
            </w:r>
            <w:r>
              <w:rPr>
                <w:rFonts w:hint="eastAsia"/>
                <w:lang w:val="en-US" w:eastAsia="zh-CN"/>
              </w:rPr>
              <w:t>，收集、储存在危废暂存间（10m</w:t>
            </w:r>
            <w:r>
              <w:rPr>
                <w:rFonts w:hint="eastAsia"/>
                <w:vertAlign w:val="superscript"/>
                <w:lang w:val="en-US" w:eastAsia="zh-CN"/>
              </w:rPr>
              <w:t>2</w:t>
            </w:r>
            <w:r>
              <w:rPr>
                <w:rFonts w:hint="eastAsia"/>
                <w:lang w:val="en-US" w:eastAsia="zh-CN"/>
              </w:rPr>
              <w:t>），至少一年转运一次，交由有资质的机构处理。根据《国家危险废物名录》（</w:t>
            </w:r>
            <w:r>
              <w:rPr>
                <w:rFonts w:hint="eastAsia"/>
              </w:rPr>
              <w:t>202</w:t>
            </w:r>
            <w:r>
              <w:rPr>
                <w:rFonts w:hint="eastAsia"/>
                <w:lang w:val="en-US" w:eastAsia="zh-CN"/>
              </w:rPr>
              <w:t>5年），废润滑油属于HW08废矿物油与含矿物油废物，危险废物代码为：</w:t>
            </w:r>
            <w:r>
              <w:rPr>
                <w:rFonts w:hint="default"/>
                <w:lang w:val="en-US" w:eastAsia="zh-CN"/>
              </w:rPr>
              <w:t>900-217-08</w:t>
            </w:r>
            <w:r>
              <w:rPr>
                <w:rFonts w:hint="eastAsia"/>
                <w:lang w:val="en-US" w:eastAsia="zh-CN"/>
              </w:rPr>
              <w:t>。</w:t>
            </w:r>
          </w:p>
          <w:p>
            <w:pPr>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（2）废油桶</w:t>
            </w:r>
          </w:p>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本项目废油桶产生量约为</w:t>
            </w:r>
            <w:r>
              <w:rPr>
                <w:rFonts w:hint="default"/>
                <w:lang w:val="en-US" w:eastAsia="zh-CN"/>
              </w:rPr>
              <w:t>0.0</w:t>
            </w:r>
            <w:r>
              <w:rPr>
                <w:rFonts w:hint="eastAsia"/>
                <w:lang w:val="en-US" w:eastAsia="zh-CN"/>
              </w:rPr>
              <w:t>1</w:t>
            </w:r>
            <w:r>
              <w:rPr>
                <w:rFonts w:hint="default"/>
                <w:lang w:val="en-US" w:eastAsia="zh-CN"/>
              </w:rPr>
              <w:t>t/a</w:t>
            </w:r>
            <w:r>
              <w:rPr>
                <w:rFonts w:hint="eastAsia"/>
                <w:lang w:val="en-US" w:eastAsia="zh-CN"/>
              </w:rPr>
              <w:t>，收集、储存在危废暂存间（10m</w:t>
            </w:r>
            <w:r>
              <w:rPr>
                <w:rFonts w:hint="eastAsia"/>
                <w:vertAlign w:val="superscript"/>
                <w:lang w:val="en-US" w:eastAsia="zh-CN"/>
              </w:rPr>
              <w:t>2</w:t>
            </w:r>
            <w:r>
              <w:rPr>
                <w:rFonts w:hint="eastAsia"/>
                <w:lang w:val="en-US" w:eastAsia="zh-CN"/>
              </w:rPr>
              <w:t>），至少一年转运一次，交由有资质的机构处理。对照《国家危险废物名录》（</w:t>
            </w:r>
            <w:r>
              <w:rPr>
                <w:rFonts w:hint="eastAsia"/>
              </w:rPr>
              <w:t>202</w:t>
            </w:r>
            <w:r>
              <w:rPr>
                <w:rFonts w:hint="eastAsia"/>
                <w:lang w:val="en-US" w:eastAsia="zh-CN"/>
              </w:rPr>
              <w:t>5年），废油桶属于HW08废矿物油与含矿物油废物，危废代码为：</w:t>
            </w:r>
            <w:r>
              <w:rPr>
                <w:rFonts w:hint="default"/>
                <w:lang w:val="en-US" w:eastAsia="zh-CN"/>
              </w:rPr>
              <w:t>900-249-08</w:t>
            </w:r>
            <w:r>
              <w:rPr>
                <w:rFonts w:hint="eastAsia"/>
                <w:lang w:val="en-US" w:eastAsia="zh-CN"/>
              </w:rPr>
              <w:t>。</w:t>
            </w:r>
          </w:p>
          <w:p>
            <w:pPr>
              <w:keepNext w:val="0"/>
              <w:keepLines w:val="0"/>
              <w:suppressLineNumbers w:val="0"/>
              <w:bidi w:val="0"/>
              <w:spacing w:before="0" w:beforeAutospacing="0" w:after="0" w:afterAutospacing="0"/>
              <w:ind w:left="0" w:right="0"/>
              <w:rPr>
                <w:rFonts w:hint="eastAsia"/>
              </w:rPr>
            </w:pPr>
            <w:r>
              <w:rPr>
                <w:rFonts w:hint="eastAsia"/>
                <w:lang w:val="en-US" w:eastAsia="zh-CN"/>
              </w:rPr>
              <w:t>（3）</w:t>
            </w:r>
            <w:r>
              <w:rPr>
                <w:rFonts w:hint="eastAsia"/>
              </w:rPr>
              <w:t>含油抹布、劳保用品</w:t>
            </w:r>
          </w:p>
          <w:p>
            <w:pPr>
              <w:keepNext w:val="0"/>
              <w:keepLines w:val="0"/>
              <w:suppressLineNumbers w:val="0"/>
              <w:bidi w:val="0"/>
              <w:spacing w:before="0" w:beforeAutospacing="0" w:after="0" w:afterAutospacing="0"/>
              <w:ind w:left="0" w:right="0"/>
              <w:rPr>
                <w:rFonts w:hint="default"/>
                <w:lang w:val="en-US"/>
              </w:rPr>
            </w:pPr>
            <w:r>
              <w:rPr>
                <w:rFonts w:hint="default"/>
              </w:rPr>
              <w:t>人工擦洗、设备检修、维护等过程中产生的固废主要为含油废</w:t>
            </w:r>
            <w:r>
              <w:rPr>
                <w:rFonts w:hint="eastAsia"/>
              </w:rPr>
              <w:t>抹布</w:t>
            </w:r>
            <w:r>
              <w:rPr>
                <w:rFonts w:hint="default"/>
              </w:rPr>
              <w:t>、手套等，约0.</w:t>
            </w:r>
            <w:r>
              <w:rPr>
                <w:rFonts w:hint="eastAsia"/>
              </w:rPr>
              <w:t>0</w:t>
            </w:r>
            <w:r>
              <w:rPr>
                <w:rFonts w:hint="eastAsia"/>
                <w:lang w:val="en-US" w:eastAsia="zh-CN"/>
              </w:rPr>
              <w:t>02</w:t>
            </w:r>
            <w:r>
              <w:rPr>
                <w:rFonts w:hint="default"/>
              </w:rPr>
              <w:t>t/a。</w:t>
            </w:r>
            <w:r>
              <w:rPr>
                <w:rFonts w:hint="eastAsia"/>
                <w:lang w:eastAsia="zh-CN"/>
              </w:rPr>
              <w:t>根据</w:t>
            </w:r>
            <w:r>
              <w:rPr>
                <w:rFonts w:hint="default"/>
              </w:rPr>
              <w:t>《国家危险废物名录</w:t>
            </w:r>
            <w:r>
              <w:rPr>
                <w:rFonts w:hint="eastAsia"/>
                <w:lang w:val="en-US" w:eastAsia="zh-CN"/>
              </w:rPr>
              <w:t>（2025 版）</w:t>
            </w:r>
            <w:r>
              <w:rPr>
                <w:rFonts w:hint="default"/>
              </w:rPr>
              <w:t>》，废物类别为HW49</w:t>
            </w:r>
            <w:r>
              <w:rPr>
                <w:rFonts w:hint="eastAsia"/>
                <w:lang w:val="en-US" w:eastAsia="zh-CN"/>
              </w:rPr>
              <w:t>（废物代码 900-041-49），属于危险废物豁免管理清单，</w:t>
            </w:r>
            <w:r>
              <w:rPr>
                <w:rFonts w:hint="eastAsia" w:ascii="Times New Roman" w:hAnsi="Times New Roman" w:eastAsia="宋体" w:cs="Times New Roman"/>
                <w:color w:val="auto"/>
                <w:kern w:val="0"/>
                <w:sz w:val="24"/>
                <w:szCs w:val="24"/>
                <w:lang w:val="en-US" w:eastAsia="zh-CN" w:bidi="ar"/>
              </w:rPr>
              <w:t>收集、储存于危废暂存间，交由有资质的机构处理</w:t>
            </w:r>
            <w:r>
              <w:rPr>
                <w:rFonts w:hint="eastAsia"/>
              </w:rPr>
              <w:t>。</w:t>
            </w:r>
          </w:p>
          <w:p>
            <w:pPr>
              <w:keepNext w:val="0"/>
              <w:keepLines w:val="0"/>
              <w:pageBreakBefore w:val="0"/>
              <w:widowControl/>
              <w:suppressLineNumbers w:val="0"/>
              <w:kinsoku/>
              <w:wordWrap/>
              <w:overflowPunct/>
              <w:autoSpaceDE w:val="0"/>
              <w:autoSpaceDN w:val="0"/>
              <w:bidi w:val="0"/>
              <w:adjustRightInd w:val="0"/>
              <w:snapToGrid w:val="0"/>
              <w:spacing w:before="0" w:beforeAutospacing="0" w:after="0" w:afterAutospacing="0" w:line="240" w:lineRule="auto"/>
              <w:ind w:left="0" w:right="0" w:firstLine="422" w:firstLineChars="200"/>
              <w:jc w:val="left"/>
              <w:rPr>
                <w:rFonts w:hint="default" w:ascii="Times New Roman" w:hAnsi="Times New Roman" w:eastAsia="宋体" w:cs="Times New Roman"/>
                <w:b/>
                <w:bCs w:val="0"/>
                <w:color w:val="000000"/>
                <w:kern w:val="0"/>
                <w:sz w:val="21"/>
                <w:szCs w:val="21"/>
                <w:vertAlign w:val="baseline"/>
                <w:lang w:val="en-US" w:eastAsia="zh-CN" w:bidi="ar"/>
              </w:rPr>
            </w:pPr>
            <w:r>
              <w:rPr>
                <w:rFonts w:hint="default" w:ascii="Times New Roman" w:hAnsi="Times New Roman" w:eastAsia="宋体" w:cs="Times New Roman"/>
                <w:b/>
                <w:bCs w:val="0"/>
                <w:color w:val="000000"/>
                <w:spacing w:val="0"/>
                <w:kern w:val="0"/>
                <w:sz w:val="21"/>
                <w:szCs w:val="21"/>
                <w:lang w:val="en-US" w:eastAsia="zh-CN" w:bidi="ar"/>
              </w:rPr>
              <w:t>表4-</w:t>
            </w:r>
            <w:r>
              <w:rPr>
                <w:rFonts w:hint="eastAsia" w:ascii="Times New Roman" w:hAnsi="Times New Roman" w:eastAsia="宋体" w:cs="Times New Roman"/>
                <w:b/>
                <w:bCs w:val="0"/>
                <w:color w:val="000000"/>
                <w:spacing w:val="0"/>
                <w:kern w:val="0"/>
                <w:sz w:val="21"/>
                <w:szCs w:val="21"/>
                <w:lang w:val="en-US" w:eastAsia="zh-CN" w:bidi="ar"/>
              </w:rPr>
              <w:t>1</w:t>
            </w:r>
            <w:r>
              <w:rPr>
                <w:rFonts w:hint="eastAsia" w:cs="Times New Roman"/>
                <w:b/>
                <w:bCs w:val="0"/>
                <w:color w:val="000000"/>
                <w:spacing w:val="0"/>
                <w:kern w:val="0"/>
                <w:sz w:val="21"/>
                <w:szCs w:val="21"/>
                <w:lang w:val="en-US" w:eastAsia="zh-CN" w:bidi="ar"/>
              </w:rPr>
              <w:t>2</w:t>
            </w:r>
            <w:r>
              <w:rPr>
                <w:rFonts w:hint="default" w:ascii="Times New Roman" w:hAnsi="Times New Roman" w:eastAsia="宋体" w:cs="Times New Roman"/>
                <w:b/>
                <w:bCs w:val="0"/>
                <w:color w:val="000000"/>
                <w:spacing w:val="0"/>
                <w:kern w:val="0"/>
                <w:sz w:val="21"/>
                <w:szCs w:val="21"/>
                <w:lang w:val="en-US" w:eastAsia="zh-CN" w:bidi="ar"/>
              </w:rPr>
              <w:t xml:space="preserve">    </w:t>
            </w:r>
            <w:r>
              <w:rPr>
                <w:rFonts w:hint="eastAsia" w:ascii="Times New Roman" w:hAnsi="Times New Roman" w:eastAsia="宋体" w:cs="Times New Roman"/>
                <w:b/>
                <w:bCs w:val="0"/>
                <w:color w:val="000000"/>
                <w:spacing w:val="0"/>
                <w:kern w:val="0"/>
                <w:sz w:val="21"/>
                <w:szCs w:val="21"/>
                <w:lang w:val="en-US" w:eastAsia="zh-CN" w:bidi="ar"/>
              </w:rPr>
              <w:t xml:space="preserve">      </w:t>
            </w:r>
            <w:r>
              <w:rPr>
                <w:rFonts w:hint="default" w:ascii="Times New Roman" w:hAnsi="Times New Roman" w:eastAsia="宋体" w:cs="Times New Roman"/>
                <w:b/>
                <w:bCs w:val="0"/>
                <w:color w:val="000000"/>
                <w:spacing w:val="0"/>
                <w:kern w:val="0"/>
                <w:sz w:val="21"/>
                <w:szCs w:val="21"/>
                <w:lang w:val="en-US" w:eastAsia="zh-CN" w:bidi="ar"/>
              </w:rPr>
              <w:t xml:space="preserve">   </w:t>
            </w:r>
            <w:r>
              <w:rPr>
                <w:rFonts w:hint="eastAsia" w:ascii="Times New Roman" w:hAnsi="Times New Roman" w:cs="Times New Roman"/>
                <w:b/>
                <w:bCs w:val="0"/>
                <w:color w:val="000000"/>
                <w:spacing w:val="0"/>
                <w:kern w:val="0"/>
                <w:sz w:val="21"/>
                <w:szCs w:val="21"/>
                <w:lang w:val="en-US" w:eastAsia="zh-CN" w:bidi="ar"/>
              </w:rPr>
              <w:t xml:space="preserve">     </w:t>
            </w:r>
            <w:r>
              <w:rPr>
                <w:rFonts w:hint="default" w:ascii="Times New Roman" w:hAnsi="Times New Roman" w:eastAsia="宋体" w:cs="Times New Roman"/>
                <w:b/>
                <w:bCs w:val="0"/>
                <w:color w:val="000000"/>
                <w:spacing w:val="0"/>
                <w:kern w:val="0"/>
                <w:sz w:val="21"/>
                <w:szCs w:val="21"/>
                <w:lang w:val="en-US" w:eastAsia="zh-CN" w:bidi="ar"/>
              </w:rPr>
              <w:t>工程分析中危险废物汇总表</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8"/>
              <w:gridCol w:w="812"/>
              <w:gridCol w:w="548"/>
              <w:gridCol w:w="496"/>
              <w:gridCol w:w="1019"/>
              <w:gridCol w:w="688"/>
              <w:gridCol w:w="1306"/>
              <w:gridCol w:w="703"/>
              <w:gridCol w:w="629"/>
              <w:gridCol w:w="499"/>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6"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right="0"/>
                    <w:rPr>
                      <w:rFonts w:hint="eastAsia"/>
                      <w:color w:val="auto"/>
                      <w:sz w:val="21"/>
                      <w:szCs w:val="21"/>
                      <w:highlight w:val="none"/>
                      <w:lang w:val="en-US" w:eastAsia="zh-CN"/>
                    </w:rPr>
                  </w:pPr>
                  <w:r>
                    <w:rPr>
                      <w:rFonts w:hint="eastAsia"/>
                      <w:color w:val="auto"/>
                      <w:sz w:val="21"/>
                      <w:szCs w:val="21"/>
                      <w:highlight w:val="none"/>
                      <w:lang w:val="en-US" w:eastAsia="zh-CN"/>
                    </w:rPr>
                    <w:t>属性</w:t>
                  </w:r>
                </w:p>
              </w:tc>
              <w:tc>
                <w:tcPr>
                  <w:tcW w:w="483"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right="0"/>
                    <w:rPr>
                      <w:rFonts w:hint="eastAsia"/>
                      <w:color w:val="auto"/>
                      <w:sz w:val="21"/>
                      <w:szCs w:val="21"/>
                      <w:highlight w:val="none"/>
                      <w:lang w:val="en-US" w:eastAsia="zh-CN"/>
                    </w:rPr>
                  </w:pPr>
                  <w:r>
                    <w:rPr>
                      <w:rFonts w:hint="eastAsia"/>
                      <w:color w:val="auto"/>
                      <w:sz w:val="21"/>
                      <w:szCs w:val="21"/>
                      <w:highlight w:val="none"/>
                      <w:lang w:val="en-US" w:eastAsia="zh-CN"/>
                    </w:rPr>
                    <w:t>名称</w:t>
                  </w:r>
                </w:p>
              </w:tc>
              <w:tc>
                <w:tcPr>
                  <w:tcW w:w="326"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right="0"/>
                    <w:rPr>
                      <w:rFonts w:hint="default"/>
                      <w:color w:val="auto"/>
                      <w:sz w:val="21"/>
                      <w:szCs w:val="21"/>
                      <w:highlight w:val="none"/>
                    </w:rPr>
                  </w:pPr>
                  <w:r>
                    <w:rPr>
                      <w:rFonts w:hint="eastAsia"/>
                      <w:color w:val="auto"/>
                      <w:sz w:val="21"/>
                      <w:szCs w:val="21"/>
                      <w:highlight w:val="none"/>
                      <w:lang w:val="en-US" w:eastAsia="zh-CN"/>
                    </w:rPr>
                    <w:t>产生</w:t>
                  </w:r>
                </w:p>
                <w:p>
                  <w:pPr>
                    <w:pStyle w:val="6"/>
                    <w:keepNext w:val="0"/>
                    <w:keepLines w:val="0"/>
                    <w:suppressLineNumbers w:val="0"/>
                    <w:bidi w:val="0"/>
                    <w:spacing w:before="0" w:beforeAutospacing="0" w:after="0" w:afterAutospacing="0"/>
                    <w:ind w:left="0" w:right="0"/>
                    <w:rPr>
                      <w:rFonts w:hint="default"/>
                      <w:color w:val="auto"/>
                      <w:sz w:val="21"/>
                      <w:szCs w:val="21"/>
                      <w:highlight w:val="none"/>
                    </w:rPr>
                  </w:pPr>
                  <w:r>
                    <w:rPr>
                      <w:rFonts w:hint="eastAsia"/>
                      <w:color w:val="auto"/>
                      <w:sz w:val="21"/>
                      <w:szCs w:val="21"/>
                      <w:highlight w:val="none"/>
                      <w:lang w:val="en-US" w:eastAsia="zh-CN"/>
                    </w:rPr>
                    <w:t>工序</w:t>
                  </w:r>
                </w:p>
              </w:tc>
              <w:tc>
                <w:tcPr>
                  <w:tcW w:w="295"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right="0"/>
                    <w:rPr>
                      <w:rFonts w:hint="default"/>
                      <w:color w:val="auto"/>
                      <w:sz w:val="21"/>
                      <w:szCs w:val="21"/>
                      <w:highlight w:val="none"/>
                    </w:rPr>
                  </w:pPr>
                  <w:r>
                    <w:rPr>
                      <w:rFonts w:hint="eastAsia"/>
                      <w:color w:val="auto"/>
                      <w:sz w:val="21"/>
                      <w:szCs w:val="21"/>
                      <w:highlight w:val="none"/>
                      <w:lang w:val="en-US" w:eastAsia="zh-CN"/>
                    </w:rPr>
                    <w:t>物理性状</w:t>
                  </w:r>
                </w:p>
              </w:tc>
              <w:tc>
                <w:tcPr>
                  <w:tcW w:w="606"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right="0"/>
                    <w:rPr>
                      <w:rFonts w:hint="default"/>
                      <w:color w:val="auto"/>
                      <w:sz w:val="21"/>
                      <w:szCs w:val="21"/>
                      <w:highlight w:val="none"/>
                    </w:rPr>
                  </w:pPr>
                  <w:r>
                    <w:rPr>
                      <w:rFonts w:hint="eastAsia"/>
                      <w:color w:val="auto"/>
                      <w:sz w:val="21"/>
                      <w:szCs w:val="21"/>
                      <w:highlight w:val="none"/>
                      <w:lang w:val="en-US" w:eastAsia="zh-CN"/>
                    </w:rPr>
                    <w:t>有毒有害物质名称</w:t>
                  </w:r>
                </w:p>
              </w:tc>
              <w:tc>
                <w:tcPr>
                  <w:tcW w:w="409"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right="0"/>
                    <w:rPr>
                      <w:rFonts w:hint="eastAsia"/>
                      <w:color w:val="auto"/>
                      <w:sz w:val="21"/>
                      <w:szCs w:val="21"/>
                      <w:highlight w:val="none"/>
                      <w:lang w:val="en-US" w:eastAsia="zh-CN"/>
                    </w:rPr>
                  </w:pPr>
                  <w:r>
                    <w:rPr>
                      <w:rFonts w:hint="eastAsia"/>
                      <w:color w:val="auto"/>
                      <w:sz w:val="21"/>
                      <w:szCs w:val="21"/>
                      <w:highlight w:val="none"/>
                      <w:lang w:val="en-US" w:eastAsia="zh-CN"/>
                    </w:rPr>
                    <w:t>环境危险特性</w:t>
                  </w:r>
                </w:p>
              </w:tc>
              <w:tc>
                <w:tcPr>
                  <w:tcW w:w="777"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right="0"/>
                    <w:rPr>
                      <w:rFonts w:hint="default"/>
                      <w:color w:val="auto"/>
                      <w:sz w:val="21"/>
                      <w:szCs w:val="21"/>
                      <w:highlight w:val="none"/>
                    </w:rPr>
                  </w:pPr>
                  <w:r>
                    <w:rPr>
                      <w:rFonts w:hint="eastAsia"/>
                      <w:color w:val="auto"/>
                      <w:sz w:val="21"/>
                      <w:szCs w:val="21"/>
                      <w:highlight w:val="none"/>
                      <w:lang w:val="en-US" w:eastAsia="zh-CN"/>
                    </w:rPr>
                    <w:t>固废代码</w:t>
                  </w:r>
                </w:p>
              </w:tc>
              <w:tc>
                <w:tcPr>
                  <w:tcW w:w="418"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right="0"/>
                    <w:rPr>
                      <w:rFonts w:hint="default"/>
                      <w:color w:val="auto"/>
                      <w:sz w:val="21"/>
                      <w:szCs w:val="21"/>
                      <w:highlight w:val="none"/>
                      <w:lang w:val="en-US" w:eastAsia="zh-CN"/>
                    </w:rPr>
                  </w:pPr>
                  <w:r>
                    <w:rPr>
                      <w:rFonts w:hint="eastAsia"/>
                      <w:color w:val="auto"/>
                      <w:sz w:val="21"/>
                      <w:szCs w:val="21"/>
                      <w:highlight w:val="none"/>
                      <w:lang w:val="en-US" w:eastAsia="zh-CN"/>
                    </w:rPr>
                    <w:t>产生量</w:t>
                  </w:r>
                </w:p>
              </w:tc>
              <w:tc>
                <w:tcPr>
                  <w:tcW w:w="374"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right="0"/>
                    <w:rPr>
                      <w:rFonts w:hint="eastAsia"/>
                      <w:color w:val="auto"/>
                      <w:sz w:val="21"/>
                      <w:szCs w:val="21"/>
                      <w:highlight w:val="none"/>
                      <w:lang w:val="en-US" w:eastAsia="zh-CN"/>
                    </w:rPr>
                  </w:pPr>
                  <w:r>
                    <w:rPr>
                      <w:rFonts w:hint="eastAsia"/>
                      <w:color w:val="auto"/>
                      <w:sz w:val="21"/>
                      <w:szCs w:val="21"/>
                      <w:highlight w:val="none"/>
                      <w:lang w:val="en-US" w:eastAsia="zh-CN"/>
                    </w:rPr>
                    <w:t>储存方式</w:t>
                  </w:r>
                </w:p>
              </w:tc>
              <w:tc>
                <w:tcPr>
                  <w:tcW w:w="297"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right="0"/>
                    <w:rPr>
                      <w:rFonts w:hint="default"/>
                      <w:color w:val="auto"/>
                      <w:sz w:val="21"/>
                      <w:szCs w:val="21"/>
                      <w:highlight w:val="none"/>
                      <w:lang w:val="en-US" w:eastAsia="zh-CN"/>
                    </w:rPr>
                  </w:pPr>
                  <w:r>
                    <w:rPr>
                      <w:rFonts w:hint="eastAsia"/>
                      <w:color w:val="auto"/>
                      <w:sz w:val="21"/>
                      <w:szCs w:val="21"/>
                      <w:highlight w:val="none"/>
                      <w:lang w:val="en-US" w:eastAsia="zh-CN"/>
                    </w:rPr>
                    <w:t>转运周期</w:t>
                  </w:r>
                </w:p>
              </w:tc>
              <w:tc>
                <w:tcPr>
                  <w:tcW w:w="683"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right="0"/>
                    <w:rPr>
                      <w:rFonts w:hint="default"/>
                      <w:color w:val="auto"/>
                      <w:sz w:val="21"/>
                      <w:szCs w:val="21"/>
                      <w:highlight w:val="none"/>
                    </w:rPr>
                  </w:pPr>
                  <w:r>
                    <w:rPr>
                      <w:rFonts w:hint="eastAsia"/>
                      <w:color w:val="auto"/>
                      <w:sz w:val="21"/>
                      <w:szCs w:val="21"/>
                      <w:highlight w:val="none"/>
                      <w:lang w:val="en-US" w:eastAsia="zh-CN"/>
                    </w:rPr>
                    <w:t>处置方法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6" w:type="pct"/>
                  <w:vMerge w:val="restar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right="0"/>
                    <w:rPr>
                      <w:rFonts w:hint="default"/>
                      <w:color w:val="auto"/>
                      <w:sz w:val="21"/>
                      <w:szCs w:val="21"/>
                      <w:highlight w:val="none"/>
                      <w:lang w:val="en-US" w:eastAsia="zh-CN"/>
                    </w:rPr>
                  </w:pPr>
                  <w:r>
                    <w:rPr>
                      <w:rFonts w:hint="eastAsia"/>
                      <w:color w:val="auto"/>
                      <w:sz w:val="21"/>
                      <w:szCs w:val="21"/>
                      <w:highlight w:val="none"/>
                      <w:lang w:val="en-US" w:eastAsia="zh-CN"/>
                    </w:rPr>
                    <w:t>危险废物</w:t>
                  </w:r>
                </w:p>
              </w:tc>
              <w:tc>
                <w:tcPr>
                  <w:tcW w:w="483"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废润滑油</w:t>
                  </w:r>
                </w:p>
              </w:tc>
              <w:tc>
                <w:tcPr>
                  <w:tcW w:w="326"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设备维护</w:t>
                  </w:r>
                </w:p>
              </w:tc>
              <w:tc>
                <w:tcPr>
                  <w:tcW w:w="295"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液态</w:t>
                  </w:r>
                </w:p>
              </w:tc>
              <w:tc>
                <w:tcPr>
                  <w:tcW w:w="606"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烷烃、多环芳烃、烯烃、苯系物、酚类</w:t>
                  </w:r>
                </w:p>
              </w:tc>
              <w:tc>
                <w:tcPr>
                  <w:tcW w:w="409"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I</w:t>
                  </w:r>
                </w:p>
              </w:tc>
              <w:tc>
                <w:tcPr>
                  <w:tcW w:w="777"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900-21</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-08</w:t>
                  </w:r>
                </w:p>
              </w:tc>
              <w:tc>
                <w:tcPr>
                  <w:tcW w:w="418"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0.05</w:t>
                  </w:r>
                </w:p>
              </w:tc>
              <w:tc>
                <w:tcPr>
                  <w:tcW w:w="374"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危废贮存间</w:t>
                  </w:r>
                </w:p>
              </w:tc>
              <w:tc>
                <w:tcPr>
                  <w:tcW w:w="297"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一年一次</w:t>
                  </w:r>
                </w:p>
              </w:tc>
              <w:tc>
                <w:tcPr>
                  <w:tcW w:w="683"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6" w:type="pct"/>
                  <w:vMerge w:val="continue"/>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right="0"/>
                    <w:rPr>
                      <w:rFonts w:hint="eastAsia"/>
                      <w:color w:val="auto"/>
                      <w:sz w:val="21"/>
                      <w:szCs w:val="21"/>
                      <w:highlight w:val="none"/>
                      <w:lang w:val="en-US" w:eastAsia="zh-CN"/>
                    </w:rPr>
                  </w:pPr>
                </w:p>
              </w:tc>
              <w:tc>
                <w:tcPr>
                  <w:tcW w:w="483"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废油桶</w:t>
                  </w:r>
                </w:p>
              </w:tc>
              <w:tc>
                <w:tcPr>
                  <w:tcW w:w="326"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设备维护</w:t>
                  </w:r>
                </w:p>
              </w:tc>
              <w:tc>
                <w:tcPr>
                  <w:tcW w:w="295"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固态</w:t>
                  </w:r>
                </w:p>
              </w:tc>
              <w:tc>
                <w:tcPr>
                  <w:tcW w:w="606"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烷烃、多环芳烃、烯烃、苯系物、酚类</w:t>
                  </w:r>
                </w:p>
              </w:tc>
              <w:tc>
                <w:tcPr>
                  <w:tcW w:w="409"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I</w:t>
                  </w:r>
                </w:p>
              </w:tc>
              <w:tc>
                <w:tcPr>
                  <w:tcW w:w="777"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900-249-08</w:t>
                  </w:r>
                </w:p>
              </w:tc>
              <w:tc>
                <w:tcPr>
                  <w:tcW w:w="418"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0.01</w:t>
                  </w:r>
                </w:p>
              </w:tc>
              <w:tc>
                <w:tcPr>
                  <w:tcW w:w="374"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危废贮存间</w:t>
                  </w:r>
                </w:p>
              </w:tc>
              <w:tc>
                <w:tcPr>
                  <w:tcW w:w="297"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一年一次</w:t>
                  </w:r>
                </w:p>
              </w:tc>
              <w:tc>
                <w:tcPr>
                  <w:tcW w:w="683"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26" w:type="pct"/>
                  <w:vMerge w:val="continue"/>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right="0"/>
                    <w:rPr>
                      <w:rFonts w:hint="default"/>
                      <w:color w:val="auto"/>
                      <w:sz w:val="21"/>
                      <w:szCs w:val="21"/>
                      <w:highlight w:val="none"/>
                      <w:lang w:val="en-US" w:eastAsia="zh-CN"/>
                    </w:rPr>
                  </w:pPr>
                </w:p>
              </w:tc>
              <w:tc>
                <w:tcPr>
                  <w:tcW w:w="483"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含油抹布、劳保用品</w:t>
                  </w:r>
                </w:p>
              </w:tc>
              <w:tc>
                <w:tcPr>
                  <w:tcW w:w="326"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设备维护</w:t>
                  </w:r>
                </w:p>
              </w:tc>
              <w:tc>
                <w:tcPr>
                  <w:tcW w:w="295"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固态</w:t>
                  </w:r>
                </w:p>
              </w:tc>
              <w:tc>
                <w:tcPr>
                  <w:tcW w:w="606"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废矿物油</w:t>
                  </w:r>
                </w:p>
              </w:tc>
              <w:tc>
                <w:tcPr>
                  <w:tcW w:w="409"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I</w:t>
                  </w:r>
                  <w:r>
                    <w:rPr>
                      <w:rFonts w:hint="eastAsia" w:ascii="Times New Roman" w:hAnsi="Times New Roman" w:eastAsia="宋体" w:cs="Times New Roman"/>
                      <w:color w:val="auto"/>
                      <w:sz w:val="21"/>
                      <w:szCs w:val="21"/>
                      <w:highlight w:val="none"/>
                      <w:lang w:val="en-US" w:eastAsia="zh-CN"/>
                    </w:rPr>
                    <w:t>n</w:t>
                  </w:r>
                </w:p>
              </w:tc>
              <w:tc>
                <w:tcPr>
                  <w:tcW w:w="777"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900-041-49</w:t>
                  </w:r>
                </w:p>
              </w:tc>
              <w:tc>
                <w:tcPr>
                  <w:tcW w:w="418"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0.002</w:t>
                  </w:r>
                </w:p>
              </w:tc>
              <w:tc>
                <w:tcPr>
                  <w:tcW w:w="374"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危废贮存间</w:t>
                  </w:r>
                </w:p>
              </w:tc>
              <w:tc>
                <w:tcPr>
                  <w:tcW w:w="297"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一年一次</w:t>
                  </w:r>
                </w:p>
              </w:tc>
              <w:tc>
                <w:tcPr>
                  <w:tcW w:w="683" w:type="pct"/>
                  <w:tcBorders>
                    <w:tl2br w:val="nil"/>
                    <w:tr2bl w:val="nil"/>
                  </w:tcBorders>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委托有资质单位处置</w:t>
                  </w:r>
                </w:p>
              </w:tc>
            </w:tr>
          </w:tbl>
          <w:p>
            <w:pPr>
              <w:pStyle w:val="4"/>
              <w:bidi w:val="0"/>
              <w:rPr>
                <w:rFonts w:hint="default"/>
                <w:lang w:val="en-US" w:eastAsia="zh-CN"/>
              </w:rPr>
            </w:pPr>
            <w:r>
              <w:rPr>
                <w:rFonts w:hint="eastAsia"/>
                <w:lang w:val="en-US" w:eastAsia="zh-CN"/>
              </w:rPr>
              <w:t>4.4环境管理要求</w:t>
            </w:r>
          </w:p>
          <w:p>
            <w:pPr>
              <w:bidi w:val="0"/>
            </w:pPr>
            <w:r>
              <w:t>本项目</w:t>
            </w:r>
            <w:r>
              <w:rPr>
                <w:rFonts w:hint="eastAsia"/>
                <w:lang w:val="en-US" w:eastAsia="zh-CN"/>
              </w:rPr>
              <w:t>一般工业固废、</w:t>
            </w:r>
            <w:r>
              <w:t>危险废物贮存场所设置应遵照以下规定：</w:t>
            </w:r>
          </w:p>
          <w:p>
            <w:pPr>
              <w:pStyle w:val="4"/>
              <w:bidi w:val="0"/>
              <w:rPr>
                <w:rFonts w:hint="default"/>
                <w:lang w:val="en-US" w:eastAsia="zh-CN"/>
              </w:rPr>
            </w:pPr>
            <w:r>
              <w:rPr>
                <w:rFonts w:hint="eastAsia"/>
                <w:lang w:val="en-US" w:eastAsia="zh-CN"/>
              </w:rPr>
              <w:t>一般工业固废管理要求：</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根据《中华人民共和国固体废物污染环境防治法》，企业在贮存固废时需要遵守以下原则：</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（1）储存要求：</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①一般固废临时储存场所需防扬散、防流失、防渗漏。</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②对暂时不利用或者不能利用的，应当按照国务院生态环境主管部门的规定建设贮存设施、场所，安全分类存放，或者采取无害化处置措施。贮存工业固体废物应当采取符合国家环境保护标准的防护措施。</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③张贴一般固废贮存场所标牌。</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④产生工业固体废物的单位终止的，应当在终止前对工业固体废物的贮存、处置的设施、场所采取污染防治措施，并对未处置的工业固体废物作出妥善处置，防止污染环境。</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（2）建立台账：建立工业固体废物管理台账，内容包括工业固体废物种类、产生量、流向、贮存、处置等。</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（3）无害处理：对其产生的不能利用的一般工业固体废物，要按照环境保护的有关规定处置，委托有处置资质和处置能力的单位依法处置，禁止擅自处置。</w:t>
            </w:r>
          </w:p>
          <w:p>
            <w:pPr>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（5）申报登记：需执行工业固体废物申报登记制度，按年度如实向环保部门申报登记。</w:t>
            </w:r>
          </w:p>
          <w:p>
            <w:pPr>
              <w:keepNext w:val="0"/>
              <w:keepLines w:val="0"/>
              <w:suppressLineNumbers w:val="0"/>
              <w:bidi w:val="0"/>
              <w:spacing w:before="0" w:beforeAutospacing="0" w:after="0" w:afterAutospacing="0"/>
              <w:ind w:left="0" w:right="0"/>
              <w:rPr>
                <w:rFonts w:hint="eastAsia" w:ascii="Times New Roman" w:hAnsi="Times New Roman" w:eastAsia="宋体" w:cs="Times New Roman"/>
                <w:b w:val="0"/>
                <w:bCs w:val="0"/>
                <w:color w:val="auto"/>
                <w:spacing w:val="0"/>
                <w:kern w:val="0"/>
                <w:position w:val="0"/>
                <w:sz w:val="24"/>
                <w:highlight w:val="none"/>
                <w:lang w:eastAsia="zh-CN"/>
              </w:rPr>
            </w:pPr>
            <w:r>
              <w:rPr>
                <w:rFonts w:hint="eastAsia"/>
                <w:color w:val="auto"/>
                <w:highlight w:val="none"/>
                <w:lang w:val="en-US" w:eastAsia="zh-CN"/>
              </w:rPr>
              <w:t>（6）运输要求：产生工业固体废物的单位委托他人运输、利用、处置工业固体废物的，应当对受托方的主体资格和技术能力进行核实，依法签订书面合同，在合同中约定污染防治要求。</w:t>
            </w:r>
          </w:p>
          <w:p>
            <w:pPr>
              <w:pStyle w:val="4"/>
              <w:bidi w:val="0"/>
              <w:rPr>
                <w:rFonts w:hint="default"/>
              </w:rPr>
            </w:pPr>
            <w:r>
              <w:rPr>
                <w:rFonts w:hint="eastAsia"/>
                <w:lang w:eastAsia="zh-CN"/>
              </w:rPr>
              <w:t>危废贮存间</w:t>
            </w:r>
            <w:r>
              <w:rPr>
                <w:rFonts w:hint="default"/>
              </w:rPr>
              <w:t>建设要求：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pacing w:val="0"/>
                <w:kern w:val="0"/>
                <w:position w:val="0"/>
                <w:sz w:val="24"/>
                <w:highlight w:val="none"/>
                <w:lang w:val="en-US" w:eastAsia="zh-CN"/>
              </w:rPr>
            </w:pPr>
            <w:r>
              <w:rPr>
                <w:rFonts w:hint="eastAsia"/>
                <w:b w:val="0"/>
                <w:bCs w:val="0"/>
                <w:color w:val="auto"/>
                <w:spacing w:val="0"/>
                <w:kern w:val="0"/>
                <w:position w:val="0"/>
                <w:sz w:val="24"/>
                <w:highlight w:val="none"/>
                <w:lang w:eastAsia="zh-CN"/>
              </w:rPr>
              <w:t>（</w:t>
            </w:r>
            <w:r>
              <w:rPr>
                <w:rFonts w:hint="eastAsia"/>
                <w:b w:val="0"/>
                <w:bCs w:val="0"/>
                <w:color w:val="auto"/>
                <w:spacing w:val="0"/>
                <w:kern w:val="0"/>
                <w:position w:val="0"/>
                <w:sz w:val="24"/>
                <w:highlight w:val="none"/>
                <w:lang w:val="en-US" w:eastAsia="zh-CN"/>
              </w:rPr>
              <w:t>1</w:t>
            </w:r>
            <w:r>
              <w:rPr>
                <w:rFonts w:hint="eastAsia"/>
                <w:b w:val="0"/>
                <w:bCs w:val="0"/>
                <w:color w:val="auto"/>
                <w:spacing w:val="0"/>
                <w:kern w:val="0"/>
                <w:position w:val="0"/>
                <w:sz w:val="24"/>
                <w:highlight w:val="none"/>
                <w:lang w:eastAsia="zh-CN"/>
              </w:rPr>
              <w:t>）</w:t>
            </w:r>
            <w:r>
              <w:rPr>
                <w:rFonts w:hint="eastAsia"/>
                <w:b w:val="0"/>
                <w:bCs w:val="0"/>
                <w:color w:val="auto"/>
                <w:spacing w:val="0"/>
                <w:kern w:val="0"/>
                <w:position w:val="0"/>
                <w:sz w:val="24"/>
                <w:highlight w:val="none"/>
                <w:lang w:val="en-US" w:eastAsia="zh-CN"/>
              </w:rPr>
              <w:t>建设要求：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val="0"/>
                <w:color w:val="auto"/>
                <w:spacing w:val="0"/>
                <w:kern w:val="0"/>
                <w:position w:val="0"/>
                <w:sz w:val="24"/>
                <w:highlight w:val="none"/>
                <w:lang w:val="en-US" w:eastAsia="zh-CN"/>
              </w:rPr>
            </w:pPr>
            <w:r>
              <w:rPr>
                <w:rFonts w:hint="eastAsia"/>
                <w:b w:val="0"/>
                <w:bCs w:val="0"/>
                <w:color w:val="auto"/>
                <w:spacing w:val="0"/>
                <w:kern w:val="0"/>
                <w:position w:val="0"/>
                <w:sz w:val="24"/>
                <w:highlight w:val="none"/>
                <w:lang w:val="en-US" w:eastAsia="zh-CN"/>
              </w:rPr>
              <w:t>根据</w:t>
            </w:r>
            <w:r>
              <w:rPr>
                <w:rFonts w:hint="eastAsia"/>
                <w:lang w:val="en-US" w:eastAsia="zh-CN"/>
              </w:rPr>
              <w:t>《危险废物贮存污染控制标准》（GB18597—2023）设置危废暂存间：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val="0"/>
                <w:color w:val="auto"/>
                <w:spacing w:val="0"/>
                <w:kern w:val="0"/>
                <w:position w:val="0"/>
                <w:sz w:val="24"/>
                <w:highlight w:val="none"/>
              </w:rPr>
            </w:pPr>
            <w:r>
              <w:rPr>
                <w:rFonts w:hint="default"/>
                <w:b w:val="0"/>
                <w:bCs w:val="0"/>
                <w:color w:val="auto"/>
                <w:spacing w:val="0"/>
                <w:kern w:val="0"/>
                <w:position w:val="0"/>
                <w:sz w:val="24"/>
                <w:highlight w:val="none"/>
              </w:rPr>
              <w:t>①</w:t>
            </w:r>
            <w:r>
              <w:rPr>
                <w:rFonts w:hint="eastAsia"/>
                <w:b w:val="0"/>
                <w:bCs w:val="0"/>
                <w:color w:val="auto"/>
                <w:spacing w:val="0"/>
                <w:kern w:val="0"/>
                <w:position w:val="0"/>
                <w:sz w:val="24"/>
                <w:highlight w:val="none"/>
                <w:lang w:val="en-US" w:eastAsia="zh-CN"/>
              </w:rPr>
              <w:t>贮存设施应根据危险废物的形态、物理化学性质、包装形式和污染物迁移途径，采取必要的防风、防晒、防雨、防漏、防渗、防腐以及其他环境污染防治措施，不应露天堆放危险废物。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val="0"/>
                <w:bCs w:val="0"/>
                <w:color w:val="auto"/>
                <w:spacing w:val="0"/>
                <w:kern w:val="0"/>
                <w:position w:val="0"/>
                <w:sz w:val="24"/>
                <w:highlight w:val="none"/>
                <w:lang w:val="en-US" w:eastAsia="zh-CN"/>
              </w:rPr>
            </w:pPr>
            <w:r>
              <w:rPr>
                <w:rFonts w:hint="default"/>
                <w:b w:val="0"/>
                <w:bCs w:val="0"/>
                <w:color w:val="auto"/>
                <w:spacing w:val="0"/>
                <w:kern w:val="0"/>
                <w:position w:val="0"/>
                <w:sz w:val="24"/>
                <w:highlight w:val="none"/>
              </w:rPr>
              <w:t>②</w:t>
            </w:r>
            <w:r>
              <w:rPr>
                <w:rFonts w:hint="eastAsia"/>
                <w:b w:val="0"/>
                <w:bCs w:val="0"/>
                <w:color w:val="auto"/>
                <w:spacing w:val="0"/>
                <w:kern w:val="0"/>
                <w:position w:val="0"/>
                <w:sz w:val="24"/>
                <w:highlight w:val="none"/>
                <w:lang w:val="en-US" w:eastAsia="zh-CN"/>
              </w:rPr>
              <w:t>贮存设施应根据危险废物的类别、数量、形态、物理化学性质和污染防治等要求设置必要的贮存分区，避免不相容的危险废物接触、混合。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val="0"/>
                <w:color w:val="auto"/>
                <w:spacing w:val="0"/>
                <w:kern w:val="0"/>
                <w:position w:val="0"/>
                <w:sz w:val="24"/>
                <w:highlight w:val="none"/>
              </w:rPr>
            </w:pPr>
            <w:r>
              <w:rPr>
                <w:rFonts w:hint="default"/>
                <w:b w:val="0"/>
                <w:bCs w:val="0"/>
                <w:color w:val="auto"/>
                <w:spacing w:val="0"/>
                <w:kern w:val="0"/>
                <w:position w:val="0"/>
                <w:sz w:val="24"/>
                <w:highlight w:val="none"/>
              </w:rPr>
              <w:t>③</w:t>
            </w:r>
            <w:r>
              <w:rPr>
                <w:rFonts w:hint="eastAsia"/>
                <w:b w:val="0"/>
                <w:bCs w:val="0"/>
                <w:color w:val="auto"/>
                <w:spacing w:val="0"/>
                <w:kern w:val="0"/>
                <w:position w:val="0"/>
                <w:sz w:val="24"/>
                <w:highlight w:val="none"/>
                <w:lang w:val="en-US" w:eastAsia="zh-CN"/>
              </w:rPr>
              <w:t>贮存设施或贮存分区内地面、墙面裙角、堵截泄漏的围堰、接触危险废物的隔板和墙体等应采用坚固的材料建造，表面无裂缝。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val="0"/>
                <w:color w:val="auto"/>
                <w:spacing w:val="0"/>
                <w:kern w:val="0"/>
                <w:position w:val="0"/>
                <w:sz w:val="24"/>
                <w:highlight w:val="none"/>
              </w:rPr>
            </w:pPr>
            <w:r>
              <w:rPr>
                <w:rFonts w:hint="default"/>
                <w:b w:val="0"/>
                <w:bCs w:val="0"/>
                <w:color w:val="auto"/>
                <w:spacing w:val="0"/>
                <w:kern w:val="0"/>
                <w:position w:val="0"/>
                <w:sz w:val="24"/>
                <w:highlight w:val="none"/>
              </w:rPr>
              <w:t>④</w:t>
            </w:r>
            <w:r>
              <w:rPr>
                <w:rFonts w:hint="eastAsia"/>
                <w:b w:val="0"/>
                <w:bCs w:val="0"/>
                <w:color w:val="auto"/>
                <w:spacing w:val="0"/>
                <w:kern w:val="0"/>
                <w:position w:val="0"/>
                <w:sz w:val="24"/>
                <w:highlight w:val="none"/>
                <w:lang w:val="en-US" w:eastAsia="zh-CN"/>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Pr>
                <w:rFonts w:hint="default"/>
                <w:b w:val="0"/>
                <w:bCs w:val="0"/>
                <w:color w:val="auto"/>
                <w:spacing w:val="0"/>
                <w:kern w:val="0"/>
                <w:position w:val="0"/>
                <w:sz w:val="24"/>
                <w:highlight w:val="none"/>
                <w:lang w:val="en-US" w:eastAsia="zh-CN"/>
              </w:rPr>
              <w:t>1m</w:t>
            </w:r>
            <w:r>
              <w:rPr>
                <w:rFonts w:hint="eastAsia"/>
                <w:b w:val="0"/>
                <w:bCs w:val="0"/>
                <w:color w:val="auto"/>
                <w:spacing w:val="0"/>
                <w:kern w:val="0"/>
                <w:position w:val="0"/>
                <w:sz w:val="24"/>
                <w:highlight w:val="none"/>
                <w:lang w:val="en-US" w:eastAsia="zh-CN"/>
              </w:rPr>
              <w:t>厚黏土层（渗透系数不大于</w:t>
            </w:r>
            <w:r>
              <w:rPr>
                <w:rFonts w:hint="default"/>
                <w:b w:val="0"/>
                <w:bCs w:val="0"/>
                <w:color w:val="auto"/>
                <w:spacing w:val="0"/>
                <w:kern w:val="0"/>
                <w:position w:val="0"/>
                <w:sz w:val="24"/>
                <w:highlight w:val="none"/>
                <w:lang w:val="en-US" w:eastAsia="zh-CN"/>
              </w:rPr>
              <w:t>10</w:t>
            </w:r>
            <w:r>
              <w:rPr>
                <w:rFonts w:hint="default"/>
                <w:b w:val="0"/>
                <w:bCs w:val="0"/>
                <w:color w:val="auto"/>
                <w:spacing w:val="0"/>
                <w:kern w:val="0"/>
                <w:position w:val="0"/>
                <w:sz w:val="24"/>
                <w:highlight w:val="none"/>
                <w:vertAlign w:val="superscript"/>
                <w:lang w:val="en-US" w:eastAsia="zh-CN"/>
              </w:rPr>
              <w:t>-7</w:t>
            </w:r>
            <w:r>
              <w:rPr>
                <w:rFonts w:hint="default"/>
                <w:b w:val="0"/>
                <w:bCs w:val="0"/>
                <w:color w:val="auto"/>
                <w:spacing w:val="0"/>
                <w:kern w:val="0"/>
                <w:position w:val="0"/>
                <w:sz w:val="24"/>
                <w:highlight w:val="none"/>
                <w:lang w:val="en-US" w:eastAsia="zh-CN"/>
              </w:rPr>
              <w:t>cm/s</w:t>
            </w:r>
            <w:r>
              <w:rPr>
                <w:rFonts w:hint="eastAsia"/>
                <w:b w:val="0"/>
                <w:bCs w:val="0"/>
                <w:color w:val="auto"/>
                <w:spacing w:val="0"/>
                <w:kern w:val="0"/>
                <w:position w:val="0"/>
                <w:sz w:val="24"/>
                <w:highlight w:val="none"/>
                <w:lang w:val="en-US" w:eastAsia="zh-CN"/>
              </w:rPr>
              <w:t>），或至少</w:t>
            </w:r>
            <w:r>
              <w:rPr>
                <w:rFonts w:hint="default"/>
                <w:b w:val="0"/>
                <w:bCs w:val="0"/>
                <w:color w:val="auto"/>
                <w:spacing w:val="0"/>
                <w:kern w:val="0"/>
                <w:position w:val="0"/>
                <w:sz w:val="24"/>
                <w:highlight w:val="none"/>
                <w:lang w:val="en-US" w:eastAsia="zh-CN"/>
              </w:rPr>
              <w:t>2mm</w:t>
            </w:r>
            <w:r>
              <w:rPr>
                <w:rFonts w:hint="eastAsia"/>
                <w:b w:val="0"/>
                <w:bCs w:val="0"/>
                <w:color w:val="auto"/>
                <w:spacing w:val="0"/>
                <w:kern w:val="0"/>
                <w:position w:val="0"/>
                <w:sz w:val="24"/>
                <w:highlight w:val="none"/>
                <w:lang w:val="en-US" w:eastAsia="zh-CN"/>
              </w:rPr>
              <w:t>厚高密度聚乙烯膜等人工防渗材料（渗透系数不大于</w:t>
            </w:r>
            <w:r>
              <w:rPr>
                <w:rFonts w:hint="default"/>
                <w:b w:val="0"/>
                <w:bCs w:val="0"/>
                <w:color w:val="auto"/>
                <w:spacing w:val="0"/>
                <w:kern w:val="0"/>
                <w:position w:val="0"/>
                <w:sz w:val="24"/>
                <w:highlight w:val="none"/>
                <w:lang w:val="en-US" w:eastAsia="zh-CN"/>
              </w:rPr>
              <w:t>10</w:t>
            </w:r>
            <w:r>
              <w:rPr>
                <w:rFonts w:hint="default"/>
                <w:b w:val="0"/>
                <w:bCs w:val="0"/>
                <w:color w:val="auto"/>
                <w:spacing w:val="0"/>
                <w:kern w:val="0"/>
                <w:position w:val="0"/>
                <w:sz w:val="24"/>
                <w:highlight w:val="none"/>
                <w:vertAlign w:val="superscript"/>
                <w:lang w:val="en-US" w:eastAsia="zh-CN"/>
              </w:rPr>
              <w:t>-10</w:t>
            </w:r>
            <w:r>
              <w:rPr>
                <w:rFonts w:hint="default"/>
                <w:b w:val="0"/>
                <w:bCs w:val="0"/>
                <w:color w:val="auto"/>
                <w:spacing w:val="0"/>
                <w:kern w:val="0"/>
                <w:position w:val="0"/>
                <w:sz w:val="24"/>
                <w:highlight w:val="none"/>
                <w:lang w:val="en-US" w:eastAsia="zh-CN"/>
              </w:rPr>
              <w:t>cm/s</w:t>
            </w:r>
            <w:r>
              <w:rPr>
                <w:rFonts w:hint="eastAsia"/>
                <w:b w:val="0"/>
                <w:bCs w:val="0"/>
                <w:color w:val="auto"/>
                <w:spacing w:val="0"/>
                <w:kern w:val="0"/>
                <w:position w:val="0"/>
                <w:sz w:val="24"/>
                <w:highlight w:val="none"/>
                <w:lang w:val="en-US" w:eastAsia="zh-CN"/>
              </w:rPr>
              <w:t>），或其他防渗性能等效的材料。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val="0"/>
                <w:color w:val="auto"/>
                <w:spacing w:val="0"/>
                <w:kern w:val="0"/>
                <w:position w:val="0"/>
                <w:sz w:val="24"/>
                <w:highlight w:val="none"/>
              </w:rPr>
            </w:pPr>
            <w:r>
              <w:rPr>
                <w:rFonts w:hint="default"/>
                <w:b w:val="0"/>
                <w:bCs w:val="0"/>
                <w:color w:val="auto"/>
                <w:spacing w:val="0"/>
                <w:kern w:val="0"/>
                <w:position w:val="0"/>
                <w:sz w:val="24"/>
                <w:highlight w:val="none"/>
              </w:rPr>
              <w:t>⑤</w:t>
            </w:r>
            <w:r>
              <w:rPr>
                <w:rFonts w:hint="eastAsia"/>
                <w:b w:val="0"/>
                <w:bCs w:val="0"/>
                <w:color w:val="auto"/>
                <w:spacing w:val="0"/>
                <w:kern w:val="0"/>
                <w:position w:val="0"/>
                <w:sz w:val="24"/>
                <w:highlight w:val="none"/>
                <w:lang w:val="en-US" w:eastAsia="zh-CN"/>
              </w:rPr>
              <w:t>同一贮存设施宜采用相同的防渗、防腐工艺（包括防渗、防腐结构或材料），防渗、防腐材料应覆盖所有可能与废物及其渗滤液、渗漏液等接触的构筑物表面；采用不同防渗、防腐工艺应分别建设贮存分区</w:t>
            </w:r>
            <w:r>
              <w:rPr>
                <w:rFonts w:hint="default"/>
                <w:b w:val="0"/>
                <w:bCs w:val="0"/>
                <w:color w:val="auto"/>
                <w:spacing w:val="0"/>
                <w:kern w:val="0"/>
                <w:position w:val="0"/>
                <w:sz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b w:val="0"/>
                <w:bCs w:val="0"/>
                <w:color w:val="auto"/>
                <w:spacing w:val="0"/>
                <w:kern w:val="0"/>
                <w:position w:val="0"/>
                <w:sz w:val="24"/>
                <w:highlight w:val="none"/>
              </w:rPr>
            </w:pPr>
            <w:r>
              <w:rPr>
                <w:rFonts w:hint="default"/>
                <w:b w:val="0"/>
                <w:bCs w:val="0"/>
                <w:color w:val="auto"/>
                <w:spacing w:val="0"/>
                <w:kern w:val="0"/>
                <w:position w:val="0"/>
                <w:sz w:val="24"/>
                <w:highlight w:val="none"/>
              </w:rPr>
              <w:t>⑥</w:t>
            </w:r>
            <w:r>
              <w:rPr>
                <w:rFonts w:hint="eastAsia"/>
                <w:b w:val="0"/>
                <w:bCs w:val="0"/>
                <w:color w:val="auto"/>
                <w:spacing w:val="0"/>
                <w:kern w:val="0"/>
                <w:position w:val="0"/>
                <w:sz w:val="24"/>
                <w:highlight w:val="none"/>
                <w:lang w:val="en-US" w:eastAsia="zh-CN"/>
              </w:rPr>
              <w:t>贮存设施应采取技术和管理措施防止无关人员进入</w:t>
            </w:r>
            <w:r>
              <w:rPr>
                <w:rFonts w:hint="default"/>
                <w:b w:val="0"/>
                <w:bCs w:val="0"/>
                <w:color w:val="auto"/>
                <w:spacing w:val="0"/>
                <w:kern w:val="0"/>
                <w:position w:val="0"/>
                <w:sz w:val="24"/>
                <w:highlight w:val="none"/>
              </w:rPr>
              <w:t>。</w:t>
            </w:r>
          </w:p>
          <w:p>
            <w:pPr>
              <w:keepNext w:val="0"/>
              <w:keepLines w:val="0"/>
              <w:suppressLineNumbers w:val="0"/>
              <w:spacing w:before="0" w:beforeAutospacing="0" w:after="0" w:afterAutospacing="0" w:line="360" w:lineRule="auto"/>
              <w:ind w:left="0" w:right="0" w:firstLine="480" w:firstLineChars="200"/>
              <w:rPr>
                <w:rFonts w:hint="eastAsia" w:cs="Times New Roman"/>
                <w:b w:val="0"/>
                <w:bCs w:val="0"/>
                <w:color w:val="auto"/>
                <w:spacing w:val="0"/>
                <w:kern w:val="0"/>
                <w:position w:val="0"/>
                <w:sz w:val="24"/>
                <w:highlight w:val="none"/>
                <w:lang w:val="en-US" w:eastAsia="zh-CN" w:bidi="ar"/>
              </w:rPr>
            </w:pPr>
            <w:r>
              <w:rPr>
                <w:rFonts w:hint="eastAsia" w:ascii="Times New Roman" w:hAnsi="Times New Roman" w:cs="Times New Roman"/>
                <w:b w:val="0"/>
                <w:bCs w:val="0"/>
                <w:color w:val="auto"/>
                <w:spacing w:val="0"/>
                <w:kern w:val="0"/>
                <w:position w:val="0"/>
                <w:sz w:val="24"/>
                <w:highlight w:val="none"/>
                <w:lang w:val="en-US" w:eastAsia="zh-CN" w:bidi="ar"/>
              </w:rPr>
              <w:t>（2）</w:t>
            </w:r>
            <w:r>
              <w:rPr>
                <w:rFonts w:hint="eastAsia" w:cs="Times New Roman"/>
                <w:b w:val="0"/>
                <w:bCs w:val="0"/>
                <w:color w:val="auto"/>
                <w:spacing w:val="0"/>
                <w:kern w:val="0"/>
                <w:position w:val="0"/>
                <w:sz w:val="24"/>
                <w:highlight w:val="none"/>
                <w:lang w:val="en-US" w:eastAsia="zh-CN" w:bidi="ar"/>
              </w:rPr>
              <w:t>台账设置要求：</w:t>
            </w:r>
          </w:p>
          <w:p>
            <w:pPr>
              <w:keepNext w:val="0"/>
              <w:keepLines w:val="0"/>
              <w:suppressLineNumbers w:val="0"/>
              <w:spacing w:before="0" w:beforeAutospacing="0" w:after="0" w:afterAutospacing="0" w:line="360" w:lineRule="auto"/>
              <w:ind w:left="0" w:right="0" w:firstLine="480" w:firstLineChars="200"/>
              <w:rPr>
                <w:rFonts w:hint="eastAsia"/>
                <w:color w:val="auto"/>
                <w:highlight w:val="none"/>
                <w:lang w:val="en-US" w:eastAsia="zh-CN"/>
              </w:rPr>
            </w:pPr>
            <w:r>
              <w:rPr>
                <w:rFonts w:hint="eastAsia"/>
                <w:lang w:val="en-US" w:eastAsia="zh-CN"/>
              </w:rPr>
              <w:t>根据</w:t>
            </w:r>
            <w:r>
              <w:rPr>
                <w:rFonts w:hint="eastAsia"/>
                <w:color w:val="auto"/>
                <w:highlight w:val="none"/>
                <w:lang w:val="en-US" w:eastAsia="zh-CN"/>
              </w:rPr>
              <w:t>《危险废物管理计划和管理台账制定技术导则》（HJ1259-2022）制定危废台账和危废管理计划。</w:t>
            </w:r>
          </w:p>
          <w:p>
            <w:pPr>
              <w:keepNext w:val="0"/>
              <w:keepLines w:val="0"/>
              <w:suppressLineNumbers w:val="0"/>
              <w:spacing w:before="0" w:beforeAutospacing="0" w:after="0" w:afterAutospacing="0" w:line="360" w:lineRule="auto"/>
              <w:ind w:left="0" w:right="0" w:firstLine="480" w:firstLineChars="200"/>
              <w:rPr>
                <w:rFonts w:hint="default"/>
                <w:color w:val="auto"/>
                <w:highlight w:val="none"/>
                <w:lang w:val="en-US" w:eastAsia="zh-CN"/>
              </w:rPr>
            </w:pPr>
            <w:r>
              <w:rPr>
                <w:rFonts w:hint="eastAsia"/>
                <w:color w:val="auto"/>
                <w:highlight w:val="none"/>
                <w:lang w:val="en-US" w:eastAsia="zh-CN"/>
              </w:rPr>
              <w:t>①</w:t>
            </w:r>
            <w:r>
              <w:rPr>
                <w:rFonts w:hint="default"/>
                <w:color w:val="auto"/>
                <w:highlight w:val="none"/>
                <w:lang w:val="en-US" w:eastAsia="zh-CN"/>
              </w:rPr>
              <w:t>产生危险废物的单位应当按年度制定危险废物管理计划。</w:t>
            </w:r>
          </w:p>
          <w:p>
            <w:pPr>
              <w:keepNext w:val="0"/>
              <w:keepLines w:val="0"/>
              <w:suppressLineNumbers w:val="0"/>
              <w:spacing w:before="0" w:beforeAutospacing="0" w:after="0" w:afterAutospacing="0" w:line="360" w:lineRule="auto"/>
              <w:ind w:left="0" w:right="0" w:firstLine="480" w:firstLineChars="200"/>
              <w:rPr>
                <w:rFonts w:hint="default"/>
                <w:color w:val="auto"/>
                <w:highlight w:val="none"/>
                <w:lang w:val="en-US" w:eastAsia="zh-CN"/>
              </w:rPr>
            </w:pPr>
            <w:r>
              <w:rPr>
                <w:rFonts w:hint="eastAsia"/>
                <w:color w:val="auto"/>
                <w:highlight w:val="none"/>
                <w:lang w:val="en-US" w:eastAsia="zh-CN"/>
              </w:rPr>
              <w:t>②</w:t>
            </w:r>
            <w:r>
              <w:rPr>
                <w:rFonts w:hint="default"/>
                <w:color w:val="auto"/>
                <w:highlight w:val="none"/>
                <w:lang w:val="en-US" w:eastAsia="zh-CN"/>
              </w:rPr>
              <w:t>产生危险废物的单位应当于每年3月31日前通过国家危险废物信息管理系统在线填写并提交当年度的危险废物管理计划，由国家危险废物信息管理系统自动生成备案编号和回执，完成备案。</w:t>
            </w:r>
          </w:p>
          <w:p>
            <w:pPr>
              <w:keepNext w:val="0"/>
              <w:keepLines w:val="0"/>
              <w:suppressLineNumbers w:val="0"/>
              <w:spacing w:before="0" w:beforeAutospacing="0" w:after="0" w:afterAutospacing="0" w:line="360" w:lineRule="auto"/>
              <w:ind w:left="0" w:right="0" w:firstLine="480" w:firstLineChars="200"/>
              <w:rPr>
                <w:rFonts w:hint="eastAsia"/>
                <w:color w:val="auto"/>
                <w:highlight w:val="none"/>
                <w:lang w:val="en-US" w:eastAsia="zh-CN"/>
              </w:rPr>
            </w:pPr>
            <w:r>
              <w:rPr>
                <w:rFonts w:hint="eastAsia"/>
                <w:color w:val="auto"/>
                <w:highlight w:val="none"/>
                <w:lang w:val="en-US" w:eastAsia="zh-CN"/>
              </w:rPr>
              <w:t>③</w:t>
            </w:r>
            <w:r>
              <w:rPr>
                <w:rFonts w:hint="default"/>
                <w:color w:val="auto"/>
                <w:highlight w:val="none"/>
                <w:lang w:val="en-US" w:eastAsia="zh-CN"/>
              </w:rPr>
              <w:t>危险废物管理计划备案内容需要调整的，产生危险废物的单位应当及时变更</w:t>
            </w:r>
            <w:r>
              <w:rPr>
                <w:rFonts w:hint="eastAsia"/>
                <w:color w:val="auto"/>
                <w:highlight w:val="none"/>
                <w:lang w:val="en-US" w:eastAsia="zh-CN"/>
              </w:rPr>
              <w:t>。</w:t>
            </w:r>
          </w:p>
          <w:p>
            <w:pPr>
              <w:keepNext w:val="0"/>
              <w:keepLines w:val="0"/>
              <w:suppressLineNumbers w:val="0"/>
              <w:spacing w:before="0" w:beforeAutospacing="0" w:after="0" w:afterAutospacing="0" w:line="360" w:lineRule="auto"/>
              <w:ind w:left="0" w:right="0" w:firstLine="480" w:firstLineChars="200"/>
              <w:rPr>
                <w:rFonts w:hint="eastAsia"/>
                <w:color w:val="auto"/>
                <w:highlight w:val="none"/>
                <w:lang w:val="en-US" w:eastAsia="zh-CN"/>
              </w:rPr>
            </w:pPr>
            <w:r>
              <w:rPr>
                <w:rFonts w:hint="eastAsia"/>
                <w:color w:val="auto"/>
                <w:highlight w:val="none"/>
                <w:lang w:val="en-US" w:eastAsia="zh-CN"/>
              </w:rPr>
              <w:t>④管理计划制定内容应包括单位基本信息、危险废物产生情况信息、危险废物转移情况信息。</w:t>
            </w:r>
          </w:p>
          <w:p>
            <w:pPr>
              <w:keepNext w:val="0"/>
              <w:keepLines w:val="0"/>
              <w:suppressLineNumbers w:val="0"/>
              <w:spacing w:before="0" w:beforeAutospacing="0" w:after="0" w:afterAutospacing="0" w:line="360" w:lineRule="auto"/>
              <w:ind w:left="0" w:right="0" w:firstLine="480" w:firstLineChars="200"/>
              <w:rPr>
                <w:rFonts w:hint="default"/>
                <w:color w:val="auto"/>
                <w:highlight w:val="none"/>
                <w:lang w:val="en-US" w:eastAsia="zh-CN"/>
              </w:rPr>
            </w:pPr>
            <w:r>
              <w:rPr>
                <w:rFonts w:hint="eastAsia"/>
                <w:color w:val="auto"/>
                <w:highlight w:val="none"/>
                <w:lang w:val="en-US" w:eastAsia="zh-CN"/>
              </w:rPr>
              <w:t>⑤</w:t>
            </w:r>
            <w:r>
              <w:rPr>
                <w:rFonts w:hint="default"/>
                <w:color w:val="auto"/>
                <w:highlight w:val="none"/>
                <w:lang w:val="en-US" w:eastAsia="zh-CN"/>
              </w:rPr>
              <w:t>建立危险废物管理台账，落实危险废物管理台账记录的责任人，明确工作职责，并对危险废物管理台账的真实性、准确性和完整性负法律责任。</w:t>
            </w:r>
          </w:p>
          <w:p>
            <w:pPr>
              <w:keepNext w:val="0"/>
              <w:keepLines w:val="0"/>
              <w:suppressLineNumbers w:val="0"/>
              <w:spacing w:before="0" w:beforeAutospacing="0" w:after="0" w:afterAutospacing="0" w:line="360" w:lineRule="auto"/>
              <w:ind w:left="0" w:right="0" w:firstLine="480" w:firstLineChars="200"/>
              <w:rPr>
                <w:rFonts w:hint="default"/>
                <w:color w:val="auto"/>
                <w:highlight w:val="none"/>
                <w:lang w:val="en-US" w:eastAsia="zh-CN"/>
              </w:rPr>
            </w:pPr>
            <w:r>
              <w:rPr>
                <w:rFonts w:hint="eastAsia"/>
                <w:color w:val="auto"/>
                <w:highlight w:val="none"/>
                <w:lang w:val="en-US" w:eastAsia="zh-CN"/>
              </w:rPr>
              <w:t>⑥</w:t>
            </w:r>
            <w:r>
              <w:rPr>
                <w:rFonts w:hint="default"/>
                <w:color w:val="auto"/>
                <w:highlight w:val="none"/>
                <w:lang w:val="en-US" w:eastAsia="zh-CN"/>
              </w:rPr>
              <w:t>根据危险废物产生、贮存、利用、处置等环节的动态流向，如实建立各环节的危险废物管理台账。</w:t>
            </w:r>
          </w:p>
          <w:p>
            <w:pPr>
              <w:keepNext w:val="0"/>
              <w:keepLines w:val="0"/>
              <w:suppressLineNumbers w:val="0"/>
              <w:spacing w:before="0" w:beforeAutospacing="0" w:after="0" w:afterAutospacing="0" w:line="360" w:lineRule="auto"/>
              <w:ind w:left="0" w:right="0" w:firstLine="480" w:firstLineChars="200"/>
              <w:rPr>
                <w:rFonts w:hint="default"/>
                <w:color w:val="auto"/>
                <w:highlight w:val="none"/>
                <w:lang w:val="en-US" w:eastAsia="zh-CN"/>
              </w:rPr>
            </w:pPr>
            <w:r>
              <w:rPr>
                <w:rFonts w:hint="eastAsia"/>
                <w:color w:val="auto"/>
                <w:highlight w:val="none"/>
                <w:lang w:val="en-US" w:eastAsia="zh-CN"/>
              </w:rPr>
              <w:t>⑦</w:t>
            </w:r>
            <w:r>
              <w:rPr>
                <w:rFonts w:hint="default"/>
                <w:color w:val="auto"/>
                <w:highlight w:val="none"/>
                <w:lang w:val="en-US" w:eastAsia="zh-CN"/>
              </w:rPr>
              <w:t>危险废物管理台账分为电子管理台账和纸质管理台账两种形式。产生危险废物的单位可通过国家危险废物信息管理系统、企业自建信息管理系统或第三方平台等方式记录电子管理台账</w:t>
            </w:r>
            <w:r>
              <w:rPr>
                <w:rFonts w:hint="eastAsia"/>
                <w:color w:val="auto"/>
                <w:highlight w:val="none"/>
                <w:lang w:val="en-US" w:eastAsia="zh-CN"/>
              </w:rPr>
              <w:t>，保存时间5年以上</w:t>
            </w:r>
            <w:r>
              <w:rPr>
                <w:rFonts w:hint="default"/>
                <w:color w:val="auto"/>
                <w:highlight w:val="none"/>
                <w:lang w:val="en-US" w:eastAsia="zh-CN"/>
              </w:rPr>
              <w:t>。</w:t>
            </w:r>
          </w:p>
          <w:p>
            <w:pPr>
              <w:keepNext w:val="0"/>
              <w:keepLines w:val="0"/>
              <w:suppressLineNumbers w:val="0"/>
              <w:spacing w:before="0" w:beforeAutospacing="0" w:after="0" w:afterAutospacing="0" w:line="360" w:lineRule="auto"/>
              <w:ind w:left="0" w:right="0" w:firstLine="480" w:firstLineChars="200"/>
              <w:rPr>
                <w:rFonts w:hint="default"/>
                <w:color w:val="auto"/>
                <w:highlight w:val="none"/>
                <w:lang w:val="en-US" w:eastAsia="zh-CN"/>
              </w:rPr>
            </w:pPr>
            <w:r>
              <w:rPr>
                <w:rFonts w:hint="eastAsia"/>
                <w:color w:val="auto"/>
                <w:highlight w:val="none"/>
                <w:lang w:val="en-US" w:eastAsia="zh-CN"/>
              </w:rPr>
              <w:t>⑧产生后盛放至容器和包装物的,应按每个容器和包装物进行记录。</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 w:val="0"/>
                <w:bCs w:val="0"/>
                <w:color w:val="auto"/>
                <w:spacing w:val="0"/>
                <w:kern w:val="0"/>
                <w:position w:val="0"/>
                <w:sz w:val="24"/>
                <w:highlight w:val="none"/>
                <w:lang w:eastAsia="zh-CN" w:bidi="ar"/>
              </w:rPr>
            </w:pPr>
            <w:r>
              <w:rPr>
                <w:rFonts w:hint="eastAsia" w:cs="Times New Roman"/>
                <w:b w:val="0"/>
                <w:bCs w:val="0"/>
                <w:color w:val="auto"/>
                <w:spacing w:val="0"/>
                <w:kern w:val="0"/>
                <w:position w:val="0"/>
                <w:sz w:val="24"/>
                <w:highlight w:val="none"/>
                <w:lang w:val="en-US" w:eastAsia="zh-CN" w:bidi="ar"/>
              </w:rPr>
              <w:t>（3）</w:t>
            </w:r>
            <w:r>
              <w:rPr>
                <w:rFonts w:hint="eastAsia" w:ascii="Times New Roman" w:hAnsi="Times New Roman" w:cs="Times New Roman"/>
                <w:b w:val="0"/>
                <w:bCs w:val="0"/>
                <w:color w:val="auto"/>
                <w:spacing w:val="0"/>
                <w:kern w:val="0"/>
                <w:position w:val="0"/>
                <w:sz w:val="24"/>
                <w:highlight w:val="none"/>
                <w:lang w:val="en-US" w:eastAsia="zh-CN" w:bidi="ar"/>
              </w:rPr>
              <w:t>容器和包装物污染控制要求</w:t>
            </w:r>
            <w:r>
              <w:rPr>
                <w:rFonts w:hint="eastAsia" w:ascii="Times New Roman" w:hAnsi="Times New Roman" w:cs="Times New Roman"/>
                <w:b w:val="0"/>
                <w:bCs w:val="0"/>
                <w:color w:val="auto"/>
                <w:spacing w:val="0"/>
                <w:kern w:val="0"/>
                <w:position w:val="0"/>
                <w:sz w:val="24"/>
                <w:highlight w:val="none"/>
                <w:lang w:eastAsia="zh-CN"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auto"/>
                <w:spacing w:val="0"/>
                <w:kern w:val="0"/>
                <w:position w:val="0"/>
                <w:sz w:val="24"/>
                <w:highlight w:val="none"/>
                <w:lang w:val="en-US" w:eastAsia="zh-CN" w:bidi="ar"/>
              </w:rPr>
            </w:pPr>
            <w:r>
              <w:rPr>
                <w:rFonts w:hint="eastAsia"/>
                <w:color w:val="auto"/>
                <w:highlight w:val="none"/>
                <w:lang w:val="en-US" w:eastAsia="zh-CN"/>
              </w:rPr>
              <w:t>根据《危险废物收集贮存运输技术规范》（HJ2025-2012）和</w:t>
            </w:r>
            <w:r>
              <w:rPr>
                <w:rFonts w:hint="eastAsia"/>
                <w:lang w:val="en-US" w:eastAsia="zh-CN"/>
              </w:rPr>
              <w:t>《危险废物贮存污染控制标准》（GB18597—2023）的相关要求。</w:t>
            </w:r>
          </w:p>
          <w:p>
            <w:pPr>
              <w:keepNext w:val="0"/>
              <w:keepLines w:val="0"/>
              <w:suppressLineNumbers w:val="0"/>
              <w:spacing w:before="0" w:beforeAutospacing="0" w:after="0" w:afterAutospacing="0" w:line="360" w:lineRule="auto"/>
              <w:ind w:left="0" w:right="0" w:firstLine="480" w:firstLineChars="200"/>
              <w:rPr>
                <w:rFonts w:hint="eastAsia"/>
                <w:b w:val="0"/>
                <w:bCs w:val="0"/>
                <w:color w:val="auto"/>
                <w:spacing w:val="0"/>
                <w:kern w:val="0"/>
                <w:position w:val="0"/>
                <w:sz w:val="24"/>
                <w:highlight w:val="none"/>
                <w:lang w:val="en-US" w:eastAsia="zh-CN"/>
              </w:rPr>
            </w:pPr>
            <w:r>
              <w:rPr>
                <w:rFonts w:hint="default"/>
                <w:b w:val="0"/>
                <w:bCs w:val="0"/>
                <w:color w:val="auto"/>
                <w:spacing w:val="0"/>
                <w:kern w:val="0"/>
                <w:position w:val="0"/>
                <w:sz w:val="24"/>
                <w:highlight w:val="none"/>
              </w:rPr>
              <w:t>①</w:t>
            </w:r>
            <w:r>
              <w:rPr>
                <w:rFonts w:hint="eastAsia"/>
                <w:b w:val="0"/>
                <w:bCs w:val="0"/>
                <w:color w:val="auto"/>
                <w:spacing w:val="0"/>
                <w:kern w:val="0"/>
                <w:position w:val="0"/>
                <w:sz w:val="24"/>
                <w:highlight w:val="none"/>
                <w:lang w:val="en-US" w:eastAsia="zh-CN"/>
              </w:rPr>
              <w:t>包装材质要与危险废物相容，可根据废物特性选择钢、铝、塑料等材质。</w:t>
            </w:r>
          </w:p>
          <w:p>
            <w:pPr>
              <w:keepNext w:val="0"/>
              <w:keepLines w:val="0"/>
              <w:suppressLineNumbers w:val="0"/>
              <w:spacing w:before="0" w:beforeAutospacing="0" w:after="0" w:afterAutospacing="0" w:line="360" w:lineRule="auto"/>
              <w:ind w:left="0" w:right="0" w:firstLine="480" w:firstLineChars="200"/>
              <w:rPr>
                <w:rFonts w:hint="eastAsia"/>
                <w:b w:val="0"/>
                <w:bCs w:val="0"/>
                <w:color w:val="auto"/>
                <w:spacing w:val="0"/>
                <w:kern w:val="0"/>
                <w:position w:val="0"/>
                <w:sz w:val="24"/>
                <w:highlight w:val="none"/>
                <w:lang w:val="en-US" w:eastAsia="zh-CN"/>
              </w:rPr>
            </w:pPr>
            <w:r>
              <w:rPr>
                <w:rFonts w:hint="eastAsia"/>
                <w:b w:val="0"/>
                <w:bCs w:val="0"/>
                <w:color w:val="auto"/>
                <w:spacing w:val="0"/>
                <w:kern w:val="0"/>
                <w:position w:val="0"/>
                <w:sz w:val="24"/>
                <w:highlight w:val="none"/>
                <w:lang w:val="en-US" w:eastAsia="zh-CN"/>
              </w:rPr>
              <w:t>②性质类似的废物可收集到同一容器中，性质不相容的危险废物不应混合包装。</w:t>
            </w:r>
          </w:p>
          <w:p>
            <w:pPr>
              <w:keepNext w:val="0"/>
              <w:keepLines w:val="0"/>
              <w:suppressLineNumbers w:val="0"/>
              <w:spacing w:before="0" w:beforeAutospacing="0" w:after="0" w:afterAutospacing="0" w:line="360" w:lineRule="auto"/>
              <w:ind w:left="0" w:right="0" w:firstLine="480" w:firstLineChars="200"/>
              <w:rPr>
                <w:rFonts w:hint="eastAsia"/>
                <w:b w:val="0"/>
                <w:bCs w:val="0"/>
                <w:color w:val="auto"/>
                <w:spacing w:val="0"/>
                <w:kern w:val="0"/>
                <w:position w:val="0"/>
                <w:sz w:val="24"/>
                <w:highlight w:val="none"/>
                <w:lang w:val="en-US" w:eastAsia="zh-CN"/>
              </w:rPr>
            </w:pPr>
            <w:r>
              <w:rPr>
                <w:rFonts w:hint="eastAsia"/>
                <w:b w:val="0"/>
                <w:bCs w:val="0"/>
                <w:color w:val="auto"/>
                <w:spacing w:val="0"/>
                <w:kern w:val="0"/>
                <w:position w:val="0"/>
                <w:sz w:val="24"/>
                <w:highlight w:val="none"/>
                <w:lang w:val="en-US" w:eastAsia="zh-CN"/>
              </w:rPr>
              <w:t>③危险废物包装应能有效隔断危险废物迁移扩散途径，并达到防渗、防漏要求。</w:t>
            </w:r>
          </w:p>
          <w:p>
            <w:pPr>
              <w:keepNext w:val="0"/>
              <w:keepLines w:val="0"/>
              <w:suppressLineNumbers w:val="0"/>
              <w:spacing w:before="0" w:beforeAutospacing="0" w:after="0" w:afterAutospacing="0" w:line="360" w:lineRule="auto"/>
              <w:ind w:left="0" w:right="0" w:firstLine="480" w:firstLineChars="200"/>
              <w:rPr>
                <w:rFonts w:hint="eastAsia"/>
                <w:b w:val="0"/>
                <w:bCs w:val="0"/>
                <w:color w:val="auto"/>
                <w:spacing w:val="0"/>
                <w:kern w:val="0"/>
                <w:position w:val="0"/>
                <w:sz w:val="24"/>
                <w:highlight w:val="none"/>
                <w:lang w:val="en-US" w:eastAsia="zh-CN"/>
              </w:rPr>
            </w:pPr>
            <w:r>
              <w:rPr>
                <w:rFonts w:hint="eastAsia"/>
                <w:b w:val="0"/>
                <w:bCs w:val="0"/>
                <w:color w:val="auto"/>
                <w:spacing w:val="0"/>
                <w:kern w:val="0"/>
                <w:position w:val="0"/>
                <w:sz w:val="24"/>
                <w:highlight w:val="none"/>
                <w:lang w:val="en-US" w:eastAsia="zh-CN"/>
              </w:rPr>
              <w:t>④包装好的危险废物应设置相应的标签，标签信息应填写完整详实。</w:t>
            </w:r>
          </w:p>
          <w:p>
            <w:pPr>
              <w:keepNext w:val="0"/>
              <w:keepLines w:val="0"/>
              <w:suppressLineNumbers w:val="0"/>
              <w:spacing w:before="0" w:beforeAutospacing="0" w:after="0" w:afterAutospacing="0" w:line="360" w:lineRule="auto"/>
              <w:ind w:left="0" w:right="0" w:firstLine="480" w:firstLineChars="200"/>
              <w:rPr>
                <w:rFonts w:hint="eastAsia"/>
                <w:b w:val="0"/>
                <w:bCs w:val="0"/>
                <w:color w:val="auto"/>
                <w:spacing w:val="0"/>
                <w:kern w:val="0"/>
                <w:position w:val="0"/>
                <w:sz w:val="24"/>
                <w:highlight w:val="none"/>
                <w:lang w:val="en-US" w:eastAsia="zh-CN"/>
              </w:rPr>
            </w:pPr>
            <w:r>
              <w:rPr>
                <w:rFonts w:hint="eastAsia"/>
                <w:b w:val="0"/>
                <w:bCs w:val="0"/>
                <w:color w:val="auto"/>
                <w:spacing w:val="0"/>
                <w:kern w:val="0"/>
                <w:position w:val="0"/>
                <w:sz w:val="24"/>
                <w:highlight w:val="none"/>
                <w:lang w:val="en-US" w:eastAsia="zh-CN"/>
              </w:rPr>
              <w:t>⑤盛装过危险废物的包装袋或包装容器破损后应按危险废物进行管理和处置。</w:t>
            </w:r>
          </w:p>
          <w:p>
            <w:pPr>
              <w:keepNext w:val="0"/>
              <w:keepLines w:val="0"/>
              <w:suppressLineNumbers w:val="0"/>
              <w:spacing w:before="0" w:beforeAutospacing="0" w:after="0" w:afterAutospacing="0" w:line="360" w:lineRule="auto"/>
              <w:ind w:left="0" w:right="0" w:firstLine="480" w:firstLineChars="200"/>
              <w:rPr>
                <w:rFonts w:hint="eastAsia"/>
                <w:b w:val="0"/>
                <w:bCs w:val="0"/>
                <w:color w:val="auto"/>
                <w:spacing w:val="0"/>
                <w:kern w:val="0"/>
                <w:position w:val="0"/>
                <w:sz w:val="24"/>
                <w:highlight w:val="none"/>
                <w:lang w:val="en-US" w:eastAsia="zh-CN"/>
              </w:rPr>
            </w:pPr>
            <w:r>
              <w:rPr>
                <w:rFonts w:hint="eastAsia"/>
                <w:b w:val="0"/>
                <w:bCs w:val="0"/>
                <w:color w:val="auto"/>
                <w:spacing w:val="0"/>
                <w:kern w:val="0"/>
                <w:position w:val="0"/>
                <w:sz w:val="24"/>
                <w:highlight w:val="none"/>
                <w:lang w:val="en-US" w:eastAsia="zh-CN"/>
              </w:rPr>
              <w:t>⑥危险废物还应根据GB12463的有关要求进行运输包装。</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 w:val="0"/>
                <w:bCs w:val="0"/>
                <w:color w:val="auto"/>
                <w:spacing w:val="0"/>
                <w:kern w:val="0"/>
                <w:position w:val="0"/>
                <w:sz w:val="24"/>
                <w:highlight w:val="none"/>
                <w:lang w:eastAsia="zh-CN" w:bidi="ar"/>
              </w:rPr>
            </w:pPr>
            <w:r>
              <w:rPr>
                <w:rFonts w:hint="eastAsia" w:ascii="Times New Roman" w:hAnsi="Times New Roman" w:cs="Times New Roman"/>
                <w:b w:val="0"/>
                <w:bCs w:val="0"/>
                <w:color w:val="auto"/>
                <w:spacing w:val="0"/>
                <w:kern w:val="0"/>
                <w:position w:val="0"/>
                <w:sz w:val="24"/>
                <w:highlight w:val="none"/>
                <w:lang w:eastAsia="zh-CN" w:bidi="ar"/>
              </w:rPr>
              <w:t>（</w:t>
            </w:r>
            <w:r>
              <w:rPr>
                <w:rFonts w:hint="eastAsia" w:cs="Times New Roman"/>
                <w:b w:val="0"/>
                <w:bCs w:val="0"/>
                <w:color w:val="auto"/>
                <w:spacing w:val="0"/>
                <w:kern w:val="0"/>
                <w:position w:val="0"/>
                <w:sz w:val="24"/>
                <w:highlight w:val="none"/>
                <w:lang w:val="en-US" w:eastAsia="zh-CN" w:bidi="ar"/>
              </w:rPr>
              <w:t>4</w:t>
            </w:r>
            <w:r>
              <w:rPr>
                <w:rFonts w:hint="eastAsia" w:ascii="Times New Roman" w:hAnsi="Times New Roman" w:cs="Times New Roman"/>
                <w:b w:val="0"/>
                <w:bCs w:val="0"/>
                <w:color w:val="auto"/>
                <w:spacing w:val="0"/>
                <w:kern w:val="0"/>
                <w:position w:val="0"/>
                <w:sz w:val="24"/>
                <w:highlight w:val="none"/>
                <w:lang w:eastAsia="zh-CN" w:bidi="ar"/>
              </w:rPr>
              <w:t>）</w:t>
            </w:r>
            <w:r>
              <w:rPr>
                <w:rFonts w:hint="default" w:ascii="Times New Roman" w:hAnsi="Times New Roman" w:cs="Times New Roman"/>
                <w:b w:val="0"/>
                <w:bCs w:val="0"/>
                <w:color w:val="auto"/>
                <w:spacing w:val="0"/>
                <w:kern w:val="0"/>
                <w:position w:val="0"/>
                <w:sz w:val="24"/>
                <w:highlight w:val="none"/>
                <w:lang w:bidi="ar"/>
              </w:rPr>
              <w:t>危险废物贮存设施的运行与管理要求</w:t>
            </w:r>
            <w:r>
              <w:rPr>
                <w:rFonts w:hint="eastAsia" w:ascii="Times New Roman" w:hAnsi="Times New Roman" w:cs="Times New Roman"/>
                <w:b w:val="0"/>
                <w:bCs w:val="0"/>
                <w:color w:val="auto"/>
                <w:spacing w:val="0"/>
                <w:kern w:val="0"/>
                <w:position w:val="0"/>
                <w:sz w:val="24"/>
                <w:highlight w:val="none"/>
                <w:lang w:eastAsia="zh-CN"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auto"/>
                <w:spacing w:val="0"/>
                <w:kern w:val="0"/>
                <w:position w:val="0"/>
                <w:sz w:val="24"/>
                <w:highlight w:val="none"/>
                <w:lang w:bidi="ar"/>
              </w:rPr>
            </w:pPr>
            <w:r>
              <w:rPr>
                <w:rFonts w:hint="default" w:ascii="Times New Roman" w:hAnsi="Times New Roman" w:cs="Times New Roman"/>
                <w:b w:val="0"/>
                <w:bCs w:val="0"/>
                <w:color w:val="auto"/>
                <w:spacing w:val="0"/>
                <w:kern w:val="0"/>
                <w:position w:val="0"/>
                <w:sz w:val="24"/>
                <w:highlight w:val="none"/>
                <w:lang w:bidi="ar"/>
              </w:rPr>
              <w:t>①</w:t>
            </w:r>
            <w:r>
              <w:rPr>
                <w:rFonts w:hint="default" w:ascii="Times New Roman" w:hAnsi="Times New Roman" w:cs="Times New Roman"/>
                <w:b w:val="0"/>
                <w:bCs w:val="0"/>
                <w:color w:val="auto"/>
                <w:spacing w:val="0"/>
                <w:kern w:val="0"/>
                <w:position w:val="0"/>
                <w:sz w:val="24"/>
                <w:highlight w:val="none"/>
                <w:lang w:val="en-US" w:eastAsia="zh-CN" w:bidi="ar"/>
              </w:rPr>
              <w:t>危险废物存入贮存设施前应对危险废物类别和特性与危险废物标签等危险废物识别标志的一致性进行核验，不一致的或类别、特性不明的不应存入。</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auto"/>
                <w:spacing w:val="0"/>
                <w:kern w:val="0"/>
                <w:position w:val="0"/>
                <w:sz w:val="24"/>
                <w:highlight w:val="none"/>
                <w:lang w:bidi="ar"/>
              </w:rPr>
            </w:pPr>
            <w:r>
              <w:rPr>
                <w:rFonts w:hint="default" w:ascii="Times New Roman" w:hAnsi="Times New Roman" w:cs="Times New Roman"/>
                <w:b w:val="0"/>
                <w:bCs w:val="0"/>
                <w:color w:val="auto"/>
                <w:spacing w:val="0"/>
                <w:kern w:val="0"/>
                <w:position w:val="0"/>
                <w:sz w:val="24"/>
                <w:highlight w:val="none"/>
                <w:lang w:bidi="ar"/>
              </w:rPr>
              <w:t>②</w:t>
            </w:r>
            <w:r>
              <w:rPr>
                <w:rFonts w:hint="default" w:ascii="Times New Roman" w:hAnsi="Times New Roman" w:cs="Times New Roman"/>
                <w:b w:val="0"/>
                <w:bCs w:val="0"/>
                <w:color w:val="auto"/>
                <w:spacing w:val="0"/>
                <w:kern w:val="0"/>
                <w:position w:val="0"/>
                <w:sz w:val="24"/>
                <w:highlight w:val="none"/>
                <w:lang w:val="en-US" w:eastAsia="zh-CN" w:bidi="ar"/>
              </w:rPr>
              <w:t>应定期检查危险废物的贮存状况，及时清理贮存设施地面，更换破损泄漏的危险废物贮存容器和包装物，保证堆存危险废物的防雨、防风、防扬尘等设施功能完好。</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auto"/>
                <w:spacing w:val="0"/>
                <w:kern w:val="0"/>
                <w:position w:val="0"/>
                <w:sz w:val="24"/>
                <w:highlight w:val="none"/>
                <w:lang w:bidi="ar"/>
              </w:rPr>
            </w:pPr>
            <w:r>
              <w:rPr>
                <w:rFonts w:hint="default" w:ascii="Times New Roman" w:hAnsi="Times New Roman" w:cs="Times New Roman"/>
                <w:b w:val="0"/>
                <w:bCs w:val="0"/>
                <w:color w:val="auto"/>
                <w:spacing w:val="0"/>
                <w:kern w:val="0"/>
                <w:position w:val="0"/>
                <w:sz w:val="24"/>
                <w:highlight w:val="none"/>
                <w:lang w:bidi="ar"/>
              </w:rPr>
              <w:t>③</w:t>
            </w:r>
            <w:r>
              <w:rPr>
                <w:rFonts w:hint="default" w:ascii="Times New Roman" w:hAnsi="Times New Roman" w:cs="Times New Roman"/>
                <w:b w:val="0"/>
                <w:bCs w:val="0"/>
                <w:color w:val="auto"/>
                <w:spacing w:val="0"/>
                <w:kern w:val="0"/>
                <w:position w:val="0"/>
                <w:sz w:val="24"/>
                <w:highlight w:val="none"/>
                <w:lang w:val="en-US" w:eastAsia="zh-CN" w:bidi="ar"/>
              </w:rPr>
              <w:t>作业设备及车辆等结束作业离开贮存设施时，应对其残留的危险废物进行清理，清理的废物或清洗废水应收集处理。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auto"/>
                <w:spacing w:val="0"/>
                <w:kern w:val="0"/>
                <w:position w:val="0"/>
                <w:sz w:val="24"/>
                <w:highlight w:val="none"/>
                <w:lang w:bidi="ar"/>
              </w:rPr>
            </w:pPr>
            <w:r>
              <w:rPr>
                <w:rFonts w:hint="default" w:ascii="Times New Roman" w:hAnsi="Times New Roman" w:cs="Times New Roman"/>
                <w:b w:val="0"/>
                <w:bCs w:val="0"/>
                <w:color w:val="auto"/>
                <w:spacing w:val="0"/>
                <w:kern w:val="0"/>
                <w:position w:val="0"/>
                <w:sz w:val="24"/>
                <w:highlight w:val="none"/>
                <w:lang w:bidi="ar"/>
              </w:rPr>
              <w:t>④</w:t>
            </w:r>
            <w:r>
              <w:rPr>
                <w:rFonts w:hint="default" w:ascii="Times New Roman" w:hAnsi="Times New Roman" w:cs="Times New Roman"/>
                <w:b w:val="0"/>
                <w:bCs w:val="0"/>
                <w:color w:val="auto"/>
                <w:spacing w:val="0"/>
                <w:kern w:val="0"/>
                <w:position w:val="0"/>
                <w:sz w:val="24"/>
                <w:highlight w:val="none"/>
                <w:lang w:val="en-US" w:eastAsia="zh-CN" w:bidi="ar"/>
              </w:rPr>
              <w:t>贮存设施运行期间，应按国家有关标准和规定建立危险废物管理台账并保存。</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auto"/>
                <w:spacing w:val="0"/>
                <w:kern w:val="0"/>
                <w:position w:val="0"/>
                <w:sz w:val="24"/>
                <w:highlight w:val="none"/>
                <w:lang w:bidi="ar"/>
              </w:rPr>
            </w:pPr>
            <w:r>
              <w:rPr>
                <w:rFonts w:hint="default" w:ascii="Times New Roman" w:hAnsi="Times New Roman" w:cs="Times New Roman"/>
                <w:b w:val="0"/>
                <w:bCs w:val="0"/>
                <w:color w:val="auto"/>
                <w:spacing w:val="0"/>
                <w:kern w:val="0"/>
                <w:position w:val="0"/>
                <w:sz w:val="24"/>
                <w:highlight w:val="none"/>
                <w:lang w:bidi="ar"/>
              </w:rPr>
              <w:t>⑤</w:t>
            </w:r>
            <w:r>
              <w:rPr>
                <w:rFonts w:hint="default" w:ascii="Times New Roman" w:hAnsi="Times New Roman" w:cs="Times New Roman"/>
                <w:b w:val="0"/>
                <w:bCs w:val="0"/>
                <w:color w:val="auto"/>
                <w:spacing w:val="0"/>
                <w:kern w:val="0"/>
                <w:position w:val="0"/>
                <w:sz w:val="24"/>
                <w:highlight w:val="none"/>
                <w:lang w:val="en-US" w:eastAsia="zh-CN" w:bidi="ar"/>
              </w:rPr>
              <w:t>贮存设施所有者或运营者应建立贮存设施环境管理制度、管理人员岗位职责制度、设施运行操作制度、人员岗位培训制度等。</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auto"/>
                <w:spacing w:val="0"/>
                <w:kern w:val="0"/>
                <w:position w:val="0"/>
                <w:sz w:val="24"/>
                <w:highlight w:val="none"/>
                <w:lang w:bidi="ar"/>
              </w:rPr>
            </w:pPr>
            <w:r>
              <w:rPr>
                <w:rFonts w:hint="default" w:ascii="Times New Roman" w:hAnsi="Times New Roman" w:cs="Times New Roman"/>
                <w:b w:val="0"/>
                <w:bCs w:val="0"/>
                <w:color w:val="auto"/>
                <w:spacing w:val="0"/>
                <w:kern w:val="0"/>
                <w:position w:val="0"/>
                <w:sz w:val="24"/>
                <w:highlight w:val="none"/>
                <w:lang w:bidi="ar"/>
              </w:rPr>
              <w:t>⑥</w:t>
            </w:r>
            <w:r>
              <w:rPr>
                <w:rFonts w:hint="default" w:ascii="Times New Roman" w:hAnsi="Times New Roman" w:cs="Times New Roman"/>
                <w:b w:val="0"/>
                <w:bCs w:val="0"/>
                <w:color w:val="auto"/>
                <w:spacing w:val="0"/>
                <w:kern w:val="0"/>
                <w:position w:val="0"/>
                <w:sz w:val="24"/>
                <w:highlight w:val="none"/>
                <w:lang w:val="en-US" w:eastAsia="zh-CN" w:bidi="ar"/>
              </w:rPr>
              <w:t>贮存设施所有者或运营者应依据国家土壤和地下水污染防治的有关规定，结合贮存设施特点建立土壤和地下水污染隐患排查制度，并定期开展隐患排查；发现隐患应及时采取措施消除隐患，并建立档案。</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 w:val="0"/>
                <w:bCs w:val="0"/>
                <w:color w:val="auto"/>
                <w:spacing w:val="0"/>
                <w:kern w:val="0"/>
                <w:position w:val="0"/>
                <w:sz w:val="24"/>
                <w:highlight w:val="none"/>
                <w:lang w:bidi="ar"/>
              </w:rPr>
            </w:pPr>
            <w:r>
              <w:rPr>
                <w:rFonts w:hint="default" w:ascii="Times New Roman" w:hAnsi="Times New Roman" w:cs="Times New Roman"/>
                <w:b w:val="0"/>
                <w:bCs w:val="0"/>
                <w:color w:val="auto"/>
                <w:spacing w:val="0"/>
                <w:kern w:val="0"/>
                <w:position w:val="0"/>
                <w:sz w:val="24"/>
                <w:highlight w:val="none"/>
                <w:lang w:bidi="ar"/>
              </w:rPr>
              <w:t>⑦</w:t>
            </w:r>
            <w:r>
              <w:rPr>
                <w:rFonts w:hint="default" w:ascii="Times New Roman" w:hAnsi="Times New Roman" w:cs="Times New Roman"/>
                <w:b w:val="0"/>
                <w:bCs w:val="0"/>
                <w:color w:val="auto"/>
                <w:spacing w:val="0"/>
                <w:kern w:val="0"/>
                <w:position w:val="0"/>
                <w:sz w:val="24"/>
                <w:highlight w:val="none"/>
                <w:lang w:val="en-US" w:eastAsia="zh-CN" w:bidi="ar"/>
              </w:rPr>
              <w:t>贮存设施所有者或运营者应建立贮存设施全部档案，包括设计、施工、验收、运行、监测和环境应急等，应按国家有关档案管理的法律法规进行整理和归档。</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b w:val="0"/>
                <w:bCs w:val="0"/>
                <w:color w:val="auto"/>
                <w:spacing w:val="0"/>
                <w:kern w:val="0"/>
                <w:position w:val="0"/>
                <w:sz w:val="24"/>
                <w:highlight w:val="none"/>
                <w:lang w:eastAsia="zh-CN" w:bidi="ar"/>
              </w:rPr>
            </w:pPr>
            <w:r>
              <w:rPr>
                <w:rFonts w:hint="eastAsia" w:ascii="Times New Roman" w:hAnsi="Times New Roman" w:eastAsia="宋体" w:cs="Times New Roman"/>
                <w:b w:val="0"/>
                <w:bCs w:val="0"/>
                <w:color w:val="auto"/>
                <w:spacing w:val="0"/>
                <w:kern w:val="0"/>
                <w:position w:val="0"/>
                <w:sz w:val="24"/>
                <w:highlight w:val="none"/>
                <w:lang w:eastAsia="zh-CN" w:bidi="ar"/>
              </w:rPr>
              <w:t>（</w:t>
            </w:r>
            <w:r>
              <w:rPr>
                <w:rFonts w:hint="eastAsia" w:cs="Times New Roman"/>
                <w:b w:val="0"/>
                <w:bCs w:val="0"/>
                <w:color w:val="auto"/>
                <w:spacing w:val="0"/>
                <w:kern w:val="0"/>
                <w:position w:val="0"/>
                <w:sz w:val="24"/>
                <w:highlight w:val="none"/>
                <w:lang w:val="en-US" w:eastAsia="zh-CN" w:bidi="ar"/>
              </w:rPr>
              <w:t>6</w:t>
            </w:r>
            <w:r>
              <w:rPr>
                <w:rFonts w:hint="eastAsia" w:ascii="Times New Roman" w:hAnsi="Times New Roman" w:eastAsia="宋体" w:cs="Times New Roman"/>
                <w:b w:val="0"/>
                <w:bCs w:val="0"/>
                <w:color w:val="auto"/>
                <w:spacing w:val="0"/>
                <w:kern w:val="0"/>
                <w:position w:val="0"/>
                <w:sz w:val="24"/>
                <w:highlight w:val="none"/>
                <w:lang w:eastAsia="zh-CN" w:bidi="ar"/>
              </w:rPr>
              <w:t>）</w:t>
            </w:r>
            <w:r>
              <w:rPr>
                <w:rFonts w:hint="default" w:ascii="Times New Roman" w:hAnsi="Times New Roman" w:eastAsia="宋体" w:cs="Times New Roman"/>
                <w:b w:val="0"/>
                <w:bCs w:val="0"/>
                <w:color w:val="auto"/>
                <w:spacing w:val="0"/>
                <w:kern w:val="0"/>
                <w:position w:val="0"/>
                <w:sz w:val="24"/>
                <w:highlight w:val="none"/>
                <w:lang w:bidi="ar"/>
              </w:rPr>
              <w:t>危险废物贮存设施的安全防护要求</w:t>
            </w:r>
            <w:r>
              <w:rPr>
                <w:rFonts w:hint="eastAsia" w:ascii="Times New Roman" w:hAnsi="Times New Roman" w:eastAsia="宋体" w:cs="Times New Roman"/>
                <w:b w:val="0"/>
                <w:bCs w:val="0"/>
                <w:color w:val="auto"/>
                <w:spacing w:val="0"/>
                <w:kern w:val="0"/>
                <w:position w:val="0"/>
                <w:sz w:val="24"/>
                <w:highlight w:val="none"/>
                <w:lang w:eastAsia="zh-CN" w:bidi="ar"/>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pacing w:val="0"/>
                <w:kern w:val="0"/>
                <w:position w:val="0"/>
                <w:sz w:val="24"/>
                <w:highlight w:val="none"/>
                <w:lang w:val="en-US" w:eastAsia="zh-CN" w:bidi="ar"/>
              </w:rPr>
            </w:pPr>
            <w:r>
              <w:rPr>
                <w:rFonts w:hint="default" w:ascii="Times New Roman" w:hAnsi="Times New Roman" w:eastAsia="宋体" w:cs="Times New Roman"/>
                <w:b w:val="0"/>
                <w:bCs w:val="0"/>
                <w:color w:val="auto"/>
                <w:spacing w:val="0"/>
                <w:kern w:val="0"/>
                <w:position w:val="0"/>
                <w:sz w:val="24"/>
                <w:highlight w:val="none"/>
                <w:lang w:val="en-US" w:eastAsia="zh-CN" w:bidi="ar"/>
              </w:rPr>
              <w:t>①危险废物贮存</w:t>
            </w:r>
            <w:r>
              <w:rPr>
                <w:rFonts w:hint="eastAsia" w:ascii="Times New Roman" w:hAnsi="Times New Roman" w:eastAsia="宋体" w:cs="Times New Roman"/>
                <w:b w:val="0"/>
                <w:bCs w:val="0"/>
                <w:color w:val="auto"/>
                <w:spacing w:val="0"/>
                <w:kern w:val="0"/>
                <w:position w:val="0"/>
                <w:sz w:val="24"/>
                <w:highlight w:val="none"/>
                <w:lang w:val="en-US" w:eastAsia="zh-CN" w:bidi="ar"/>
              </w:rPr>
              <w:t>设施</w:t>
            </w:r>
            <w:r>
              <w:rPr>
                <w:rFonts w:hint="default" w:ascii="Times New Roman" w:hAnsi="Times New Roman" w:eastAsia="宋体" w:cs="Times New Roman"/>
                <w:b w:val="0"/>
                <w:bCs w:val="0"/>
                <w:color w:val="auto"/>
                <w:spacing w:val="0"/>
                <w:kern w:val="0"/>
                <w:position w:val="0"/>
                <w:sz w:val="24"/>
                <w:highlight w:val="none"/>
                <w:lang w:val="en-US" w:eastAsia="zh-CN" w:bidi="ar"/>
              </w:rPr>
              <w:t>必须</w:t>
            </w:r>
            <w:r>
              <w:rPr>
                <w:rFonts w:hint="eastAsia" w:ascii="Times New Roman" w:hAnsi="Times New Roman" w:eastAsia="宋体" w:cs="Times New Roman"/>
                <w:b w:val="0"/>
                <w:bCs w:val="0"/>
                <w:color w:val="auto"/>
                <w:spacing w:val="0"/>
                <w:kern w:val="0"/>
                <w:position w:val="0"/>
                <w:sz w:val="24"/>
                <w:highlight w:val="none"/>
                <w:lang w:val="en-US" w:eastAsia="zh-CN" w:bidi="ar"/>
              </w:rPr>
              <w:t>按照《危险废物识别标志设置技术规范》（HJ1276-2022）</w:t>
            </w:r>
            <w:r>
              <w:rPr>
                <w:rFonts w:hint="default" w:ascii="Times New Roman" w:hAnsi="Times New Roman" w:eastAsia="宋体" w:cs="Times New Roman"/>
                <w:b w:val="0"/>
                <w:bCs w:val="0"/>
                <w:color w:val="auto"/>
                <w:spacing w:val="0"/>
                <w:kern w:val="0"/>
                <w:position w:val="0"/>
                <w:sz w:val="24"/>
                <w:highlight w:val="none"/>
                <w:lang w:val="en-US" w:eastAsia="zh-CN" w:bidi="ar"/>
              </w:rPr>
              <w:t>的规定设置警示标志。</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pacing w:val="0"/>
                <w:kern w:val="0"/>
                <w:position w:val="0"/>
                <w:sz w:val="24"/>
                <w:highlight w:val="none"/>
                <w:lang w:val="en-US" w:eastAsia="zh-CN" w:bidi="ar"/>
              </w:rPr>
            </w:pPr>
            <w:r>
              <w:rPr>
                <w:rFonts w:hint="default" w:ascii="Times New Roman" w:hAnsi="Times New Roman" w:eastAsia="宋体" w:cs="Times New Roman"/>
                <w:b w:val="0"/>
                <w:bCs w:val="0"/>
                <w:color w:val="auto"/>
                <w:spacing w:val="0"/>
                <w:kern w:val="0"/>
                <w:position w:val="0"/>
                <w:sz w:val="24"/>
                <w:highlight w:val="none"/>
                <w:lang w:val="en-US" w:eastAsia="zh-CN" w:bidi="ar"/>
              </w:rPr>
              <w:t>②危险废物贮存设施周围应设置围墙或其它防护栅栏。</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pacing w:val="0"/>
                <w:kern w:val="0"/>
                <w:position w:val="0"/>
                <w:sz w:val="24"/>
                <w:highlight w:val="none"/>
                <w:lang w:val="en-US" w:eastAsia="zh-CN" w:bidi="ar"/>
              </w:rPr>
            </w:pPr>
            <w:r>
              <w:rPr>
                <w:rFonts w:hint="default" w:ascii="Times New Roman" w:hAnsi="Times New Roman" w:eastAsia="宋体" w:cs="Times New Roman"/>
                <w:b w:val="0"/>
                <w:bCs w:val="0"/>
                <w:color w:val="auto"/>
                <w:spacing w:val="0"/>
                <w:kern w:val="0"/>
                <w:position w:val="0"/>
                <w:sz w:val="24"/>
                <w:highlight w:val="none"/>
                <w:lang w:val="en-US" w:eastAsia="zh-CN" w:bidi="ar"/>
              </w:rPr>
              <w:t>③危险废物贮存设施应配备通讯设备、照明设施、安全防护服装及工具，并设有应急防护设施。</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pacing w:val="0"/>
                <w:kern w:val="0"/>
                <w:position w:val="0"/>
                <w:sz w:val="24"/>
                <w:highlight w:val="none"/>
                <w:lang w:val="en-US" w:eastAsia="zh-CN" w:bidi="ar"/>
              </w:rPr>
            </w:pPr>
            <w:r>
              <w:rPr>
                <w:rFonts w:hint="default" w:ascii="Times New Roman" w:hAnsi="Times New Roman" w:eastAsia="宋体" w:cs="Times New Roman"/>
                <w:b w:val="0"/>
                <w:bCs w:val="0"/>
                <w:color w:val="auto"/>
                <w:spacing w:val="0"/>
                <w:kern w:val="0"/>
                <w:position w:val="0"/>
                <w:sz w:val="24"/>
                <w:highlight w:val="none"/>
                <w:lang w:val="en-US" w:eastAsia="zh-CN" w:bidi="ar"/>
              </w:rPr>
              <w:t>④危险废物贮存设施内清理出来的泄漏物，一律按危险废物处理。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pacing w:val="0"/>
                <w:kern w:val="0"/>
                <w:position w:val="0"/>
                <w:sz w:val="24"/>
                <w:highlight w:val="none"/>
                <w:lang w:val="en-US" w:eastAsia="zh-CN" w:bidi="ar"/>
              </w:rPr>
            </w:pPr>
            <w:r>
              <w:rPr>
                <w:rFonts w:hint="default" w:ascii="Times New Roman" w:hAnsi="Times New Roman" w:eastAsia="宋体" w:cs="Times New Roman"/>
                <w:b w:val="0"/>
                <w:bCs w:val="0"/>
                <w:color w:val="auto"/>
                <w:spacing w:val="0"/>
                <w:kern w:val="0"/>
                <w:position w:val="0"/>
                <w:sz w:val="24"/>
                <w:highlight w:val="none"/>
                <w:lang w:val="en-US" w:eastAsia="zh-CN" w:bidi="ar"/>
              </w:rPr>
              <w:t>（</w:t>
            </w:r>
            <w:r>
              <w:rPr>
                <w:rFonts w:hint="eastAsia" w:cs="Times New Roman"/>
                <w:b w:val="0"/>
                <w:bCs w:val="0"/>
                <w:color w:val="auto"/>
                <w:spacing w:val="0"/>
                <w:kern w:val="0"/>
                <w:position w:val="0"/>
                <w:sz w:val="24"/>
                <w:highlight w:val="none"/>
                <w:lang w:val="en-US" w:eastAsia="zh-CN" w:bidi="ar"/>
              </w:rPr>
              <w:t>7</w:t>
            </w:r>
            <w:r>
              <w:rPr>
                <w:rFonts w:hint="default" w:ascii="Times New Roman" w:hAnsi="Times New Roman" w:eastAsia="宋体" w:cs="Times New Roman"/>
                <w:b w:val="0"/>
                <w:bCs w:val="0"/>
                <w:color w:val="auto"/>
                <w:spacing w:val="0"/>
                <w:kern w:val="0"/>
                <w:position w:val="0"/>
                <w:sz w:val="24"/>
                <w:highlight w:val="none"/>
                <w:lang w:val="en-US" w:eastAsia="zh-CN" w:bidi="ar"/>
              </w:rPr>
              <w:t>）危险废物转移要求：</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pacing w:val="0"/>
                <w:kern w:val="0"/>
                <w:position w:val="0"/>
                <w:sz w:val="24"/>
                <w:highlight w:val="none"/>
                <w:lang w:val="en-US" w:eastAsia="zh-CN" w:bidi="ar"/>
              </w:rPr>
            </w:pPr>
            <w:r>
              <w:rPr>
                <w:rFonts w:hint="eastAsia"/>
                <w:b w:val="0"/>
                <w:bCs w:val="0"/>
                <w:color w:val="auto"/>
                <w:spacing w:val="0"/>
                <w:kern w:val="0"/>
                <w:position w:val="0"/>
                <w:sz w:val="24"/>
                <w:highlight w:val="none"/>
                <w:lang w:val="en-US" w:eastAsia="zh-CN"/>
              </w:rPr>
              <w:t>危险废物运输应由持有危险废物经营许可证的单位按照其许可证的经营范围组织实施，承担危险废物运输的单位应获得交通运输部门颁发的危险货物运输资质。</w:t>
            </w:r>
            <w:r>
              <w:rPr>
                <w:rFonts w:hint="default" w:ascii="Times New Roman" w:hAnsi="Times New Roman" w:eastAsia="宋体" w:cs="Times New Roman"/>
                <w:b w:val="0"/>
                <w:bCs w:val="0"/>
                <w:color w:val="auto"/>
                <w:spacing w:val="0"/>
                <w:kern w:val="0"/>
                <w:position w:val="0"/>
                <w:sz w:val="24"/>
                <w:highlight w:val="none"/>
                <w:lang w:val="en-US" w:eastAsia="zh-CN" w:bidi="ar"/>
              </w:rPr>
              <w:t>危废委托有资质单位处置过程必须按照国家《危险废物转移管理办法》（</w:t>
            </w:r>
            <w:r>
              <w:rPr>
                <w:rFonts w:hint="eastAsia" w:ascii="Times New Roman" w:hAnsi="Times New Roman" w:eastAsia="宋体" w:cs="Times New Roman"/>
                <w:b w:val="0"/>
                <w:bCs w:val="0"/>
                <w:color w:val="auto"/>
                <w:spacing w:val="0"/>
                <w:kern w:val="0"/>
                <w:position w:val="0"/>
                <w:sz w:val="24"/>
                <w:highlight w:val="none"/>
                <w:lang w:val="en-US" w:eastAsia="zh-CN" w:bidi="ar"/>
              </w:rPr>
              <w:t>部令第23号</w:t>
            </w:r>
            <w:r>
              <w:rPr>
                <w:rFonts w:hint="default" w:ascii="Times New Roman" w:hAnsi="Times New Roman" w:eastAsia="宋体" w:cs="Times New Roman"/>
                <w:b w:val="0"/>
                <w:bCs w:val="0"/>
                <w:color w:val="auto"/>
                <w:spacing w:val="0"/>
                <w:kern w:val="0"/>
                <w:position w:val="0"/>
                <w:sz w:val="24"/>
                <w:highlight w:val="none"/>
                <w:lang w:val="en-US" w:eastAsia="zh-CN" w:bidi="ar"/>
              </w:rPr>
              <w:t>）执行。</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pacing w:val="0"/>
                <w:kern w:val="0"/>
                <w:position w:val="0"/>
                <w:sz w:val="24"/>
                <w:highlight w:val="none"/>
                <w:lang w:val="en-US" w:eastAsia="zh-CN" w:bidi="ar"/>
              </w:rPr>
            </w:pPr>
            <w:r>
              <w:rPr>
                <w:rFonts w:hint="default" w:ascii="Times New Roman" w:hAnsi="Times New Roman" w:eastAsia="宋体" w:cs="Times New Roman"/>
                <w:color w:val="auto"/>
                <w:spacing w:val="0"/>
                <w:kern w:val="0"/>
                <w:position w:val="0"/>
                <w:sz w:val="24"/>
                <w:highlight w:val="none"/>
                <w:lang w:val="en-US" w:eastAsia="zh-CN" w:bidi="ar"/>
              </w:rPr>
              <w:t>①危险废物产生单位在转移危险废物前，须按照国家有关规定报批危险废物转移计划</w:t>
            </w:r>
            <w:r>
              <w:rPr>
                <w:rFonts w:hint="eastAsia" w:ascii="Times New Roman" w:hAnsi="Times New Roman" w:eastAsia="宋体" w:cs="Times New Roman"/>
                <w:color w:val="auto"/>
                <w:spacing w:val="0"/>
                <w:kern w:val="0"/>
                <w:position w:val="0"/>
                <w:sz w:val="24"/>
                <w:highlight w:val="none"/>
                <w:lang w:val="en-US" w:eastAsia="zh-CN" w:bidi="ar"/>
              </w:rPr>
              <w:t>；</w:t>
            </w:r>
            <w:r>
              <w:rPr>
                <w:rFonts w:hint="default" w:ascii="Times New Roman" w:hAnsi="Times New Roman" w:eastAsia="宋体" w:cs="Times New Roman"/>
                <w:color w:val="auto"/>
                <w:spacing w:val="0"/>
                <w:kern w:val="0"/>
                <w:position w:val="0"/>
                <w:sz w:val="24"/>
                <w:highlight w:val="none"/>
                <w:lang w:val="en-US" w:eastAsia="zh-CN" w:bidi="ar"/>
              </w:rPr>
              <w:t>经批准后，产生单位应当向移出地环境保护行政主管部门申请领取联单。</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pacing w:val="0"/>
                <w:kern w:val="0"/>
                <w:position w:val="0"/>
                <w:sz w:val="24"/>
                <w:highlight w:val="none"/>
                <w:lang w:val="en-US" w:eastAsia="zh-CN" w:bidi="ar"/>
              </w:rPr>
            </w:pPr>
            <w:r>
              <w:rPr>
                <w:rFonts w:hint="default" w:ascii="Times New Roman" w:hAnsi="Times New Roman" w:eastAsia="宋体" w:cs="Times New Roman"/>
                <w:color w:val="auto"/>
                <w:spacing w:val="0"/>
                <w:kern w:val="0"/>
                <w:position w:val="0"/>
                <w:sz w:val="24"/>
                <w:highlight w:val="none"/>
                <w:lang w:val="en-US" w:eastAsia="zh-CN" w:bidi="ar"/>
              </w:rPr>
              <w:t>②产生单位应当在危险废物转移前三日内报告移出地环境保护行政主管部门，并同时将预期到达时间报告</w:t>
            </w:r>
            <w:r>
              <w:rPr>
                <w:rFonts w:hint="eastAsia" w:cs="Times New Roman"/>
                <w:color w:val="auto"/>
                <w:spacing w:val="0"/>
                <w:kern w:val="0"/>
                <w:position w:val="0"/>
                <w:sz w:val="24"/>
                <w:highlight w:val="none"/>
                <w:lang w:val="en-US" w:eastAsia="zh-CN" w:bidi="ar"/>
              </w:rPr>
              <w:t>接收</w:t>
            </w:r>
            <w:r>
              <w:rPr>
                <w:rFonts w:hint="default" w:ascii="Times New Roman" w:hAnsi="Times New Roman" w:eastAsia="宋体" w:cs="Times New Roman"/>
                <w:color w:val="auto"/>
                <w:spacing w:val="0"/>
                <w:kern w:val="0"/>
                <w:position w:val="0"/>
                <w:sz w:val="24"/>
                <w:highlight w:val="none"/>
                <w:lang w:val="en-US" w:eastAsia="zh-CN" w:bidi="ar"/>
              </w:rPr>
              <w:t>地环境保护行政主管部门。</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pacing w:val="0"/>
                <w:kern w:val="0"/>
                <w:position w:val="0"/>
                <w:sz w:val="24"/>
                <w:highlight w:val="none"/>
                <w:lang w:val="en-US" w:eastAsia="zh-CN" w:bidi="ar"/>
              </w:rPr>
            </w:pPr>
            <w:r>
              <w:rPr>
                <w:rFonts w:hint="default" w:ascii="Times New Roman" w:hAnsi="Times New Roman" w:eastAsia="宋体" w:cs="Times New Roman"/>
                <w:color w:val="auto"/>
                <w:spacing w:val="0"/>
                <w:kern w:val="0"/>
                <w:position w:val="0"/>
                <w:sz w:val="24"/>
                <w:highlight w:val="none"/>
                <w:lang w:val="en-US" w:eastAsia="zh-CN" w:bidi="ar"/>
              </w:rPr>
              <w:t>③危险废物产生单位每转移一车</w:t>
            </w:r>
            <w:r>
              <w:rPr>
                <w:rFonts w:hint="eastAsia" w:ascii="Times New Roman" w:hAnsi="Times New Roman" w:eastAsia="宋体" w:cs="Times New Roman"/>
                <w:color w:val="auto"/>
                <w:spacing w:val="0"/>
                <w:kern w:val="0"/>
                <w:position w:val="0"/>
                <w:sz w:val="24"/>
                <w:highlight w:val="none"/>
                <w:lang w:val="en-US" w:eastAsia="zh-CN" w:bidi="ar"/>
              </w:rPr>
              <w:t>（</w:t>
            </w:r>
            <w:r>
              <w:rPr>
                <w:rFonts w:hint="default" w:ascii="Times New Roman" w:hAnsi="Times New Roman" w:eastAsia="宋体" w:cs="Times New Roman"/>
                <w:color w:val="auto"/>
                <w:spacing w:val="0"/>
                <w:kern w:val="0"/>
                <w:position w:val="0"/>
                <w:sz w:val="24"/>
                <w:highlight w:val="none"/>
                <w:lang w:val="en-US" w:eastAsia="zh-CN" w:bidi="ar"/>
              </w:rPr>
              <w:t>次</w:t>
            </w:r>
            <w:r>
              <w:rPr>
                <w:rFonts w:hint="eastAsia" w:ascii="Times New Roman" w:hAnsi="Times New Roman" w:eastAsia="宋体" w:cs="Times New Roman"/>
                <w:color w:val="auto"/>
                <w:spacing w:val="0"/>
                <w:kern w:val="0"/>
                <w:position w:val="0"/>
                <w:sz w:val="24"/>
                <w:highlight w:val="none"/>
                <w:lang w:val="en-US" w:eastAsia="zh-CN" w:bidi="ar"/>
              </w:rPr>
              <w:t>）</w:t>
            </w:r>
            <w:r>
              <w:rPr>
                <w:rFonts w:hint="default" w:ascii="Times New Roman" w:hAnsi="Times New Roman" w:eastAsia="宋体" w:cs="Times New Roman"/>
                <w:color w:val="auto"/>
                <w:spacing w:val="0"/>
                <w:kern w:val="0"/>
                <w:position w:val="0"/>
                <w:sz w:val="24"/>
                <w:highlight w:val="none"/>
                <w:lang w:val="en-US" w:eastAsia="zh-CN" w:bidi="ar"/>
              </w:rPr>
              <w:t>同类危险废物，应当填写一份联单。每车</w:t>
            </w:r>
            <w:r>
              <w:rPr>
                <w:rFonts w:hint="eastAsia" w:ascii="Times New Roman" w:hAnsi="Times New Roman" w:eastAsia="宋体" w:cs="Times New Roman"/>
                <w:color w:val="auto"/>
                <w:spacing w:val="0"/>
                <w:kern w:val="0"/>
                <w:position w:val="0"/>
                <w:sz w:val="24"/>
                <w:highlight w:val="none"/>
                <w:lang w:val="en-US" w:eastAsia="zh-CN" w:bidi="ar"/>
              </w:rPr>
              <w:t>（</w:t>
            </w:r>
            <w:r>
              <w:rPr>
                <w:rFonts w:hint="default" w:ascii="Times New Roman" w:hAnsi="Times New Roman" w:eastAsia="宋体" w:cs="Times New Roman"/>
                <w:color w:val="auto"/>
                <w:spacing w:val="0"/>
                <w:kern w:val="0"/>
                <w:position w:val="0"/>
                <w:sz w:val="24"/>
                <w:highlight w:val="none"/>
                <w:lang w:val="en-US" w:eastAsia="zh-CN" w:bidi="ar"/>
              </w:rPr>
              <w:t>次</w:t>
            </w:r>
            <w:r>
              <w:rPr>
                <w:rFonts w:hint="eastAsia" w:ascii="Times New Roman" w:hAnsi="Times New Roman" w:eastAsia="宋体" w:cs="Times New Roman"/>
                <w:color w:val="auto"/>
                <w:spacing w:val="0"/>
                <w:kern w:val="0"/>
                <w:position w:val="0"/>
                <w:sz w:val="24"/>
                <w:highlight w:val="none"/>
                <w:lang w:val="en-US" w:eastAsia="zh-CN" w:bidi="ar"/>
              </w:rPr>
              <w:t>）</w:t>
            </w:r>
            <w:r>
              <w:rPr>
                <w:rFonts w:hint="default" w:ascii="Times New Roman" w:hAnsi="Times New Roman" w:eastAsia="宋体" w:cs="Times New Roman"/>
                <w:color w:val="auto"/>
                <w:spacing w:val="0"/>
                <w:kern w:val="0"/>
                <w:position w:val="0"/>
                <w:sz w:val="24"/>
                <w:highlight w:val="none"/>
                <w:lang w:val="en-US" w:eastAsia="zh-CN" w:bidi="ar"/>
              </w:rPr>
              <w:t>有多类危险废物的，应当按每一类危险废物填写一份联单。</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pacing w:val="0"/>
                <w:kern w:val="0"/>
                <w:position w:val="0"/>
                <w:sz w:val="24"/>
                <w:highlight w:val="none"/>
                <w:lang w:val="en-US" w:eastAsia="zh-CN" w:bidi="ar"/>
              </w:rPr>
            </w:pPr>
            <w:r>
              <w:rPr>
                <w:rFonts w:hint="default" w:ascii="Times New Roman" w:hAnsi="Times New Roman" w:eastAsia="宋体" w:cs="Times New Roman"/>
                <w:color w:val="auto"/>
                <w:spacing w:val="0"/>
                <w:kern w:val="0"/>
                <w:position w:val="0"/>
                <w:sz w:val="24"/>
                <w:highlight w:val="none"/>
                <w:lang w:val="en-US" w:eastAsia="zh-CN" w:bidi="ar"/>
              </w:rPr>
              <w:t>④危险废物</w:t>
            </w:r>
            <w:r>
              <w:rPr>
                <w:rFonts w:hint="eastAsia" w:ascii="Times New Roman" w:hAnsi="Times New Roman" w:eastAsia="宋体" w:cs="Times New Roman"/>
                <w:color w:val="auto"/>
                <w:spacing w:val="0"/>
                <w:kern w:val="0"/>
                <w:position w:val="0"/>
                <w:sz w:val="24"/>
                <w:highlight w:val="none"/>
                <w:lang w:val="en-US" w:eastAsia="zh-CN" w:bidi="ar"/>
              </w:rPr>
              <w:t>接收单位</w:t>
            </w:r>
            <w:r>
              <w:rPr>
                <w:rFonts w:hint="default" w:ascii="Times New Roman" w:hAnsi="Times New Roman" w:eastAsia="宋体" w:cs="Times New Roman"/>
                <w:color w:val="auto"/>
                <w:spacing w:val="0"/>
                <w:kern w:val="0"/>
                <w:position w:val="0"/>
                <w:sz w:val="24"/>
                <w:highlight w:val="none"/>
                <w:lang w:val="en-US" w:eastAsia="zh-CN" w:bidi="ar"/>
              </w:rPr>
              <w:t>验收发现危险废物的名称、数量、特性、形态、包装方式与联单填写内容不符的，应当及时向接受地环境保护行政主管部门报告，并通知产生单位。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pacing w:val="0"/>
                <w:kern w:val="0"/>
                <w:position w:val="0"/>
                <w:sz w:val="24"/>
                <w:highlight w:val="none"/>
                <w:lang w:val="en-US" w:eastAsia="zh-CN" w:bidi="ar"/>
              </w:rPr>
            </w:pPr>
            <w:r>
              <w:rPr>
                <w:rFonts w:hint="default" w:ascii="Times New Roman" w:hAnsi="Times New Roman" w:eastAsia="宋体" w:cs="Times New Roman"/>
                <w:color w:val="auto"/>
                <w:spacing w:val="0"/>
                <w:kern w:val="0"/>
                <w:position w:val="0"/>
                <w:sz w:val="24"/>
                <w:highlight w:val="none"/>
                <w:lang w:val="en-US" w:eastAsia="zh-CN" w:bidi="ar"/>
              </w:rPr>
              <w:t>⑤危险废物接受单位应当按照联单填写的内容对危险废物核实验收，如实填写联单中接受单位栏目并加盖公章，接受单位应当将联单第一联、第二联副联自接受危险废物之日起十日内交付产生单位，联单第三联由产生单位自图存档，联单第二联副联由产生单位在二日内报送移出地环境保护行政主管部门；接受单位将联单第三联交付运输单位存档；将联单第四联自留存档：将联单第五联自接受危险废物之日起二日内报送接受地</w:t>
            </w:r>
            <w:r>
              <w:rPr>
                <w:rFonts w:hint="eastAsia" w:ascii="Times New Roman" w:hAnsi="Times New Roman" w:eastAsia="宋体" w:cs="Times New Roman"/>
                <w:color w:val="auto"/>
                <w:spacing w:val="0"/>
                <w:kern w:val="0"/>
                <w:position w:val="0"/>
                <w:sz w:val="24"/>
                <w:highlight w:val="none"/>
                <w:lang w:val="en-US" w:eastAsia="zh-CN" w:bidi="ar"/>
              </w:rPr>
              <w:t>。</w:t>
            </w:r>
          </w:p>
          <w:p>
            <w:pPr>
              <w:pStyle w:val="82"/>
              <w:keepNext w:val="0"/>
              <w:keepLines w:val="0"/>
              <w:suppressLineNumbers w:val="0"/>
              <w:bidi w:val="0"/>
              <w:spacing w:before="0" w:beforeAutospacing="0" w:after="0" w:afterAutospacing="0" w:line="360" w:lineRule="auto"/>
              <w:ind w:left="0" w:right="0"/>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w:t>
            </w:r>
            <w:r>
              <w:rPr>
                <w:rFonts w:hint="eastAsia" w:cs="Times New Roman"/>
                <w:b w:val="0"/>
                <w:bCs/>
                <w:color w:val="auto"/>
                <w:sz w:val="24"/>
                <w:szCs w:val="24"/>
                <w:highlight w:val="none"/>
                <w:lang w:val="en-US" w:eastAsia="zh-CN"/>
              </w:rPr>
              <w:t>8</w:t>
            </w:r>
            <w:r>
              <w:rPr>
                <w:rFonts w:hint="default" w:ascii="Times New Roman" w:hAnsi="Times New Roman" w:eastAsia="宋体" w:cs="Times New Roman"/>
                <w:b w:val="0"/>
                <w:bCs/>
                <w:color w:val="auto"/>
                <w:sz w:val="24"/>
                <w:szCs w:val="24"/>
                <w:highlight w:val="none"/>
                <w:lang w:val="en-US" w:eastAsia="zh-CN"/>
              </w:rPr>
              <w:t xml:space="preserve">）制度管理要求 </w:t>
            </w:r>
          </w:p>
          <w:p>
            <w:pPr>
              <w:pStyle w:val="82"/>
              <w:keepNext w:val="0"/>
              <w:keepLines w:val="0"/>
              <w:suppressLineNumbers w:val="0"/>
              <w:bidi w:val="0"/>
              <w:spacing w:before="0" w:beforeAutospacing="0" w:after="0" w:afterAutospacing="0" w:line="360" w:lineRule="auto"/>
              <w:ind w:left="0" w:right="0"/>
              <w:rPr>
                <w:color w:val="000000"/>
                <w:spacing w:val="0"/>
                <w:kern w:val="0"/>
              </w:rPr>
            </w:pPr>
            <w:r>
              <w:rPr>
                <w:rFonts w:hint="default" w:ascii="Times New Roman" w:hAnsi="Times New Roman" w:eastAsia="宋体" w:cs="Times New Roman"/>
                <w:color w:val="auto"/>
                <w:sz w:val="24"/>
                <w:szCs w:val="24"/>
                <w:highlight w:val="none"/>
                <w:lang w:val="en-US" w:eastAsia="zh-CN"/>
              </w:rPr>
              <w:t>公司应制定并上墙危险废物污染环境防治管理制度、危险废物污染防治责任制度、危险废物标识标牌制度、危险废物贮存场所防渗层剖面图、危险废物厂内运输过程污染防治管理责任制度、危险废物分类分区贮存管理制度、危险废物安全操作规程、危险废物管理计划及备案制度、危险废物申报登记制度、危险废物源头分类制度、危险废物转移联单制度、危险废物应急预案及备案等制度，同类型制度可合并制定，不需要上墙的制度可制定存档，定期对公司员工进行组织培训。根据最新的《</w:t>
            </w:r>
            <w:r>
              <w:rPr>
                <w:rFonts w:hint="eastAsia" w:cs="Times New Roman"/>
                <w:color w:val="auto"/>
                <w:sz w:val="24"/>
                <w:szCs w:val="24"/>
                <w:highlight w:val="none"/>
                <w:lang w:val="en-US" w:eastAsia="zh-CN"/>
              </w:rPr>
              <w:t>中华人民共和国固体废物污染环境防治法</w:t>
            </w:r>
            <w:r>
              <w:rPr>
                <w:rFonts w:hint="default" w:ascii="Times New Roman" w:hAnsi="Times New Roman" w:eastAsia="宋体" w:cs="Times New Roman"/>
                <w:color w:val="auto"/>
                <w:sz w:val="24"/>
                <w:szCs w:val="24"/>
                <w:highlight w:val="none"/>
                <w:lang w:val="en-US" w:eastAsia="zh-CN"/>
              </w:rPr>
              <w:t>》，企业应建立工业固体废物管理台账，如实记录工业固体废物的种类、数量、流向、贮存、利用、处置等信息，实现工业固体废物可追溯、可查询。</w:t>
            </w:r>
          </w:p>
          <w:p>
            <w:pPr>
              <w:pStyle w:val="4"/>
              <w:bidi w:val="0"/>
              <w:rPr>
                <w:rFonts w:hint="default"/>
              </w:rPr>
            </w:pPr>
            <w:r>
              <w:rPr>
                <w:rFonts w:hint="eastAsia"/>
                <w:lang w:val="en-US" w:eastAsia="zh-CN"/>
              </w:rPr>
              <w:t>4.5</w:t>
            </w:r>
            <w:r>
              <w:rPr>
                <w:rFonts w:hint="eastAsia"/>
              </w:rPr>
              <w:t>固体废物汇总</w:t>
            </w:r>
          </w:p>
          <w:p>
            <w:pPr>
              <w:bidi w:val="0"/>
              <w:rPr>
                <w:rFonts w:hint="default"/>
                <w:lang w:val="en-US" w:eastAsia="zh-CN"/>
              </w:rPr>
            </w:pPr>
            <w:r>
              <w:rPr>
                <w:rFonts w:hint="eastAsia"/>
                <w:lang w:val="en-US" w:eastAsia="zh-CN"/>
              </w:rPr>
              <w:t>本项目固体废物汇总表见表4-13。</w:t>
            </w:r>
          </w:p>
          <w:p>
            <w:pPr>
              <w:pStyle w:val="10"/>
              <w:bidi w:val="0"/>
            </w:pPr>
            <w:r>
              <w:t>表</w:t>
            </w:r>
            <w:r>
              <w:rPr>
                <w:rFonts w:hint="eastAsia"/>
                <w:lang w:val="en-US" w:eastAsia="zh-CN"/>
              </w:rPr>
              <w:t>4-13</w:t>
            </w:r>
            <w:r>
              <w:t xml:space="preserve">            </w:t>
            </w:r>
            <w:r>
              <w:rPr>
                <w:rFonts w:hint="eastAsia"/>
                <w:lang w:val="en-US" w:eastAsia="zh-CN"/>
              </w:rPr>
              <w:t>固废</w:t>
            </w:r>
            <w:r>
              <w:t>产生及处置情况一览表</w:t>
            </w:r>
          </w:p>
          <w:tbl>
            <w:tblPr>
              <w:tblStyle w:val="41"/>
              <w:tblW w:w="82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82"/>
              <w:gridCol w:w="450"/>
              <w:gridCol w:w="857"/>
              <w:gridCol w:w="706"/>
              <w:gridCol w:w="762"/>
              <w:gridCol w:w="750"/>
              <w:gridCol w:w="851"/>
              <w:gridCol w:w="738"/>
              <w:gridCol w:w="837"/>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1" w:type="pct"/>
                  <w:vMerge w:val="restart"/>
                  <w:tcBorders>
                    <w:tl2br w:val="nil"/>
                    <w:tr2bl w:val="nil"/>
                  </w:tcBorders>
                  <w:noWrap w:val="0"/>
                  <w:vAlign w:val="center"/>
                </w:tcPr>
                <w:p>
                  <w:pPr>
                    <w:pStyle w:val="6"/>
                    <w:bidi w:val="0"/>
                    <w:rPr>
                      <w:rFonts w:hint="default"/>
                      <w:lang w:val="en-US" w:eastAsia="zh-CN"/>
                    </w:rPr>
                  </w:pPr>
                  <w:r>
                    <w:rPr>
                      <w:rFonts w:hint="eastAsia"/>
                      <w:lang w:val="en-US" w:eastAsia="zh-CN"/>
                    </w:rPr>
                    <w:t>装置</w:t>
                  </w:r>
                </w:p>
              </w:tc>
              <w:tc>
                <w:tcPr>
                  <w:tcW w:w="414" w:type="pct"/>
                  <w:vMerge w:val="restart"/>
                  <w:tcBorders>
                    <w:tl2br w:val="nil"/>
                    <w:tr2bl w:val="nil"/>
                  </w:tcBorders>
                  <w:noWrap w:val="0"/>
                  <w:vAlign w:val="center"/>
                </w:tcPr>
                <w:p>
                  <w:pPr>
                    <w:pStyle w:val="6"/>
                    <w:bidi w:val="0"/>
                    <w:rPr>
                      <w:rFonts w:hint="default"/>
                      <w:lang w:val="en-US" w:eastAsia="zh-CN"/>
                    </w:rPr>
                  </w:pPr>
                  <w:r>
                    <w:rPr>
                      <w:rFonts w:hint="eastAsia"/>
                      <w:lang w:val="en-US" w:eastAsia="zh-CN"/>
                    </w:rPr>
                    <w:t>固体废物名称</w:t>
                  </w:r>
                </w:p>
              </w:tc>
              <w:tc>
                <w:tcPr>
                  <w:tcW w:w="273" w:type="pct"/>
                  <w:vMerge w:val="restart"/>
                  <w:tcBorders>
                    <w:tl2br w:val="nil"/>
                    <w:tr2bl w:val="nil"/>
                  </w:tcBorders>
                  <w:noWrap w:val="0"/>
                  <w:vAlign w:val="center"/>
                </w:tcPr>
                <w:p>
                  <w:pPr>
                    <w:pStyle w:val="6"/>
                    <w:bidi w:val="0"/>
                    <w:rPr>
                      <w:rFonts w:hint="default"/>
                      <w:lang w:val="en-US" w:eastAsia="zh-CN"/>
                    </w:rPr>
                  </w:pPr>
                  <w:r>
                    <w:rPr>
                      <w:rFonts w:hint="eastAsia"/>
                      <w:lang w:val="en-US" w:eastAsia="zh-CN"/>
                    </w:rPr>
                    <w:t>固废属性</w:t>
                  </w:r>
                </w:p>
              </w:tc>
              <w:tc>
                <w:tcPr>
                  <w:tcW w:w="520" w:type="pct"/>
                  <w:vMerge w:val="restart"/>
                  <w:tcBorders>
                    <w:tl2br w:val="nil"/>
                    <w:tr2bl w:val="nil"/>
                  </w:tcBorders>
                  <w:noWrap w:val="0"/>
                  <w:vAlign w:val="center"/>
                </w:tcPr>
                <w:p>
                  <w:pPr>
                    <w:pStyle w:val="6"/>
                    <w:bidi w:val="0"/>
                    <w:rPr>
                      <w:rFonts w:hint="default"/>
                      <w:lang w:val="en-US" w:eastAsia="zh-CN"/>
                    </w:rPr>
                  </w:pPr>
                  <w:r>
                    <w:rPr>
                      <w:rFonts w:hint="eastAsia"/>
                      <w:lang w:val="en-US" w:eastAsia="zh-CN"/>
                    </w:rPr>
                    <w:t>固废代码</w:t>
                  </w:r>
                </w:p>
              </w:tc>
              <w:tc>
                <w:tcPr>
                  <w:tcW w:w="428" w:type="pct"/>
                  <w:vMerge w:val="restart"/>
                  <w:tcBorders>
                    <w:tl2br w:val="nil"/>
                    <w:tr2bl w:val="nil"/>
                  </w:tcBorders>
                  <w:noWrap w:val="0"/>
                  <w:vAlign w:val="center"/>
                </w:tcPr>
                <w:p>
                  <w:pPr>
                    <w:pStyle w:val="6"/>
                    <w:bidi w:val="0"/>
                    <w:rPr>
                      <w:rFonts w:hint="default"/>
                      <w:lang w:val="en-US" w:eastAsia="zh-CN"/>
                    </w:rPr>
                  </w:pPr>
                  <w:r>
                    <w:rPr>
                      <w:rFonts w:hint="eastAsia"/>
                      <w:lang w:val="en-US" w:eastAsia="zh-CN"/>
                    </w:rPr>
                    <w:t>形态</w:t>
                  </w:r>
                </w:p>
              </w:tc>
              <w:tc>
                <w:tcPr>
                  <w:tcW w:w="462" w:type="pct"/>
                  <w:vMerge w:val="restart"/>
                  <w:tcBorders>
                    <w:tl2br w:val="nil"/>
                    <w:tr2bl w:val="nil"/>
                  </w:tcBorders>
                  <w:noWrap w:val="0"/>
                  <w:vAlign w:val="center"/>
                </w:tcPr>
                <w:p>
                  <w:pPr>
                    <w:pStyle w:val="6"/>
                    <w:bidi w:val="0"/>
                    <w:rPr>
                      <w:rFonts w:hint="default"/>
                      <w:lang w:val="en-US" w:eastAsia="zh-CN"/>
                    </w:rPr>
                  </w:pPr>
                  <w:r>
                    <w:rPr>
                      <w:rFonts w:hint="eastAsia"/>
                      <w:lang w:val="en-US" w:eastAsia="zh-CN"/>
                    </w:rPr>
                    <w:t>危险特性</w:t>
                  </w:r>
                </w:p>
              </w:tc>
              <w:tc>
                <w:tcPr>
                  <w:tcW w:w="971" w:type="pct"/>
                  <w:gridSpan w:val="2"/>
                  <w:tcBorders>
                    <w:tl2br w:val="nil"/>
                    <w:tr2bl w:val="nil"/>
                  </w:tcBorders>
                  <w:noWrap w:val="0"/>
                  <w:vAlign w:val="center"/>
                </w:tcPr>
                <w:p>
                  <w:pPr>
                    <w:pStyle w:val="6"/>
                    <w:bidi w:val="0"/>
                    <w:rPr>
                      <w:rFonts w:hint="default"/>
                      <w:lang w:val="en-US" w:eastAsia="zh-CN"/>
                    </w:rPr>
                  </w:pPr>
                  <w:r>
                    <w:rPr>
                      <w:rFonts w:hint="eastAsia"/>
                      <w:lang w:val="en-US" w:eastAsia="zh-CN"/>
                    </w:rPr>
                    <w:t>产生情况</w:t>
                  </w:r>
                </w:p>
              </w:tc>
              <w:tc>
                <w:tcPr>
                  <w:tcW w:w="956" w:type="pct"/>
                  <w:gridSpan w:val="2"/>
                  <w:tcBorders>
                    <w:tl2br w:val="nil"/>
                    <w:tr2bl w:val="nil"/>
                  </w:tcBorders>
                  <w:noWrap w:val="0"/>
                  <w:vAlign w:val="center"/>
                </w:tcPr>
                <w:p>
                  <w:pPr>
                    <w:pStyle w:val="6"/>
                    <w:bidi w:val="0"/>
                    <w:rPr>
                      <w:rFonts w:hint="default"/>
                      <w:lang w:val="en-US" w:eastAsia="zh-CN"/>
                    </w:rPr>
                  </w:pPr>
                  <w:r>
                    <w:rPr>
                      <w:rFonts w:hint="eastAsia"/>
                      <w:lang w:val="en-US" w:eastAsia="zh-CN"/>
                    </w:rPr>
                    <w:t>处置措施</w:t>
                  </w:r>
                </w:p>
              </w:tc>
              <w:tc>
                <w:tcPr>
                  <w:tcW w:w="551" w:type="pct"/>
                  <w:vMerge w:val="restart"/>
                  <w:tcBorders>
                    <w:tl2br w:val="nil"/>
                    <w:tr2bl w:val="nil"/>
                  </w:tcBorders>
                  <w:noWrap w:val="0"/>
                  <w:vAlign w:val="center"/>
                </w:tcPr>
                <w:p>
                  <w:pPr>
                    <w:pStyle w:val="6"/>
                    <w:bidi w:val="0"/>
                    <w:rPr>
                      <w:rFonts w:hint="default"/>
                      <w:lang w:val="en-US" w:eastAsia="zh-CN"/>
                    </w:rPr>
                  </w:pPr>
                  <w:r>
                    <w:rPr>
                      <w:rFonts w:hint="eastAsia"/>
                      <w:lang w:val="en-US" w:eastAsia="zh-CN"/>
                    </w:rPr>
                    <w:t>最终去向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1" w:type="pct"/>
                  <w:vMerge w:val="continue"/>
                  <w:tcBorders>
                    <w:tl2br w:val="nil"/>
                    <w:tr2bl w:val="nil"/>
                  </w:tcBorders>
                  <w:noWrap w:val="0"/>
                  <w:vAlign w:val="center"/>
                </w:tcPr>
                <w:p>
                  <w:pPr>
                    <w:pStyle w:val="6"/>
                    <w:bidi w:val="0"/>
                    <w:rPr>
                      <w:rFonts w:hint="default"/>
                      <w:lang w:val="en-US" w:eastAsia="zh-CN"/>
                    </w:rPr>
                  </w:pPr>
                </w:p>
              </w:tc>
              <w:tc>
                <w:tcPr>
                  <w:tcW w:w="414" w:type="pct"/>
                  <w:vMerge w:val="continue"/>
                  <w:tcBorders>
                    <w:tl2br w:val="nil"/>
                    <w:tr2bl w:val="nil"/>
                  </w:tcBorders>
                  <w:noWrap w:val="0"/>
                  <w:vAlign w:val="center"/>
                </w:tcPr>
                <w:p>
                  <w:pPr>
                    <w:pStyle w:val="6"/>
                    <w:bidi w:val="0"/>
                    <w:rPr>
                      <w:rFonts w:hint="default"/>
                      <w:lang w:val="en-US" w:eastAsia="zh-CN"/>
                    </w:rPr>
                  </w:pPr>
                </w:p>
              </w:tc>
              <w:tc>
                <w:tcPr>
                  <w:tcW w:w="273" w:type="pct"/>
                  <w:vMerge w:val="continue"/>
                  <w:tcBorders>
                    <w:tl2br w:val="nil"/>
                    <w:tr2bl w:val="nil"/>
                  </w:tcBorders>
                  <w:noWrap w:val="0"/>
                  <w:vAlign w:val="center"/>
                </w:tcPr>
                <w:p>
                  <w:pPr>
                    <w:pStyle w:val="6"/>
                    <w:bidi w:val="0"/>
                    <w:rPr>
                      <w:rFonts w:hint="default"/>
                      <w:lang w:val="en-US" w:eastAsia="zh-CN"/>
                    </w:rPr>
                  </w:pPr>
                </w:p>
              </w:tc>
              <w:tc>
                <w:tcPr>
                  <w:tcW w:w="520" w:type="pct"/>
                  <w:vMerge w:val="continue"/>
                  <w:tcBorders>
                    <w:tl2br w:val="nil"/>
                    <w:tr2bl w:val="nil"/>
                  </w:tcBorders>
                  <w:noWrap w:val="0"/>
                  <w:vAlign w:val="center"/>
                </w:tcPr>
                <w:p>
                  <w:pPr>
                    <w:pStyle w:val="6"/>
                    <w:bidi w:val="0"/>
                    <w:rPr>
                      <w:rFonts w:hint="eastAsia"/>
                      <w:lang w:val="en-US" w:eastAsia="zh-CN"/>
                    </w:rPr>
                  </w:pPr>
                </w:p>
              </w:tc>
              <w:tc>
                <w:tcPr>
                  <w:tcW w:w="428" w:type="pct"/>
                  <w:vMerge w:val="continue"/>
                  <w:tcBorders>
                    <w:tl2br w:val="nil"/>
                    <w:tr2bl w:val="nil"/>
                  </w:tcBorders>
                  <w:noWrap w:val="0"/>
                  <w:vAlign w:val="center"/>
                </w:tcPr>
                <w:p>
                  <w:pPr>
                    <w:pStyle w:val="6"/>
                    <w:bidi w:val="0"/>
                    <w:rPr>
                      <w:rFonts w:hint="eastAsia"/>
                      <w:lang w:val="en-US" w:eastAsia="zh-CN"/>
                    </w:rPr>
                  </w:pPr>
                </w:p>
              </w:tc>
              <w:tc>
                <w:tcPr>
                  <w:tcW w:w="462" w:type="pct"/>
                  <w:vMerge w:val="continue"/>
                  <w:tcBorders>
                    <w:tl2br w:val="nil"/>
                    <w:tr2bl w:val="nil"/>
                  </w:tcBorders>
                  <w:noWrap w:val="0"/>
                  <w:vAlign w:val="center"/>
                </w:tcPr>
                <w:p>
                  <w:pPr>
                    <w:pStyle w:val="6"/>
                    <w:bidi w:val="0"/>
                    <w:rPr>
                      <w:rFonts w:hint="eastAsia"/>
                      <w:lang w:val="en-US" w:eastAsia="zh-CN"/>
                    </w:rPr>
                  </w:pPr>
                </w:p>
              </w:tc>
              <w:tc>
                <w:tcPr>
                  <w:tcW w:w="455" w:type="pct"/>
                  <w:tcBorders>
                    <w:tl2br w:val="nil"/>
                    <w:tr2bl w:val="nil"/>
                  </w:tcBorders>
                  <w:noWrap w:val="0"/>
                  <w:vAlign w:val="center"/>
                </w:tcPr>
                <w:p>
                  <w:pPr>
                    <w:pStyle w:val="6"/>
                    <w:bidi w:val="0"/>
                    <w:rPr>
                      <w:rFonts w:hint="default"/>
                      <w:lang w:val="en-US" w:eastAsia="zh-CN"/>
                    </w:rPr>
                  </w:pPr>
                  <w:r>
                    <w:rPr>
                      <w:rFonts w:hint="eastAsia"/>
                      <w:lang w:val="en-US" w:eastAsia="zh-CN"/>
                    </w:rPr>
                    <w:t>核算方法</w:t>
                  </w:r>
                </w:p>
              </w:tc>
              <w:tc>
                <w:tcPr>
                  <w:tcW w:w="516" w:type="pct"/>
                  <w:tcBorders>
                    <w:tl2br w:val="nil"/>
                    <w:tr2bl w:val="nil"/>
                  </w:tcBorders>
                  <w:noWrap w:val="0"/>
                  <w:vAlign w:val="center"/>
                </w:tcPr>
                <w:p>
                  <w:pPr>
                    <w:pStyle w:val="6"/>
                    <w:bidi w:val="0"/>
                    <w:rPr>
                      <w:rFonts w:hint="default"/>
                      <w:lang w:val="en-US" w:eastAsia="zh-CN"/>
                    </w:rPr>
                  </w:pPr>
                  <w:r>
                    <w:rPr>
                      <w:rFonts w:hint="eastAsia"/>
                      <w:lang w:val="en-US" w:eastAsia="zh-CN"/>
                    </w:rPr>
                    <w:t>产生量（t/a）</w:t>
                  </w:r>
                </w:p>
              </w:tc>
              <w:tc>
                <w:tcPr>
                  <w:tcW w:w="448" w:type="pct"/>
                  <w:tcBorders>
                    <w:tl2br w:val="nil"/>
                    <w:tr2bl w:val="nil"/>
                  </w:tcBorders>
                  <w:noWrap w:val="0"/>
                  <w:vAlign w:val="center"/>
                </w:tcPr>
                <w:p>
                  <w:pPr>
                    <w:pStyle w:val="6"/>
                    <w:bidi w:val="0"/>
                    <w:rPr>
                      <w:rFonts w:hint="default"/>
                      <w:lang w:val="en-US" w:eastAsia="zh-CN"/>
                    </w:rPr>
                  </w:pPr>
                  <w:r>
                    <w:rPr>
                      <w:rFonts w:hint="eastAsia"/>
                      <w:lang w:val="en-US" w:eastAsia="zh-CN"/>
                    </w:rPr>
                    <w:t>工艺</w:t>
                  </w:r>
                </w:p>
              </w:tc>
              <w:tc>
                <w:tcPr>
                  <w:tcW w:w="508" w:type="pct"/>
                  <w:tcBorders>
                    <w:tl2br w:val="nil"/>
                    <w:tr2bl w:val="nil"/>
                  </w:tcBorders>
                  <w:noWrap w:val="0"/>
                  <w:vAlign w:val="center"/>
                </w:tcPr>
                <w:p>
                  <w:pPr>
                    <w:pStyle w:val="6"/>
                    <w:bidi w:val="0"/>
                    <w:rPr>
                      <w:rFonts w:hint="default"/>
                      <w:lang w:val="en-US" w:eastAsia="zh-CN"/>
                    </w:rPr>
                  </w:pPr>
                  <w:r>
                    <w:rPr>
                      <w:rFonts w:hint="eastAsia"/>
                      <w:lang w:val="en-US" w:eastAsia="zh-CN"/>
                    </w:rPr>
                    <w:t>处置量（t/a）</w:t>
                  </w:r>
                </w:p>
              </w:tc>
              <w:tc>
                <w:tcPr>
                  <w:tcW w:w="551" w:type="pct"/>
                  <w:vMerge w:val="continue"/>
                  <w:tcBorders>
                    <w:tl2br w:val="nil"/>
                    <w:tr2bl w:val="nil"/>
                  </w:tcBorders>
                  <w:noWrap w:val="0"/>
                  <w:vAlign w:val="center"/>
                </w:tcPr>
                <w:p>
                  <w:pPr>
                    <w:pStyle w:val="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1" w:type="pct"/>
                  <w:tcBorders>
                    <w:tl2br w:val="nil"/>
                    <w:tr2bl w:val="nil"/>
                  </w:tcBorders>
                  <w:noWrap w:val="0"/>
                  <w:vAlign w:val="center"/>
                </w:tcPr>
                <w:p>
                  <w:pPr>
                    <w:pStyle w:val="6"/>
                    <w:bidi w:val="0"/>
                    <w:rPr>
                      <w:rFonts w:hint="default"/>
                      <w:lang w:val="en-US" w:eastAsia="zh-CN"/>
                    </w:rPr>
                  </w:pPr>
                  <w:r>
                    <w:rPr>
                      <w:rFonts w:hint="eastAsia"/>
                      <w:lang w:val="en-US" w:eastAsia="zh-CN"/>
                    </w:rPr>
                    <w:t>生产线</w:t>
                  </w:r>
                </w:p>
              </w:tc>
              <w:tc>
                <w:tcPr>
                  <w:tcW w:w="414" w:type="pct"/>
                  <w:tcBorders>
                    <w:tl2br w:val="nil"/>
                    <w:tr2bl w:val="nil"/>
                  </w:tcBorders>
                  <w:noWrap w:val="0"/>
                  <w:vAlign w:val="center"/>
                </w:tcPr>
                <w:p>
                  <w:pPr>
                    <w:pStyle w:val="6"/>
                    <w:bidi w:val="0"/>
                    <w:rPr>
                      <w:rFonts w:hint="default"/>
                      <w:lang w:val="en-US" w:eastAsia="zh-CN"/>
                    </w:rPr>
                  </w:pPr>
                  <w:r>
                    <w:rPr>
                      <w:rFonts w:hint="eastAsia"/>
                      <w:lang w:val="en-US" w:eastAsia="zh-CN"/>
                    </w:rPr>
                    <w:t>除尘灰、沉降粉尘</w:t>
                  </w:r>
                </w:p>
              </w:tc>
              <w:tc>
                <w:tcPr>
                  <w:tcW w:w="273" w:type="pct"/>
                  <w:tcBorders>
                    <w:tl2br w:val="nil"/>
                    <w:tr2bl w:val="nil"/>
                  </w:tcBorders>
                  <w:noWrap w:val="0"/>
                  <w:vAlign w:val="center"/>
                </w:tcPr>
                <w:p>
                  <w:pPr>
                    <w:pStyle w:val="6"/>
                    <w:bidi w:val="0"/>
                    <w:rPr>
                      <w:rFonts w:hint="default"/>
                      <w:lang w:val="en-US" w:eastAsia="zh-CN"/>
                    </w:rPr>
                  </w:pPr>
                  <w:r>
                    <w:rPr>
                      <w:rFonts w:hint="eastAsia"/>
                      <w:lang w:val="en-US" w:eastAsia="zh-CN"/>
                    </w:rPr>
                    <w:t>一般固废</w:t>
                  </w:r>
                </w:p>
              </w:tc>
              <w:tc>
                <w:tcPr>
                  <w:tcW w:w="520" w:type="pct"/>
                  <w:tcBorders>
                    <w:tl2br w:val="nil"/>
                    <w:tr2bl w:val="nil"/>
                  </w:tcBorders>
                  <w:noWrap w:val="0"/>
                  <w:vAlign w:val="center"/>
                </w:tcPr>
                <w:p>
                  <w:pPr>
                    <w:pStyle w:val="6"/>
                    <w:bidi w:val="0"/>
                    <w:rPr>
                      <w:rFonts w:hint="default"/>
                      <w:lang w:val="en-US" w:eastAsia="zh-CN"/>
                    </w:rPr>
                  </w:pPr>
                  <w:r>
                    <w:rPr>
                      <w:rFonts w:hint="eastAsia"/>
                      <w:lang w:val="en-US" w:eastAsia="zh-CN"/>
                    </w:rPr>
                    <w:t>900-001-S02</w:t>
                  </w:r>
                </w:p>
              </w:tc>
              <w:tc>
                <w:tcPr>
                  <w:tcW w:w="428" w:type="pct"/>
                  <w:tcBorders>
                    <w:tl2br w:val="nil"/>
                    <w:tr2bl w:val="nil"/>
                  </w:tcBorders>
                  <w:noWrap w:val="0"/>
                  <w:vAlign w:val="center"/>
                </w:tcPr>
                <w:p>
                  <w:pPr>
                    <w:pStyle w:val="6"/>
                    <w:bidi w:val="0"/>
                    <w:rPr>
                      <w:rFonts w:hint="default"/>
                      <w:lang w:val="en-US" w:eastAsia="zh-CN"/>
                    </w:rPr>
                  </w:pPr>
                  <w:r>
                    <w:rPr>
                      <w:rFonts w:hint="eastAsia"/>
                      <w:lang w:val="en-US" w:eastAsia="zh-CN"/>
                    </w:rPr>
                    <w:t>固态</w:t>
                  </w:r>
                </w:p>
              </w:tc>
              <w:tc>
                <w:tcPr>
                  <w:tcW w:w="462" w:type="pct"/>
                  <w:tcBorders>
                    <w:tl2br w:val="nil"/>
                    <w:tr2bl w:val="nil"/>
                  </w:tcBorders>
                  <w:noWrap w:val="0"/>
                  <w:vAlign w:val="center"/>
                </w:tcPr>
                <w:p>
                  <w:pPr>
                    <w:pStyle w:val="6"/>
                    <w:bidi w:val="0"/>
                    <w:rPr>
                      <w:rFonts w:hint="default"/>
                      <w:lang w:val="en-US" w:eastAsia="zh-CN"/>
                    </w:rPr>
                  </w:pPr>
                  <w:r>
                    <w:rPr>
                      <w:rFonts w:hint="eastAsia"/>
                      <w:lang w:val="en-US" w:eastAsia="zh-CN"/>
                    </w:rPr>
                    <w:t>/</w:t>
                  </w:r>
                </w:p>
              </w:tc>
              <w:tc>
                <w:tcPr>
                  <w:tcW w:w="455" w:type="pct"/>
                  <w:tcBorders>
                    <w:tl2br w:val="nil"/>
                    <w:tr2bl w:val="nil"/>
                  </w:tcBorders>
                  <w:noWrap w:val="0"/>
                  <w:vAlign w:val="center"/>
                </w:tcPr>
                <w:p>
                  <w:pPr>
                    <w:pStyle w:val="6"/>
                    <w:bidi w:val="0"/>
                    <w:rPr>
                      <w:rFonts w:hint="default"/>
                      <w:lang w:val="en-US" w:eastAsia="zh-CN"/>
                    </w:rPr>
                  </w:pPr>
                  <w:r>
                    <w:rPr>
                      <w:rFonts w:hint="eastAsia"/>
                      <w:lang w:val="en-US" w:eastAsia="zh-CN"/>
                    </w:rPr>
                    <w:t>物料衡算</w:t>
                  </w:r>
                </w:p>
              </w:tc>
              <w:tc>
                <w:tcPr>
                  <w:tcW w:w="516" w:type="pct"/>
                  <w:tcBorders>
                    <w:tl2br w:val="nil"/>
                    <w:tr2bl w:val="nil"/>
                  </w:tcBorders>
                  <w:noWrap w:val="0"/>
                  <w:vAlign w:val="center"/>
                </w:tcPr>
                <w:p>
                  <w:pPr>
                    <w:pStyle w:val="6"/>
                    <w:bidi w:val="0"/>
                    <w:rPr>
                      <w:rFonts w:hint="default"/>
                      <w:lang w:val="en-US" w:eastAsia="zh-CN"/>
                    </w:rPr>
                  </w:pPr>
                  <w:r>
                    <w:rPr>
                      <w:rFonts w:hint="eastAsia" w:cs="Times New Roman"/>
                      <w:lang w:val="en-US" w:eastAsia="zh-CN"/>
                    </w:rPr>
                    <w:t>12.745</w:t>
                  </w:r>
                </w:p>
              </w:tc>
              <w:tc>
                <w:tcPr>
                  <w:tcW w:w="448" w:type="pct"/>
                  <w:tcBorders>
                    <w:tl2br w:val="nil"/>
                    <w:tr2bl w:val="nil"/>
                  </w:tcBorders>
                  <w:noWrap w:val="0"/>
                  <w:vAlign w:val="center"/>
                </w:tcPr>
                <w:p>
                  <w:pPr>
                    <w:pStyle w:val="6"/>
                    <w:bidi w:val="0"/>
                    <w:rPr>
                      <w:rFonts w:hint="default"/>
                      <w:lang w:val="en-US" w:eastAsia="zh-CN"/>
                    </w:rPr>
                  </w:pPr>
                  <w:r>
                    <w:rPr>
                      <w:rFonts w:hint="eastAsia"/>
                      <w:lang w:val="en-US" w:eastAsia="zh-CN"/>
                    </w:rPr>
                    <w:t>自行利用</w:t>
                  </w:r>
                </w:p>
              </w:tc>
              <w:tc>
                <w:tcPr>
                  <w:tcW w:w="508" w:type="pct"/>
                  <w:tcBorders>
                    <w:tl2br w:val="nil"/>
                    <w:tr2bl w:val="nil"/>
                  </w:tcBorders>
                  <w:noWrap w:val="0"/>
                  <w:vAlign w:val="center"/>
                </w:tcPr>
                <w:p>
                  <w:pPr>
                    <w:pStyle w:val="6"/>
                    <w:bidi w:val="0"/>
                    <w:rPr>
                      <w:rFonts w:hint="default"/>
                      <w:lang w:val="en-US" w:eastAsia="zh-CN"/>
                    </w:rPr>
                  </w:pPr>
                  <w:r>
                    <w:rPr>
                      <w:rFonts w:hint="eastAsia" w:cs="Times New Roman"/>
                      <w:lang w:val="en-US" w:eastAsia="zh-CN"/>
                    </w:rPr>
                    <w:t>12.745</w:t>
                  </w:r>
                </w:p>
              </w:tc>
              <w:tc>
                <w:tcPr>
                  <w:tcW w:w="551" w:type="pct"/>
                  <w:tcBorders>
                    <w:tl2br w:val="nil"/>
                    <w:tr2bl w:val="nil"/>
                  </w:tcBorders>
                  <w:noWrap w:val="0"/>
                  <w:vAlign w:val="center"/>
                </w:tcPr>
                <w:p>
                  <w:pPr>
                    <w:pStyle w:val="6"/>
                    <w:bidi w:val="0"/>
                    <w:rPr>
                      <w:rFonts w:hint="default"/>
                      <w:lang w:val="en-US" w:eastAsia="zh-CN"/>
                    </w:rPr>
                  </w:pPr>
                  <w:r>
                    <w:rPr>
                      <w:rFonts w:hint="eastAsia"/>
                      <w:lang w:val="en-US" w:eastAsia="zh-CN"/>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1" w:type="pct"/>
                  <w:tcBorders>
                    <w:tl2br w:val="nil"/>
                    <w:tr2bl w:val="nil"/>
                  </w:tcBorders>
                  <w:noWrap w:val="0"/>
                  <w:vAlign w:val="center"/>
                </w:tcPr>
                <w:p>
                  <w:pPr>
                    <w:pStyle w:val="6"/>
                    <w:bidi w:val="0"/>
                    <w:rPr>
                      <w:rFonts w:hint="default"/>
                      <w:lang w:val="en-US" w:eastAsia="zh-CN"/>
                    </w:rPr>
                  </w:pPr>
                  <w:r>
                    <w:rPr>
                      <w:rFonts w:hint="eastAsia"/>
                      <w:lang w:val="en-US" w:eastAsia="zh-CN"/>
                    </w:rPr>
                    <w:t>不合格产品</w:t>
                  </w:r>
                </w:p>
              </w:tc>
              <w:tc>
                <w:tcPr>
                  <w:tcW w:w="414" w:type="pct"/>
                  <w:tcBorders>
                    <w:tl2br w:val="nil"/>
                    <w:tr2bl w:val="nil"/>
                  </w:tcBorders>
                  <w:noWrap w:val="0"/>
                  <w:vAlign w:val="center"/>
                </w:tcPr>
                <w:p>
                  <w:pPr>
                    <w:pStyle w:val="6"/>
                    <w:bidi w:val="0"/>
                    <w:rPr>
                      <w:rFonts w:hint="default"/>
                      <w:lang w:val="en-US" w:eastAsia="zh-CN"/>
                    </w:rPr>
                  </w:pPr>
                  <w:r>
                    <w:rPr>
                      <w:rFonts w:hint="eastAsia"/>
                      <w:lang w:val="en-US" w:eastAsia="zh-CN"/>
                    </w:rPr>
                    <w:t>不合格产品及边角料</w:t>
                  </w:r>
                </w:p>
              </w:tc>
              <w:tc>
                <w:tcPr>
                  <w:tcW w:w="273" w:type="pct"/>
                  <w:tcBorders>
                    <w:tl2br w:val="nil"/>
                    <w:tr2bl w:val="nil"/>
                  </w:tcBorders>
                  <w:noWrap w:val="0"/>
                  <w:vAlign w:val="center"/>
                </w:tcPr>
                <w:p>
                  <w:pPr>
                    <w:pStyle w:val="6"/>
                    <w:bidi w:val="0"/>
                    <w:rPr>
                      <w:rFonts w:hint="default"/>
                      <w:lang w:val="en-US" w:eastAsia="zh-CN"/>
                    </w:rPr>
                  </w:pPr>
                  <w:r>
                    <w:rPr>
                      <w:rFonts w:hint="eastAsia"/>
                      <w:lang w:val="en-US" w:eastAsia="zh-CN"/>
                    </w:rPr>
                    <w:t>一般固废</w:t>
                  </w:r>
                </w:p>
              </w:tc>
              <w:tc>
                <w:tcPr>
                  <w:tcW w:w="520" w:type="pct"/>
                  <w:tcBorders>
                    <w:tl2br w:val="nil"/>
                    <w:tr2bl w:val="nil"/>
                  </w:tcBorders>
                  <w:noWrap w:val="0"/>
                  <w:vAlign w:val="center"/>
                </w:tcPr>
                <w:p>
                  <w:pPr>
                    <w:pStyle w:val="6"/>
                    <w:bidi w:val="0"/>
                    <w:rPr>
                      <w:rFonts w:hint="default"/>
                      <w:lang w:val="en-US" w:eastAsia="zh-CN"/>
                    </w:rPr>
                  </w:pPr>
                  <w:r>
                    <w:rPr>
                      <w:rFonts w:hint="eastAsia"/>
                      <w:lang w:val="en-US" w:eastAsia="zh-CN"/>
                    </w:rPr>
                    <w:t>900-099-S59</w:t>
                  </w:r>
                </w:p>
              </w:tc>
              <w:tc>
                <w:tcPr>
                  <w:tcW w:w="428" w:type="pct"/>
                  <w:tcBorders>
                    <w:tl2br w:val="nil"/>
                    <w:tr2bl w:val="nil"/>
                  </w:tcBorders>
                  <w:noWrap w:val="0"/>
                  <w:vAlign w:val="center"/>
                </w:tcPr>
                <w:p>
                  <w:pPr>
                    <w:pStyle w:val="6"/>
                    <w:bidi w:val="0"/>
                    <w:rPr>
                      <w:rFonts w:hint="eastAsia"/>
                      <w:lang w:val="en-US" w:eastAsia="zh-CN"/>
                    </w:rPr>
                  </w:pPr>
                  <w:r>
                    <w:rPr>
                      <w:rFonts w:hint="eastAsia"/>
                      <w:lang w:val="en-US" w:eastAsia="zh-CN"/>
                    </w:rPr>
                    <w:t>固态</w:t>
                  </w:r>
                </w:p>
              </w:tc>
              <w:tc>
                <w:tcPr>
                  <w:tcW w:w="462" w:type="pct"/>
                  <w:tcBorders>
                    <w:tl2br w:val="nil"/>
                    <w:tr2bl w:val="nil"/>
                  </w:tcBorders>
                  <w:noWrap w:val="0"/>
                  <w:vAlign w:val="center"/>
                </w:tcPr>
                <w:p>
                  <w:pPr>
                    <w:pStyle w:val="6"/>
                    <w:bidi w:val="0"/>
                    <w:rPr>
                      <w:rFonts w:hint="default"/>
                      <w:lang w:val="en-US" w:eastAsia="zh-CN"/>
                    </w:rPr>
                  </w:pPr>
                  <w:r>
                    <w:rPr>
                      <w:rFonts w:hint="eastAsia"/>
                      <w:lang w:val="en-US" w:eastAsia="zh-CN"/>
                    </w:rPr>
                    <w:t>/</w:t>
                  </w:r>
                </w:p>
              </w:tc>
              <w:tc>
                <w:tcPr>
                  <w:tcW w:w="455" w:type="pct"/>
                  <w:tcBorders>
                    <w:tl2br w:val="nil"/>
                    <w:tr2bl w:val="nil"/>
                  </w:tcBorders>
                  <w:noWrap w:val="0"/>
                  <w:vAlign w:val="center"/>
                </w:tcPr>
                <w:p>
                  <w:pPr>
                    <w:pStyle w:val="6"/>
                    <w:bidi w:val="0"/>
                    <w:rPr>
                      <w:rFonts w:hint="default"/>
                      <w:lang w:val="en-US" w:eastAsia="zh-CN"/>
                    </w:rPr>
                  </w:pPr>
                  <w:r>
                    <w:rPr>
                      <w:rFonts w:hint="eastAsia"/>
                      <w:lang w:val="en-US" w:eastAsia="zh-CN"/>
                    </w:rPr>
                    <w:t>类比法</w:t>
                  </w:r>
                </w:p>
              </w:tc>
              <w:tc>
                <w:tcPr>
                  <w:tcW w:w="516" w:type="pct"/>
                  <w:tcBorders>
                    <w:tl2br w:val="nil"/>
                    <w:tr2bl w:val="nil"/>
                  </w:tcBorders>
                  <w:noWrap w:val="0"/>
                  <w:vAlign w:val="center"/>
                </w:tcPr>
                <w:p>
                  <w:pPr>
                    <w:pStyle w:val="6"/>
                    <w:bidi w:val="0"/>
                    <w:rPr>
                      <w:rFonts w:hint="default"/>
                      <w:lang w:val="en-US" w:eastAsia="zh-CN"/>
                    </w:rPr>
                  </w:pPr>
                  <w:r>
                    <w:rPr>
                      <w:rFonts w:hint="eastAsia"/>
                      <w:lang w:val="en-US" w:eastAsia="zh-CN"/>
                    </w:rPr>
                    <w:t>10</w:t>
                  </w:r>
                </w:p>
              </w:tc>
              <w:tc>
                <w:tcPr>
                  <w:tcW w:w="448" w:type="pct"/>
                  <w:tcBorders>
                    <w:tl2br w:val="nil"/>
                    <w:tr2bl w:val="nil"/>
                  </w:tcBorders>
                  <w:noWrap w:val="0"/>
                  <w:vAlign w:val="center"/>
                </w:tcPr>
                <w:p>
                  <w:pPr>
                    <w:pStyle w:val="6"/>
                    <w:bidi w:val="0"/>
                    <w:rPr>
                      <w:rFonts w:hint="eastAsia"/>
                      <w:lang w:val="en-US" w:eastAsia="zh-CN"/>
                    </w:rPr>
                  </w:pPr>
                  <w:r>
                    <w:rPr>
                      <w:rFonts w:hint="eastAsia"/>
                      <w:lang w:val="en-US" w:eastAsia="zh-CN"/>
                    </w:rPr>
                    <w:t>自行利用</w:t>
                  </w:r>
                </w:p>
              </w:tc>
              <w:tc>
                <w:tcPr>
                  <w:tcW w:w="508" w:type="pct"/>
                  <w:tcBorders>
                    <w:tl2br w:val="nil"/>
                    <w:tr2bl w:val="nil"/>
                  </w:tcBorders>
                  <w:noWrap w:val="0"/>
                  <w:vAlign w:val="center"/>
                </w:tcPr>
                <w:p>
                  <w:pPr>
                    <w:pStyle w:val="6"/>
                    <w:bidi w:val="0"/>
                    <w:rPr>
                      <w:rFonts w:hint="default"/>
                      <w:lang w:val="en-US" w:eastAsia="zh-CN"/>
                    </w:rPr>
                  </w:pPr>
                  <w:r>
                    <w:rPr>
                      <w:rFonts w:hint="eastAsia"/>
                      <w:lang w:val="en-US" w:eastAsia="zh-CN"/>
                    </w:rPr>
                    <w:t>10</w:t>
                  </w:r>
                </w:p>
              </w:tc>
              <w:tc>
                <w:tcPr>
                  <w:tcW w:w="551" w:type="pct"/>
                  <w:tcBorders>
                    <w:tl2br w:val="nil"/>
                    <w:tr2bl w:val="nil"/>
                  </w:tcBorders>
                  <w:noWrap w:val="0"/>
                  <w:vAlign w:val="center"/>
                </w:tcPr>
                <w:p>
                  <w:pPr>
                    <w:pStyle w:val="6"/>
                    <w:bidi w:val="0"/>
                    <w:rPr>
                      <w:rFonts w:hint="eastAsia"/>
                      <w:lang w:val="en-US" w:eastAsia="zh-CN"/>
                    </w:rPr>
                  </w:pPr>
                  <w:r>
                    <w:rPr>
                      <w:rFonts w:hint="eastAsia"/>
                      <w:lang w:val="en-US" w:eastAsia="zh-CN"/>
                    </w:rPr>
                    <w:t>一般固废填埋场填埋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1" w:type="pct"/>
                  <w:tcBorders>
                    <w:tl2br w:val="nil"/>
                    <w:tr2bl w:val="nil"/>
                  </w:tcBorders>
                  <w:noWrap w:val="0"/>
                  <w:vAlign w:val="center"/>
                </w:tcPr>
                <w:p>
                  <w:pPr>
                    <w:pStyle w:val="6"/>
                    <w:bidi w:val="0"/>
                    <w:rPr>
                      <w:rFonts w:hint="default"/>
                      <w:lang w:val="en-US" w:eastAsia="zh-CN"/>
                    </w:rPr>
                  </w:pPr>
                  <w:r>
                    <w:rPr>
                      <w:rFonts w:hint="eastAsia"/>
                      <w:lang w:val="en-US" w:eastAsia="zh-CN"/>
                    </w:rPr>
                    <w:t>沉淀池</w:t>
                  </w:r>
                </w:p>
              </w:tc>
              <w:tc>
                <w:tcPr>
                  <w:tcW w:w="414" w:type="pct"/>
                  <w:tcBorders>
                    <w:tl2br w:val="nil"/>
                    <w:tr2bl w:val="nil"/>
                  </w:tcBorders>
                  <w:noWrap w:val="0"/>
                  <w:vAlign w:val="center"/>
                </w:tcPr>
                <w:p>
                  <w:pPr>
                    <w:pStyle w:val="6"/>
                    <w:bidi w:val="0"/>
                    <w:rPr>
                      <w:rFonts w:hint="eastAsia"/>
                      <w:lang w:val="en-US" w:eastAsia="zh-CN"/>
                    </w:rPr>
                  </w:pPr>
                  <w:r>
                    <w:rPr>
                      <w:rFonts w:hint="eastAsia"/>
                      <w:lang w:val="en-US" w:eastAsia="zh-CN"/>
                    </w:rPr>
                    <w:t>沉淀池沉渣</w:t>
                  </w:r>
                </w:p>
              </w:tc>
              <w:tc>
                <w:tcPr>
                  <w:tcW w:w="273" w:type="pct"/>
                  <w:tcBorders>
                    <w:tl2br w:val="nil"/>
                    <w:tr2bl w:val="nil"/>
                  </w:tcBorders>
                  <w:noWrap w:val="0"/>
                  <w:vAlign w:val="center"/>
                </w:tcPr>
                <w:p>
                  <w:pPr>
                    <w:pStyle w:val="6"/>
                    <w:bidi w:val="0"/>
                    <w:rPr>
                      <w:rFonts w:hint="eastAsia"/>
                      <w:lang w:val="en-US" w:eastAsia="zh-CN"/>
                    </w:rPr>
                  </w:pPr>
                  <w:r>
                    <w:rPr>
                      <w:rFonts w:hint="eastAsia"/>
                      <w:lang w:val="en-US" w:eastAsia="zh-CN"/>
                    </w:rPr>
                    <w:t>一般固废</w:t>
                  </w:r>
                </w:p>
              </w:tc>
              <w:tc>
                <w:tcPr>
                  <w:tcW w:w="520" w:type="pct"/>
                  <w:tcBorders>
                    <w:tl2br w:val="nil"/>
                    <w:tr2bl w:val="nil"/>
                  </w:tcBorders>
                  <w:noWrap w:val="0"/>
                  <w:vAlign w:val="center"/>
                </w:tcPr>
                <w:p>
                  <w:pPr>
                    <w:pStyle w:val="6"/>
                    <w:bidi w:val="0"/>
                    <w:rPr>
                      <w:rFonts w:hint="eastAsia"/>
                      <w:lang w:val="en-US" w:eastAsia="zh-CN"/>
                    </w:rPr>
                  </w:pPr>
                  <w:r>
                    <w:rPr>
                      <w:rFonts w:hint="eastAsia"/>
                      <w:lang w:val="en-US" w:eastAsia="zh-CN"/>
                    </w:rPr>
                    <w:t>900-099-S59</w:t>
                  </w:r>
                </w:p>
              </w:tc>
              <w:tc>
                <w:tcPr>
                  <w:tcW w:w="428" w:type="pct"/>
                  <w:tcBorders>
                    <w:tl2br w:val="nil"/>
                    <w:tr2bl w:val="nil"/>
                  </w:tcBorders>
                  <w:noWrap w:val="0"/>
                  <w:vAlign w:val="center"/>
                </w:tcPr>
                <w:p>
                  <w:pPr>
                    <w:pStyle w:val="6"/>
                    <w:bidi w:val="0"/>
                    <w:rPr>
                      <w:rFonts w:hint="eastAsia"/>
                      <w:lang w:val="en-US" w:eastAsia="zh-CN"/>
                    </w:rPr>
                  </w:pPr>
                  <w:r>
                    <w:rPr>
                      <w:rFonts w:hint="eastAsia"/>
                      <w:lang w:val="en-US" w:eastAsia="zh-CN"/>
                    </w:rPr>
                    <w:t>半固态</w:t>
                  </w:r>
                </w:p>
              </w:tc>
              <w:tc>
                <w:tcPr>
                  <w:tcW w:w="462" w:type="pct"/>
                  <w:tcBorders>
                    <w:tl2br w:val="nil"/>
                    <w:tr2bl w:val="nil"/>
                  </w:tcBorders>
                  <w:noWrap w:val="0"/>
                  <w:vAlign w:val="center"/>
                </w:tcPr>
                <w:p>
                  <w:pPr>
                    <w:pStyle w:val="6"/>
                    <w:bidi w:val="0"/>
                    <w:rPr>
                      <w:rFonts w:hint="eastAsia"/>
                      <w:lang w:val="en-US" w:eastAsia="zh-CN"/>
                    </w:rPr>
                  </w:pPr>
                </w:p>
              </w:tc>
              <w:tc>
                <w:tcPr>
                  <w:tcW w:w="455" w:type="pct"/>
                  <w:tcBorders>
                    <w:tl2br w:val="nil"/>
                    <w:tr2bl w:val="nil"/>
                  </w:tcBorders>
                  <w:noWrap w:val="0"/>
                  <w:vAlign w:val="center"/>
                </w:tcPr>
                <w:p>
                  <w:pPr>
                    <w:pStyle w:val="6"/>
                    <w:bidi w:val="0"/>
                    <w:rPr>
                      <w:rFonts w:hint="eastAsia"/>
                      <w:lang w:val="en-US" w:eastAsia="zh-CN"/>
                    </w:rPr>
                  </w:pPr>
                  <w:r>
                    <w:rPr>
                      <w:rFonts w:hint="eastAsia"/>
                      <w:lang w:val="en-US" w:eastAsia="zh-CN"/>
                    </w:rPr>
                    <w:t>类比法</w:t>
                  </w:r>
                </w:p>
              </w:tc>
              <w:tc>
                <w:tcPr>
                  <w:tcW w:w="516" w:type="pct"/>
                  <w:tcBorders>
                    <w:tl2br w:val="nil"/>
                    <w:tr2bl w:val="nil"/>
                  </w:tcBorders>
                  <w:noWrap w:val="0"/>
                  <w:vAlign w:val="center"/>
                </w:tcPr>
                <w:p>
                  <w:pPr>
                    <w:pStyle w:val="6"/>
                    <w:bidi w:val="0"/>
                    <w:rPr>
                      <w:rFonts w:hint="eastAsia"/>
                      <w:lang w:val="en-US" w:eastAsia="zh-CN"/>
                    </w:rPr>
                  </w:pPr>
                  <w:r>
                    <w:rPr>
                      <w:rFonts w:hint="eastAsia"/>
                      <w:lang w:val="en-US" w:eastAsia="zh-CN"/>
                    </w:rPr>
                    <w:t>1</w:t>
                  </w:r>
                </w:p>
              </w:tc>
              <w:tc>
                <w:tcPr>
                  <w:tcW w:w="448" w:type="pct"/>
                  <w:tcBorders>
                    <w:tl2br w:val="nil"/>
                    <w:tr2bl w:val="nil"/>
                  </w:tcBorders>
                  <w:noWrap w:val="0"/>
                  <w:vAlign w:val="center"/>
                </w:tcPr>
                <w:p>
                  <w:pPr>
                    <w:pStyle w:val="6"/>
                    <w:bidi w:val="0"/>
                    <w:rPr>
                      <w:rFonts w:hint="eastAsia"/>
                      <w:lang w:val="en-US" w:eastAsia="zh-CN"/>
                    </w:rPr>
                  </w:pPr>
                  <w:r>
                    <w:rPr>
                      <w:rFonts w:hint="eastAsia"/>
                      <w:lang w:val="en-US" w:eastAsia="zh-CN"/>
                    </w:rPr>
                    <w:t>自行利用</w:t>
                  </w:r>
                </w:p>
              </w:tc>
              <w:tc>
                <w:tcPr>
                  <w:tcW w:w="508" w:type="pct"/>
                  <w:tcBorders>
                    <w:tl2br w:val="nil"/>
                    <w:tr2bl w:val="nil"/>
                  </w:tcBorders>
                  <w:noWrap w:val="0"/>
                  <w:vAlign w:val="center"/>
                </w:tcPr>
                <w:p>
                  <w:pPr>
                    <w:pStyle w:val="6"/>
                    <w:bidi w:val="0"/>
                    <w:rPr>
                      <w:rFonts w:hint="eastAsia"/>
                      <w:lang w:val="en-US" w:eastAsia="zh-CN"/>
                    </w:rPr>
                  </w:pPr>
                  <w:r>
                    <w:rPr>
                      <w:rFonts w:hint="eastAsia"/>
                      <w:lang w:val="en-US" w:eastAsia="zh-CN"/>
                    </w:rPr>
                    <w:t>1</w:t>
                  </w:r>
                </w:p>
              </w:tc>
              <w:tc>
                <w:tcPr>
                  <w:tcW w:w="551" w:type="pct"/>
                  <w:tcBorders>
                    <w:tl2br w:val="nil"/>
                    <w:tr2bl w:val="nil"/>
                  </w:tcBorders>
                  <w:noWrap w:val="0"/>
                  <w:vAlign w:val="center"/>
                </w:tcPr>
                <w:p>
                  <w:pPr>
                    <w:pStyle w:val="6"/>
                    <w:bidi w:val="0"/>
                    <w:rPr>
                      <w:rFonts w:hint="eastAsia"/>
                      <w:lang w:val="en-US" w:eastAsia="zh-CN"/>
                    </w:rPr>
                  </w:pPr>
                  <w:r>
                    <w:rPr>
                      <w:rFonts w:hint="eastAsia"/>
                      <w:lang w:val="en-US" w:eastAsia="zh-CN"/>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1" w:type="pct"/>
                  <w:tcBorders>
                    <w:tl2br w:val="nil"/>
                    <w:tr2bl w:val="nil"/>
                  </w:tcBorders>
                  <w:noWrap w:val="0"/>
                  <w:vAlign w:val="center"/>
                </w:tcPr>
                <w:p>
                  <w:pPr>
                    <w:pStyle w:val="6"/>
                    <w:bidi w:val="0"/>
                    <w:rPr>
                      <w:rFonts w:hint="default"/>
                      <w:lang w:val="en-US" w:eastAsia="zh-CN"/>
                    </w:rPr>
                  </w:pPr>
                  <w:r>
                    <w:rPr>
                      <w:rFonts w:hint="eastAsia"/>
                      <w:lang w:val="en-US" w:eastAsia="zh-CN"/>
                    </w:rPr>
                    <w:t>布袋除尘器</w:t>
                  </w:r>
                </w:p>
              </w:tc>
              <w:tc>
                <w:tcPr>
                  <w:tcW w:w="414" w:type="pct"/>
                  <w:tcBorders>
                    <w:tl2br w:val="nil"/>
                    <w:tr2bl w:val="nil"/>
                  </w:tcBorders>
                  <w:noWrap w:val="0"/>
                  <w:vAlign w:val="center"/>
                </w:tcPr>
                <w:p>
                  <w:pPr>
                    <w:pStyle w:val="6"/>
                    <w:bidi w:val="0"/>
                    <w:rPr>
                      <w:rFonts w:hint="default"/>
                      <w:lang w:val="en-US" w:eastAsia="zh-CN"/>
                    </w:rPr>
                  </w:pPr>
                  <w:r>
                    <w:rPr>
                      <w:rFonts w:hint="eastAsia"/>
                      <w:lang w:val="en-US" w:eastAsia="zh-CN"/>
                    </w:rPr>
                    <w:t>废布袋</w:t>
                  </w:r>
                </w:p>
              </w:tc>
              <w:tc>
                <w:tcPr>
                  <w:tcW w:w="273" w:type="pct"/>
                  <w:tcBorders>
                    <w:tl2br w:val="nil"/>
                    <w:tr2bl w:val="nil"/>
                  </w:tcBorders>
                  <w:noWrap w:val="0"/>
                  <w:vAlign w:val="center"/>
                </w:tcPr>
                <w:p>
                  <w:pPr>
                    <w:pStyle w:val="6"/>
                    <w:bidi w:val="0"/>
                    <w:rPr>
                      <w:rFonts w:hint="default"/>
                      <w:lang w:val="en-US" w:eastAsia="zh-CN"/>
                    </w:rPr>
                  </w:pPr>
                  <w:r>
                    <w:rPr>
                      <w:rFonts w:hint="eastAsia"/>
                      <w:lang w:val="en-US" w:eastAsia="zh-CN"/>
                    </w:rPr>
                    <w:t>一般固废</w:t>
                  </w:r>
                </w:p>
              </w:tc>
              <w:tc>
                <w:tcPr>
                  <w:tcW w:w="520" w:type="pct"/>
                  <w:tcBorders>
                    <w:tl2br w:val="nil"/>
                    <w:tr2bl w:val="nil"/>
                  </w:tcBorders>
                  <w:noWrap w:val="0"/>
                  <w:vAlign w:val="center"/>
                </w:tcPr>
                <w:p>
                  <w:pPr>
                    <w:pStyle w:val="6"/>
                    <w:bidi w:val="0"/>
                    <w:rPr>
                      <w:rFonts w:hint="default"/>
                      <w:lang w:val="en-US" w:eastAsia="zh-CN"/>
                    </w:rPr>
                  </w:pPr>
                  <w:r>
                    <w:rPr>
                      <w:rFonts w:hint="eastAsia"/>
                      <w:lang w:val="en-US" w:eastAsia="zh-CN"/>
                    </w:rPr>
                    <w:t>900-009-S59</w:t>
                  </w:r>
                </w:p>
              </w:tc>
              <w:tc>
                <w:tcPr>
                  <w:tcW w:w="428" w:type="pct"/>
                  <w:tcBorders>
                    <w:tl2br w:val="nil"/>
                    <w:tr2bl w:val="nil"/>
                  </w:tcBorders>
                  <w:noWrap w:val="0"/>
                  <w:vAlign w:val="center"/>
                </w:tcPr>
                <w:p>
                  <w:pPr>
                    <w:pStyle w:val="6"/>
                    <w:bidi w:val="0"/>
                    <w:rPr>
                      <w:rFonts w:hint="eastAsia"/>
                      <w:lang w:val="en-US" w:eastAsia="zh-CN"/>
                    </w:rPr>
                  </w:pPr>
                  <w:r>
                    <w:rPr>
                      <w:rFonts w:hint="eastAsia"/>
                      <w:lang w:val="en-US" w:eastAsia="zh-CN"/>
                    </w:rPr>
                    <w:t>固态</w:t>
                  </w:r>
                </w:p>
              </w:tc>
              <w:tc>
                <w:tcPr>
                  <w:tcW w:w="462" w:type="pct"/>
                  <w:tcBorders>
                    <w:tl2br w:val="nil"/>
                    <w:tr2bl w:val="nil"/>
                  </w:tcBorders>
                  <w:noWrap w:val="0"/>
                  <w:vAlign w:val="center"/>
                </w:tcPr>
                <w:p>
                  <w:pPr>
                    <w:pStyle w:val="6"/>
                    <w:bidi w:val="0"/>
                    <w:rPr>
                      <w:rFonts w:hint="default"/>
                      <w:lang w:val="en-US" w:eastAsia="zh-CN"/>
                    </w:rPr>
                  </w:pPr>
                  <w:r>
                    <w:rPr>
                      <w:rFonts w:hint="eastAsia"/>
                      <w:lang w:val="en-US" w:eastAsia="zh-CN"/>
                    </w:rPr>
                    <w:t>/</w:t>
                  </w:r>
                </w:p>
              </w:tc>
              <w:tc>
                <w:tcPr>
                  <w:tcW w:w="455" w:type="pct"/>
                  <w:tcBorders>
                    <w:tl2br w:val="nil"/>
                    <w:tr2bl w:val="nil"/>
                  </w:tcBorders>
                  <w:noWrap w:val="0"/>
                  <w:vAlign w:val="center"/>
                </w:tcPr>
                <w:p>
                  <w:pPr>
                    <w:pStyle w:val="6"/>
                    <w:bidi w:val="0"/>
                    <w:rPr>
                      <w:rFonts w:hint="default"/>
                      <w:lang w:val="en-US" w:eastAsia="zh-CN"/>
                    </w:rPr>
                  </w:pPr>
                  <w:r>
                    <w:rPr>
                      <w:rFonts w:hint="eastAsia"/>
                      <w:lang w:val="en-US" w:eastAsia="zh-CN"/>
                    </w:rPr>
                    <w:t>类比法</w:t>
                  </w:r>
                </w:p>
              </w:tc>
              <w:tc>
                <w:tcPr>
                  <w:tcW w:w="516" w:type="pct"/>
                  <w:tcBorders>
                    <w:tl2br w:val="nil"/>
                    <w:tr2bl w:val="nil"/>
                  </w:tcBorders>
                  <w:noWrap w:val="0"/>
                  <w:vAlign w:val="center"/>
                </w:tcPr>
                <w:p>
                  <w:pPr>
                    <w:pStyle w:val="6"/>
                    <w:bidi w:val="0"/>
                    <w:rPr>
                      <w:rFonts w:hint="default"/>
                      <w:lang w:val="en-US" w:eastAsia="zh-CN"/>
                    </w:rPr>
                  </w:pPr>
                  <w:r>
                    <w:rPr>
                      <w:rFonts w:hint="eastAsia"/>
                      <w:lang w:val="en-US" w:eastAsia="zh-CN"/>
                    </w:rPr>
                    <w:t>0.1</w:t>
                  </w:r>
                </w:p>
              </w:tc>
              <w:tc>
                <w:tcPr>
                  <w:tcW w:w="448" w:type="pct"/>
                  <w:tcBorders>
                    <w:tl2br w:val="nil"/>
                    <w:tr2bl w:val="nil"/>
                  </w:tcBorders>
                  <w:noWrap w:val="0"/>
                  <w:vAlign w:val="center"/>
                </w:tcPr>
                <w:p>
                  <w:pPr>
                    <w:pStyle w:val="6"/>
                    <w:bidi w:val="0"/>
                    <w:rPr>
                      <w:rFonts w:hint="default"/>
                      <w:lang w:val="en-US" w:eastAsia="zh-CN"/>
                    </w:rPr>
                  </w:pPr>
                  <w:r>
                    <w:rPr>
                      <w:rFonts w:hint="eastAsia"/>
                      <w:lang w:val="en-US" w:eastAsia="zh-CN"/>
                    </w:rPr>
                    <w:t>委托处置</w:t>
                  </w:r>
                </w:p>
              </w:tc>
              <w:tc>
                <w:tcPr>
                  <w:tcW w:w="508" w:type="pct"/>
                  <w:tcBorders>
                    <w:tl2br w:val="nil"/>
                    <w:tr2bl w:val="nil"/>
                  </w:tcBorders>
                  <w:noWrap w:val="0"/>
                  <w:vAlign w:val="center"/>
                </w:tcPr>
                <w:p>
                  <w:pPr>
                    <w:pStyle w:val="6"/>
                    <w:bidi w:val="0"/>
                    <w:rPr>
                      <w:rFonts w:hint="default"/>
                      <w:lang w:val="en-US" w:eastAsia="zh-CN"/>
                    </w:rPr>
                  </w:pPr>
                  <w:r>
                    <w:rPr>
                      <w:rFonts w:hint="eastAsia"/>
                      <w:lang w:val="en-US" w:eastAsia="zh-CN"/>
                    </w:rPr>
                    <w:t>0.1</w:t>
                  </w:r>
                </w:p>
              </w:tc>
              <w:tc>
                <w:tcPr>
                  <w:tcW w:w="551" w:type="pct"/>
                  <w:tcBorders>
                    <w:tl2br w:val="nil"/>
                    <w:tr2bl w:val="nil"/>
                  </w:tcBorders>
                  <w:noWrap w:val="0"/>
                  <w:vAlign w:val="center"/>
                </w:tcPr>
                <w:p>
                  <w:pPr>
                    <w:pStyle w:val="6"/>
                    <w:bidi w:val="0"/>
                    <w:rPr>
                      <w:rFonts w:hint="default"/>
                      <w:lang w:val="en-US" w:eastAsia="zh-CN"/>
                    </w:rPr>
                  </w:pPr>
                  <w:r>
                    <w:rPr>
                      <w:rFonts w:hint="eastAsia"/>
                      <w:lang w:val="en-US" w:eastAsia="zh-CN"/>
                    </w:rPr>
                    <w:t>一般固废填埋场填埋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1" w:type="pct"/>
                  <w:tcBorders>
                    <w:tl2br w:val="nil"/>
                    <w:tr2bl w:val="nil"/>
                  </w:tcBorders>
                  <w:noWrap w:val="0"/>
                  <w:vAlign w:val="center"/>
                </w:tcPr>
                <w:p>
                  <w:pPr>
                    <w:pStyle w:val="6"/>
                    <w:bidi w:val="0"/>
                    <w:rPr>
                      <w:rFonts w:hint="default"/>
                      <w:lang w:val="en-US" w:eastAsia="zh-CN"/>
                    </w:rPr>
                  </w:pPr>
                  <w:r>
                    <w:rPr>
                      <w:rFonts w:hint="eastAsia"/>
                      <w:lang w:val="en-US" w:eastAsia="zh-CN"/>
                    </w:rPr>
                    <w:t>机械设备</w:t>
                  </w:r>
                </w:p>
              </w:tc>
              <w:tc>
                <w:tcPr>
                  <w:tcW w:w="414" w:type="pct"/>
                  <w:tcBorders>
                    <w:tl2br w:val="nil"/>
                    <w:tr2bl w:val="nil"/>
                  </w:tcBorders>
                  <w:noWrap w:val="0"/>
                  <w:vAlign w:val="center"/>
                </w:tcPr>
                <w:p>
                  <w:pPr>
                    <w:pStyle w:val="6"/>
                    <w:bidi w:val="0"/>
                    <w:rPr>
                      <w:rFonts w:hint="default"/>
                      <w:lang w:val="en-US" w:eastAsia="zh-CN"/>
                    </w:rPr>
                  </w:pPr>
                  <w:r>
                    <w:rPr>
                      <w:rFonts w:hint="eastAsia"/>
                      <w:lang w:val="en-US" w:eastAsia="zh-CN"/>
                    </w:rPr>
                    <w:t>废润滑油</w:t>
                  </w:r>
                </w:p>
              </w:tc>
              <w:tc>
                <w:tcPr>
                  <w:tcW w:w="273" w:type="pct"/>
                  <w:tcBorders>
                    <w:tl2br w:val="nil"/>
                    <w:tr2bl w:val="nil"/>
                  </w:tcBorders>
                  <w:noWrap w:val="0"/>
                  <w:vAlign w:val="center"/>
                </w:tcPr>
                <w:p>
                  <w:pPr>
                    <w:pStyle w:val="6"/>
                    <w:bidi w:val="0"/>
                    <w:rPr>
                      <w:rFonts w:hint="default"/>
                      <w:lang w:val="en-US" w:eastAsia="zh-CN"/>
                    </w:rPr>
                  </w:pPr>
                  <w:r>
                    <w:rPr>
                      <w:rFonts w:hint="eastAsia"/>
                      <w:lang w:val="en-US" w:eastAsia="zh-CN"/>
                    </w:rPr>
                    <w:t>危险废物</w:t>
                  </w:r>
                </w:p>
              </w:tc>
              <w:tc>
                <w:tcPr>
                  <w:tcW w:w="520" w:type="pct"/>
                  <w:tcBorders>
                    <w:tl2br w:val="nil"/>
                    <w:tr2bl w:val="nil"/>
                  </w:tcBorders>
                  <w:noWrap w:val="0"/>
                  <w:vAlign w:val="center"/>
                </w:tcPr>
                <w:p>
                  <w:pPr>
                    <w:pStyle w:val="6"/>
                    <w:bidi w:val="0"/>
                    <w:rPr>
                      <w:rFonts w:hint="default"/>
                      <w:lang w:val="en-US" w:eastAsia="zh-CN"/>
                    </w:rPr>
                  </w:pPr>
                  <w:r>
                    <w:rPr>
                      <w:rFonts w:hint="default"/>
                      <w:lang w:val="en-US" w:eastAsia="zh-CN"/>
                    </w:rPr>
                    <w:t>900-218-08</w:t>
                  </w:r>
                </w:p>
              </w:tc>
              <w:tc>
                <w:tcPr>
                  <w:tcW w:w="428" w:type="pct"/>
                  <w:tcBorders>
                    <w:tl2br w:val="nil"/>
                    <w:tr2bl w:val="nil"/>
                  </w:tcBorders>
                  <w:shd w:val="clear" w:color="auto" w:fill="auto"/>
                  <w:noWrap w:val="0"/>
                  <w:vAlign w:val="center"/>
                </w:tcPr>
                <w:p>
                  <w:pPr>
                    <w:pStyle w:val="6"/>
                    <w:bidi w:val="0"/>
                    <w:rPr>
                      <w:rFonts w:hint="default"/>
                      <w:lang w:val="en-US" w:eastAsia="zh-CN"/>
                    </w:rPr>
                  </w:pPr>
                  <w:r>
                    <w:rPr>
                      <w:rFonts w:hint="eastAsia"/>
                      <w:lang w:val="en-US" w:eastAsia="zh-CN"/>
                    </w:rPr>
                    <w:t>液态</w:t>
                  </w:r>
                </w:p>
              </w:tc>
              <w:tc>
                <w:tcPr>
                  <w:tcW w:w="462" w:type="pct"/>
                  <w:tcBorders>
                    <w:tl2br w:val="nil"/>
                    <w:tr2bl w:val="nil"/>
                  </w:tcBorders>
                  <w:shd w:val="clear" w:color="auto" w:fill="auto"/>
                  <w:noWrap w:val="0"/>
                  <w:vAlign w:val="center"/>
                </w:tcPr>
                <w:p>
                  <w:pPr>
                    <w:pStyle w:val="6"/>
                    <w:bidi w:val="0"/>
                    <w:rPr>
                      <w:rFonts w:hint="default"/>
                      <w:lang w:val="en-US" w:eastAsia="zh-CN"/>
                    </w:rPr>
                  </w:pPr>
                  <w:r>
                    <w:rPr>
                      <w:rFonts w:hint="eastAsia"/>
                      <w:lang w:val="en-US" w:eastAsia="zh-CN"/>
                    </w:rPr>
                    <w:t>T,I</w:t>
                  </w:r>
                </w:p>
              </w:tc>
              <w:tc>
                <w:tcPr>
                  <w:tcW w:w="455" w:type="pct"/>
                  <w:tcBorders>
                    <w:tl2br w:val="nil"/>
                    <w:tr2bl w:val="nil"/>
                  </w:tcBorders>
                  <w:noWrap w:val="0"/>
                  <w:vAlign w:val="center"/>
                </w:tcPr>
                <w:p>
                  <w:pPr>
                    <w:pStyle w:val="6"/>
                    <w:bidi w:val="0"/>
                    <w:rPr>
                      <w:rFonts w:hint="default"/>
                      <w:lang w:val="en-US" w:eastAsia="zh-CN"/>
                    </w:rPr>
                  </w:pPr>
                  <w:r>
                    <w:rPr>
                      <w:rFonts w:hint="eastAsia"/>
                      <w:lang w:val="en-US" w:eastAsia="zh-CN"/>
                    </w:rPr>
                    <w:t>类比法</w:t>
                  </w:r>
                </w:p>
              </w:tc>
              <w:tc>
                <w:tcPr>
                  <w:tcW w:w="516" w:type="pct"/>
                  <w:tcBorders>
                    <w:tl2br w:val="nil"/>
                    <w:tr2bl w:val="nil"/>
                  </w:tcBorders>
                  <w:shd w:val="clear" w:color="auto" w:fill="auto"/>
                  <w:noWrap w:val="0"/>
                  <w:vAlign w:val="center"/>
                </w:tcPr>
                <w:p>
                  <w:pPr>
                    <w:pStyle w:val="6"/>
                    <w:bidi w:val="0"/>
                    <w:rPr>
                      <w:rFonts w:hint="default"/>
                      <w:lang w:val="en-US" w:eastAsia="zh-CN"/>
                    </w:rPr>
                  </w:pPr>
                  <w:r>
                    <w:rPr>
                      <w:rFonts w:hint="eastAsia"/>
                      <w:lang w:val="en-US" w:eastAsia="zh-CN"/>
                    </w:rPr>
                    <w:t>0.05</w:t>
                  </w:r>
                </w:p>
              </w:tc>
              <w:tc>
                <w:tcPr>
                  <w:tcW w:w="448" w:type="pct"/>
                  <w:tcBorders>
                    <w:tl2br w:val="nil"/>
                    <w:tr2bl w:val="nil"/>
                  </w:tcBorders>
                  <w:noWrap w:val="0"/>
                  <w:vAlign w:val="center"/>
                </w:tcPr>
                <w:p>
                  <w:pPr>
                    <w:pStyle w:val="6"/>
                    <w:bidi w:val="0"/>
                    <w:rPr>
                      <w:rFonts w:hint="eastAsia"/>
                      <w:lang w:val="en-US" w:eastAsia="zh-CN"/>
                    </w:rPr>
                  </w:pPr>
                  <w:r>
                    <w:rPr>
                      <w:rFonts w:hint="eastAsia"/>
                      <w:lang w:val="en-US" w:eastAsia="zh-CN"/>
                    </w:rPr>
                    <w:t>暂存于危险废物暂存间</w:t>
                  </w:r>
                </w:p>
              </w:tc>
              <w:tc>
                <w:tcPr>
                  <w:tcW w:w="508" w:type="pct"/>
                  <w:tcBorders>
                    <w:tl2br w:val="nil"/>
                    <w:tr2bl w:val="nil"/>
                  </w:tcBorders>
                  <w:shd w:val="clear" w:color="auto" w:fill="auto"/>
                  <w:noWrap w:val="0"/>
                  <w:vAlign w:val="center"/>
                </w:tcPr>
                <w:p>
                  <w:pPr>
                    <w:pStyle w:val="6"/>
                    <w:bidi w:val="0"/>
                    <w:rPr>
                      <w:rFonts w:hint="default"/>
                      <w:lang w:val="en-US" w:eastAsia="zh-CN"/>
                    </w:rPr>
                  </w:pPr>
                  <w:r>
                    <w:rPr>
                      <w:rFonts w:hint="eastAsia"/>
                      <w:lang w:val="en-US" w:eastAsia="zh-CN"/>
                    </w:rPr>
                    <w:t>0.05</w:t>
                  </w:r>
                </w:p>
              </w:tc>
              <w:tc>
                <w:tcPr>
                  <w:tcW w:w="551" w:type="pct"/>
                  <w:tcBorders>
                    <w:tl2br w:val="nil"/>
                    <w:tr2bl w:val="nil"/>
                  </w:tcBorders>
                  <w:noWrap w:val="0"/>
                  <w:vAlign w:val="center"/>
                </w:tcPr>
                <w:p>
                  <w:pPr>
                    <w:pStyle w:val="6"/>
                    <w:bidi w:val="0"/>
                    <w:rPr>
                      <w:rFonts w:hint="eastAsia"/>
                      <w:lang w:val="en-US" w:eastAsia="zh-CN"/>
                    </w:rPr>
                  </w:pPr>
                  <w:r>
                    <w:rPr>
                      <w:rFonts w:hint="eastAsia"/>
                      <w:lang w:val="en-US" w:eastAsia="zh-CN"/>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1" w:type="pct"/>
                  <w:tcBorders>
                    <w:tl2br w:val="nil"/>
                    <w:tr2bl w:val="nil"/>
                  </w:tcBorders>
                  <w:noWrap w:val="0"/>
                  <w:vAlign w:val="center"/>
                </w:tcPr>
                <w:p>
                  <w:pPr>
                    <w:pStyle w:val="6"/>
                    <w:bidi w:val="0"/>
                    <w:rPr>
                      <w:rFonts w:hint="eastAsia"/>
                      <w:lang w:val="en-US" w:eastAsia="zh-CN"/>
                    </w:rPr>
                  </w:pPr>
                  <w:r>
                    <w:rPr>
                      <w:rFonts w:hint="eastAsia"/>
                      <w:lang w:val="en-US" w:eastAsia="zh-CN"/>
                    </w:rPr>
                    <w:t>机械设备</w:t>
                  </w:r>
                </w:p>
              </w:tc>
              <w:tc>
                <w:tcPr>
                  <w:tcW w:w="414" w:type="pct"/>
                  <w:tcBorders>
                    <w:tl2br w:val="nil"/>
                    <w:tr2bl w:val="nil"/>
                  </w:tcBorders>
                  <w:shd w:val="clear" w:color="auto" w:fill="auto"/>
                  <w:noWrap w:val="0"/>
                  <w:vAlign w:val="center"/>
                </w:tcPr>
                <w:p>
                  <w:pPr>
                    <w:pStyle w:val="6"/>
                    <w:bidi w:val="0"/>
                    <w:rPr>
                      <w:rFonts w:hint="eastAsia"/>
                      <w:lang w:val="en-US" w:eastAsia="zh-CN"/>
                    </w:rPr>
                  </w:pPr>
                  <w:r>
                    <w:rPr>
                      <w:rFonts w:hint="eastAsia"/>
                      <w:lang w:val="en-US" w:eastAsia="zh-CN"/>
                    </w:rPr>
                    <w:t>废油桶</w:t>
                  </w:r>
                </w:p>
              </w:tc>
              <w:tc>
                <w:tcPr>
                  <w:tcW w:w="273" w:type="pct"/>
                  <w:tcBorders>
                    <w:tl2br w:val="nil"/>
                    <w:tr2bl w:val="nil"/>
                  </w:tcBorders>
                  <w:noWrap w:val="0"/>
                  <w:vAlign w:val="center"/>
                </w:tcPr>
                <w:p>
                  <w:pPr>
                    <w:pStyle w:val="6"/>
                    <w:bidi w:val="0"/>
                    <w:rPr>
                      <w:rFonts w:hint="eastAsia"/>
                      <w:lang w:val="en-US" w:eastAsia="zh-CN"/>
                    </w:rPr>
                  </w:pPr>
                  <w:r>
                    <w:rPr>
                      <w:rFonts w:hint="eastAsia"/>
                      <w:lang w:val="en-US" w:eastAsia="zh-CN"/>
                    </w:rPr>
                    <w:t>危险废物</w:t>
                  </w:r>
                </w:p>
              </w:tc>
              <w:tc>
                <w:tcPr>
                  <w:tcW w:w="520" w:type="pct"/>
                  <w:tcBorders>
                    <w:tl2br w:val="nil"/>
                    <w:tr2bl w:val="nil"/>
                  </w:tcBorders>
                  <w:shd w:val="clear" w:color="auto" w:fill="auto"/>
                  <w:noWrap w:val="0"/>
                  <w:vAlign w:val="center"/>
                </w:tcPr>
                <w:p>
                  <w:pPr>
                    <w:pStyle w:val="6"/>
                    <w:bidi w:val="0"/>
                    <w:rPr>
                      <w:rFonts w:hint="default"/>
                      <w:lang w:val="en-US" w:eastAsia="zh-CN"/>
                    </w:rPr>
                  </w:pPr>
                  <w:r>
                    <w:rPr>
                      <w:rFonts w:hint="default"/>
                      <w:lang w:val="en-US" w:eastAsia="zh-CN"/>
                    </w:rPr>
                    <w:t>900-249-08</w:t>
                  </w:r>
                </w:p>
              </w:tc>
              <w:tc>
                <w:tcPr>
                  <w:tcW w:w="428" w:type="pct"/>
                  <w:tcBorders>
                    <w:tl2br w:val="nil"/>
                    <w:tr2bl w:val="nil"/>
                  </w:tcBorders>
                  <w:shd w:val="clear" w:color="auto" w:fill="auto"/>
                  <w:noWrap w:val="0"/>
                  <w:vAlign w:val="center"/>
                </w:tcPr>
                <w:p>
                  <w:pPr>
                    <w:pStyle w:val="6"/>
                    <w:bidi w:val="0"/>
                    <w:rPr>
                      <w:rFonts w:hint="default"/>
                      <w:lang w:val="en-US" w:eastAsia="zh-CN"/>
                    </w:rPr>
                  </w:pPr>
                  <w:r>
                    <w:rPr>
                      <w:rFonts w:hint="eastAsia"/>
                      <w:lang w:val="en-US" w:eastAsia="zh-CN"/>
                    </w:rPr>
                    <w:t>固态</w:t>
                  </w:r>
                </w:p>
              </w:tc>
              <w:tc>
                <w:tcPr>
                  <w:tcW w:w="462" w:type="pct"/>
                  <w:tcBorders>
                    <w:tl2br w:val="nil"/>
                    <w:tr2bl w:val="nil"/>
                  </w:tcBorders>
                  <w:shd w:val="clear" w:color="auto" w:fill="auto"/>
                  <w:noWrap w:val="0"/>
                  <w:vAlign w:val="center"/>
                </w:tcPr>
                <w:p>
                  <w:pPr>
                    <w:pStyle w:val="6"/>
                    <w:bidi w:val="0"/>
                    <w:rPr>
                      <w:rFonts w:hint="default"/>
                      <w:lang w:val="en-US" w:eastAsia="zh-CN"/>
                    </w:rPr>
                  </w:pPr>
                  <w:r>
                    <w:rPr>
                      <w:rFonts w:hint="eastAsia"/>
                      <w:lang w:val="en-US" w:eastAsia="zh-CN"/>
                    </w:rPr>
                    <w:t>T,I</w:t>
                  </w:r>
                </w:p>
              </w:tc>
              <w:tc>
                <w:tcPr>
                  <w:tcW w:w="455" w:type="pct"/>
                  <w:tcBorders>
                    <w:tl2br w:val="nil"/>
                    <w:tr2bl w:val="nil"/>
                  </w:tcBorders>
                  <w:noWrap w:val="0"/>
                  <w:vAlign w:val="center"/>
                </w:tcPr>
                <w:p>
                  <w:pPr>
                    <w:pStyle w:val="6"/>
                    <w:bidi w:val="0"/>
                    <w:rPr>
                      <w:rFonts w:hint="eastAsia"/>
                      <w:lang w:val="en-US" w:eastAsia="zh-CN"/>
                    </w:rPr>
                  </w:pPr>
                  <w:r>
                    <w:rPr>
                      <w:rFonts w:hint="eastAsia"/>
                      <w:lang w:val="en-US" w:eastAsia="zh-CN"/>
                    </w:rPr>
                    <w:t>类比法</w:t>
                  </w:r>
                </w:p>
              </w:tc>
              <w:tc>
                <w:tcPr>
                  <w:tcW w:w="516" w:type="pct"/>
                  <w:tcBorders>
                    <w:tl2br w:val="nil"/>
                    <w:tr2bl w:val="nil"/>
                  </w:tcBorders>
                  <w:shd w:val="clear" w:color="auto" w:fill="auto"/>
                  <w:noWrap w:val="0"/>
                  <w:vAlign w:val="center"/>
                </w:tcPr>
                <w:p>
                  <w:pPr>
                    <w:pStyle w:val="6"/>
                    <w:bidi w:val="0"/>
                    <w:rPr>
                      <w:rFonts w:hint="eastAsia"/>
                      <w:lang w:val="en-US" w:eastAsia="zh-CN"/>
                    </w:rPr>
                  </w:pPr>
                  <w:r>
                    <w:rPr>
                      <w:rFonts w:hint="eastAsia"/>
                      <w:lang w:val="en-US" w:eastAsia="zh-CN"/>
                    </w:rPr>
                    <w:t>0.01</w:t>
                  </w:r>
                </w:p>
              </w:tc>
              <w:tc>
                <w:tcPr>
                  <w:tcW w:w="448" w:type="pct"/>
                  <w:tcBorders>
                    <w:tl2br w:val="nil"/>
                    <w:tr2bl w:val="nil"/>
                  </w:tcBorders>
                  <w:noWrap w:val="0"/>
                  <w:vAlign w:val="center"/>
                </w:tcPr>
                <w:p>
                  <w:pPr>
                    <w:pStyle w:val="6"/>
                    <w:bidi w:val="0"/>
                    <w:rPr>
                      <w:rFonts w:hint="eastAsia"/>
                      <w:lang w:val="en-US" w:eastAsia="zh-CN"/>
                    </w:rPr>
                  </w:pPr>
                  <w:r>
                    <w:rPr>
                      <w:rFonts w:hint="eastAsia"/>
                      <w:lang w:val="en-US" w:eastAsia="zh-CN"/>
                    </w:rPr>
                    <w:t>暂存于危险废物暂存间</w:t>
                  </w:r>
                </w:p>
              </w:tc>
              <w:tc>
                <w:tcPr>
                  <w:tcW w:w="508" w:type="pct"/>
                  <w:tcBorders>
                    <w:tl2br w:val="nil"/>
                    <w:tr2bl w:val="nil"/>
                  </w:tcBorders>
                  <w:shd w:val="clear" w:color="auto" w:fill="auto"/>
                  <w:noWrap w:val="0"/>
                  <w:vAlign w:val="center"/>
                </w:tcPr>
                <w:p>
                  <w:pPr>
                    <w:pStyle w:val="6"/>
                    <w:bidi w:val="0"/>
                    <w:rPr>
                      <w:rFonts w:hint="eastAsia"/>
                      <w:lang w:val="en-US" w:eastAsia="zh-CN"/>
                    </w:rPr>
                  </w:pPr>
                  <w:r>
                    <w:rPr>
                      <w:rFonts w:hint="eastAsia"/>
                      <w:lang w:val="en-US" w:eastAsia="zh-CN"/>
                    </w:rPr>
                    <w:t>0.01</w:t>
                  </w:r>
                </w:p>
              </w:tc>
              <w:tc>
                <w:tcPr>
                  <w:tcW w:w="551" w:type="pct"/>
                  <w:tcBorders>
                    <w:tl2br w:val="nil"/>
                    <w:tr2bl w:val="nil"/>
                  </w:tcBorders>
                  <w:noWrap w:val="0"/>
                  <w:vAlign w:val="center"/>
                </w:tcPr>
                <w:p>
                  <w:pPr>
                    <w:pStyle w:val="6"/>
                    <w:bidi w:val="0"/>
                    <w:rPr>
                      <w:rFonts w:hint="eastAsia"/>
                      <w:lang w:val="en-US" w:eastAsia="zh-CN"/>
                    </w:rPr>
                  </w:pPr>
                  <w:r>
                    <w:rPr>
                      <w:rFonts w:hint="eastAsia"/>
                      <w:lang w:val="en-US" w:eastAsia="zh-CN"/>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1" w:type="pct"/>
                  <w:tcBorders>
                    <w:tl2br w:val="nil"/>
                    <w:tr2bl w:val="nil"/>
                  </w:tcBorders>
                  <w:noWrap w:val="0"/>
                  <w:vAlign w:val="center"/>
                </w:tcPr>
                <w:p>
                  <w:pPr>
                    <w:pStyle w:val="6"/>
                    <w:bidi w:val="0"/>
                    <w:rPr>
                      <w:rFonts w:hint="eastAsia"/>
                      <w:lang w:val="en-US" w:eastAsia="zh-CN"/>
                    </w:rPr>
                  </w:pPr>
                  <w:r>
                    <w:rPr>
                      <w:rFonts w:hint="eastAsia"/>
                      <w:lang w:val="en-US" w:eastAsia="zh-CN"/>
                    </w:rPr>
                    <w:t>机械设备</w:t>
                  </w:r>
                </w:p>
              </w:tc>
              <w:tc>
                <w:tcPr>
                  <w:tcW w:w="414" w:type="pct"/>
                  <w:tcBorders>
                    <w:tl2br w:val="nil"/>
                    <w:tr2bl w:val="nil"/>
                  </w:tcBorders>
                  <w:shd w:val="clear" w:color="auto" w:fill="auto"/>
                  <w:noWrap w:val="0"/>
                  <w:vAlign w:val="center"/>
                </w:tcPr>
                <w:p>
                  <w:pPr>
                    <w:pStyle w:val="6"/>
                    <w:bidi w:val="0"/>
                    <w:rPr>
                      <w:rFonts w:hint="eastAsia"/>
                      <w:lang w:val="en-US" w:eastAsia="zh-CN"/>
                    </w:rPr>
                  </w:pPr>
                  <w:r>
                    <w:rPr>
                      <w:rFonts w:hint="eastAsia"/>
                      <w:lang w:eastAsia="zh-CN"/>
                    </w:rPr>
                    <w:t>含油</w:t>
                  </w:r>
                  <w:r>
                    <w:rPr>
                      <w:rFonts w:hint="eastAsia"/>
                      <w:lang w:val="en-US" w:eastAsia="zh-CN"/>
                    </w:rPr>
                    <w:t>手套、抹布</w:t>
                  </w:r>
                </w:p>
              </w:tc>
              <w:tc>
                <w:tcPr>
                  <w:tcW w:w="273" w:type="pct"/>
                  <w:tcBorders>
                    <w:tl2br w:val="nil"/>
                    <w:tr2bl w:val="nil"/>
                  </w:tcBorders>
                  <w:noWrap w:val="0"/>
                  <w:vAlign w:val="center"/>
                </w:tcPr>
                <w:p>
                  <w:pPr>
                    <w:pStyle w:val="6"/>
                    <w:bidi w:val="0"/>
                    <w:rPr>
                      <w:rFonts w:hint="eastAsia"/>
                      <w:lang w:val="en-US" w:eastAsia="zh-CN"/>
                    </w:rPr>
                  </w:pPr>
                  <w:r>
                    <w:rPr>
                      <w:rFonts w:hint="eastAsia"/>
                      <w:lang w:val="en-US" w:eastAsia="zh-CN"/>
                    </w:rPr>
                    <w:t>危险废物</w:t>
                  </w:r>
                </w:p>
              </w:tc>
              <w:tc>
                <w:tcPr>
                  <w:tcW w:w="520" w:type="pct"/>
                  <w:tcBorders>
                    <w:tl2br w:val="nil"/>
                    <w:tr2bl w:val="nil"/>
                  </w:tcBorders>
                  <w:shd w:val="clear" w:color="auto" w:fill="auto"/>
                  <w:noWrap w:val="0"/>
                  <w:vAlign w:val="center"/>
                </w:tcPr>
                <w:p>
                  <w:pPr>
                    <w:pStyle w:val="6"/>
                    <w:bidi w:val="0"/>
                    <w:rPr>
                      <w:rFonts w:hint="default"/>
                      <w:lang w:val="en-US" w:eastAsia="zh-CN"/>
                    </w:rPr>
                  </w:pPr>
                  <w:r>
                    <w:rPr>
                      <w:rFonts w:hint="eastAsia"/>
                      <w:lang w:val="en-US" w:eastAsia="zh-CN"/>
                    </w:rPr>
                    <w:t>900-041-49</w:t>
                  </w:r>
                </w:p>
              </w:tc>
              <w:tc>
                <w:tcPr>
                  <w:tcW w:w="428" w:type="pct"/>
                  <w:tcBorders>
                    <w:tl2br w:val="nil"/>
                    <w:tr2bl w:val="nil"/>
                  </w:tcBorders>
                  <w:shd w:val="clear" w:color="auto" w:fill="auto"/>
                  <w:noWrap w:val="0"/>
                  <w:vAlign w:val="center"/>
                </w:tcPr>
                <w:p>
                  <w:pPr>
                    <w:pStyle w:val="6"/>
                    <w:bidi w:val="0"/>
                    <w:rPr>
                      <w:rFonts w:hint="eastAsia"/>
                      <w:lang w:val="en-US" w:eastAsia="zh-CN"/>
                    </w:rPr>
                  </w:pPr>
                  <w:r>
                    <w:rPr>
                      <w:rFonts w:hint="eastAsia"/>
                      <w:lang w:val="en-US" w:eastAsia="zh-CN"/>
                    </w:rPr>
                    <w:t>固态</w:t>
                  </w:r>
                </w:p>
              </w:tc>
              <w:tc>
                <w:tcPr>
                  <w:tcW w:w="462" w:type="pct"/>
                  <w:tcBorders>
                    <w:tl2br w:val="nil"/>
                    <w:tr2bl w:val="nil"/>
                  </w:tcBorders>
                  <w:shd w:val="clear" w:color="auto" w:fill="auto"/>
                  <w:noWrap w:val="0"/>
                  <w:vAlign w:val="center"/>
                </w:tcPr>
                <w:p>
                  <w:pPr>
                    <w:pStyle w:val="6"/>
                    <w:bidi w:val="0"/>
                    <w:rPr>
                      <w:rFonts w:hint="default"/>
                      <w:lang w:val="en-US" w:eastAsia="zh-CN"/>
                    </w:rPr>
                  </w:pPr>
                  <w:r>
                    <w:rPr>
                      <w:rFonts w:hint="eastAsia"/>
                      <w:lang w:val="en-US" w:eastAsia="zh-CN"/>
                    </w:rPr>
                    <w:t>T,I</w:t>
                  </w:r>
                </w:p>
              </w:tc>
              <w:tc>
                <w:tcPr>
                  <w:tcW w:w="455" w:type="pct"/>
                  <w:tcBorders>
                    <w:tl2br w:val="nil"/>
                    <w:tr2bl w:val="nil"/>
                  </w:tcBorders>
                  <w:noWrap w:val="0"/>
                  <w:vAlign w:val="center"/>
                </w:tcPr>
                <w:p>
                  <w:pPr>
                    <w:pStyle w:val="6"/>
                    <w:bidi w:val="0"/>
                    <w:rPr>
                      <w:rFonts w:hint="eastAsia"/>
                      <w:lang w:val="en-US" w:eastAsia="zh-CN"/>
                    </w:rPr>
                  </w:pPr>
                  <w:r>
                    <w:rPr>
                      <w:rFonts w:hint="eastAsia"/>
                      <w:lang w:val="en-US" w:eastAsia="zh-CN"/>
                    </w:rPr>
                    <w:t>类比法</w:t>
                  </w:r>
                </w:p>
              </w:tc>
              <w:tc>
                <w:tcPr>
                  <w:tcW w:w="516" w:type="pct"/>
                  <w:tcBorders>
                    <w:tl2br w:val="nil"/>
                    <w:tr2bl w:val="nil"/>
                  </w:tcBorders>
                  <w:shd w:val="clear" w:color="auto" w:fill="auto"/>
                  <w:noWrap w:val="0"/>
                  <w:vAlign w:val="center"/>
                </w:tcPr>
                <w:p>
                  <w:pPr>
                    <w:pStyle w:val="6"/>
                    <w:bidi w:val="0"/>
                    <w:rPr>
                      <w:rFonts w:hint="eastAsia"/>
                      <w:lang w:val="en-US" w:eastAsia="zh-CN"/>
                    </w:rPr>
                  </w:pPr>
                  <w:r>
                    <w:rPr>
                      <w:rFonts w:hint="eastAsia"/>
                      <w:lang w:val="en-US" w:eastAsia="zh-CN"/>
                    </w:rPr>
                    <w:t>0.002</w:t>
                  </w:r>
                </w:p>
              </w:tc>
              <w:tc>
                <w:tcPr>
                  <w:tcW w:w="448" w:type="pct"/>
                  <w:tcBorders>
                    <w:tl2br w:val="nil"/>
                    <w:tr2bl w:val="nil"/>
                  </w:tcBorders>
                  <w:noWrap w:val="0"/>
                  <w:vAlign w:val="center"/>
                </w:tcPr>
                <w:p>
                  <w:pPr>
                    <w:pStyle w:val="6"/>
                    <w:bidi w:val="0"/>
                    <w:rPr>
                      <w:rFonts w:hint="eastAsia"/>
                      <w:lang w:val="en-US" w:eastAsia="zh-CN"/>
                    </w:rPr>
                  </w:pPr>
                  <w:r>
                    <w:rPr>
                      <w:rFonts w:hint="eastAsia"/>
                      <w:lang w:val="en-US" w:eastAsia="zh-CN"/>
                    </w:rPr>
                    <w:t>暂存于危险废物暂存间</w:t>
                  </w:r>
                </w:p>
              </w:tc>
              <w:tc>
                <w:tcPr>
                  <w:tcW w:w="508" w:type="pct"/>
                  <w:tcBorders>
                    <w:tl2br w:val="nil"/>
                    <w:tr2bl w:val="nil"/>
                  </w:tcBorders>
                  <w:shd w:val="clear" w:color="auto" w:fill="auto"/>
                  <w:noWrap w:val="0"/>
                  <w:vAlign w:val="center"/>
                </w:tcPr>
                <w:p>
                  <w:pPr>
                    <w:pStyle w:val="6"/>
                    <w:bidi w:val="0"/>
                    <w:rPr>
                      <w:rFonts w:hint="eastAsia"/>
                      <w:lang w:val="en-US" w:eastAsia="zh-CN"/>
                    </w:rPr>
                  </w:pPr>
                  <w:r>
                    <w:rPr>
                      <w:rFonts w:hint="eastAsia"/>
                      <w:lang w:val="en-US" w:eastAsia="zh-CN"/>
                    </w:rPr>
                    <w:t>0.002</w:t>
                  </w:r>
                </w:p>
              </w:tc>
              <w:tc>
                <w:tcPr>
                  <w:tcW w:w="551" w:type="pct"/>
                  <w:tcBorders>
                    <w:tl2br w:val="nil"/>
                    <w:tr2bl w:val="nil"/>
                  </w:tcBorders>
                  <w:noWrap w:val="0"/>
                  <w:vAlign w:val="center"/>
                </w:tcPr>
                <w:p>
                  <w:pPr>
                    <w:pStyle w:val="6"/>
                    <w:bidi w:val="0"/>
                    <w:rPr>
                      <w:rFonts w:hint="eastAsia"/>
                      <w:lang w:val="en-US" w:eastAsia="zh-CN"/>
                    </w:rPr>
                  </w:pPr>
                  <w:r>
                    <w:rPr>
                      <w:rFonts w:hint="eastAsia"/>
                      <w:lang w:val="en-US" w:eastAsia="zh-CN"/>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1" w:type="pct"/>
                  <w:tcBorders>
                    <w:tl2br w:val="nil"/>
                    <w:tr2bl w:val="nil"/>
                  </w:tcBorders>
                  <w:noWrap w:val="0"/>
                  <w:vAlign w:val="center"/>
                </w:tcPr>
                <w:p>
                  <w:pPr>
                    <w:pStyle w:val="6"/>
                    <w:bidi w:val="0"/>
                    <w:rPr>
                      <w:rFonts w:hint="default"/>
                      <w:lang w:val="en-US" w:eastAsia="zh-CN"/>
                    </w:rPr>
                  </w:pPr>
                  <w:r>
                    <w:rPr>
                      <w:rFonts w:hint="eastAsia"/>
                      <w:lang w:val="en-US" w:eastAsia="zh-CN"/>
                    </w:rPr>
                    <w:t>生活区</w:t>
                  </w:r>
                </w:p>
              </w:tc>
              <w:tc>
                <w:tcPr>
                  <w:tcW w:w="414" w:type="pct"/>
                  <w:tcBorders>
                    <w:tl2br w:val="nil"/>
                    <w:tr2bl w:val="nil"/>
                  </w:tcBorders>
                  <w:shd w:val="clear" w:color="auto" w:fill="auto"/>
                  <w:noWrap w:val="0"/>
                  <w:vAlign w:val="center"/>
                </w:tcPr>
                <w:p>
                  <w:pPr>
                    <w:pStyle w:val="6"/>
                    <w:bidi w:val="0"/>
                    <w:rPr>
                      <w:rFonts w:hint="eastAsia"/>
                      <w:lang w:eastAsia="zh-CN"/>
                    </w:rPr>
                  </w:pPr>
                  <w:r>
                    <w:rPr>
                      <w:rFonts w:hint="eastAsia"/>
                      <w:color w:val="auto"/>
                      <w:lang w:val="en-US" w:eastAsia="zh-CN"/>
                    </w:rPr>
                    <w:t>生活垃圾</w:t>
                  </w:r>
                </w:p>
              </w:tc>
              <w:tc>
                <w:tcPr>
                  <w:tcW w:w="273" w:type="pct"/>
                  <w:tcBorders>
                    <w:tl2br w:val="nil"/>
                    <w:tr2bl w:val="nil"/>
                  </w:tcBorders>
                  <w:noWrap w:val="0"/>
                  <w:vAlign w:val="center"/>
                </w:tcPr>
                <w:p>
                  <w:pPr>
                    <w:pStyle w:val="6"/>
                    <w:bidi w:val="0"/>
                    <w:rPr>
                      <w:rFonts w:hint="eastAsia"/>
                      <w:lang w:val="en-US" w:eastAsia="zh-CN"/>
                    </w:rPr>
                  </w:pPr>
                  <w:r>
                    <w:rPr>
                      <w:rFonts w:hint="eastAsia"/>
                      <w:color w:val="auto"/>
                      <w:lang w:val="en-US" w:eastAsia="zh-CN"/>
                    </w:rPr>
                    <w:t>生活垃圾</w:t>
                  </w:r>
                </w:p>
              </w:tc>
              <w:tc>
                <w:tcPr>
                  <w:tcW w:w="520" w:type="pct"/>
                  <w:tcBorders>
                    <w:tl2br w:val="nil"/>
                    <w:tr2bl w:val="nil"/>
                  </w:tcBorders>
                  <w:shd w:val="clear" w:color="auto" w:fill="auto"/>
                  <w:noWrap w:val="0"/>
                  <w:vAlign w:val="center"/>
                </w:tcPr>
                <w:p>
                  <w:pPr>
                    <w:pStyle w:val="6"/>
                    <w:bidi w:val="0"/>
                    <w:rPr>
                      <w:rFonts w:hint="eastAsia"/>
                      <w:lang w:val="en-US" w:eastAsia="zh-CN"/>
                    </w:rPr>
                  </w:pPr>
                  <w:r>
                    <w:rPr>
                      <w:rFonts w:hint="eastAsia"/>
                      <w:sz w:val="21"/>
                      <w:szCs w:val="21"/>
                      <w:lang w:val="en-US" w:eastAsia="zh-CN"/>
                    </w:rPr>
                    <w:t>900-001-S61</w:t>
                  </w:r>
                </w:p>
              </w:tc>
              <w:tc>
                <w:tcPr>
                  <w:tcW w:w="428" w:type="pct"/>
                  <w:tcBorders>
                    <w:tl2br w:val="nil"/>
                    <w:tr2bl w:val="nil"/>
                  </w:tcBorders>
                  <w:shd w:val="clear" w:color="auto" w:fill="auto"/>
                  <w:noWrap w:val="0"/>
                  <w:vAlign w:val="center"/>
                </w:tcPr>
                <w:p>
                  <w:pPr>
                    <w:pStyle w:val="6"/>
                    <w:bidi w:val="0"/>
                    <w:rPr>
                      <w:rFonts w:hint="eastAsia"/>
                      <w:lang w:val="en-US" w:eastAsia="zh-CN"/>
                    </w:rPr>
                  </w:pPr>
                  <w:r>
                    <w:rPr>
                      <w:rFonts w:hint="eastAsia"/>
                      <w:lang w:val="en-US" w:eastAsia="zh-CN"/>
                    </w:rPr>
                    <w:t>固态</w:t>
                  </w:r>
                </w:p>
              </w:tc>
              <w:tc>
                <w:tcPr>
                  <w:tcW w:w="462" w:type="pct"/>
                  <w:tcBorders>
                    <w:tl2br w:val="nil"/>
                    <w:tr2bl w:val="nil"/>
                  </w:tcBorders>
                  <w:shd w:val="clear" w:color="auto" w:fill="auto"/>
                  <w:noWrap w:val="0"/>
                  <w:vAlign w:val="center"/>
                </w:tcPr>
                <w:p>
                  <w:pPr>
                    <w:pStyle w:val="6"/>
                    <w:bidi w:val="0"/>
                    <w:rPr>
                      <w:rFonts w:hint="default"/>
                      <w:lang w:val="en-US" w:eastAsia="zh-CN"/>
                    </w:rPr>
                  </w:pPr>
                  <w:r>
                    <w:rPr>
                      <w:rFonts w:hint="eastAsia"/>
                      <w:lang w:val="en-US" w:eastAsia="zh-CN"/>
                    </w:rPr>
                    <w:t>/</w:t>
                  </w:r>
                </w:p>
              </w:tc>
              <w:tc>
                <w:tcPr>
                  <w:tcW w:w="455" w:type="pct"/>
                  <w:tcBorders>
                    <w:tl2br w:val="nil"/>
                    <w:tr2bl w:val="nil"/>
                  </w:tcBorders>
                  <w:noWrap w:val="0"/>
                  <w:vAlign w:val="center"/>
                </w:tcPr>
                <w:p>
                  <w:pPr>
                    <w:pStyle w:val="6"/>
                    <w:bidi w:val="0"/>
                    <w:rPr>
                      <w:rFonts w:hint="eastAsia"/>
                      <w:lang w:val="en-US" w:eastAsia="zh-CN"/>
                    </w:rPr>
                  </w:pPr>
                  <w:r>
                    <w:rPr>
                      <w:rFonts w:hint="eastAsia"/>
                      <w:lang w:val="en-US" w:eastAsia="zh-CN"/>
                    </w:rPr>
                    <w:t>类比法</w:t>
                  </w:r>
                </w:p>
              </w:tc>
              <w:tc>
                <w:tcPr>
                  <w:tcW w:w="516" w:type="pct"/>
                  <w:tcBorders>
                    <w:tl2br w:val="nil"/>
                    <w:tr2bl w:val="nil"/>
                  </w:tcBorders>
                  <w:shd w:val="clear" w:color="auto" w:fill="auto"/>
                  <w:noWrap w:val="0"/>
                  <w:vAlign w:val="center"/>
                </w:tcPr>
                <w:p>
                  <w:pPr>
                    <w:pStyle w:val="6"/>
                    <w:bidi w:val="0"/>
                    <w:rPr>
                      <w:rFonts w:hint="default"/>
                      <w:lang w:val="en-US" w:eastAsia="zh-CN"/>
                    </w:rPr>
                  </w:pPr>
                  <w:r>
                    <w:rPr>
                      <w:rFonts w:hint="eastAsia"/>
                      <w:lang w:val="en-US" w:eastAsia="zh-CN"/>
                    </w:rPr>
                    <w:t>2.4</w:t>
                  </w:r>
                </w:p>
              </w:tc>
              <w:tc>
                <w:tcPr>
                  <w:tcW w:w="448" w:type="pct"/>
                  <w:tcBorders>
                    <w:tl2br w:val="nil"/>
                    <w:tr2bl w:val="nil"/>
                  </w:tcBorders>
                  <w:noWrap w:val="0"/>
                  <w:vAlign w:val="center"/>
                </w:tcPr>
                <w:p>
                  <w:pPr>
                    <w:pStyle w:val="6"/>
                    <w:bidi w:val="0"/>
                    <w:rPr>
                      <w:rFonts w:hint="default"/>
                      <w:lang w:val="en-US" w:eastAsia="zh-CN"/>
                    </w:rPr>
                  </w:pPr>
                  <w:r>
                    <w:rPr>
                      <w:rFonts w:hint="eastAsia"/>
                      <w:lang w:val="en-US" w:eastAsia="zh-CN"/>
                    </w:rPr>
                    <w:t>收集至垃圾桶</w:t>
                  </w:r>
                </w:p>
              </w:tc>
              <w:tc>
                <w:tcPr>
                  <w:tcW w:w="508" w:type="pct"/>
                  <w:tcBorders>
                    <w:tl2br w:val="nil"/>
                    <w:tr2bl w:val="nil"/>
                  </w:tcBorders>
                  <w:shd w:val="clear" w:color="auto" w:fill="auto"/>
                  <w:noWrap w:val="0"/>
                  <w:vAlign w:val="center"/>
                </w:tcPr>
                <w:p>
                  <w:pPr>
                    <w:pStyle w:val="6"/>
                    <w:bidi w:val="0"/>
                    <w:rPr>
                      <w:rFonts w:hint="default"/>
                      <w:lang w:val="en-US" w:eastAsia="zh-CN"/>
                    </w:rPr>
                  </w:pPr>
                  <w:r>
                    <w:rPr>
                      <w:rFonts w:hint="eastAsia"/>
                      <w:lang w:val="en-US" w:eastAsia="zh-CN"/>
                    </w:rPr>
                    <w:t>2.4</w:t>
                  </w:r>
                </w:p>
              </w:tc>
              <w:tc>
                <w:tcPr>
                  <w:tcW w:w="551" w:type="pct"/>
                  <w:tcBorders>
                    <w:tl2br w:val="nil"/>
                    <w:tr2bl w:val="nil"/>
                  </w:tcBorders>
                  <w:noWrap w:val="0"/>
                  <w:vAlign w:val="center"/>
                </w:tcPr>
                <w:p>
                  <w:pPr>
                    <w:pStyle w:val="6"/>
                    <w:bidi w:val="0"/>
                    <w:rPr>
                      <w:rFonts w:hint="default"/>
                      <w:lang w:val="en-US" w:eastAsia="zh-CN"/>
                    </w:rPr>
                  </w:pPr>
                  <w:r>
                    <w:rPr>
                      <w:rFonts w:hint="eastAsia"/>
                      <w:color w:val="auto"/>
                      <w:lang w:val="en-US" w:eastAsia="zh-CN"/>
                    </w:rPr>
                    <w:t>委托</w:t>
                  </w:r>
                  <w:r>
                    <w:rPr>
                      <w:rFonts w:hint="eastAsia"/>
                      <w:color w:val="auto"/>
                    </w:rPr>
                    <w:t>环卫部门清运处置</w:t>
                  </w:r>
                </w:p>
              </w:tc>
            </w:tr>
          </w:tbl>
          <w:p>
            <w:pPr>
              <w:pStyle w:val="4"/>
              <w:bidi w:val="0"/>
              <w:rPr>
                <w:rFonts w:hint="default"/>
                <w:lang w:val="en-US" w:eastAsia="zh-CN"/>
              </w:rPr>
            </w:pPr>
            <w:r>
              <w:t>5</w:t>
            </w:r>
            <w:r>
              <w:rPr>
                <w:rFonts w:hint="eastAsia"/>
                <w:lang w:eastAsia="zh-CN"/>
              </w:rPr>
              <w:t>、</w:t>
            </w:r>
            <w:r>
              <w:t>地下水</w:t>
            </w:r>
            <w:r>
              <w:rPr>
                <w:rFonts w:hint="eastAsia"/>
                <w:lang w:eastAsia="zh-CN"/>
              </w:rPr>
              <w:t>、</w:t>
            </w:r>
            <w:r>
              <w:rPr>
                <w:rFonts w:hint="eastAsia"/>
                <w:lang w:val="en-US" w:eastAsia="zh-CN"/>
              </w:rPr>
              <w:t>土壤</w:t>
            </w:r>
          </w:p>
          <w:p>
            <w:pPr>
              <w:keepLines w:val="0"/>
              <w:pageBreakBefore w:val="0"/>
              <w:widowControl/>
              <w:kinsoku/>
              <w:wordWrap/>
              <w:overflowPunct/>
              <w:bidi w:val="0"/>
              <w:ind w:firstLine="480" w:firstLineChars="200"/>
              <w:rPr>
                <w:color w:val="000000"/>
                <w:spacing w:val="0"/>
                <w:kern w:val="0"/>
              </w:rPr>
            </w:pPr>
            <w:r>
              <w:rPr>
                <w:color w:val="000000"/>
                <w:spacing w:val="0"/>
                <w:kern w:val="0"/>
              </w:rPr>
              <w:t>本项目</w:t>
            </w:r>
            <w:r>
              <w:rPr>
                <w:rFonts w:hint="eastAsia"/>
                <w:color w:val="000000"/>
                <w:spacing w:val="0"/>
                <w:kern w:val="0"/>
              </w:rPr>
              <w:t>正常工况下不存在污染途径，</w:t>
            </w:r>
            <w:r>
              <w:rPr>
                <w:rFonts w:hint="eastAsia"/>
                <w:color w:val="000000"/>
                <w:spacing w:val="0"/>
                <w:kern w:val="0"/>
                <w:lang w:eastAsia="zh-CN"/>
              </w:rPr>
              <w:t>非正常</w:t>
            </w:r>
            <w:r>
              <w:rPr>
                <w:rFonts w:hint="eastAsia"/>
                <w:color w:val="000000"/>
                <w:spacing w:val="0"/>
                <w:kern w:val="0"/>
              </w:rPr>
              <w:t>工况下</w:t>
            </w:r>
            <w:r>
              <w:rPr>
                <w:color w:val="000000"/>
                <w:spacing w:val="0"/>
                <w:kern w:val="0"/>
              </w:rPr>
              <w:t>可能对地下水</w:t>
            </w:r>
            <w:r>
              <w:rPr>
                <w:rFonts w:hint="eastAsia"/>
                <w:color w:val="000000"/>
                <w:spacing w:val="0"/>
                <w:kern w:val="0"/>
                <w:lang w:eastAsia="zh-CN"/>
              </w:rPr>
              <w:t>、</w:t>
            </w:r>
            <w:r>
              <w:rPr>
                <w:rFonts w:hint="eastAsia"/>
                <w:color w:val="000000"/>
                <w:spacing w:val="0"/>
                <w:kern w:val="0"/>
                <w:lang w:val="en-US" w:eastAsia="zh-CN"/>
              </w:rPr>
              <w:t>土壤</w:t>
            </w:r>
            <w:r>
              <w:rPr>
                <w:color w:val="000000"/>
                <w:spacing w:val="0"/>
                <w:kern w:val="0"/>
              </w:rPr>
              <w:t>环境产生的影响为生活</w:t>
            </w:r>
            <w:r>
              <w:rPr>
                <w:rFonts w:hint="eastAsia"/>
                <w:color w:val="000000"/>
                <w:spacing w:val="0"/>
                <w:kern w:val="0"/>
              </w:rPr>
              <w:t>污水收集处置</w:t>
            </w:r>
            <w:r>
              <w:rPr>
                <w:color w:val="000000"/>
                <w:spacing w:val="0"/>
                <w:kern w:val="0"/>
              </w:rPr>
              <w:t>过程中未做好地下水污染防护措施</w:t>
            </w:r>
            <w:r>
              <w:rPr>
                <w:rFonts w:hint="eastAsia"/>
                <w:color w:val="000000"/>
                <w:spacing w:val="0"/>
                <w:kern w:val="0"/>
              </w:rPr>
              <w:t>及危险废物泄漏</w:t>
            </w:r>
            <w:r>
              <w:rPr>
                <w:color w:val="000000"/>
                <w:spacing w:val="0"/>
                <w:kern w:val="0"/>
              </w:rPr>
              <w:t>，防治地下水</w:t>
            </w:r>
            <w:r>
              <w:rPr>
                <w:rFonts w:hint="eastAsia"/>
                <w:color w:val="000000"/>
                <w:spacing w:val="0"/>
                <w:kern w:val="0"/>
                <w:lang w:eastAsia="zh-CN"/>
              </w:rPr>
              <w:t>、</w:t>
            </w:r>
            <w:r>
              <w:rPr>
                <w:rFonts w:hint="eastAsia"/>
                <w:color w:val="000000"/>
                <w:spacing w:val="0"/>
                <w:kern w:val="0"/>
                <w:lang w:val="en-US" w:eastAsia="zh-CN"/>
              </w:rPr>
              <w:t>土壤</w:t>
            </w:r>
            <w:r>
              <w:rPr>
                <w:color w:val="000000"/>
                <w:spacing w:val="0"/>
                <w:kern w:val="0"/>
              </w:rPr>
              <w:t>污染控制措施的原则如下：</w:t>
            </w:r>
          </w:p>
          <w:p>
            <w:pPr>
              <w:keepLines w:val="0"/>
              <w:pageBreakBefore w:val="0"/>
              <w:widowControl/>
              <w:kinsoku/>
              <w:wordWrap/>
              <w:overflowPunct/>
              <w:bidi w:val="0"/>
              <w:ind w:firstLine="480" w:firstLineChars="200"/>
              <w:rPr>
                <w:color w:val="000000"/>
                <w:spacing w:val="0"/>
                <w:kern w:val="0"/>
              </w:rPr>
            </w:pPr>
            <w:r>
              <w:rPr>
                <w:color w:val="000000"/>
                <w:spacing w:val="0"/>
                <w:kern w:val="0"/>
              </w:rPr>
              <w:t>（1）主动控制即源头控制措施，主要包括在废水管道、设备、污水储存采取相应措施，防止和降低污染物废水处理站及污水收集、排放管道的滴、漏，将污染物泄漏的环境风险事故降到最低程度。</w:t>
            </w:r>
          </w:p>
          <w:p>
            <w:pPr>
              <w:keepLines w:val="0"/>
              <w:pageBreakBefore w:val="0"/>
              <w:widowControl/>
              <w:kinsoku/>
              <w:wordWrap/>
              <w:overflowPunct/>
              <w:bidi w:val="0"/>
              <w:ind w:firstLine="480" w:firstLineChars="200"/>
              <w:rPr>
                <w:color w:val="000000"/>
                <w:spacing w:val="0"/>
                <w:kern w:val="0"/>
              </w:rPr>
            </w:pPr>
            <w:r>
              <w:rPr>
                <w:color w:val="000000"/>
                <w:spacing w:val="0"/>
                <w:kern w:val="0"/>
              </w:rPr>
              <w:t>（2）被动控制即末端控制措施，主要包括</w:t>
            </w:r>
            <w:r>
              <w:rPr>
                <w:rFonts w:hint="eastAsia"/>
                <w:color w:val="000000"/>
                <w:spacing w:val="0"/>
                <w:kern w:val="0"/>
              </w:rPr>
              <w:t>防渗化粪池、危废暂存间</w:t>
            </w:r>
            <w:r>
              <w:rPr>
                <w:color w:val="000000"/>
                <w:spacing w:val="0"/>
                <w:kern w:val="0"/>
              </w:rPr>
              <w:t>的防渗措施和泄漏、渗漏污染物收集措施，即在废水处理收集、储存进行防渗处理，防止污染物渗入地下。</w:t>
            </w:r>
          </w:p>
          <w:p>
            <w:pPr>
              <w:keepLines w:val="0"/>
              <w:pageBreakBefore w:val="0"/>
              <w:widowControl/>
              <w:kinsoku/>
              <w:wordWrap/>
              <w:overflowPunct/>
              <w:bidi w:val="0"/>
              <w:ind w:firstLine="480" w:firstLineChars="200"/>
              <w:rPr>
                <w:color w:val="000000"/>
                <w:spacing w:val="0"/>
                <w:kern w:val="0"/>
              </w:rPr>
            </w:pPr>
            <w:r>
              <w:rPr>
                <w:color w:val="000000"/>
                <w:spacing w:val="0"/>
                <w:kern w:val="0"/>
              </w:rPr>
              <w:t>根据以上原则，本项目地下水污染的控制措施为：</w:t>
            </w:r>
            <w:r>
              <w:rPr>
                <w:rFonts w:hint="eastAsia"/>
                <w:color w:val="000000"/>
                <w:spacing w:val="0"/>
                <w:kern w:val="0"/>
              </w:rPr>
              <w:t>危险废物暂存间作</w:t>
            </w:r>
            <w:r>
              <w:rPr>
                <w:color w:val="000000"/>
                <w:spacing w:val="0"/>
                <w:kern w:val="0"/>
              </w:rPr>
              <w:t>为重点防渗区，</w:t>
            </w:r>
            <w:r>
              <w:rPr>
                <w:rFonts w:hint="eastAsia"/>
                <w:color w:val="000000"/>
                <w:spacing w:val="0"/>
                <w:kern w:val="0"/>
              </w:rPr>
              <w:t>按照《环境影响评价技术导则 地下水环境》（HJ 610-2016）</w:t>
            </w:r>
            <w:r>
              <w:rPr>
                <w:color w:val="000000"/>
                <w:spacing w:val="0"/>
                <w:kern w:val="0"/>
              </w:rPr>
              <w:t>要求制定防渗措施</w:t>
            </w:r>
            <w:r>
              <w:rPr>
                <w:rFonts w:hint="eastAsia"/>
                <w:color w:val="000000"/>
                <w:spacing w:val="0"/>
                <w:kern w:val="0"/>
              </w:rPr>
              <w:t>，重点防渗区</w:t>
            </w:r>
            <w:r>
              <w:rPr>
                <w:color w:val="000000"/>
                <w:spacing w:val="0"/>
                <w:kern w:val="0"/>
              </w:rPr>
              <w:t>地面硬化处理并设防渗层，确保等效黏土防渗层Mb≥6.0m，渗透系数K≤1.0×10</w:t>
            </w:r>
            <w:r>
              <w:rPr>
                <w:color w:val="000000"/>
                <w:spacing w:val="0"/>
                <w:kern w:val="0"/>
                <w:vertAlign w:val="superscript"/>
              </w:rPr>
              <w:t>-</w:t>
            </w:r>
            <w:r>
              <w:rPr>
                <w:rFonts w:hint="eastAsia"/>
                <w:color w:val="000000"/>
                <w:spacing w:val="0"/>
                <w:kern w:val="0"/>
                <w:vertAlign w:val="superscript"/>
              </w:rPr>
              <w:t>7</w:t>
            </w:r>
            <w:r>
              <w:rPr>
                <w:color w:val="000000"/>
                <w:spacing w:val="0"/>
                <w:kern w:val="0"/>
              </w:rPr>
              <w:t>cm/s</w:t>
            </w:r>
            <w:r>
              <w:rPr>
                <w:rFonts w:hint="eastAsia"/>
                <w:color w:val="000000"/>
                <w:spacing w:val="0"/>
                <w:kern w:val="0"/>
              </w:rPr>
              <w:t>，危险废物暂存间防渗要求同时满足《危险废物贮存污染控制标准》（GB18597-20</w:t>
            </w:r>
            <w:r>
              <w:rPr>
                <w:rFonts w:hint="eastAsia"/>
                <w:color w:val="000000"/>
                <w:spacing w:val="0"/>
                <w:kern w:val="0"/>
                <w:lang w:val="en-US" w:eastAsia="zh-CN"/>
              </w:rPr>
              <w:t>23</w:t>
            </w:r>
            <w:r>
              <w:rPr>
                <w:rFonts w:hint="eastAsia"/>
                <w:color w:val="000000"/>
                <w:spacing w:val="0"/>
                <w:kern w:val="0"/>
              </w:rPr>
              <w:t>）：基础防渗层至少为1m厚黏土层（渗透系数</w:t>
            </w:r>
            <w:r>
              <w:rPr>
                <w:rFonts w:hint="eastAsia" w:ascii="宋体" w:hAnsi="宋体" w:cs="宋体"/>
                <w:color w:val="000000"/>
                <w:spacing w:val="0"/>
                <w:kern w:val="0"/>
              </w:rPr>
              <w:t>≤</w:t>
            </w:r>
            <w:r>
              <w:rPr>
                <w:color w:val="000000"/>
                <w:spacing w:val="0"/>
                <w:kern w:val="0"/>
              </w:rPr>
              <w:t>1.0×10</w:t>
            </w:r>
            <w:r>
              <w:rPr>
                <w:color w:val="000000"/>
                <w:spacing w:val="0"/>
                <w:kern w:val="0"/>
                <w:vertAlign w:val="superscript"/>
              </w:rPr>
              <w:t>-</w:t>
            </w:r>
            <w:r>
              <w:rPr>
                <w:rFonts w:hint="eastAsia"/>
                <w:color w:val="000000"/>
                <w:spacing w:val="0"/>
                <w:kern w:val="0"/>
                <w:vertAlign w:val="superscript"/>
              </w:rPr>
              <w:t>7</w:t>
            </w:r>
            <w:r>
              <w:rPr>
                <w:color w:val="000000"/>
                <w:spacing w:val="0"/>
                <w:kern w:val="0"/>
              </w:rPr>
              <w:t>cm/s</w:t>
            </w:r>
            <w:r>
              <w:rPr>
                <w:rFonts w:hint="eastAsia"/>
                <w:color w:val="000000"/>
                <w:spacing w:val="0"/>
                <w:kern w:val="0"/>
              </w:rPr>
              <w:t>），或2mm厚高密度聚乙烯，或至少2mm厚的其他人工材料，渗透系数</w:t>
            </w:r>
            <w:r>
              <w:rPr>
                <w:rFonts w:hint="eastAsia" w:ascii="宋体" w:hAnsi="宋体" w:cs="宋体"/>
                <w:color w:val="000000"/>
                <w:spacing w:val="0"/>
                <w:kern w:val="0"/>
              </w:rPr>
              <w:t>≤</w:t>
            </w:r>
            <w:r>
              <w:rPr>
                <w:color w:val="000000"/>
                <w:spacing w:val="0"/>
                <w:kern w:val="0"/>
              </w:rPr>
              <w:t>1.0×10</w:t>
            </w:r>
            <w:r>
              <w:rPr>
                <w:color w:val="000000"/>
                <w:spacing w:val="0"/>
                <w:kern w:val="0"/>
                <w:vertAlign w:val="superscript"/>
              </w:rPr>
              <w:t>-</w:t>
            </w:r>
            <w:r>
              <w:rPr>
                <w:rFonts w:hint="eastAsia"/>
                <w:color w:val="000000"/>
                <w:spacing w:val="0"/>
                <w:kern w:val="0"/>
                <w:vertAlign w:val="superscript"/>
              </w:rPr>
              <w:t>10</w:t>
            </w:r>
            <w:r>
              <w:rPr>
                <w:color w:val="000000"/>
                <w:spacing w:val="0"/>
                <w:kern w:val="0"/>
              </w:rPr>
              <w:t>cm/s。</w:t>
            </w:r>
          </w:p>
          <w:p>
            <w:pPr>
              <w:keepLines w:val="0"/>
              <w:pageBreakBefore w:val="0"/>
              <w:widowControl/>
              <w:kinsoku/>
              <w:wordWrap/>
              <w:overflowPunct/>
              <w:bidi w:val="0"/>
              <w:ind w:firstLine="480" w:firstLineChars="200"/>
              <w:rPr>
                <w:color w:val="000000"/>
                <w:spacing w:val="0"/>
                <w:kern w:val="0"/>
              </w:rPr>
            </w:pPr>
            <w:r>
              <w:rPr>
                <w:rFonts w:hint="eastAsia"/>
                <w:color w:val="000000"/>
                <w:spacing w:val="0"/>
                <w:kern w:val="0"/>
              </w:rPr>
              <w:t>生产车间、生活区</w:t>
            </w:r>
            <w:r>
              <w:rPr>
                <w:rFonts w:hint="eastAsia"/>
                <w:color w:val="000000"/>
                <w:spacing w:val="0"/>
                <w:kern w:val="0"/>
                <w:lang w:eastAsia="zh-CN"/>
              </w:rPr>
              <w:t>、</w:t>
            </w:r>
            <w:r>
              <w:rPr>
                <w:rFonts w:hint="eastAsia"/>
                <w:color w:val="000000"/>
                <w:spacing w:val="0"/>
                <w:kern w:val="0"/>
                <w:lang w:val="en-US" w:eastAsia="zh-CN"/>
              </w:rPr>
              <w:t>沉淀池</w:t>
            </w:r>
            <w:r>
              <w:rPr>
                <w:color w:val="000000"/>
                <w:spacing w:val="0"/>
                <w:kern w:val="0"/>
              </w:rPr>
              <w:t>为一般防渗，严格按照</w:t>
            </w:r>
            <w:r>
              <w:rPr>
                <w:rFonts w:hint="eastAsia"/>
                <w:color w:val="000000"/>
                <w:spacing w:val="0"/>
                <w:kern w:val="0"/>
              </w:rPr>
              <w:t>《环境影响评价技术导则 地下水环境》（HJ 610-2016）</w:t>
            </w:r>
            <w:r>
              <w:rPr>
                <w:color w:val="000000"/>
                <w:spacing w:val="0"/>
                <w:kern w:val="0"/>
              </w:rPr>
              <w:t>要求制定防渗措施；地面硬化处理设防渗层，可使一般防渗区域的等效黏土防渗层Mb≥</w:t>
            </w:r>
            <w:r>
              <w:rPr>
                <w:rFonts w:hint="eastAsia"/>
                <w:color w:val="000000"/>
                <w:spacing w:val="0"/>
                <w:kern w:val="0"/>
              </w:rPr>
              <w:t>1.5</w:t>
            </w:r>
            <w:r>
              <w:rPr>
                <w:color w:val="000000"/>
                <w:spacing w:val="0"/>
                <w:kern w:val="0"/>
              </w:rPr>
              <w:t>m，渗透系数K≤</w:t>
            </w:r>
            <w:r>
              <w:rPr>
                <w:rFonts w:hint="eastAsia"/>
                <w:color w:val="000000"/>
                <w:spacing w:val="0"/>
                <w:kern w:val="0"/>
              </w:rPr>
              <w:t>1</w:t>
            </w:r>
            <w:r>
              <w:rPr>
                <w:rFonts w:ascii="Arial" w:hAnsi="Arial" w:cs="Arial"/>
                <w:color w:val="000000"/>
                <w:spacing w:val="0"/>
                <w:kern w:val="0"/>
              </w:rPr>
              <w:t>×</w:t>
            </w:r>
            <w:r>
              <w:rPr>
                <w:color w:val="000000"/>
                <w:spacing w:val="0"/>
                <w:kern w:val="0"/>
              </w:rPr>
              <w:t>10</w:t>
            </w:r>
            <w:r>
              <w:rPr>
                <w:color w:val="000000"/>
                <w:spacing w:val="0"/>
                <w:kern w:val="0"/>
                <w:vertAlign w:val="superscript"/>
              </w:rPr>
              <w:t>-</w:t>
            </w:r>
            <w:r>
              <w:rPr>
                <w:rFonts w:hint="eastAsia"/>
                <w:color w:val="000000"/>
                <w:spacing w:val="0"/>
                <w:kern w:val="0"/>
                <w:vertAlign w:val="superscript"/>
              </w:rPr>
              <w:t>7</w:t>
            </w:r>
            <w:r>
              <w:rPr>
                <w:color w:val="000000"/>
                <w:spacing w:val="0"/>
                <w:kern w:val="0"/>
              </w:rPr>
              <w:t>cm/s。</w:t>
            </w:r>
          </w:p>
          <w:p>
            <w:pPr>
              <w:keepLines w:val="0"/>
              <w:pageBreakBefore w:val="0"/>
              <w:widowControl/>
              <w:kinsoku/>
              <w:wordWrap/>
              <w:overflowPunct/>
              <w:bidi w:val="0"/>
              <w:spacing w:line="240" w:lineRule="auto"/>
              <w:ind w:firstLine="422" w:firstLineChars="200"/>
              <w:rPr>
                <w:color w:val="000000"/>
                <w:spacing w:val="0"/>
                <w:kern w:val="0"/>
                <w:sz w:val="21"/>
                <w:szCs w:val="21"/>
              </w:rPr>
            </w:pPr>
            <w:r>
              <w:rPr>
                <w:b/>
                <w:bCs/>
                <w:color w:val="000000"/>
                <w:spacing w:val="0"/>
                <w:kern w:val="0"/>
                <w:sz w:val="21"/>
                <w:szCs w:val="21"/>
              </w:rPr>
              <w:t>表</w:t>
            </w:r>
            <w:r>
              <w:rPr>
                <w:rFonts w:hint="eastAsia"/>
                <w:b/>
                <w:bCs/>
                <w:color w:val="000000"/>
                <w:spacing w:val="0"/>
                <w:kern w:val="0"/>
                <w:sz w:val="21"/>
                <w:szCs w:val="21"/>
                <w:lang w:val="en-US" w:eastAsia="zh-CN"/>
              </w:rPr>
              <w:t>4-14</w:t>
            </w:r>
            <w:r>
              <w:rPr>
                <w:b/>
                <w:bCs/>
                <w:color w:val="000000"/>
                <w:spacing w:val="0"/>
                <w:kern w:val="0"/>
                <w:sz w:val="21"/>
                <w:szCs w:val="21"/>
              </w:rPr>
              <w:t xml:space="preserve">              地下水分区防渗情况一览表</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39"/>
              <w:gridCol w:w="1555"/>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pStyle w:val="6"/>
                    <w:bidi w:val="0"/>
                  </w:pPr>
                  <w:r>
                    <w:t>序号</w:t>
                  </w:r>
                </w:p>
              </w:tc>
              <w:tc>
                <w:tcPr>
                  <w:tcW w:w="1155" w:type="pct"/>
                  <w:noWrap w:val="0"/>
                  <w:vAlign w:val="center"/>
                </w:tcPr>
                <w:p>
                  <w:pPr>
                    <w:pStyle w:val="6"/>
                    <w:bidi w:val="0"/>
                  </w:pPr>
                  <w:r>
                    <w:t>区域名称</w:t>
                  </w:r>
                </w:p>
              </w:tc>
              <w:tc>
                <w:tcPr>
                  <w:tcW w:w="926" w:type="pct"/>
                  <w:noWrap w:val="0"/>
                  <w:vAlign w:val="center"/>
                </w:tcPr>
                <w:p>
                  <w:pPr>
                    <w:pStyle w:val="6"/>
                    <w:bidi w:val="0"/>
                  </w:pPr>
                  <w:r>
                    <w:t>分区类别</w:t>
                  </w:r>
                </w:p>
              </w:tc>
              <w:tc>
                <w:tcPr>
                  <w:tcW w:w="2511" w:type="pct"/>
                  <w:noWrap w:val="0"/>
                  <w:vAlign w:val="center"/>
                </w:tcPr>
                <w:p>
                  <w:pPr>
                    <w:pStyle w:val="6"/>
                    <w:bidi w:val="0"/>
                  </w:pPr>
                  <w:r>
                    <w:t>防渗措施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pStyle w:val="6"/>
                    <w:bidi w:val="0"/>
                  </w:pPr>
                  <w:r>
                    <w:t>1</w:t>
                  </w:r>
                </w:p>
              </w:tc>
              <w:tc>
                <w:tcPr>
                  <w:tcW w:w="1155" w:type="pct"/>
                  <w:noWrap w:val="0"/>
                  <w:vAlign w:val="center"/>
                </w:tcPr>
                <w:p>
                  <w:pPr>
                    <w:pStyle w:val="6"/>
                    <w:bidi w:val="0"/>
                  </w:pPr>
                  <w:r>
                    <w:t>危险废物暂存间</w:t>
                  </w:r>
                </w:p>
              </w:tc>
              <w:tc>
                <w:tcPr>
                  <w:tcW w:w="926" w:type="pct"/>
                  <w:noWrap w:val="0"/>
                  <w:vAlign w:val="center"/>
                </w:tcPr>
                <w:p>
                  <w:pPr>
                    <w:pStyle w:val="6"/>
                    <w:bidi w:val="0"/>
                  </w:pPr>
                  <w:r>
                    <w:t>重点防渗区</w:t>
                  </w:r>
                </w:p>
              </w:tc>
              <w:tc>
                <w:tcPr>
                  <w:tcW w:w="2511" w:type="pct"/>
                  <w:noWrap w:val="0"/>
                  <w:vAlign w:val="center"/>
                </w:tcPr>
                <w:p>
                  <w:pPr>
                    <w:pStyle w:val="6"/>
                    <w:bidi w:val="0"/>
                    <w:rPr>
                      <w:rFonts w:hint="eastAsia"/>
                    </w:rPr>
                  </w:pPr>
                  <w:r>
                    <w:rPr>
                      <w:rFonts w:hint="eastAsia"/>
                      <w:lang w:val="en-US" w:eastAsia="zh-CN"/>
                    </w:rPr>
                    <w:t>防渗层为至少1m厚黏土层（渗透系数不大于10</w:t>
                  </w:r>
                  <w:r>
                    <w:rPr>
                      <w:rFonts w:hint="eastAsia"/>
                      <w:vertAlign w:val="superscript"/>
                      <w:lang w:val="en-US" w:eastAsia="zh-CN"/>
                    </w:rPr>
                    <w:t>-7</w:t>
                  </w:r>
                  <w:r>
                    <w:rPr>
                      <w:rFonts w:hint="eastAsia"/>
                      <w:lang w:val="en-US" w:eastAsia="zh-CN"/>
                    </w:rPr>
                    <w:t>cm/s），或至少2mm厚高密度聚乙烯膜等人工防渗材料（渗透系数不大于10</w:t>
                  </w:r>
                  <w:r>
                    <w:rPr>
                      <w:rFonts w:hint="eastAsia"/>
                      <w:vertAlign w:val="superscript"/>
                      <w:lang w:val="en-US" w:eastAsia="zh-CN"/>
                    </w:rPr>
                    <w:t>-10</w:t>
                  </w:r>
                  <w:r>
                    <w:rPr>
                      <w:rFonts w:hint="eastAsia"/>
                      <w:lang w:val="en-US" w:eastAsia="zh-CN"/>
                    </w:rPr>
                    <w:t>cm/s），或其他防渗性能等效的材料。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pStyle w:val="6"/>
                    <w:bidi w:val="0"/>
                  </w:pPr>
                  <w:r>
                    <w:t>2</w:t>
                  </w:r>
                </w:p>
              </w:tc>
              <w:tc>
                <w:tcPr>
                  <w:tcW w:w="1155" w:type="pct"/>
                  <w:noWrap w:val="0"/>
                  <w:vAlign w:val="center"/>
                </w:tcPr>
                <w:p>
                  <w:pPr>
                    <w:pStyle w:val="6"/>
                    <w:bidi w:val="0"/>
                    <w:rPr>
                      <w:rFonts w:hint="default"/>
                      <w:lang w:val="en-US" w:eastAsia="zh-CN"/>
                    </w:rPr>
                  </w:pPr>
                  <w:r>
                    <w:rPr>
                      <w:rFonts w:hint="eastAsia"/>
                    </w:rPr>
                    <w:t>生产车间、生活区</w:t>
                  </w:r>
                  <w:r>
                    <w:rPr>
                      <w:rFonts w:hint="eastAsia"/>
                      <w:lang w:eastAsia="zh-CN"/>
                    </w:rPr>
                    <w:t>、</w:t>
                  </w:r>
                  <w:r>
                    <w:rPr>
                      <w:rFonts w:hint="eastAsia"/>
                      <w:lang w:val="en-US" w:eastAsia="zh-CN"/>
                    </w:rPr>
                    <w:t>循环沉淀池</w:t>
                  </w:r>
                  <w:r>
                    <w:rPr>
                      <w:rFonts w:hint="eastAsia"/>
                      <w:lang w:eastAsia="zh-CN"/>
                    </w:rPr>
                    <w:t>、</w:t>
                  </w:r>
                  <w:r>
                    <w:rPr>
                      <w:rFonts w:hint="eastAsia"/>
                      <w:lang w:val="en-US" w:eastAsia="zh-CN"/>
                    </w:rPr>
                    <w:t>防渗化粪池、洗车沉淀池</w:t>
                  </w:r>
                </w:p>
              </w:tc>
              <w:tc>
                <w:tcPr>
                  <w:tcW w:w="926" w:type="pct"/>
                  <w:noWrap w:val="0"/>
                  <w:vAlign w:val="center"/>
                </w:tcPr>
                <w:p>
                  <w:pPr>
                    <w:pStyle w:val="6"/>
                    <w:bidi w:val="0"/>
                  </w:pPr>
                  <w:r>
                    <w:t>一般防渗区</w:t>
                  </w:r>
                </w:p>
              </w:tc>
              <w:tc>
                <w:tcPr>
                  <w:tcW w:w="2511" w:type="pct"/>
                  <w:noWrap w:val="0"/>
                  <w:vAlign w:val="center"/>
                </w:tcPr>
                <w:p>
                  <w:pPr>
                    <w:pStyle w:val="6"/>
                    <w:bidi w:val="0"/>
                    <w:rPr>
                      <w:rFonts w:hint="eastAsia"/>
                    </w:rPr>
                  </w:pPr>
                  <w:r>
                    <w:t>防渗</w:t>
                  </w:r>
                  <w:r>
                    <w:rPr>
                      <w:rFonts w:hint="eastAsia"/>
                      <w:lang w:eastAsia="zh-CN"/>
                    </w:rPr>
                    <w:t>混凝土</w:t>
                  </w:r>
                  <w:r>
                    <w:t>表层防渗</w:t>
                  </w:r>
                  <w:r>
                    <w:rPr>
                      <w:rFonts w:hint="eastAsia"/>
                    </w:rPr>
                    <w:t>，一般防渗区域的等效黏土防渗层Mb≥1.5m，渗透系数K≤1×10</w:t>
                  </w:r>
                  <w:r>
                    <w:rPr>
                      <w:rFonts w:hint="eastAsia"/>
                      <w:vertAlign w:val="superscript"/>
                    </w:rPr>
                    <w:t>-7</w:t>
                  </w:r>
                  <w:r>
                    <w:rPr>
                      <w:rFonts w:hint="eastAsia"/>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pStyle w:val="6"/>
                    <w:bidi w:val="0"/>
                  </w:pPr>
                  <w:r>
                    <w:t>3</w:t>
                  </w:r>
                </w:p>
              </w:tc>
              <w:tc>
                <w:tcPr>
                  <w:tcW w:w="1155" w:type="pct"/>
                  <w:noWrap w:val="0"/>
                  <w:vAlign w:val="center"/>
                </w:tcPr>
                <w:p>
                  <w:pPr>
                    <w:pStyle w:val="6"/>
                    <w:bidi w:val="0"/>
                    <w:rPr>
                      <w:rFonts w:hint="eastAsia" w:eastAsia="宋体"/>
                      <w:lang w:eastAsia="zh-CN"/>
                    </w:rPr>
                  </w:pPr>
                  <w:r>
                    <w:rPr>
                      <w:rFonts w:hint="eastAsia"/>
                      <w:lang w:val="en-US" w:eastAsia="zh-CN"/>
                    </w:rPr>
                    <w:t>仓库、一般工业固废暂存间、</w:t>
                  </w:r>
                  <w:r>
                    <w:t>其他区域</w:t>
                  </w:r>
                </w:p>
              </w:tc>
              <w:tc>
                <w:tcPr>
                  <w:tcW w:w="926" w:type="pct"/>
                  <w:noWrap w:val="0"/>
                  <w:vAlign w:val="center"/>
                </w:tcPr>
                <w:p>
                  <w:pPr>
                    <w:pStyle w:val="6"/>
                    <w:bidi w:val="0"/>
                  </w:pPr>
                  <w:r>
                    <w:t>简单防渗区</w:t>
                  </w:r>
                </w:p>
              </w:tc>
              <w:tc>
                <w:tcPr>
                  <w:tcW w:w="2511" w:type="pct"/>
                  <w:noWrap w:val="0"/>
                  <w:vAlign w:val="center"/>
                </w:tcPr>
                <w:p>
                  <w:pPr>
                    <w:pStyle w:val="6"/>
                    <w:bidi w:val="0"/>
                  </w:pPr>
                  <w:r>
                    <w:t>一般地面水泥硬化</w:t>
                  </w:r>
                </w:p>
              </w:tc>
            </w:tr>
          </w:tbl>
          <w:p>
            <w:pPr>
              <w:pStyle w:val="4"/>
              <w:bidi w:val="0"/>
            </w:pPr>
            <w:r>
              <w:rPr>
                <w:rFonts w:hint="eastAsia"/>
                <w:lang w:val="en-US" w:eastAsia="zh-CN"/>
              </w:rPr>
              <w:t>6、</w:t>
            </w:r>
            <w:r>
              <w:t>环境风险</w:t>
            </w:r>
          </w:p>
          <w:p>
            <w:pPr>
              <w:bidi w:val="0"/>
              <w:rPr>
                <w:rFonts w:hint="default"/>
              </w:rPr>
            </w:pPr>
            <w:r>
              <w:rPr>
                <w:rFonts w:hint="eastAsia"/>
                <w:lang w:val="en-US" w:eastAsia="zh-CN"/>
              </w:rPr>
              <w:t>根据《建设项目环境风险评价技术导则》（</w:t>
            </w:r>
            <w:r>
              <w:rPr>
                <w:rFonts w:hint="default"/>
                <w:lang w:val="en-US" w:eastAsia="zh-CN"/>
              </w:rPr>
              <w:t>HJ169-2018</w:t>
            </w:r>
            <w:r>
              <w:rPr>
                <w:rFonts w:hint="eastAsia"/>
                <w:lang w:val="en-US" w:eastAsia="zh-CN"/>
              </w:rPr>
              <w:t>）附录</w:t>
            </w:r>
            <w:r>
              <w:rPr>
                <w:rFonts w:hint="default"/>
                <w:lang w:val="en-US" w:eastAsia="zh-CN"/>
              </w:rPr>
              <w:t>B</w:t>
            </w:r>
            <w:r>
              <w:rPr>
                <w:rFonts w:hint="eastAsia"/>
                <w:lang w:val="en-US" w:eastAsia="zh-CN"/>
              </w:rPr>
              <w:t>和《危险化学品重大危险源辨识》（</w:t>
            </w:r>
            <w:r>
              <w:rPr>
                <w:rFonts w:hint="default"/>
                <w:lang w:val="en-US" w:eastAsia="zh-CN"/>
              </w:rPr>
              <w:t>GB18218-2018</w:t>
            </w:r>
            <w:r>
              <w:rPr>
                <w:rFonts w:hint="eastAsia"/>
                <w:lang w:val="en-US" w:eastAsia="zh-CN"/>
              </w:rPr>
              <w:t>）目录，本项目的环境风险物质为废润滑油，均储存于危险废物暂存间内。项目</w:t>
            </w:r>
            <w:r>
              <w:rPr>
                <w:rFonts w:hint="default"/>
                <w:lang w:val="en-US" w:eastAsia="zh-CN"/>
              </w:rPr>
              <w:t>Q</w:t>
            </w:r>
            <w:r>
              <w:rPr>
                <w:rFonts w:hint="eastAsia"/>
                <w:lang w:val="en-US" w:eastAsia="zh-CN"/>
              </w:rPr>
              <w:t>值判断见下表4-15。</w:t>
            </w:r>
          </w:p>
          <w:p>
            <w:pPr>
              <w:pStyle w:val="10"/>
              <w:bidi w:val="0"/>
              <w:rPr>
                <w:rFonts w:hint="default"/>
              </w:rPr>
            </w:pPr>
            <w:r>
              <w:rPr>
                <w:rFonts w:hint="eastAsia"/>
                <w:lang w:val="en-US" w:eastAsia="zh-CN"/>
              </w:rPr>
              <w:t>表4-15</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危险废物贮存场所基本情况表</w:t>
            </w:r>
          </w:p>
          <w:tbl>
            <w:tblPr>
              <w:tblStyle w:val="40"/>
              <w:tblW w:w="799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000000" w:sz="6" w:space="0"/>
              </w:tblBorders>
              <w:shd w:val="clear" w:color="auto" w:fill="auto"/>
              <w:tblLayout w:type="fixed"/>
              <w:tblCellMar>
                <w:top w:w="0" w:type="dxa"/>
                <w:left w:w="0" w:type="dxa"/>
                <w:bottom w:w="0" w:type="dxa"/>
                <w:right w:w="0" w:type="dxa"/>
              </w:tblCellMar>
            </w:tblPr>
            <w:tblGrid>
              <w:gridCol w:w="1869"/>
              <w:gridCol w:w="1859"/>
              <w:gridCol w:w="2551"/>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000000" w:sz="6" w:space="0"/>
                </w:tblBorders>
                <w:shd w:val="clear" w:color="auto" w:fill="auto"/>
                <w:tblCellMar>
                  <w:top w:w="0" w:type="dxa"/>
                  <w:left w:w="0" w:type="dxa"/>
                  <w:bottom w:w="0" w:type="dxa"/>
                  <w:right w:w="0" w:type="dxa"/>
                </w:tblCellMar>
              </w:tblPrEx>
              <w:tc>
                <w:tcPr>
                  <w:tcW w:w="1869" w:type="dxa"/>
                  <w:tcBorders>
                    <w:bottom w:val="single" w:color="auto" w:sz="4" w:space="0"/>
                    <w:right w:val="single" w:color="000000" w:sz="6" w:space="0"/>
                  </w:tcBorders>
                  <w:shd w:val="clear" w:color="auto" w:fill="auto"/>
                  <w:vAlign w:val="center"/>
                </w:tcPr>
                <w:p>
                  <w:pPr>
                    <w:pStyle w:val="6"/>
                    <w:bidi w:val="0"/>
                    <w:rPr>
                      <w:rFonts w:hint="default"/>
                      <w:lang w:val="en-US" w:eastAsia="zh-CN"/>
                    </w:rPr>
                  </w:pPr>
                  <w:r>
                    <w:rPr>
                      <w:rFonts w:hint="eastAsia"/>
                      <w:lang w:val="en-US" w:eastAsia="zh-CN"/>
                    </w:rPr>
                    <w:t>危险废物名称</w:t>
                  </w:r>
                </w:p>
              </w:tc>
              <w:tc>
                <w:tcPr>
                  <w:tcW w:w="1859" w:type="dxa"/>
                  <w:tcBorders>
                    <w:left w:val="single" w:color="000000" w:sz="6" w:space="0"/>
                    <w:bottom w:val="single" w:color="auto" w:sz="4" w:space="0"/>
                    <w:right w:val="single" w:color="000000" w:sz="6" w:space="0"/>
                  </w:tcBorders>
                  <w:shd w:val="clear" w:color="auto" w:fill="auto"/>
                  <w:vAlign w:val="center"/>
                </w:tcPr>
                <w:p>
                  <w:pPr>
                    <w:pStyle w:val="6"/>
                    <w:bidi w:val="0"/>
                    <w:rPr>
                      <w:rFonts w:hint="default"/>
                      <w:lang w:val="en-US" w:eastAsia="zh-CN"/>
                    </w:rPr>
                  </w:pPr>
                  <w:r>
                    <w:rPr>
                      <w:rFonts w:hint="eastAsia"/>
                      <w:lang w:val="en-US" w:eastAsia="zh-CN"/>
                    </w:rPr>
                    <w:t>最大储存量（</w:t>
                  </w:r>
                  <w:r>
                    <w:rPr>
                      <w:rFonts w:hint="default"/>
                      <w:lang w:val="en-US" w:eastAsia="zh-CN"/>
                    </w:rPr>
                    <w:t>t</w:t>
                  </w:r>
                  <w:r>
                    <w:rPr>
                      <w:rFonts w:hint="eastAsia"/>
                      <w:lang w:val="en-US" w:eastAsia="zh-CN"/>
                    </w:rPr>
                    <w:t>）</w:t>
                  </w:r>
                </w:p>
              </w:tc>
              <w:tc>
                <w:tcPr>
                  <w:tcW w:w="2551" w:type="dxa"/>
                  <w:tcBorders>
                    <w:left w:val="single" w:color="000000" w:sz="6" w:space="0"/>
                    <w:bottom w:val="single" w:color="auto" w:sz="4" w:space="0"/>
                    <w:right w:val="single" w:color="auto" w:sz="4" w:space="0"/>
                  </w:tcBorders>
                  <w:shd w:val="clear" w:color="auto" w:fill="auto"/>
                  <w:vAlign w:val="center"/>
                </w:tcPr>
                <w:p>
                  <w:pPr>
                    <w:pStyle w:val="6"/>
                    <w:bidi w:val="0"/>
                    <w:rPr>
                      <w:rFonts w:hint="default"/>
                      <w:lang w:val="en-US" w:eastAsia="zh-CN"/>
                    </w:rPr>
                  </w:pPr>
                  <w:r>
                    <w:rPr>
                      <w:rFonts w:hint="eastAsia"/>
                      <w:lang w:val="en-US" w:eastAsia="zh-CN"/>
                    </w:rPr>
                    <w:t>临界量（</w:t>
                  </w:r>
                  <w:r>
                    <w:rPr>
                      <w:rFonts w:hint="default"/>
                      <w:lang w:val="en-US" w:eastAsia="zh-CN"/>
                    </w:rPr>
                    <w:t>t</w:t>
                  </w:r>
                  <w:r>
                    <w:rPr>
                      <w:rFonts w:hint="eastAsia"/>
                      <w:lang w:val="en-US" w:eastAsia="zh-CN"/>
                    </w:rPr>
                    <w:t>）</w:t>
                  </w:r>
                </w:p>
              </w:tc>
              <w:tc>
                <w:tcPr>
                  <w:tcW w:w="1719" w:type="dxa"/>
                  <w:tcBorders>
                    <w:left w:val="nil"/>
                    <w:bottom w:val="single" w:color="auto" w:sz="4" w:space="0"/>
                  </w:tcBorders>
                  <w:shd w:val="clear" w:color="auto" w:fill="auto"/>
                  <w:vAlign w:val="center"/>
                </w:tcPr>
                <w:p>
                  <w:pPr>
                    <w:pStyle w:val="6"/>
                    <w:bidi w:val="0"/>
                    <w:rPr>
                      <w:rFonts w:hint="default"/>
                      <w:lang w:val="en-US" w:eastAsia="zh-CN"/>
                    </w:rPr>
                  </w:pPr>
                  <w:r>
                    <w:rPr>
                      <w:rFonts w:hint="default"/>
                      <w:lang w:val="en-US" w:eastAsia="zh-CN"/>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6" w:space="0"/>
                </w:tblBorders>
                <w:tblCellMar>
                  <w:top w:w="0" w:type="dxa"/>
                  <w:left w:w="0" w:type="dxa"/>
                  <w:bottom w:w="0" w:type="dxa"/>
                  <w:right w:w="0" w:type="dxa"/>
                </w:tblCellMar>
              </w:tblPrEx>
              <w:tc>
                <w:tcPr>
                  <w:tcW w:w="1869" w:type="dxa"/>
                  <w:tcBorders>
                    <w:top w:val="single" w:color="auto" w:sz="4" w:space="0"/>
                    <w:bottom w:val="single" w:color="auto" w:sz="4" w:space="0"/>
                    <w:right w:val="single" w:color="000000" w:sz="6" w:space="0"/>
                  </w:tcBorders>
                  <w:shd w:val="clear" w:color="auto" w:fill="auto"/>
                  <w:vAlign w:val="center"/>
                </w:tcPr>
                <w:p>
                  <w:pPr>
                    <w:pStyle w:val="6"/>
                    <w:bidi w:val="0"/>
                    <w:rPr>
                      <w:rFonts w:hint="default"/>
                      <w:lang w:val="en-US" w:eastAsia="zh-CN"/>
                    </w:rPr>
                  </w:pPr>
                  <w:r>
                    <w:rPr>
                      <w:rFonts w:hint="eastAsia"/>
                      <w:lang w:val="en-US" w:eastAsia="zh-CN"/>
                    </w:rPr>
                    <w:t>废润滑油</w:t>
                  </w:r>
                </w:p>
              </w:tc>
              <w:tc>
                <w:tcPr>
                  <w:tcW w:w="1859" w:type="dxa"/>
                  <w:tcBorders>
                    <w:top w:val="single" w:color="auto" w:sz="4" w:space="0"/>
                    <w:left w:val="single" w:color="000000" w:sz="6" w:space="0"/>
                    <w:bottom w:val="single" w:color="auto" w:sz="4" w:space="0"/>
                    <w:right w:val="single" w:color="000000" w:sz="6" w:space="0"/>
                  </w:tcBorders>
                  <w:shd w:val="clear" w:color="auto" w:fill="auto"/>
                  <w:vAlign w:val="center"/>
                </w:tcPr>
                <w:p>
                  <w:pPr>
                    <w:pStyle w:val="6"/>
                    <w:bidi w:val="0"/>
                    <w:rPr>
                      <w:rFonts w:hint="default"/>
                      <w:lang w:val="en-US" w:eastAsia="zh-CN"/>
                    </w:rPr>
                  </w:pPr>
                  <w:r>
                    <w:rPr>
                      <w:rFonts w:hint="eastAsia"/>
                      <w:lang w:val="en-US" w:eastAsia="zh-CN"/>
                    </w:rPr>
                    <w:t>0.05</w:t>
                  </w:r>
                </w:p>
              </w:tc>
              <w:tc>
                <w:tcPr>
                  <w:tcW w:w="2551" w:type="dxa"/>
                  <w:tcBorders>
                    <w:top w:val="single" w:color="auto" w:sz="4" w:space="0"/>
                    <w:left w:val="single" w:color="000000" w:sz="6" w:space="0"/>
                    <w:bottom w:val="single" w:color="auto" w:sz="4" w:space="0"/>
                    <w:right w:val="single" w:color="auto" w:sz="4" w:space="0"/>
                  </w:tcBorders>
                  <w:shd w:val="clear" w:color="auto" w:fill="auto"/>
                  <w:vAlign w:val="center"/>
                </w:tcPr>
                <w:p>
                  <w:pPr>
                    <w:pStyle w:val="6"/>
                    <w:bidi w:val="0"/>
                    <w:rPr>
                      <w:rFonts w:hint="default"/>
                      <w:lang w:val="en-US" w:eastAsia="zh-CN"/>
                    </w:rPr>
                  </w:pPr>
                  <w:r>
                    <w:rPr>
                      <w:rFonts w:hint="default"/>
                      <w:lang w:val="en-US" w:eastAsia="zh-CN"/>
                    </w:rPr>
                    <w:t>2500</w:t>
                  </w:r>
                </w:p>
              </w:tc>
              <w:tc>
                <w:tcPr>
                  <w:tcW w:w="1719" w:type="dxa"/>
                  <w:tcBorders>
                    <w:top w:val="single" w:color="auto" w:sz="4" w:space="0"/>
                    <w:left w:val="nil"/>
                    <w:bottom w:val="single" w:color="auto" w:sz="4" w:space="0"/>
                  </w:tcBorders>
                  <w:shd w:val="clear" w:color="auto" w:fill="auto"/>
                  <w:vAlign w:val="center"/>
                </w:tcPr>
                <w:p>
                  <w:pPr>
                    <w:pStyle w:val="6"/>
                    <w:bidi w:val="0"/>
                    <w:rPr>
                      <w:rFonts w:hint="default"/>
                      <w:lang w:val="en-US" w:eastAsia="zh-CN"/>
                    </w:rPr>
                  </w:pPr>
                  <w:r>
                    <w:rPr>
                      <w:rFonts w:hint="default"/>
                      <w:lang w:val="en-US" w:eastAsia="zh-CN"/>
                    </w:rPr>
                    <w:t>0.0000</w:t>
                  </w: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6" w:space="0"/>
                </w:tblBorders>
                <w:tblCellMar>
                  <w:top w:w="0" w:type="dxa"/>
                  <w:left w:w="0" w:type="dxa"/>
                  <w:bottom w:w="0" w:type="dxa"/>
                  <w:right w:w="0" w:type="dxa"/>
                </w:tblCellMar>
              </w:tblPrEx>
              <w:tc>
                <w:tcPr>
                  <w:tcW w:w="6279" w:type="dxa"/>
                  <w:gridSpan w:val="3"/>
                  <w:tcBorders>
                    <w:top w:val="single" w:color="auto" w:sz="4" w:space="0"/>
                    <w:right w:val="single" w:color="auto" w:sz="4" w:space="0"/>
                  </w:tcBorders>
                  <w:shd w:val="clear" w:color="auto" w:fill="auto"/>
                  <w:vAlign w:val="center"/>
                </w:tcPr>
                <w:p>
                  <w:pPr>
                    <w:pStyle w:val="6"/>
                    <w:bidi w:val="0"/>
                    <w:rPr>
                      <w:rFonts w:hint="eastAsia"/>
                      <w:lang w:val="en-US" w:eastAsia="zh-CN"/>
                    </w:rPr>
                  </w:pPr>
                  <w:r>
                    <w:rPr>
                      <w:rFonts w:hint="eastAsia"/>
                      <w:lang w:val="en-US" w:eastAsia="zh-CN"/>
                    </w:rPr>
                    <w:t>合计</w:t>
                  </w:r>
                </w:p>
              </w:tc>
              <w:tc>
                <w:tcPr>
                  <w:tcW w:w="1719" w:type="dxa"/>
                  <w:tcBorders>
                    <w:top w:val="single" w:color="auto" w:sz="4" w:space="0"/>
                    <w:left w:val="nil"/>
                  </w:tcBorders>
                  <w:shd w:val="clear" w:color="auto" w:fill="auto"/>
                  <w:vAlign w:val="center"/>
                </w:tcPr>
                <w:p>
                  <w:pPr>
                    <w:pStyle w:val="6"/>
                    <w:bidi w:val="0"/>
                    <w:rPr>
                      <w:rFonts w:hint="default"/>
                      <w:lang w:val="en-US" w:eastAsia="zh-CN"/>
                    </w:rPr>
                  </w:pPr>
                  <w:r>
                    <w:rPr>
                      <w:rFonts w:hint="default"/>
                      <w:lang w:val="en-US" w:eastAsia="zh-CN"/>
                    </w:rPr>
                    <w:t>0.0000</w:t>
                  </w:r>
                  <w:r>
                    <w:rPr>
                      <w:rFonts w:hint="eastAsia"/>
                      <w:lang w:val="en-US" w:eastAsia="zh-CN"/>
                    </w:rPr>
                    <w:t>2</w:t>
                  </w:r>
                </w:p>
              </w:tc>
            </w:tr>
          </w:tbl>
          <w:p>
            <w:pPr>
              <w:keepNext w:val="0"/>
              <w:keepLines w:val="0"/>
              <w:suppressLineNumbers w:val="0"/>
              <w:bidi w:val="0"/>
              <w:spacing w:before="0" w:beforeAutospacing="0" w:after="0" w:afterAutospacing="0"/>
              <w:ind w:left="0" w:right="0"/>
              <w:rPr>
                <w:rFonts w:hint="eastAsia"/>
              </w:rPr>
            </w:pPr>
            <w:r>
              <w:rPr>
                <w:rFonts w:hint="eastAsia"/>
                <w:lang w:val="en-US" w:eastAsia="zh-CN"/>
              </w:rPr>
              <w:t xml:space="preserve">根据上表可知，本项目 </w:t>
            </w:r>
            <w:r>
              <w:rPr>
                <w:rFonts w:hint="default"/>
                <w:lang w:val="en-US" w:eastAsia="zh-CN"/>
              </w:rPr>
              <w:t xml:space="preserve">Q </w:t>
            </w:r>
            <w:r>
              <w:rPr>
                <w:rFonts w:hint="eastAsia"/>
                <w:lang w:val="en-US" w:eastAsia="zh-CN"/>
              </w:rPr>
              <w:t>值＜</w:t>
            </w:r>
            <w:r>
              <w:rPr>
                <w:rFonts w:hint="default"/>
                <w:lang w:val="en-US" w:eastAsia="zh-CN"/>
              </w:rPr>
              <w:t>1</w:t>
            </w:r>
            <w:r>
              <w:rPr>
                <w:rFonts w:hint="eastAsia"/>
                <w:lang w:val="en-US" w:eastAsia="zh-CN"/>
              </w:rPr>
              <w:t>，因此本项目环境风险潜势为</w:t>
            </w:r>
            <w:r>
              <w:rPr>
                <w:rFonts w:hint="default"/>
                <w:lang w:val="en-US" w:eastAsia="zh-CN"/>
              </w:rPr>
              <w:t>I</w:t>
            </w:r>
            <w:r>
              <w:rPr>
                <w:rFonts w:hint="eastAsia"/>
                <w:lang w:val="en-US" w:eastAsia="zh-CN"/>
              </w:rPr>
              <w:t>。根据《建设项目环境风险评价技术导则》（</w:t>
            </w:r>
            <w:r>
              <w:rPr>
                <w:rFonts w:hint="default"/>
                <w:lang w:val="en-US" w:eastAsia="zh-CN"/>
              </w:rPr>
              <w:t>HJ169-2018</w:t>
            </w:r>
            <w:r>
              <w:rPr>
                <w:rFonts w:hint="eastAsia"/>
                <w:lang w:val="en-US" w:eastAsia="zh-CN"/>
              </w:rPr>
              <w:t>），仅进行简单分析。</w:t>
            </w:r>
          </w:p>
          <w:p>
            <w:pPr>
              <w:keepNext w:val="0"/>
              <w:keepLines w:val="0"/>
              <w:suppressLineNumbers w:val="0"/>
              <w:bidi w:val="0"/>
              <w:spacing w:before="0" w:beforeAutospacing="0" w:after="0" w:afterAutospacing="0"/>
              <w:ind w:left="0" w:right="0"/>
              <w:rPr>
                <w:rFonts w:hint="eastAsia"/>
              </w:rPr>
            </w:pPr>
            <w:r>
              <w:rPr>
                <w:rFonts w:hint="eastAsia"/>
                <w:lang w:val="en-US" w:eastAsia="zh-CN"/>
              </w:rPr>
              <w:t>本项目环境风险物质为废润滑油发生泄漏或遇明火引发火灾，从而污染大气环境、地下水和土壤。危险物质分布情况如下表4-16。</w:t>
            </w:r>
          </w:p>
          <w:p>
            <w:pPr>
              <w:pStyle w:val="10"/>
              <w:bidi w:val="0"/>
              <w:rPr>
                <w:rFonts w:hint="default"/>
              </w:rPr>
            </w:pPr>
            <w:r>
              <w:rPr>
                <w:rFonts w:hint="eastAsia"/>
              </w:rPr>
              <w:t>表</w:t>
            </w:r>
            <w:r>
              <w:rPr>
                <w:rFonts w:hint="eastAsia"/>
                <w:lang w:val="en-US" w:eastAsia="zh-CN"/>
              </w:rPr>
              <w:t>4-16</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rPr>
              <w:t>环境风险识别表</w:t>
            </w:r>
          </w:p>
          <w:tbl>
            <w:tblPr>
              <w:tblStyle w:val="40"/>
              <w:tblW w:w="799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000000" w:sz="6" w:space="0"/>
              </w:tblBorders>
              <w:shd w:val="clear" w:color="auto" w:fill="auto"/>
              <w:tblLayout w:type="fixed"/>
              <w:tblCellMar>
                <w:top w:w="0" w:type="dxa"/>
                <w:left w:w="0" w:type="dxa"/>
                <w:bottom w:w="0" w:type="dxa"/>
                <w:right w:w="0" w:type="dxa"/>
              </w:tblCellMar>
            </w:tblPr>
            <w:tblGrid>
              <w:gridCol w:w="1869"/>
              <w:gridCol w:w="1262"/>
              <w:gridCol w:w="2430"/>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000000" w:sz="6" w:space="0"/>
                </w:tblBorders>
                <w:shd w:val="clear" w:color="auto" w:fill="auto"/>
                <w:tblCellMar>
                  <w:top w:w="0" w:type="dxa"/>
                  <w:left w:w="0" w:type="dxa"/>
                  <w:bottom w:w="0" w:type="dxa"/>
                  <w:right w:w="0" w:type="dxa"/>
                </w:tblCellMar>
              </w:tblPrEx>
              <w:tc>
                <w:tcPr>
                  <w:tcW w:w="1869" w:type="dxa"/>
                  <w:tcBorders>
                    <w:bottom w:val="single" w:color="auto" w:sz="4" w:space="0"/>
                    <w:right w:val="single" w:color="000000" w:sz="6" w:space="0"/>
                  </w:tcBorders>
                  <w:shd w:val="clear" w:color="auto" w:fill="auto"/>
                  <w:vAlign w:val="center"/>
                </w:tcPr>
                <w:p>
                  <w:pPr>
                    <w:pStyle w:val="6"/>
                    <w:bidi w:val="0"/>
                    <w:rPr>
                      <w:rFonts w:hint="default"/>
                      <w:lang w:val="en-US" w:eastAsia="zh-CN"/>
                    </w:rPr>
                  </w:pPr>
                  <w:r>
                    <w:rPr>
                      <w:rFonts w:hint="eastAsia"/>
                      <w:lang w:val="en-US" w:eastAsia="zh-CN"/>
                    </w:rPr>
                    <w:t>危险废物名称</w:t>
                  </w:r>
                </w:p>
              </w:tc>
              <w:tc>
                <w:tcPr>
                  <w:tcW w:w="1262" w:type="dxa"/>
                  <w:tcBorders>
                    <w:left w:val="single" w:color="000000" w:sz="6" w:space="0"/>
                    <w:bottom w:val="single" w:color="auto" w:sz="4" w:space="0"/>
                    <w:right w:val="single" w:color="000000" w:sz="6" w:space="0"/>
                  </w:tcBorders>
                  <w:shd w:val="clear" w:color="auto" w:fill="auto"/>
                  <w:vAlign w:val="center"/>
                </w:tcPr>
                <w:p>
                  <w:pPr>
                    <w:pStyle w:val="6"/>
                    <w:bidi w:val="0"/>
                    <w:rPr>
                      <w:rFonts w:hint="default"/>
                      <w:lang w:val="en-US" w:eastAsia="zh-CN"/>
                    </w:rPr>
                  </w:pPr>
                  <w:r>
                    <w:rPr>
                      <w:rFonts w:hint="eastAsia"/>
                      <w:lang w:val="en-US" w:eastAsia="zh-CN"/>
                    </w:rPr>
                    <w:t>分布情况</w:t>
                  </w:r>
                </w:p>
              </w:tc>
              <w:tc>
                <w:tcPr>
                  <w:tcW w:w="2430" w:type="dxa"/>
                  <w:tcBorders>
                    <w:left w:val="single" w:color="000000" w:sz="6" w:space="0"/>
                    <w:bottom w:val="single" w:color="auto" w:sz="4" w:space="0"/>
                    <w:right w:val="single" w:color="auto" w:sz="4" w:space="0"/>
                  </w:tcBorders>
                  <w:shd w:val="clear" w:color="auto" w:fill="auto"/>
                  <w:vAlign w:val="center"/>
                </w:tcPr>
                <w:p>
                  <w:pPr>
                    <w:pStyle w:val="6"/>
                    <w:bidi w:val="0"/>
                    <w:rPr>
                      <w:rFonts w:hint="default"/>
                      <w:lang w:val="en-US" w:eastAsia="zh-CN"/>
                    </w:rPr>
                  </w:pPr>
                  <w:r>
                    <w:rPr>
                      <w:rFonts w:hint="eastAsia"/>
                      <w:lang w:val="en-US" w:eastAsia="zh-CN"/>
                    </w:rPr>
                    <w:t>风险类型</w:t>
                  </w:r>
                </w:p>
              </w:tc>
              <w:tc>
                <w:tcPr>
                  <w:tcW w:w="2437" w:type="dxa"/>
                  <w:tcBorders>
                    <w:left w:val="nil"/>
                    <w:bottom w:val="single" w:color="auto" w:sz="4" w:space="0"/>
                  </w:tcBorders>
                  <w:shd w:val="clear" w:color="auto" w:fill="auto"/>
                  <w:vAlign w:val="center"/>
                </w:tcPr>
                <w:p>
                  <w:pPr>
                    <w:pStyle w:val="6"/>
                    <w:bidi w:val="0"/>
                    <w:rPr>
                      <w:rFonts w:hint="default"/>
                      <w:lang w:val="en-US" w:eastAsia="zh-CN"/>
                    </w:rPr>
                  </w:pPr>
                  <w:r>
                    <w:rPr>
                      <w:rFonts w:hint="eastAsia"/>
                      <w:lang w:val="en-US" w:eastAsia="zh-CN"/>
                    </w:rPr>
                    <w:t>环境影响途径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6" w:space="0"/>
                </w:tblBorders>
                <w:tblCellMar>
                  <w:top w:w="0" w:type="dxa"/>
                  <w:left w:w="0" w:type="dxa"/>
                  <w:bottom w:w="0" w:type="dxa"/>
                  <w:right w:w="0" w:type="dxa"/>
                </w:tblCellMar>
              </w:tblPrEx>
              <w:tc>
                <w:tcPr>
                  <w:tcW w:w="1869" w:type="dxa"/>
                  <w:tcBorders>
                    <w:top w:val="single" w:color="auto" w:sz="4" w:space="0"/>
                    <w:right w:val="single" w:color="000000" w:sz="6" w:space="0"/>
                  </w:tcBorders>
                  <w:shd w:val="clear" w:color="auto" w:fill="auto"/>
                  <w:vAlign w:val="center"/>
                </w:tcPr>
                <w:p>
                  <w:pPr>
                    <w:pStyle w:val="6"/>
                    <w:bidi w:val="0"/>
                    <w:rPr>
                      <w:rFonts w:hint="default"/>
                      <w:lang w:val="en-US" w:eastAsia="zh-CN"/>
                    </w:rPr>
                  </w:pPr>
                  <w:r>
                    <w:rPr>
                      <w:rFonts w:hint="eastAsia"/>
                      <w:lang w:val="en-US" w:eastAsia="zh-CN"/>
                    </w:rPr>
                    <w:t>废润滑油</w:t>
                  </w:r>
                </w:p>
              </w:tc>
              <w:tc>
                <w:tcPr>
                  <w:tcW w:w="1262" w:type="dxa"/>
                  <w:tcBorders>
                    <w:top w:val="single" w:color="auto" w:sz="4" w:space="0"/>
                    <w:left w:val="single" w:color="000000" w:sz="6" w:space="0"/>
                    <w:right w:val="single" w:color="000000" w:sz="6" w:space="0"/>
                  </w:tcBorders>
                  <w:shd w:val="clear" w:color="auto" w:fill="auto"/>
                  <w:vAlign w:val="center"/>
                </w:tcPr>
                <w:p>
                  <w:pPr>
                    <w:pStyle w:val="6"/>
                    <w:bidi w:val="0"/>
                    <w:rPr>
                      <w:rFonts w:hint="default"/>
                      <w:lang w:val="en-US" w:eastAsia="zh-CN"/>
                    </w:rPr>
                  </w:pPr>
                  <w:r>
                    <w:rPr>
                      <w:rFonts w:hint="eastAsia"/>
                      <w:lang w:val="en-US" w:eastAsia="zh-CN"/>
                    </w:rPr>
                    <w:t>危废暂存间</w:t>
                  </w:r>
                </w:p>
              </w:tc>
              <w:tc>
                <w:tcPr>
                  <w:tcW w:w="2430" w:type="dxa"/>
                  <w:tcBorders>
                    <w:top w:val="single" w:color="auto" w:sz="4" w:space="0"/>
                    <w:left w:val="single" w:color="000000" w:sz="6" w:space="0"/>
                    <w:right w:val="single" w:color="auto" w:sz="4" w:space="0"/>
                  </w:tcBorders>
                  <w:shd w:val="clear" w:color="auto" w:fill="auto"/>
                  <w:vAlign w:val="center"/>
                </w:tcPr>
                <w:p>
                  <w:pPr>
                    <w:pStyle w:val="6"/>
                    <w:bidi w:val="0"/>
                    <w:rPr>
                      <w:rFonts w:hint="default"/>
                      <w:lang w:val="en-US" w:eastAsia="zh-CN"/>
                    </w:rPr>
                  </w:pPr>
                  <w:r>
                    <w:rPr>
                      <w:rFonts w:hint="eastAsia"/>
                      <w:lang w:val="en-US" w:eastAsia="zh-CN"/>
                    </w:rPr>
                    <w:t>泄漏、火灾</w:t>
                  </w:r>
                </w:p>
              </w:tc>
              <w:tc>
                <w:tcPr>
                  <w:tcW w:w="2437" w:type="dxa"/>
                  <w:tcBorders>
                    <w:top w:val="single" w:color="auto" w:sz="4" w:space="0"/>
                    <w:left w:val="nil"/>
                  </w:tcBorders>
                  <w:shd w:val="clear" w:color="auto" w:fill="auto"/>
                  <w:vAlign w:val="center"/>
                </w:tcPr>
                <w:p>
                  <w:pPr>
                    <w:pStyle w:val="6"/>
                    <w:bidi w:val="0"/>
                    <w:rPr>
                      <w:rFonts w:hint="default"/>
                      <w:lang w:val="en-US" w:eastAsia="zh-CN"/>
                    </w:rPr>
                  </w:pPr>
                  <w:r>
                    <w:rPr>
                      <w:rFonts w:hint="eastAsia"/>
                      <w:lang w:val="en-US" w:eastAsia="zh-CN"/>
                    </w:rPr>
                    <w:t>大气、地下水、土壤</w:t>
                  </w:r>
                </w:p>
              </w:tc>
            </w:tr>
          </w:tbl>
          <w:p>
            <w:pPr>
              <w:pStyle w:val="10"/>
              <w:bidi w:val="0"/>
              <w:rPr>
                <w:rFonts w:hint="default"/>
                <w:lang w:val="en-US" w:eastAsia="zh-CN"/>
              </w:rPr>
            </w:pPr>
            <w:r>
              <w:rPr>
                <w:rFonts w:hint="eastAsia"/>
                <w:lang w:val="en-US" w:eastAsia="zh-CN"/>
              </w:rPr>
              <w:t>表4-17                     润滑油特性表</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406"/>
              <w:gridCol w:w="1790"/>
              <w:gridCol w:w="972"/>
              <w:gridCol w:w="815"/>
              <w:gridCol w:w="761"/>
              <w:gridCol w:w="343"/>
              <w:gridCol w:w="391"/>
              <w:gridCol w:w="595"/>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pStyle w:val="6"/>
                    <w:bidi w:val="0"/>
                    <w:rPr>
                      <w:rFonts w:hint="default"/>
                      <w:lang w:val="en-US" w:eastAsia="zh-CN"/>
                    </w:rPr>
                  </w:pPr>
                  <w:r>
                    <w:rPr>
                      <w:rFonts w:hint="eastAsia"/>
                      <w:lang w:val="en-US" w:eastAsia="zh-CN"/>
                    </w:rPr>
                    <w:t>标识</w:t>
                  </w:r>
                </w:p>
              </w:tc>
              <w:tc>
                <w:tcPr>
                  <w:tcW w:w="2967" w:type="pct"/>
                  <w:gridSpan w:val="4"/>
                  <w:vAlign w:val="center"/>
                </w:tcPr>
                <w:p>
                  <w:pPr>
                    <w:pStyle w:val="6"/>
                    <w:bidi w:val="0"/>
                    <w:rPr>
                      <w:rFonts w:hint="default"/>
                      <w:lang w:val="en-US" w:eastAsia="zh-CN"/>
                    </w:rPr>
                  </w:pPr>
                  <w:r>
                    <w:rPr>
                      <w:rFonts w:hint="eastAsia"/>
                      <w:lang w:val="en-US" w:eastAsia="zh-CN"/>
                    </w:rPr>
                    <w:t>中文名：润滑油</w:t>
                  </w:r>
                </w:p>
              </w:tc>
              <w:tc>
                <w:tcPr>
                  <w:tcW w:w="1803" w:type="pct"/>
                  <w:gridSpan w:val="5"/>
                  <w:vAlign w:val="center"/>
                </w:tcPr>
                <w:p>
                  <w:pPr>
                    <w:pStyle w:val="6"/>
                    <w:bidi w:val="0"/>
                    <w:rPr>
                      <w:rFonts w:hint="default"/>
                      <w:lang w:val="en-US" w:eastAsia="zh-CN"/>
                    </w:rPr>
                  </w:pPr>
                  <w:r>
                    <w:rPr>
                      <w:rFonts w:hint="eastAsia"/>
                      <w:lang w:val="en-US" w:eastAsia="zh-CN"/>
                    </w:rPr>
                    <w:t>英文名：Iubricat 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restart"/>
                  <w:vAlign w:val="center"/>
                </w:tcPr>
                <w:p>
                  <w:pPr>
                    <w:pStyle w:val="6"/>
                    <w:bidi w:val="0"/>
                    <w:rPr>
                      <w:rFonts w:hint="default"/>
                      <w:lang w:val="en-US" w:eastAsia="zh-CN"/>
                    </w:rPr>
                  </w:pPr>
                  <w:r>
                    <w:rPr>
                      <w:rFonts w:hint="eastAsia"/>
                      <w:lang w:val="en-US" w:eastAsia="zh-CN"/>
                    </w:rPr>
                    <w:t>理化性质</w:t>
                  </w:r>
                </w:p>
              </w:tc>
              <w:tc>
                <w:tcPr>
                  <w:tcW w:w="837" w:type="pct"/>
                  <w:vAlign w:val="center"/>
                </w:tcPr>
                <w:p>
                  <w:pPr>
                    <w:pStyle w:val="6"/>
                    <w:bidi w:val="0"/>
                    <w:rPr>
                      <w:rFonts w:hint="default"/>
                      <w:lang w:val="en-US" w:eastAsia="zh-CN"/>
                    </w:rPr>
                  </w:pPr>
                  <w:r>
                    <w:rPr>
                      <w:rFonts w:hint="eastAsia"/>
                      <w:lang w:val="en-US" w:eastAsia="zh-CN"/>
                    </w:rPr>
                    <w:t>外观与性状</w:t>
                  </w:r>
                </w:p>
              </w:tc>
              <w:tc>
                <w:tcPr>
                  <w:tcW w:w="2130" w:type="pct"/>
                  <w:gridSpan w:val="3"/>
                  <w:vAlign w:val="center"/>
                </w:tcPr>
                <w:p>
                  <w:pPr>
                    <w:pStyle w:val="6"/>
                    <w:bidi w:val="0"/>
                    <w:rPr>
                      <w:rFonts w:hint="default"/>
                      <w:lang w:val="en-US" w:eastAsia="zh-CN"/>
                    </w:rPr>
                  </w:pPr>
                  <w:r>
                    <w:rPr>
                      <w:rFonts w:hint="eastAsia"/>
                      <w:lang w:val="en-US" w:eastAsia="zh-CN"/>
                    </w:rPr>
                    <w:t>淡黄色粘稠液体</w:t>
                  </w:r>
                </w:p>
              </w:tc>
              <w:tc>
                <w:tcPr>
                  <w:tcW w:w="890" w:type="pct"/>
                  <w:gridSpan w:val="3"/>
                  <w:vAlign w:val="center"/>
                </w:tcPr>
                <w:p>
                  <w:pPr>
                    <w:pStyle w:val="6"/>
                    <w:bidi w:val="0"/>
                    <w:rPr>
                      <w:rFonts w:hint="default"/>
                      <w:lang w:val="en-US" w:eastAsia="zh-CN"/>
                    </w:rPr>
                  </w:pPr>
                  <w:r>
                    <w:rPr>
                      <w:rFonts w:hint="eastAsia"/>
                      <w:lang w:val="en-US" w:eastAsia="zh-CN"/>
                    </w:rPr>
                    <w:t>闪点（℃）</w:t>
                  </w:r>
                </w:p>
              </w:tc>
              <w:tc>
                <w:tcPr>
                  <w:tcW w:w="912" w:type="pct"/>
                  <w:gridSpan w:val="2"/>
                  <w:vAlign w:val="center"/>
                </w:tcPr>
                <w:p>
                  <w:pPr>
                    <w:pStyle w:val="6"/>
                    <w:bidi w:val="0"/>
                    <w:rPr>
                      <w:rFonts w:hint="default"/>
                      <w:lang w:val="en-US" w:eastAsia="zh-CN"/>
                    </w:rPr>
                  </w:pPr>
                  <w:r>
                    <w:rPr>
                      <w:rFonts w:hint="eastAsia"/>
                      <w:lang w:val="en-US" w:eastAsia="zh-CN"/>
                    </w:rPr>
                    <w:t>12-~340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vAlign w:val="center"/>
                </w:tcPr>
                <w:p>
                  <w:pPr>
                    <w:pStyle w:val="6"/>
                    <w:bidi w:val="0"/>
                    <w:rPr>
                      <w:rFonts w:hint="eastAsia"/>
                      <w:lang w:val="en-US" w:eastAsia="zh-CN"/>
                    </w:rPr>
                  </w:pPr>
                </w:p>
              </w:tc>
              <w:tc>
                <w:tcPr>
                  <w:tcW w:w="837" w:type="pct"/>
                  <w:vAlign w:val="center"/>
                </w:tcPr>
                <w:p>
                  <w:pPr>
                    <w:pStyle w:val="6"/>
                    <w:bidi w:val="0"/>
                    <w:rPr>
                      <w:rFonts w:hint="default"/>
                      <w:lang w:val="en-US" w:eastAsia="zh-CN"/>
                    </w:rPr>
                  </w:pPr>
                  <w:r>
                    <w:rPr>
                      <w:rFonts w:hint="eastAsia"/>
                      <w:lang w:val="en-US" w:eastAsia="zh-CN"/>
                    </w:rPr>
                    <w:t>自燃点（℃）</w:t>
                  </w:r>
                </w:p>
              </w:tc>
              <w:tc>
                <w:tcPr>
                  <w:tcW w:w="1066" w:type="pct"/>
                  <w:vAlign w:val="center"/>
                </w:tcPr>
                <w:p>
                  <w:pPr>
                    <w:pStyle w:val="6"/>
                    <w:bidi w:val="0"/>
                    <w:rPr>
                      <w:rFonts w:hint="default"/>
                      <w:lang w:val="en-US" w:eastAsia="zh-CN"/>
                    </w:rPr>
                  </w:pPr>
                  <w:r>
                    <w:rPr>
                      <w:rFonts w:hint="eastAsia"/>
                      <w:lang w:val="en-US" w:eastAsia="zh-CN"/>
                    </w:rPr>
                    <w:t>300~350</w:t>
                  </w:r>
                </w:p>
              </w:tc>
              <w:tc>
                <w:tcPr>
                  <w:tcW w:w="1063" w:type="pct"/>
                  <w:gridSpan w:val="2"/>
                  <w:vAlign w:val="center"/>
                </w:tcPr>
                <w:p>
                  <w:pPr>
                    <w:pStyle w:val="6"/>
                    <w:bidi w:val="0"/>
                    <w:rPr>
                      <w:rFonts w:hint="eastAsia"/>
                      <w:lang w:val="en-US" w:eastAsia="zh-CN"/>
                    </w:rPr>
                  </w:pPr>
                  <w:r>
                    <w:rPr>
                      <w:rFonts w:hint="eastAsia"/>
                      <w:lang w:val="en-US" w:eastAsia="zh-CN"/>
                    </w:rPr>
                    <w:t>相对密度</w:t>
                  </w:r>
                </w:p>
                <w:p>
                  <w:pPr>
                    <w:pStyle w:val="6"/>
                    <w:bidi w:val="0"/>
                    <w:rPr>
                      <w:rFonts w:hint="eastAsia"/>
                      <w:lang w:val="en-US" w:eastAsia="zh-CN"/>
                    </w:rPr>
                  </w:pPr>
                  <w:r>
                    <w:rPr>
                      <w:rFonts w:hint="eastAsia"/>
                      <w:lang w:val="en-US" w:eastAsia="zh-CN"/>
                    </w:rPr>
                    <w:t>（水=1）</w:t>
                  </w:r>
                </w:p>
              </w:tc>
              <w:tc>
                <w:tcPr>
                  <w:tcW w:w="453" w:type="pct"/>
                  <w:vAlign w:val="center"/>
                </w:tcPr>
                <w:p>
                  <w:pPr>
                    <w:pStyle w:val="6"/>
                    <w:bidi w:val="0"/>
                    <w:rPr>
                      <w:rFonts w:hint="eastAsia"/>
                      <w:lang w:val="en-US" w:eastAsia="zh-CN"/>
                    </w:rPr>
                  </w:pPr>
                </w:p>
              </w:tc>
              <w:tc>
                <w:tcPr>
                  <w:tcW w:w="791" w:type="pct"/>
                  <w:gridSpan w:val="3"/>
                  <w:vAlign w:val="center"/>
                </w:tcPr>
                <w:p>
                  <w:pPr>
                    <w:pStyle w:val="6"/>
                    <w:bidi w:val="0"/>
                    <w:rPr>
                      <w:rFonts w:hint="eastAsia"/>
                      <w:lang w:val="en-US" w:eastAsia="zh-CN"/>
                    </w:rPr>
                  </w:pPr>
                  <w:r>
                    <w:rPr>
                      <w:rFonts w:hint="eastAsia"/>
                      <w:lang w:val="en-US" w:eastAsia="zh-CN"/>
                    </w:rPr>
                    <w:t>相对密度</w:t>
                  </w:r>
                </w:p>
                <w:p>
                  <w:pPr>
                    <w:pStyle w:val="6"/>
                    <w:bidi w:val="0"/>
                    <w:rPr>
                      <w:rFonts w:hint="default"/>
                      <w:lang w:val="en-US" w:eastAsia="zh-CN"/>
                    </w:rPr>
                  </w:pPr>
                  <w:r>
                    <w:rPr>
                      <w:rFonts w:hint="eastAsia"/>
                      <w:lang w:val="en-US" w:eastAsia="zh-CN"/>
                    </w:rPr>
                    <w:t>（空气=1）</w:t>
                  </w:r>
                </w:p>
              </w:tc>
              <w:tc>
                <w:tcPr>
                  <w:tcW w:w="558" w:type="pct"/>
                  <w:vAlign w:val="center"/>
                </w:tcPr>
                <w:p>
                  <w:pPr>
                    <w:pStyle w:val="6"/>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29" w:type="pct"/>
                  <w:vMerge w:val="continue"/>
                  <w:vAlign w:val="center"/>
                </w:tcPr>
                <w:p>
                  <w:pPr>
                    <w:pStyle w:val="6"/>
                    <w:bidi w:val="0"/>
                    <w:rPr>
                      <w:rFonts w:hint="eastAsia"/>
                      <w:lang w:val="en-US" w:eastAsia="zh-CN"/>
                    </w:rPr>
                  </w:pPr>
                </w:p>
              </w:tc>
              <w:tc>
                <w:tcPr>
                  <w:tcW w:w="837" w:type="pct"/>
                  <w:vAlign w:val="center"/>
                </w:tcPr>
                <w:p>
                  <w:pPr>
                    <w:pStyle w:val="6"/>
                    <w:bidi w:val="0"/>
                    <w:rPr>
                      <w:rFonts w:hint="default"/>
                      <w:lang w:val="en-US" w:eastAsia="zh-CN"/>
                    </w:rPr>
                  </w:pPr>
                  <w:r>
                    <w:rPr>
                      <w:rFonts w:hint="eastAsia"/>
                      <w:lang w:val="en-US" w:eastAsia="zh-CN"/>
                    </w:rPr>
                    <w:t>沸点（℃）</w:t>
                  </w:r>
                </w:p>
              </w:tc>
              <w:tc>
                <w:tcPr>
                  <w:tcW w:w="1066" w:type="pct"/>
                  <w:vAlign w:val="center"/>
                </w:tcPr>
                <w:p>
                  <w:pPr>
                    <w:pStyle w:val="6"/>
                    <w:bidi w:val="0"/>
                    <w:rPr>
                      <w:rFonts w:hint="default"/>
                      <w:lang w:val="en-US" w:eastAsia="zh-CN"/>
                    </w:rPr>
                  </w:pPr>
                </w:p>
              </w:tc>
              <w:tc>
                <w:tcPr>
                  <w:tcW w:w="1954" w:type="pct"/>
                  <w:gridSpan w:val="5"/>
                  <w:vAlign w:val="center"/>
                </w:tcPr>
                <w:p>
                  <w:pPr>
                    <w:pStyle w:val="6"/>
                    <w:bidi w:val="0"/>
                    <w:rPr>
                      <w:rFonts w:hint="default"/>
                      <w:lang w:val="en-US" w:eastAsia="zh-CN"/>
                    </w:rPr>
                  </w:pPr>
                  <w:r>
                    <w:rPr>
                      <w:rFonts w:hint="eastAsia"/>
                      <w:lang w:val="en-US" w:eastAsia="zh-CN"/>
                    </w:rPr>
                    <w:t>饱和蒸气压（kPa）</w:t>
                  </w:r>
                </w:p>
              </w:tc>
              <w:tc>
                <w:tcPr>
                  <w:tcW w:w="912" w:type="pct"/>
                  <w:gridSpan w:val="2"/>
                  <w:vAlign w:val="center"/>
                </w:tcPr>
                <w:p>
                  <w:pPr>
                    <w:pStyle w:val="6"/>
                    <w:bidi w:val="0"/>
                    <w:rPr>
                      <w:rFonts w:hint="default"/>
                      <w:lang w:val="en-US" w:eastAsia="zh-CN"/>
                    </w:rPr>
                  </w:pPr>
                  <w:r>
                    <w:rPr>
                      <w:rFonts w:hint="eastAsia"/>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vAlign w:val="center"/>
                </w:tcPr>
                <w:p>
                  <w:pPr>
                    <w:pStyle w:val="6"/>
                    <w:bidi w:val="0"/>
                    <w:rPr>
                      <w:rFonts w:hint="eastAsia"/>
                      <w:lang w:val="en-US" w:eastAsia="zh-CN"/>
                    </w:rPr>
                  </w:pPr>
                </w:p>
              </w:tc>
              <w:tc>
                <w:tcPr>
                  <w:tcW w:w="837" w:type="pct"/>
                  <w:vAlign w:val="center"/>
                </w:tcPr>
                <w:p>
                  <w:pPr>
                    <w:pStyle w:val="6"/>
                    <w:bidi w:val="0"/>
                    <w:rPr>
                      <w:rFonts w:hint="default"/>
                      <w:lang w:val="en-US" w:eastAsia="zh-CN"/>
                    </w:rPr>
                  </w:pPr>
                  <w:r>
                    <w:rPr>
                      <w:rFonts w:hint="eastAsia"/>
                      <w:lang w:val="en-US" w:eastAsia="zh-CN"/>
                    </w:rPr>
                    <w:t>溶解性</w:t>
                  </w:r>
                </w:p>
              </w:tc>
              <w:tc>
                <w:tcPr>
                  <w:tcW w:w="3933" w:type="pct"/>
                  <w:gridSpan w:val="8"/>
                  <w:vAlign w:val="center"/>
                </w:tcPr>
                <w:p>
                  <w:pPr>
                    <w:pStyle w:val="6"/>
                    <w:bidi w:val="0"/>
                    <w:rPr>
                      <w:rFonts w:hint="default"/>
                      <w:lang w:val="en-US" w:eastAsia="zh-CN"/>
                    </w:rPr>
                  </w:pPr>
                  <w:r>
                    <w:rPr>
                      <w:rFonts w:hint="eastAsia"/>
                      <w:lang w:val="en-US" w:eastAsia="zh-CN"/>
                    </w:rPr>
                    <w:t>溶于苯、乙醇、乙醚、氯仿、丙酮等多数有机溶剂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restart"/>
                  <w:vAlign w:val="center"/>
                </w:tcPr>
                <w:p>
                  <w:pPr>
                    <w:pStyle w:val="6"/>
                    <w:bidi w:val="0"/>
                    <w:rPr>
                      <w:rFonts w:hint="default"/>
                      <w:lang w:val="en-US" w:eastAsia="zh-CN"/>
                    </w:rPr>
                  </w:pPr>
                  <w:r>
                    <w:rPr>
                      <w:rFonts w:hint="eastAsia"/>
                      <w:lang w:val="en-US" w:eastAsia="zh-CN"/>
                    </w:rPr>
                    <w:t>燃烧爆炸危险</w:t>
                  </w:r>
                </w:p>
              </w:tc>
              <w:tc>
                <w:tcPr>
                  <w:tcW w:w="837" w:type="pct"/>
                  <w:vAlign w:val="center"/>
                </w:tcPr>
                <w:p>
                  <w:pPr>
                    <w:pStyle w:val="6"/>
                    <w:bidi w:val="0"/>
                    <w:rPr>
                      <w:rFonts w:hint="default"/>
                      <w:lang w:val="en-US" w:eastAsia="zh-CN"/>
                    </w:rPr>
                  </w:pPr>
                  <w:r>
                    <w:rPr>
                      <w:rFonts w:hint="eastAsia"/>
                      <w:lang w:val="en-US" w:eastAsia="zh-CN"/>
                    </w:rPr>
                    <w:t>危险特性</w:t>
                  </w:r>
                </w:p>
              </w:tc>
              <w:tc>
                <w:tcPr>
                  <w:tcW w:w="1645" w:type="pct"/>
                  <w:gridSpan w:val="2"/>
                  <w:vAlign w:val="center"/>
                </w:tcPr>
                <w:p>
                  <w:pPr>
                    <w:pStyle w:val="6"/>
                    <w:bidi w:val="0"/>
                    <w:rPr>
                      <w:rFonts w:hint="default"/>
                      <w:lang w:val="en-US" w:eastAsia="zh-CN"/>
                    </w:rPr>
                  </w:pPr>
                  <w:r>
                    <w:rPr>
                      <w:rFonts w:hint="eastAsia"/>
                      <w:lang w:val="en-US" w:eastAsia="zh-CN"/>
                    </w:rPr>
                    <w:t>可燃液体，火灾危险性为丙B类；遇明火、高热可燃</w:t>
                  </w:r>
                </w:p>
              </w:tc>
              <w:tc>
                <w:tcPr>
                  <w:tcW w:w="1142" w:type="pct"/>
                  <w:gridSpan w:val="3"/>
                  <w:vAlign w:val="center"/>
                </w:tcPr>
                <w:p>
                  <w:pPr>
                    <w:pStyle w:val="6"/>
                    <w:bidi w:val="0"/>
                    <w:rPr>
                      <w:rFonts w:hint="default"/>
                      <w:lang w:val="en-US" w:eastAsia="zh-CN"/>
                    </w:rPr>
                  </w:pPr>
                  <w:r>
                    <w:rPr>
                      <w:rFonts w:hint="eastAsia"/>
                      <w:lang w:val="en-US" w:eastAsia="zh-CN"/>
                    </w:rPr>
                    <w:t>燃烧分解产污</w:t>
                  </w:r>
                </w:p>
              </w:tc>
              <w:tc>
                <w:tcPr>
                  <w:tcW w:w="1144" w:type="pct"/>
                  <w:gridSpan w:val="3"/>
                  <w:vAlign w:val="center"/>
                </w:tcPr>
                <w:p>
                  <w:pPr>
                    <w:pStyle w:val="6"/>
                    <w:bidi w:val="0"/>
                    <w:rPr>
                      <w:rFonts w:hint="default"/>
                      <w:lang w:val="en-US" w:eastAsia="zh-CN"/>
                    </w:rPr>
                  </w:pPr>
                  <w:r>
                    <w:rPr>
                      <w:rFonts w:hint="eastAsia"/>
                      <w:lang w:val="en-US" w:eastAsia="zh-CN"/>
                    </w:rPr>
                    <w:t>CO 、CO</w:t>
                  </w:r>
                  <w:r>
                    <w:rPr>
                      <w:rFonts w:hint="eastAsia"/>
                      <w:vertAlign w:val="subscript"/>
                      <w:lang w:val="en-US" w:eastAsia="zh-CN"/>
                    </w:rPr>
                    <w:t>2</w:t>
                  </w:r>
                  <w:r>
                    <w:rPr>
                      <w:rFonts w:hint="eastAsia"/>
                      <w:lang w:val="en-US" w:eastAsia="zh-CN"/>
                    </w:rPr>
                    <w:t>等有毒有害气体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vAlign w:val="center"/>
                </w:tcPr>
                <w:p>
                  <w:pPr>
                    <w:pStyle w:val="6"/>
                    <w:bidi w:val="0"/>
                    <w:rPr>
                      <w:rFonts w:hint="eastAsia"/>
                      <w:lang w:val="en-US" w:eastAsia="zh-CN"/>
                    </w:rPr>
                  </w:pPr>
                </w:p>
              </w:tc>
              <w:tc>
                <w:tcPr>
                  <w:tcW w:w="837" w:type="pct"/>
                  <w:vAlign w:val="center"/>
                </w:tcPr>
                <w:p>
                  <w:pPr>
                    <w:pStyle w:val="6"/>
                    <w:bidi w:val="0"/>
                    <w:rPr>
                      <w:rFonts w:hint="default"/>
                      <w:lang w:val="en-US" w:eastAsia="zh-CN"/>
                    </w:rPr>
                  </w:pPr>
                  <w:r>
                    <w:rPr>
                      <w:rFonts w:hint="eastAsia"/>
                      <w:lang w:val="en-US" w:eastAsia="zh-CN"/>
                    </w:rPr>
                    <w:t>稳定性</w:t>
                  </w:r>
                </w:p>
              </w:tc>
              <w:tc>
                <w:tcPr>
                  <w:tcW w:w="1645" w:type="pct"/>
                  <w:gridSpan w:val="2"/>
                  <w:vAlign w:val="center"/>
                </w:tcPr>
                <w:p>
                  <w:pPr>
                    <w:pStyle w:val="6"/>
                    <w:bidi w:val="0"/>
                    <w:rPr>
                      <w:rFonts w:hint="default"/>
                      <w:lang w:val="en-US" w:eastAsia="zh-CN"/>
                    </w:rPr>
                  </w:pPr>
                  <w:r>
                    <w:rPr>
                      <w:rFonts w:hint="eastAsia"/>
                      <w:lang w:val="en-US" w:eastAsia="zh-CN"/>
                    </w:rPr>
                    <w:t>稳定</w:t>
                  </w:r>
                </w:p>
              </w:tc>
              <w:tc>
                <w:tcPr>
                  <w:tcW w:w="1142" w:type="pct"/>
                  <w:gridSpan w:val="3"/>
                  <w:vAlign w:val="center"/>
                </w:tcPr>
                <w:p>
                  <w:pPr>
                    <w:pStyle w:val="6"/>
                    <w:bidi w:val="0"/>
                    <w:rPr>
                      <w:rFonts w:hint="default"/>
                      <w:lang w:val="en-US" w:eastAsia="zh-CN"/>
                    </w:rPr>
                  </w:pPr>
                  <w:r>
                    <w:rPr>
                      <w:rFonts w:hint="eastAsia"/>
                      <w:lang w:val="en-US" w:eastAsia="zh-CN"/>
                    </w:rPr>
                    <w:t>禁忌物</w:t>
                  </w:r>
                </w:p>
              </w:tc>
              <w:tc>
                <w:tcPr>
                  <w:tcW w:w="1144" w:type="pct"/>
                  <w:gridSpan w:val="3"/>
                  <w:vAlign w:val="center"/>
                </w:tcPr>
                <w:p>
                  <w:pPr>
                    <w:pStyle w:val="6"/>
                    <w:bidi w:val="0"/>
                    <w:rPr>
                      <w:rFonts w:hint="default"/>
                      <w:lang w:val="en-US" w:eastAsia="zh-CN"/>
                    </w:rPr>
                  </w:pPr>
                  <w:r>
                    <w:rPr>
                      <w:rFonts w:hint="eastAsia"/>
                      <w:lang w:val="en-US" w:eastAsia="zh-CN"/>
                    </w:rPr>
                    <w:t>硝酸等强氧化剂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Merge w:val="continue"/>
                  <w:vAlign w:val="center"/>
                </w:tcPr>
                <w:p>
                  <w:pPr>
                    <w:pStyle w:val="6"/>
                    <w:bidi w:val="0"/>
                    <w:rPr>
                      <w:rFonts w:hint="eastAsia"/>
                      <w:lang w:val="en-US" w:eastAsia="zh-CN"/>
                    </w:rPr>
                  </w:pPr>
                </w:p>
              </w:tc>
              <w:tc>
                <w:tcPr>
                  <w:tcW w:w="837" w:type="pct"/>
                  <w:vAlign w:val="center"/>
                </w:tcPr>
                <w:p>
                  <w:pPr>
                    <w:pStyle w:val="6"/>
                    <w:bidi w:val="0"/>
                    <w:rPr>
                      <w:rFonts w:hint="default"/>
                      <w:lang w:val="en-US" w:eastAsia="zh-CN"/>
                    </w:rPr>
                  </w:pPr>
                  <w:r>
                    <w:rPr>
                      <w:rFonts w:hint="eastAsia"/>
                      <w:lang w:val="en-US" w:eastAsia="zh-CN"/>
                    </w:rPr>
                    <w:t>灭火方法</w:t>
                  </w:r>
                </w:p>
              </w:tc>
              <w:tc>
                <w:tcPr>
                  <w:tcW w:w="3933" w:type="pct"/>
                  <w:gridSpan w:val="8"/>
                  <w:vAlign w:val="center"/>
                </w:tcPr>
                <w:p>
                  <w:pPr>
                    <w:pStyle w:val="6"/>
                    <w:bidi w:val="0"/>
                    <w:rPr>
                      <w:rFonts w:hint="default"/>
                      <w:lang w:val="en-US" w:eastAsia="zh-CN"/>
                    </w:rPr>
                  </w:pPr>
                  <w:r>
                    <w:rPr>
                      <w:rFonts w:hint="eastAsia"/>
                      <w:lang w:val="en-US" w:eastAsia="zh-CN"/>
                    </w:rPr>
                    <w:t>消防人员须佩戴防毒面具、穿全身消防服，在上风向灭火。尽可能将容器从火场移至空旷处。喷水保持火场容器冷却，直至灭火结束。处在火场中的容器若已变色或从安全泄压装置中产生声音，必须立即撤离，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pStyle w:val="6"/>
                    <w:bidi w:val="0"/>
                    <w:rPr>
                      <w:rFonts w:hint="default"/>
                      <w:lang w:val="en-US" w:eastAsia="zh-CN"/>
                    </w:rPr>
                  </w:pPr>
                  <w:r>
                    <w:rPr>
                      <w:rFonts w:hint="eastAsia"/>
                      <w:lang w:val="en-US" w:eastAsia="zh-CN"/>
                    </w:rPr>
                    <w:t>健康危害</w:t>
                  </w:r>
                </w:p>
              </w:tc>
              <w:tc>
                <w:tcPr>
                  <w:tcW w:w="4770" w:type="pct"/>
                  <w:gridSpan w:val="9"/>
                  <w:vAlign w:val="center"/>
                </w:tcPr>
                <w:p>
                  <w:pPr>
                    <w:pStyle w:val="6"/>
                    <w:bidi w:val="0"/>
                    <w:rPr>
                      <w:rFonts w:hint="default"/>
                      <w:lang w:val="en-US" w:eastAsia="zh-CN"/>
                    </w:rPr>
                  </w:pPr>
                  <w:r>
                    <w:rPr>
                      <w:rFonts w:hint="eastAsia"/>
                      <w:lang w:val="en-US" w:eastAsia="zh-CN"/>
                    </w:rPr>
                    <w:t>急性吸入，可出现乏力、头晕、头痛、恶心，严重者可引起油脂性肺炎，慢性接触者，暴露部位可能发生油性痤疮和接触性皮炎。可引发神经衰弱，综合征，呼吸道和眼刺激症状及慢性油脂性肺炎。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pStyle w:val="6"/>
                    <w:bidi w:val="0"/>
                    <w:rPr>
                      <w:rFonts w:hint="default"/>
                      <w:lang w:val="en-US" w:eastAsia="zh-CN"/>
                    </w:rPr>
                  </w:pPr>
                  <w:r>
                    <w:rPr>
                      <w:rFonts w:hint="eastAsia"/>
                      <w:lang w:val="en-US" w:eastAsia="zh-CN"/>
                    </w:rPr>
                    <w:t>急救措施</w:t>
                  </w:r>
                </w:p>
              </w:tc>
              <w:tc>
                <w:tcPr>
                  <w:tcW w:w="4770" w:type="pct"/>
                  <w:gridSpan w:val="9"/>
                  <w:vAlign w:val="center"/>
                </w:tcPr>
                <w:p>
                  <w:pPr>
                    <w:pStyle w:val="6"/>
                    <w:bidi w:val="0"/>
                    <w:rPr>
                      <w:rFonts w:hint="eastAsia"/>
                      <w:lang w:val="en-US" w:eastAsia="zh-CN"/>
                    </w:rPr>
                  </w:pPr>
                  <w:r>
                    <w:rPr>
                      <w:rFonts w:hint="eastAsia"/>
                      <w:lang w:val="en-US" w:eastAsia="zh-CN"/>
                    </w:rPr>
                    <w:t>皮肤接触：脱去污染的衣着，用大量流动清水清洗，就医。</w:t>
                  </w:r>
                </w:p>
                <w:p>
                  <w:pPr>
                    <w:pStyle w:val="6"/>
                    <w:bidi w:val="0"/>
                    <w:rPr>
                      <w:rFonts w:hint="default"/>
                      <w:lang w:val="en-US" w:eastAsia="zh-CN"/>
                    </w:rPr>
                  </w:pPr>
                  <w:r>
                    <w:rPr>
                      <w:rFonts w:hint="eastAsia"/>
                      <w:lang w:val="en-US" w:eastAsia="zh-CN"/>
                    </w:rPr>
                    <w:t>眼接触：提起眼睑，用流动清水或生理盐水冲洗。就医。</w:t>
                  </w:r>
                </w:p>
                <w:p>
                  <w:pPr>
                    <w:pStyle w:val="6"/>
                    <w:bidi w:val="0"/>
                    <w:rPr>
                      <w:rFonts w:hint="default"/>
                      <w:lang w:val="en-US" w:eastAsia="zh-CN"/>
                    </w:rPr>
                  </w:pPr>
                  <w:r>
                    <w:rPr>
                      <w:rFonts w:hint="eastAsia"/>
                      <w:lang w:val="en-US" w:eastAsia="zh-CN"/>
                    </w:rPr>
                    <w:t>吸入：迅速脱离现场至空气新鲜处，保持呼吸通畅，如呼吸困难，给输氧，如呼吸停止，立即进行人工呼吸。就医。</w:t>
                  </w:r>
                </w:p>
                <w:p>
                  <w:pPr>
                    <w:pStyle w:val="6"/>
                    <w:bidi w:val="0"/>
                    <w:rPr>
                      <w:rFonts w:hint="default"/>
                      <w:lang w:val="en-US" w:eastAsia="zh-CN"/>
                    </w:rPr>
                  </w:pPr>
                  <w:r>
                    <w:rPr>
                      <w:rFonts w:hint="eastAsia"/>
                      <w:lang w:val="en-US" w:eastAsia="zh-CN"/>
                    </w:rPr>
                    <w:t>食用：饮适量温水，催吐。就医。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pStyle w:val="6"/>
                    <w:bidi w:val="0"/>
                    <w:rPr>
                      <w:rFonts w:hint="default"/>
                      <w:lang w:val="en-US" w:eastAsia="zh-CN"/>
                    </w:rPr>
                  </w:pPr>
                  <w:r>
                    <w:rPr>
                      <w:rFonts w:hint="eastAsia"/>
                      <w:lang w:val="en-US" w:eastAsia="zh-CN"/>
                    </w:rPr>
                    <w:t>防护处理</w:t>
                  </w:r>
                </w:p>
              </w:tc>
              <w:tc>
                <w:tcPr>
                  <w:tcW w:w="4770" w:type="pct"/>
                  <w:gridSpan w:val="9"/>
                  <w:vAlign w:val="center"/>
                </w:tcPr>
                <w:p>
                  <w:pPr>
                    <w:pStyle w:val="6"/>
                    <w:bidi w:val="0"/>
                    <w:rPr>
                      <w:rFonts w:hint="eastAsia"/>
                      <w:lang w:val="en-US" w:eastAsia="zh-CN"/>
                    </w:rPr>
                  </w:pPr>
                  <w:r>
                    <w:rPr>
                      <w:rFonts w:hint="eastAsia"/>
                      <w:lang w:val="en-US" w:eastAsia="zh-CN"/>
                    </w:rPr>
                    <w:t>呼吸系统防护：空气中浓度超标时，必须佩戴自吸过滤式防毒面具（半面罩）；紧急事态抢救或撤离时，应佩戴空气呼吸器。</w:t>
                  </w:r>
                </w:p>
                <w:p>
                  <w:pPr>
                    <w:pStyle w:val="6"/>
                    <w:bidi w:val="0"/>
                    <w:rPr>
                      <w:rFonts w:hint="default"/>
                      <w:lang w:val="en-US" w:eastAsia="zh-CN"/>
                    </w:rPr>
                  </w:pPr>
                  <w:r>
                    <w:rPr>
                      <w:rFonts w:hint="eastAsia"/>
                      <w:lang w:val="en-US" w:eastAsia="zh-CN"/>
                    </w:rPr>
                    <w:t>眼神防护：戴化学安全防护眼镜。</w:t>
                  </w:r>
                </w:p>
                <w:p>
                  <w:pPr>
                    <w:pStyle w:val="6"/>
                    <w:bidi w:val="0"/>
                    <w:rPr>
                      <w:rFonts w:hint="default"/>
                      <w:lang w:val="en-US" w:eastAsia="zh-CN"/>
                    </w:rPr>
                  </w:pPr>
                  <w:r>
                    <w:rPr>
                      <w:rFonts w:hint="eastAsia"/>
                      <w:lang w:val="en-US" w:eastAsia="zh-CN"/>
                    </w:rPr>
                    <w:t>身体防护：穿防毒渗透工作服。</w:t>
                  </w:r>
                </w:p>
                <w:p>
                  <w:pPr>
                    <w:pStyle w:val="6"/>
                    <w:bidi w:val="0"/>
                    <w:rPr>
                      <w:rFonts w:hint="default"/>
                      <w:lang w:val="en-US" w:eastAsia="zh-CN"/>
                    </w:rPr>
                  </w:pPr>
                  <w:r>
                    <w:rPr>
                      <w:rFonts w:hint="eastAsia"/>
                      <w:lang w:val="en-US" w:eastAsia="zh-CN"/>
                    </w:rPr>
                    <w:t>手防护：戴橡胶耐油手套。</w:t>
                  </w:r>
                </w:p>
                <w:p>
                  <w:pPr>
                    <w:pStyle w:val="6"/>
                    <w:bidi w:val="0"/>
                    <w:rPr>
                      <w:rFonts w:hint="default"/>
                      <w:lang w:val="en-US" w:eastAsia="zh-CN"/>
                    </w:rPr>
                  </w:pPr>
                  <w:r>
                    <w:rPr>
                      <w:rFonts w:hint="eastAsia"/>
                      <w:lang w:val="en-US" w:eastAsia="zh-CN"/>
                    </w:rPr>
                    <w:t>其他：工作现场严禁吸烟，避免长时间反复接触。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pStyle w:val="6"/>
                    <w:bidi w:val="0"/>
                    <w:rPr>
                      <w:rFonts w:hint="default"/>
                      <w:lang w:val="en-US" w:eastAsia="zh-CN"/>
                    </w:rPr>
                  </w:pPr>
                  <w:r>
                    <w:rPr>
                      <w:rFonts w:hint="eastAsia"/>
                      <w:lang w:val="en-US" w:eastAsia="zh-CN"/>
                    </w:rPr>
                    <w:t>泄漏处理</w:t>
                  </w:r>
                </w:p>
              </w:tc>
              <w:tc>
                <w:tcPr>
                  <w:tcW w:w="4770" w:type="pct"/>
                  <w:gridSpan w:val="9"/>
                  <w:vAlign w:val="center"/>
                </w:tcPr>
                <w:p>
                  <w:pPr>
                    <w:pStyle w:val="6"/>
                    <w:bidi w:val="0"/>
                    <w:rPr>
                      <w:rFonts w:hint="default"/>
                      <w:lang w:val="en-US" w:eastAsia="zh-CN"/>
                    </w:rPr>
                  </w:pPr>
                  <w:r>
                    <w:rPr>
                      <w:rFonts w:hint="eastAsia"/>
                      <w:lang w:val="en-US" w:eastAsia="zh-CN"/>
                    </w:rPr>
                    <w:t>迅速撤离泄漏污染物人员至安全区，并进行隔离，严格限制出入，切断火源。建议应急处理人员带自给正式呼吸器，穿防毒服。尽可能切断泄漏源，防止流入下水道，排洪沟等限制性空间。小量泄漏：用砂土或其他不燃材料吸附或吸收，减少挥发。大量泄漏：构筑围堤或挖坑收容。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pStyle w:val="6"/>
                    <w:bidi w:val="0"/>
                    <w:rPr>
                      <w:rFonts w:hint="default"/>
                      <w:lang w:val="en-US" w:eastAsia="zh-CN"/>
                    </w:rPr>
                  </w:pPr>
                  <w:r>
                    <w:rPr>
                      <w:rFonts w:hint="eastAsia"/>
                      <w:lang w:val="en-US" w:eastAsia="zh-CN"/>
                    </w:rPr>
                    <w:t>储存要求</w:t>
                  </w:r>
                </w:p>
              </w:tc>
              <w:tc>
                <w:tcPr>
                  <w:tcW w:w="4770" w:type="pct"/>
                  <w:gridSpan w:val="9"/>
                  <w:vAlign w:val="center"/>
                </w:tcPr>
                <w:p>
                  <w:pPr>
                    <w:pStyle w:val="6"/>
                    <w:bidi w:val="0"/>
                    <w:rPr>
                      <w:rFonts w:hint="default"/>
                      <w:lang w:val="en-US" w:eastAsia="zh-CN"/>
                    </w:rPr>
                  </w:pPr>
                  <w:r>
                    <w:rPr>
                      <w:rFonts w:hint="eastAsia"/>
                      <w:lang w:val="en-US" w:eastAsia="zh-CN"/>
                    </w:rPr>
                    <w:t>储存于阴凉、通风的库房，远离火种、热源。应与氧化剂翻开存放，切忌混储。配备相应品种和数量的消防器材，储区应备有泄漏应急处理设备和合适的收容材料。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 w:type="pct"/>
                  <w:vAlign w:val="center"/>
                </w:tcPr>
                <w:p>
                  <w:pPr>
                    <w:pStyle w:val="6"/>
                    <w:bidi w:val="0"/>
                    <w:rPr>
                      <w:rFonts w:hint="default"/>
                      <w:lang w:val="en-US" w:eastAsia="zh-CN"/>
                    </w:rPr>
                  </w:pPr>
                  <w:r>
                    <w:rPr>
                      <w:rFonts w:hint="eastAsia"/>
                      <w:lang w:val="en-US" w:eastAsia="zh-CN"/>
                    </w:rPr>
                    <w:t>运输要求</w:t>
                  </w:r>
                </w:p>
              </w:tc>
              <w:tc>
                <w:tcPr>
                  <w:tcW w:w="4770" w:type="pct"/>
                  <w:gridSpan w:val="9"/>
                  <w:vAlign w:val="center"/>
                </w:tcPr>
                <w:p>
                  <w:pPr>
                    <w:pStyle w:val="6"/>
                    <w:bidi w:val="0"/>
                    <w:rPr>
                      <w:rFonts w:hint="default"/>
                      <w:lang w:val="en-US" w:eastAsia="zh-CN"/>
                    </w:rPr>
                  </w:pPr>
                  <w:r>
                    <w:rPr>
                      <w:rFonts w:hint="eastAsia"/>
                      <w:lang w:val="en-US" w:eastAsia="zh-CN"/>
                    </w:rPr>
                    <w:t>用油罐、油罐车、油船、铁桶、塑料桶等盛装，盛装时切不可装满，要留出必要的安全空间。运输前应先检查包装容器是否完整，密封，运输过程中要确保容器不泄漏，不倒塌、不坠落、不损坏。严禁与氧化剂、食用化学品等混装混运。运输车船必须彻底清洗、消毒，否则不得装运其他物品。公路运输时要按规定路线行驶。</w:t>
                  </w:r>
                </w:p>
              </w:tc>
            </w:tr>
          </w:tbl>
          <w:p>
            <w:pPr>
              <w:pStyle w:val="4"/>
              <w:suppressLineNumbers w:val="0"/>
              <w:spacing w:before="0" w:beforeAutospacing="0" w:after="0" w:afterAutospacing="0"/>
              <w:ind w:left="0" w:right="0"/>
              <w:rPr>
                <w:rFonts w:hint="eastAsia"/>
                <w:color w:val="auto"/>
                <w:highlight w:val="none"/>
                <w:lang w:eastAsia="zh-CN"/>
              </w:rPr>
            </w:pPr>
            <w:r>
              <w:rPr>
                <w:rFonts w:hint="eastAsia"/>
                <w:color w:val="auto"/>
                <w:highlight w:val="none"/>
                <w:lang w:val="en-US" w:eastAsia="zh-CN"/>
              </w:rPr>
              <w:t>6</w:t>
            </w:r>
            <w:r>
              <w:rPr>
                <w:rFonts w:hint="default"/>
                <w:color w:val="auto"/>
                <w:highlight w:val="none"/>
              </w:rPr>
              <w:t>.2</w:t>
            </w:r>
            <w:r>
              <w:rPr>
                <w:rFonts w:hint="eastAsia"/>
                <w:color w:val="auto"/>
                <w:highlight w:val="none"/>
                <w:lang w:eastAsia="zh-CN"/>
              </w:rPr>
              <w:t>环境影响途径</w:t>
            </w:r>
          </w:p>
          <w:p>
            <w:pPr>
              <w:bidi w:val="0"/>
              <w:rPr>
                <w:rFonts w:hint="eastAsia"/>
                <w:lang w:eastAsia="zh-CN"/>
              </w:rPr>
            </w:pPr>
            <w:r>
              <w:rPr>
                <w:rFonts w:hint="eastAsia"/>
                <w:lang w:eastAsia="zh-CN"/>
              </w:rPr>
              <w:t>（</w:t>
            </w:r>
            <w:r>
              <w:rPr>
                <w:rFonts w:hint="eastAsia"/>
                <w:lang w:val="en-US" w:eastAsia="zh-CN"/>
              </w:rPr>
              <w:t>1</w:t>
            </w:r>
            <w:r>
              <w:rPr>
                <w:rFonts w:hint="eastAsia"/>
                <w:lang w:eastAsia="zh-CN"/>
              </w:rPr>
              <w:t>）泄漏影响分析</w:t>
            </w:r>
          </w:p>
          <w:p>
            <w:pPr>
              <w:bidi w:val="0"/>
              <w:rPr>
                <w:rFonts w:hint="eastAsia"/>
                <w:lang w:eastAsia="zh-CN"/>
              </w:rPr>
            </w:pPr>
            <w:r>
              <w:rPr>
                <w:rFonts w:hint="eastAsia"/>
                <w:lang w:eastAsia="zh-CN"/>
              </w:rPr>
              <w:t>项目</w:t>
            </w:r>
            <w:r>
              <w:rPr>
                <w:rFonts w:hint="eastAsia"/>
                <w:lang w:val="en-US" w:eastAsia="zh-CN"/>
              </w:rPr>
              <w:t>运营过程中废润滑油储存，一旦发生泄漏事故，遇明火极易引发火灾爆炸风险</w:t>
            </w:r>
            <w:r>
              <w:rPr>
                <w:rFonts w:hint="eastAsia"/>
                <w:lang w:eastAsia="zh-CN"/>
              </w:rPr>
              <w:t>。</w:t>
            </w:r>
            <w:r>
              <w:rPr>
                <w:rFonts w:hint="eastAsia"/>
                <w:lang w:val="en-US" w:eastAsia="zh-CN"/>
              </w:rPr>
              <w:t>危废贮存间内</w:t>
            </w:r>
            <w:r>
              <w:rPr>
                <w:rFonts w:hint="eastAsia"/>
                <w:lang w:eastAsia="zh-CN"/>
              </w:rPr>
              <w:t>废润滑油发生泄漏，进入外环境，首先会对土壤造成污染。对水环境的影响主要是</w:t>
            </w:r>
            <w:r>
              <w:rPr>
                <w:rFonts w:hint="eastAsia"/>
                <w:lang w:val="en-US" w:eastAsia="zh-CN"/>
              </w:rPr>
              <w:t>危险废物</w:t>
            </w:r>
            <w:r>
              <w:rPr>
                <w:rFonts w:hint="eastAsia"/>
                <w:lang w:eastAsia="zh-CN"/>
              </w:rPr>
              <w:t>泄漏通过地面破损外或裸露的土壤外渗入地下，进而污染地下水，一旦发生油类物质</w:t>
            </w:r>
            <w:r>
              <w:rPr>
                <w:rFonts w:hint="eastAsia"/>
                <w:lang w:val="en-US" w:eastAsia="zh-CN"/>
              </w:rPr>
              <w:t>泄漏</w:t>
            </w:r>
            <w:r>
              <w:rPr>
                <w:rFonts w:hint="eastAsia"/>
                <w:lang w:eastAsia="zh-CN"/>
              </w:rPr>
              <w:t>尽管污染源得到及时控制，但进入土壤以及含水层的自净降解将是一个长期的过程，尤其达到地下水的完全恢复需要几十年甚至上百年的时间。</w:t>
            </w:r>
          </w:p>
          <w:p>
            <w:pPr>
              <w:bidi w:val="0"/>
              <w:rPr>
                <w:rFonts w:hint="eastAsia"/>
                <w:lang w:eastAsia="zh-CN"/>
              </w:rPr>
            </w:pPr>
            <w:r>
              <w:rPr>
                <w:rFonts w:hint="eastAsia"/>
                <w:lang w:eastAsia="zh-CN"/>
              </w:rPr>
              <w:t>（</w:t>
            </w:r>
            <w:r>
              <w:rPr>
                <w:rFonts w:hint="eastAsia"/>
                <w:lang w:val="en-US" w:eastAsia="zh-CN"/>
              </w:rPr>
              <w:t>2</w:t>
            </w:r>
            <w:r>
              <w:rPr>
                <w:rFonts w:hint="eastAsia"/>
                <w:lang w:eastAsia="zh-CN"/>
              </w:rPr>
              <w:t>）火灾爆炸事故分析</w:t>
            </w:r>
          </w:p>
          <w:p>
            <w:pPr>
              <w:bidi w:val="0"/>
              <w:rPr>
                <w:rFonts w:hint="eastAsia"/>
                <w:color w:val="auto"/>
                <w:highlight w:val="none"/>
                <w:lang w:eastAsia="zh-CN"/>
              </w:rPr>
            </w:pPr>
            <w:r>
              <w:rPr>
                <w:rFonts w:hint="eastAsia"/>
                <w:lang w:eastAsia="zh-CN"/>
              </w:rPr>
              <w:t>由于</w:t>
            </w:r>
            <w:r>
              <w:rPr>
                <w:rFonts w:hint="eastAsia"/>
                <w:lang w:val="en-US" w:eastAsia="zh-CN"/>
              </w:rPr>
              <w:t>废润滑油</w:t>
            </w:r>
            <w:r>
              <w:rPr>
                <w:rFonts w:hint="eastAsia"/>
                <w:lang w:eastAsia="zh-CN"/>
              </w:rPr>
              <w:t>具有易燃易爆的危险特性，决定了本项目的</w:t>
            </w:r>
            <w:r>
              <w:rPr>
                <w:rFonts w:hint="eastAsia"/>
                <w:lang w:val="en-US" w:eastAsia="zh-CN"/>
              </w:rPr>
              <w:t>危险废物贮存间</w:t>
            </w:r>
            <w:r>
              <w:rPr>
                <w:rFonts w:hint="eastAsia"/>
                <w:lang w:eastAsia="zh-CN"/>
              </w:rPr>
              <w:t>是火灾爆炸事故的危险源。如果在其储存场所有火源存在，就可能造成火灾爆炸事故的发生，因此在生产管理中应重视火源的诱发因素。</w:t>
            </w:r>
          </w:p>
          <w:p>
            <w:pPr>
              <w:pStyle w:val="4"/>
              <w:bidi w:val="0"/>
              <w:rPr>
                <w:rFonts w:hint="default"/>
              </w:rPr>
            </w:pPr>
            <w:r>
              <w:rPr>
                <w:rFonts w:hint="eastAsia"/>
                <w:lang w:val="en-US" w:eastAsia="zh-CN"/>
              </w:rPr>
              <w:t>6.3</w:t>
            </w:r>
            <w:r>
              <w:rPr>
                <w:rFonts w:hint="eastAsia"/>
              </w:rPr>
              <w:t>环境风险防范措施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color w:val="auto"/>
                <w:kern w:val="0"/>
                <w:sz w:val="24"/>
                <w:highlight w:val="none"/>
              </w:rPr>
              <w:t>为了避免各种环境事故的发生，降低项目存在的环境风险值，采取相应的风险防范措施，使项目环境风险降到最低水平，具体风险防范措施如下：</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color w:val="auto"/>
                <w:kern w:val="0"/>
                <w:sz w:val="24"/>
                <w:highlight w:val="none"/>
              </w:rPr>
              <w:t>（</w:t>
            </w:r>
            <w:r>
              <w:rPr>
                <w:rFonts w:hint="default"/>
                <w:color w:val="auto"/>
                <w:kern w:val="0"/>
                <w:sz w:val="24"/>
                <w:highlight w:val="none"/>
              </w:rPr>
              <w:t>1</w:t>
            </w:r>
            <w:r>
              <w:rPr>
                <w:rFonts w:hint="eastAsia"/>
                <w:color w:val="auto"/>
                <w:kern w:val="0"/>
                <w:sz w:val="24"/>
                <w:highlight w:val="none"/>
              </w:rPr>
              <w:t>）完善物料贮存设施，加强对物料储存、使用的安全管理和检查，避免物料出现泄漏，严禁明火。</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auto"/>
                <w:highlight w:val="none"/>
                <w:lang w:val="en-US" w:eastAsia="zh-CN"/>
              </w:rPr>
            </w:pPr>
            <w:r>
              <w:rPr>
                <w:rFonts w:hint="eastAsia"/>
                <w:color w:val="auto"/>
                <w:kern w:val="0"/>
                <w:sz w:val="24"/>
                <w:highlight w:val="none"/>
              </w:rPr>
              <w:t>（</w:t>
            </w:r>
            <w:r>
              <w:rPr>
                <w:rFonts w:hint="default"/>
                <w:color w:val="auto"/>
                <w:kern w:val="0"/>
                <w:sz w:val="24"/>
                <w:highlight w:val="none"/>
              </w:rPr>
              <w:t>2</w:t>
            </w:r>
            <w:r>
              <w:rPr>
                <w:rFonts w:hint="eastAsia"/>
                <w:color w:val="auto"/>
                <w:kern w:val="0"/>
                <w:sz w:val="24"/>
                <w:highlight w:val="none"/>
              </w:rPr>
              <w:t>）</w:t>
            </w:r>
            <w:r>
              <w:rPr>
                <w:rFonts w:hint="eastAsia"/>
                <w:color w:val="auto"/>
                <w:highlight w:val="none"/>
                <w:lang w:val="en-US" w:eastAsia="zh-CN"/>
              </w:rPr>
              <w:t>废润滑油贮存危险废物暂存间地面均应采取防腐、防渗处理。为了防止泄漏，应设置不小于储存容积的围堰，围堰高度为</w:t>
            </w:r>
            <w:r>
              <w:rPr>
                <w:rFonts w:hint="default"/>
                <w:color w:val="auto"/>
                <w:highlight w:val="none"/>
                <w:lang w:val="en-US" w:eastAsia="zh-CN"/>
              </w:rPr>
              <w:t>10cm</w:t>
            </w:r>
            <w:r>
              <w:rPr>
                <w:rFonts w:hint="eastAsia"/>
                <w:color w:val="auto"/>
                <w:highlight w:val="none"/>
                <w:lang w:val="en-US" w:eastAsia="zh-CN"/>
              </w:rPr>
              <w:t>；以满足物料泄漏时能够全部将物料拦截在贮存区内。</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color w:val="auto"/>
                <w:kern w:val="0"/>
                <w:sz w:val="24"/>
                <w:highlight w:val="none"/>
              </w:rPr>
              <w:t>（</w:t>
            </w:r>
            <w:r>
              <w:rPr>
                <w:rFonts w:hint="default"/>
                <w:color w:val="auto"/>
                <w:kern w:val="0"/>
                <w:sz w:val="24"/>
                <w:highlight w:val="none"/>
              </w:rPr>
              <w:t>3</w:t>
            </w:r>
            <w:r>
              <w:rPr>
                <w:rFonts w:hint="eastAsia"/>
                <w:color w:val="auto"/>
                <w:kern w:val="0"/>
                <w:sz w:val="24"/>
                <w:highlight w:val="none"/>
              </w:rPr>
              <w:t>）在储存期内定期检查，发现其品质变化、包装破损、渗漏等，及时处理</w:t>
            </w:r>
            <w:r>
              <w:rPr>
                <w:rFonts w:hint="eastAsia"/>
                <w:color w:val="auto"/>
                <w:kern w:val="0"/>
                <w:sz w:val="24"/>
                <w:highlight w:val="none"/>
                <w:lang w:eastAsia="zh-CN"/>
              </w:rPr>
              <w:t>，</w:t>
            </w:r>
            <w:r>
              <w:rPr>
                <w:rFonts w:hint="eastAsia"/>
                <w:color w:val="auto"/>
                <w:kern w:val="0"/>
                <w:sz w:val="24"/>
                <w:highlight w:val="none"/>
              </w:rPr>
              <w:t>防</w:t>
            </w:r>
            <w:r>
              <w:rPr>
                <w:rFonts w:hint="eastAsia"/>
                <w:color w:val="auto"/>
                <w:kern w:val="0"/>
                <w:sz w:val="24"/>
                <w:highlight w:val="none"/>
                <w:lang w:eastAsia="zh-CN"/>
              </w:rPr>
              <w:t>止</w:t>
            </w:r>
            <w:r>
              <w:rPr>
                <w:rFonts w:hint="eastAsia"/>
                <w:color w:val="auto"/>
                <w:kern w:val="0"/>
                <w:sz w:val="24"/>
                <w:highlight w:val="none"/>
              </w:rPr>
              <w:t>污染土壤及地下水环境。</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color w:val="auto"/>
                <w:kern w:val="0"/>
                <w:sz w:val="24"/>
                <w:highlight w:val="none"/>
              </w:rPr>
              <w:t>（</w:t>
            </w:r>
            <w:r>
              <w:rPr>
                <w:rFonts w:hint="default"/>
                <w:color w:val="auto"/>
                <w:kern w:val="0"/>
                <w:sz w:val="24"/>
                <w:highlight w:val="none"/>
              </w:rPr>
              <w:t>4</w:t>
            </w:r>
            <w:r>
              <w:rPr>
                <w:rFonts w:hint="eastAsia"/>
                <w:color w:val="auto"/>
                <w:kern w:val="0"/>
                <w:sz w:val="24"/>
                <w:highlight w:val="none"/>
              </w:rPr>
              <w:t>）易燃物品贮存区需确保通风、配备相应品种和数量的消防器材，预留必要的安全间距，远离火种和热源，防止阳光直射。</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color w:val="auto"/>
                <w:kern w:val="0"/>
                <w:sz w:val="24"/>
                <w:highlight w:val="none"/>
              </w:rPr>
              <w:t>（</w:t>
            </w:r>
            <w:r>
              <w:rPr>
                <w:rFonts w:hint="eastAsia"/>
                <w:color w:val="auto"/>
                <w:kern w:val="0"/>
                <w:sz w:val="24"/>
                <w:highlight w:val="none"/>
                <w:lang w:val="en-US" w:eastAsia="zh-CN"/>
              </w:rPr>
              <w:t>5</w:t>
            </w:r>
            <w:r>
              <w:rPr>
                <w:rFonts w:hint="eastAsia"/>
                <w:color w:val="auto"/>
                <w:kern w:val="0"/>
                <w:sz w:val="24"/>
                <w:highlight w:val="none"/>
              </w:rPr>
              <w:t>）配备应急救援物资，灭火器、消防</w:t>
            </w:r>
            <w:r>
              <w:rPr>
                <w:rFonts w:hint="eastAsia"/>
                <w:color w:val="auto"/>
                <w:kern w:val="0"/>
                <w:sz w:val="24"/>
                <w:highlight w:val="none"/>
                <w:lang w:val="en-US" w:eastAsia="zh-CN"/>
              </w:rPr>
              <w:t>沙</w:t>
            </w:r>
            <w:r>
              <w:rPr>
                <w:rFonts w:hint="eastAsia"/>
                <w:color w:val="auto"/>
                <w:kern w:val="0"/>
                <w:sz w:val="24"/>
                <w:highlight w:val="none"/>
              </w:rPr>
              <w:t>等。</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color w:val="auto"/>
                <w:kern w:val="0"/>
                <w:sz w:val="24"/>
                <w:highlight w:val="none"/>
              </w:rPr>
              <w:t>（</w:t>
            </w:r>
            <w:r>
              <w:rPr>
                <w:rFonts w:hint="eastAsia"/>
                <w:color w:val="auto"/>
                <w:kern w:val="0"/>
                <w:sz w:val="24"/>
                <w:highlight w:val="none"/>
                <w:lang w:val="en-US" w:eastAsia="zh-CN"/>
              </w:rPr>
              <w:t>6</w:t>
            </w:r>
            <w:r>
              <w:rPr>
                <w:rFonts w:hint="eastAsia"/>
                <w:color w:val="auto"/>
                <w:kern w:val="0"/>
                <w:sz w:val="24"/>
                <w:highlight w:val="none"/>
              </w:rPr>
              <w:t>）制定风险防范措施，通过加强员工的安全、环保知识和风险事故安全教育，</w:t>
            </w:r>
            <w:r>
              <w:rPr>
                <w:rFonts w:hint="eastAsia"/>
                <w:color w:val="auto"/>
                <w:kern w:val="0"/>
                <w:sz w:val="24"/>
                <w:highlight w:val="none"/>
                <w:lang w:eastAsia="zh-CN"/>
              </w:rPr>
              <w:t>增强</w:t>
            </w:r>
            <w:r>
              <w:rPr>
                <w:rFonts w:hint="eastAsia"/>
                <w:color w:val="auto"/>
                <w:kern w:val="0"/>
                <w:sz w:val="24"/>
                <w:highlight w:val="none"/>
              </w:rPr>
              <w:t>职工的风险意识，以减少风险发生的概率。</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color w:val="auto"/>
                <w:kern w:val="0"/>
                <w:sz w:val="24"/>
                <w:highlight w:val="none"/>
              </w:rPr>
              <w:t>（</w:t>
            </w:r>
            <w:r>
              <w:rPr>
                <w:rFonts w:hint="eastAsia"/>
                <w:color w:val="auto"/>
                <w:kern w:val="0"/>
                <w:sz w:val="24"/>
                <w:highlight w:val="none"/>
                <w:lang w:val="en-US" w:eastAsia="zh-CN"/>
              </w:rPr>
              <w:t>7</w:t>
            </w:r>
            <w:r>
              <w:rPr>
                <w:rFonts w:hint="eastAsia"/>
                <w:color w:val="auto"/>
                <w:kern w:val="0"/>
                <w:sz w:val="24"/>
                <w:highlight w:val="none"/>
              </w:rPr>
              <w:t>）</w:t>
            </w:r>
            <w:r>
              <w:rPr>
                <w:rFonts w:hint="default"/>
                <w:color w:val="auto"/>
                <w:kern w:val="0"/>
                <w:sz w:val="24"/>
                <w:highlight w:val="none"/>
              </w:rPr>
              <w:t>建设单位应严格按照国家有关标准的要求对生产过程进行严格监控和管理，认真落实本次环评提出的环保对策措施，</w:t>
            </w:r>
            <w:r>
              <w:rPr>
                <w:rFonts w:hint="eastAsia"/>
                <w:color w:val="auto"/>
                <w:kern w:val="0"/>
                <w:sz w:val="24"/>
                <w:highlight w:val="none"/>
              </w:rPr>
              <w:t>并</w:t>
            </w:r>
            <w:r>
              <w:rPr>
                <w:rFonts w:hint="default"/>
                <w:color w:val="auto"/>
                <w:kern w:val="0"/>
                <w:sz w:val="24"/>
                <w:highlight w:val="none"/>
              </w:rPr>
              <w:t>制定应急预案</w:t>
            </w:r>
            <w:r>
              <w:rPr>
                <w:rFonts w:hint="eastAsia"/>
                <w:color w:val="auto"/>
                <w:kern w:val="0"/>
                <w:sz w:val="24"/>
                <w:highlight w:val="none"/>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default"/>
                <w:color w:val="auto"/>
                <w:kern w:val="0"/>
                <w:sz w:val="24"/>
                <w:highlight w:val="none"/>
              </w:rPr>
              <w:t>综上所述，采取本报告表中提出的上述环境风险防范措施后</w:t>
            </w:r>
            <w:r>
              <w:rPr>
                <w:rFonts w:hint="eastAsia"/>
                <w:color w:val="auto"/>
                <w:kern w:val="0"/>
                <w:sz w:val="24"/>
                <w:highlight w:val="none"/>
              </w:rPr>
              <w:t>并制定应急预案</w:t>
            </w:r>
            <w:r>
              <w:rPr>
                <w:rFonts w:hint="default"/>
                <w:color w:val="auto"/>
                <w:kern w:val="0"/>
                <w:sz w:val="24"/>
                <w:highlight w:val="none"/>
              </w:rPr>
              <w:t>，可以将</w:t>
            </w:r>
            <w:r>
              <w:rPr>
                <w:rFonts w:hint="eastAsia"/>
                <w:color w:val="auto"/>
                <w:kern w:val="0"/>
                <w:sz w:val="24"/>
                <w:highlight w:val="none"/>
              </w:rPr>
              <w:t>本</w:t>
            </w:r>
            <w:r>
              <w:rPr>
                <w:rFonts w:hint="default"/>
                <w:color w:val="auto"/>
                <w:kern w:val="0"/>
                <w:sz w:val="24"/>
                <w:highlight w:val="none"/>
              </w:rPr>
              <w:t>项目营运期的环境风险降至最低水平。</w:t>
            </w:r>
          </w:p>
          <w:p>
            <w:pPr>
              <w:pStyle w:val="4"/>
              <w:bidi w:val="0"/>
              <w:rPr>
                <w:rFonts w:hint="default"/>
                <w:lang w:val="en-US" w:eastAsia="zh-CN"/>
              </w:rPr>
            </w:pPr>
            <w:r>
              <w:rPr>
                <w:rFonts w:hint="eastAsia"/>
                <w:lang w:val="en-US" w:eastAsia="zh-CN"/>
              </w:rPr>
              <w:t>7</w:t>
            </w:r>
            <w:r>
              <w:rPr>
                <w:rFonts w:hint="default"/>
                <w:lang w:val="en-US" w:eastAsia="zh-CN"/>
              </w:rPr>
              <w:t>、</w:t>
            </w:r>
            <w:r>
              <w:rPr>
                <w:rFonts w:hint="default"/>
                <w:b/>
                <w:bCs w:val="0"/>
                <w:color w:val="000000"/>
                <w:spacing w:val="0"/>
                <w:kern w:val="0"/>
                <w:sz w:val="24"/>
                <w:szCs w:val="24"/>
                <w:lang w:val="en-US" w:eastAsia="zh-CN"/>
              </w:rPr>
              <w:t>环境管理</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建议建设单位尽快成立环保专职管理机构并设管理机构负责人，对项目运营期实行监测管理。该机构由建设单位直接领导，并接受生态环境部门的指导和监督。</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环境管理机构职责如下：</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（1）宣传并贯彻国家和地方的有关环保法规、条例、标准，提高施工、维护、管理及使用人员的环保意识，并贯彻于本职岗位中；</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（2）组织制定环保工作计划，并制定年度实施计划，</w:t>
            </w:r>
            <w:r>
              <w:rPr>
                <w:rFonts w:hint="eastAsia"/>
                <w:bCs/>
                <w:color w:val="000000"/>
                <w:spacing w:val="0"/>
                <w:kern w:val="0"/>
                <w:sz w:val="24"/>
                <w:szCs w:val="24"/>
                <w:lang w:val="en-US" w:eastAsia="zh-CN"/>
              </w:rPr>
              <w:t>纳入</w:t>
            </w:r>
            <w:r>
              <w:rPr>
                <w:rFonts w:hint="default"/>
                <w:bCs/>
                <w:color w:val="000000"/>
                <w:spacing w:val="0"/>
                <w:kern w:val="0"/>
                <w:sz w:val="24"/>
                <w:szCs w:val="24"/>
                <w:lang w:val="en-US" w:eastAsia="zh-CN"/>
              </w:rPr>
              <w:t>施工、运营过程，并责成有关部门落实；</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（3）制定本工程运营期监测计划，并组织监测计划的实施；</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（4）负责污染事故的防范及应急处理和报告工作。</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环境管理机构负责人应领导环境管理机构人员履行其职责；掌握本建设项目环保工作的全面动态情况；负责审批项目环保岗位制度、工作和年度计划；指挥项目环保工作的实施；协调各有关部门的关系；保障环境保护</w:t>
            </w:r>
            <w:r>
              <w:rPr>
                <w:rFonts w:hint="eastAsia"/>
                <w:bCs/>
                <w:color w:val="000000"/>
                <w:spacing w:val="0"/>
                <w:kern w:val="0"/>
                <w:sz w:val="24"/>
                <w:szCs w:val="24"/>
                <w:lang w:val="en-US" w:eastAsia="zh-CN"/>
              </w:rPr>
              <w:t>工作所必需的</w:t>
            </w:r>
            <w:r>
              <w:rPr>
                <w:rFonts w:hint="default"/>
                <w:bCs/>
                <w:color w:val="000000"/>
                <w:spacing w:val="0"/>
                <w:kern w:val="0"/>
                <w:sz w:val="24"/>
                <w:szCs w:val="24"/>
                <w:lang w:val="en-US" w:eastAsia="zh-CN"/>
              </w:rPr>
              <w:t>资源。加强建设项目营运期的环境管理，制定出切实可行的环境污染防治办法和具体操作规程，做好环境教育和宣传工作，提高各级管理人员和工作人员的环境保护意识和技术水平，加强员工对环境污染防治的责任心，自觉遵守和执行各项环境保护规章制度；定期对环境保护设施进行维护和保养，确保环境保护设施的正常运行，</w:t>
            </w:r>
            <w:r>
              <w:rPr>
                <w:rFonts w:hint="eastAsia"/>
                <w:bCs/>
                <w:color w:val="000000"/>
                <w:spacing w:val="0"/>
                <w:kern w:val="0"/>
                <w:sz w:val="24"/>
                <w:szCs w:val="24"/>
                <w:lang w:val="en-US" w:eastAsia="zh-CN"/>
              </w:rPr>
              <w:t>防止</w:t>
            </w:r>
            <w:r>
              <w:rPr>
                <w:rFonts w:hint="default"/>
                <w:bCs/>
                <w:color w:val="000000"/>
                <w:spacing w:val="0"/>
                <w:kern w:val="0"/>
                <w:sz w:val="24"/>
                <w:szCs w:val="24"/>
                <w:lang w:val="en-US" w:eastAsia="zh-CN"/>
              </w:rPr>
              <w:t>污染事故的发生；管理、监督和指导。</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lang w:val="en-US" w:eastAsia="zh-CN"/>
              </w:rPr>
            </w:pPr>
            <w:r>
              <w:rPr>
                <w:rFonts w:hint="default"/>
                <w:bCs/>
                <w:color w:val="000000"/>
                <w:spacing w:val="0"/>
                <w:kern w:val="0"/>
                <w:sz w:val="24"/>
                <w:szCs w:val="24"/>
                <w:lang w:val="en-US" w:eastAsia="zh-CN"/>
              </w:rPr>
              <w:t>根据《关于进一步加强环保设备设施安全生产工作的通知》（安委办明电〔2022〕17号）要求，企业主要负责人严格履行第一责任人责任，将环保设备设施安全作为企业安全管理的重要组成部分，全面负责落实本单位的环保设备设施安全生产工作。严格落实涉环保设备设施环保和安全“三同时”有关要求，委托有资质的设计单位进行正规设计，在选用污染防治技术时要充分考虑安全因素；在环保设备设施改造中必须依法开展安全风险评估，做好安全防范。对涉环保设备设施相关岗位人员进行操作规程、风险管控、应急处置、典型事故警示等专项安全培训教育。开展环保设备设施安全风险辨识评估，系统排查隐患，依法建立隐患整改台账，明确整改责任人、措施、资金、时限和应急救援预案，及时消除隐患。认真落实相关技术标准规范，严格执行吊装、动火、高处等危险作业审批制度，加强有限空间、检维修作业安全管理，采取有效隔离措施，实施现场安全监护和科学施救。对受委托开展环保设备设施建设、运营和检维修第三方的安全生产工作进行统一协调、管理，定期进行安全检查，发现安全问题的，及时督促整改，不得“一包了之”，不管不问。</w:t>
            </w:r>
          </w:p>
          <w:p>
            <w:pPr>
              <w:pStyle w:val="4"/>
              <w:bidi w:val="0"/>
              <w:rPr>
                <w:rFonts w:hint="default"/>
                <w:lang w:val="en-US" w:eastAsia="zh-CN"/>
              </w:rPr>
            </w:pPr>
            <w:r>
              <w:rPr>
                <w:rFonts w:hint="eastAsia"/>
                <w:lang w:val="en-US" w:eastAsia="zh-CN"/>
              </w:rPr>
              <w:t>8、</w:t>
            </w:r>
            <w:r>
              <w:rPr>
                <w:rFonts w:hint="default"/>
                <w:lang w:val="en-US" w:eastAsia="zh-CN"/>
              </w:rPr>
              <w:t>排污许可</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eastAsia"/>
                <w:bCs/>
                <w:color w:val="000000"/>
                <w:spacing w:val="0"/>
                <w:kern w:val="0"/>
                <w:sz w:val="24"/>
                <w:szCs w:val="24"/>
                <w:lang w:val="en-US" w:eastAsia="zh-CN"/>
              </w:rPr>
              <w:t>（1）排污许可证</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排污许可管理条例》（中华人民共和国第736号）规定依照法律规定实行排污许可管理的企业事业单位和其他生产经营者（以下称排污单位），应当依照本条例规定申请取得排污许可证；未取得排污许可证的，不得排放污染物。根据污染物产生量、排放量、对环境的影响程度等因素，对排污单位实行排污许可分类管理：污染物产生量、排放量或者对环境的影响程度较大的排污单位，实行排污许可重点管理；污染物产生量、排放量和对环境的影响程度都较小的排污单位，实行排污许可简化管理。</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对照《固定污染源排污许可分类管理名录（2019年版）》，本项目属于“二十五、非金属矿物制品业 </w:t>
            </w:r>
            <w:r>
              <w:rPr>
                <w:rFonts w:hint="eastAsia"/>
                <w:bCs/>
                <w:color w:val="000000"/>
                <w:spacing w:val="0"/>
                <w:kern w:val="0"/>
                <w:sz w:val="24"/>
                <w:szCs w:val="24"/>
                <w:lang w:val="en-US" w:eastAsia="zh-CN"/>
              </w:rPr>
              <w:t>-63石膏、水泥制品及类似制品制造302-水泥制品制造3021，砼结构构件制造3022</w:t>
            </w:r>
            <w:r>
              <w:rPr>
                <w:rFonts w:hint="default"/>
                <w:bCs/>
                <w:color w:val="000000"/>
                <w:spacing w:val="0"/>
                <w:kern w:val="0"/>
                <w:sz w:val="24"/>
                <w:szCs w:val="24"/>
                <w:lang w:val="en-US" w:eastAsia="zh-CN"/>
              </w:rPr>
              <w:t>”，实施</w:t>
            </w:r>
            <w:r>
              <w:rPr>
                <w:rFonts w:hint="eastAsia"/>
                <w:bCs/>
                <w:color w:val="000000"/>
                <w:spacing w:val="0"/>
                <w:kern w:val="0"/>
                <w:sz w:val="24"/>
                <w:szCs w:val="24"/>
                <w:lang w:val="en-US" w:eastAsia="zh-CN"/>
              </w:rPr>
              <w:t>登记</w:t>
            </w:r>
            <w:r>
              <w:rPr>
                <w:rFonts w:hint="default"/>
                <w:bCs/>
                <w:color w:val="000000"/>
                <w:spacing w:val="0"/>
                <w:kern w:val="0"/>
                <w:sz w:val="24"/>
                <w:szCs w:val="24"/>
                <w:lang w:val="en-US" w:eastAsia="zh-CN"/>
              </w:rPr>
              <w:t>管理，因此本项目建设单位在产生排污行为之前应当</w:t>
            </w:r>
            <w:r>
              <w:rPr>
                <w:rFonts w:hint="eastAsia"/>
                <w:bCs/>
                <w:color w:val="000000"/>
                <w:spacing w:val="0"/>
                <w:kern w:val="0"/>
                <w:sz w:val="24"/>
                <w:szCs w:val="24"/>
                <w:lang w:val="en-US" w:eastAsia="zh-CN"/>
              </w:rPr>
              <w:t>进行排污登记</w:t>
            </w:r>
            <w:r>
              <w:rPr>
                <w:rFonts w:hint="default"/>
                <w:bCs/>
                <w:color w:val="000000"/>
                <w:spacing w:val="0"/>
                <w:kern w:val="0"/>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根据《排污许可管理条例》，在排污许可证有效期内，排污单位有下列情形之一的，应当重新申请取得排污许可证：</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（一）新建、改建、扩建排放污染物的项目；</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（二）生产经营场所、污染物排放口位置或者污染物排放方式、排放去向发生变化；</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（三）污染物排放口数量或者污染物排放种类、排放量、排放浓度增加。</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eastAsia"/>
                <w:bCs/>
                <w:color w:val="000000"/>
                <w:spacing w:val="0"/>
                <w:kern w:val="0"/>
                <w:sz w:val="24"/>
                <w:szCs w:val="24"/>
                <w:lang w:val="en-US" w:eastAsia="zh-CN"/>
              </w:rPr>
              <w:t>（2</w:t>
            </w:r>
            <w:r>
              <w:rPr>
                <w:rFonts w:hint="default"/>
                <w:bCs/>
                <w:color w:val="000000"/>
                <w:spacing w:val="0"/>
                <w:kern w:val="0"/>
                <w:sz w:val="24"/>
                <w:szCs w:val="24"/>
                <w:lang w:val="en-US" w:eastAsia="zh-CN"/>
              </w:rPr>
              <w:t>）排污口管理</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建设单位应在各个排污口处竖立标志牌，并如实填写《中华人民共和国规范化排污口标记登记证》，由环保部门签发。环保主管部门和建设单位可分别按以下内容建立排污口管理的专门档案：排污口性质和编号；位置；排放主要污染物种类、数量、浓度；排放去向；达标情况；治理设施运行情况及整改意见。</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（2）环境保护图形标志</w:t>
            </w:r>
          </w:p>
          <w:p>
            <w:pPr>
              <w:keepNext w:val="0"/>
              <w:keepLines w:val="0"/>
              <w:pageBreakBefore w:val="0"/>
              <w:widowControl/>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在本项目废气排放口、废水排放口、固体废物贮存场、噪声产生点及危废贮存间设置环境保护图形标志，图形符号分为提示图形和警告图形符号两种，分别按《环境保护图形标志—固体废物贮存（处置）场》（GB 15562.2-1995）修改单及其修改单和《危险废物识别标志设置技术规范》 （HJ 1276—2022）等要求设置，同时根据《排污单位污染物排放口二维码标识技术规范》（HJ 1297—2023）要求在标识上设置污染物排放口二维码，承载污染物排放口代码，信息服务地址等。环境保护图形符号见表</w:t>
            </w:r>
            <w:r>
              <w:rPr>
                <w:rFonts w:hint="eastAsia"/>
                <w:bCs/>
                <w:color w:val="000000"/>
                <w:spacing w:val="0"/>
                <w:kern w:val="0"/>
                <w:sz w:val="24"/>
                <w:szCs w:val="24"/>
                <w:lang w:val="en-US" w:eastAsia="zh-CN"/>
              </w:rPr>
              <w:t>4-18</w:t>
            </w:r>
            <w:r>
              <w:rPr>
                <w:rFonts w:hint="default"/>
                <w:bCs/>
                <w:color w:val="000000"/>
                <w:spacing w:val="0"/>
                <w:kern w:val="0"/>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422" w:firstLineChars="200"/>
              <w:textAlignment w:val="auto"/>
              <w:rPr>
                <w:rFonts w:hint="default"/>
                <w:b/>
                <w:bCs w:val="0"/>
                <w:color w:val="000000"/>
                <w:spacing w:val="0"/>
                <w:kern w:val="0"/>
                <w:sz w:val="21"/>
                <w:szCs w:val="18"/>
                <w:lang w:val="en-US" w:eastAsia="zh-CN"/>
              </w:rPr>
            </w:pPr>
            <w:r>
              <w:rPr>
                <w:rFonts w:hint="default"/>
                <w:b/>
                <w:bCs w:val="0"/>
                <w:color w:val="000000"/>
                <w:spacing w:val="0"/>
                <w:kern w:val="0"/>
                <w:sz w:val="21"/>
                <w:szCs w:val="18"/>
                <w:lang w:val="en-US" w:eastAsia="zh-CN"/>
              </w:rPr>
              <w:t>表</w:t>
            </w:r>
            <w:r>
              <w:rPr>
                <w:rFonts w:hint="eastAsia"/>
                <w:b/>
                <w:bCs w:val="0"/>
                <w:color w:val="000000"/>
                <w:spacing w:val="0"/>
                <w:kern w:val="0"/>
                <w:sz w:val="21"/>
                <w:szCs w:val="18"/>
                <w:lang w:val="en-US" w:eastAsia="zh-CN"/>
              </w:rPr>
              <w:t>4-18</w:t>
            </w:r>
            <w:r>
              <w:rPr>
                <w:rFonts w:hint="default"/>
                <w:b/>
                <w:bCs w:val="0"/>
                <w:color w:val="000000"/>
                <w:spacing w:val="0"/>
                <w:kern w:val="0"/>
                <w:sz w:val="21"/>
                <w:szCs w:val="18"/>
                <w:lang w:val="en-US" w:eastAsia="zh-CN"/>
              </w:rPr>
              <w:t xml:space="preserve">                         环境保护图形符号一览表</w:t>
            </w:r>
          </w:p>
          <w:tbl>
            <w:tblPr>
              <w:tblStyle w:val="40"/>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1804"/>
              <w:gridCol w:w="1937"/>
              <w:gridCol w:w="1374"/>
              <w:gridCol w:w="283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5" w:type="pct"/>
                  <w:tcBorders>
                    <w:tl2br w:val="nil"/>
                    <w:tr2bl w:val="nil"/>
                  </w:tcBorders>
                  <w:noWrap w:val="0"/>
                  <w:vAlign w:val="center"/>
                </w:tcPr>
                <w:p>
                  <w:pPr>
                    <w:pStyle w:val="6"/>
                    <w:bidi w:val="0"/>
                    <w:rPr>
                      <w:rFonts w:hint="default"/>
                      <w:lang w:val="en-US" w:eastAsia="zh-CN"/>
                    </w:rPr>
                  </w:pPr>
                  <w:r>
                    <w:rPr>
                      <w:rFonts w:hint="default"/>
                      <w:lang w:val="en-US" w:eastAsia="zh-CN"/>
                    </w:rPr>
                    <w:t>序号</w:t>
                  </w:r>
                </w:p>
              </w:tc>
              <w:tc>
                <w:tcPr>
                  <w:tcW w:w="1074" w:type="pct"/>
                  <w:tcBorders>
                    <w:tl2br w:val="nil"/>
                    <w:tr2bl w:val="nil"/>
                  </w:tcBorders>
                  <w:noWrap w:val="0"/>
                  <w:vAlign w:val="center"/>
                </w:tcPr>
                <w:p>
                  <w:pPr>
                    <w:pStyle w:val="6"/>
                    <w:bidi w:val="0"/>
                    <w:rPr>
                      <w:rFonts w:hint="default"/>
                      <w:lang w:val="en-US" w:eastAsia="zh-CN"/>
                    </w:rPr>
                  </w:pPr>
                  <w:r>
                    <w:rPr>
                      <w:rFonts w:hint="default"/>
                      <w:lang w:val="en-US" w:eastAsia="zh-CN"/>
                    </w:rPr>
                    <w:t>提示图形符号</w:t>
                  </w:r>
                </w:p>
              </w:tc>
              <w:tc>
                <w:tcPr>
                  <w:tcW w:w="1153" w:type="pct"/>
                  <w:tcBorders>
                    <w:tl2br w:val="nil"/>
                    <w:tr2bl w:val="nil"/>
                  </w:tcBorders>
                  <w:noWrap w:val="0"/>
                  <w:vAlign w:val="center"/>
                </w:tcPr>
                <w:p>
                  <w:pPr>
                    <w:pStyle w:val="6"/>
                    <w:bidi w:val="0"/>
                    <w:rPr>
                      <w:rFonts w:hint="default"/>
                      <w:lang w:val="en-US" w:eastAsia="zh-CN"/>
                    </w:rPr>
                  </w:pPr>
                  <w:r>
                    <w:rPr>
                      <w:rFonts w:hint="default"/>
                      <w:lang w:val="en-US" w:eastAsia="zh-CN"/>
                    </w:rPr>
                    <w:t>警告图形符号</w:t>
                  </w:r>
                </w:p>
              </w:tc>
              <w:tc>
                <w:tcPr>
                  <w:tcW w:w="818" w:type="pct"/>
                  <w:tcBorders>
                    <w:tl2br w:val="nil"/>
                    <w:tr2bl w:val="nil"/>
                  </w:tcBorders>
                  <w:noWrap w:val="0"/>
                  <w:vAlign w:val="center"/>
                </w:tcPr>
                <w:p>
                  <w:pPr>
                    <w:pStyle w:val="6"/>
                    <w:bidi w:val="0"/>
                    <w:rPr>
                      <w:rFonts w:hint="default"/>
                      <w:lang w:val="en-US" w:eastAsia="zh-CN"/>
                    </w:rPr>
                  </w:pPr>
                  <w:r>
                    <w:rPr>
                      <w:rFonts w:hint="default"/>
                      <w:lang w:val="en-US" w:eastAsia="zh-CN"/>
                    </w:rPr>
                    <w:t>名称</w:t>
                  </w:r>
                </w:p>
              </w:tc>
              <w:tc>
                <w:tcPr>
                  <w:tcW w:w="1687" w:type="pct"/>
                  <w:tcBorders>
                    <w:tl2br w:val="nil"/>
                    <w:tr2bl w:val="nil"/>
                  </w:tcBorders>
                  <w:noWrap w:val="0"/>
                  <w:vAlign w:val="center"/>
                </w:tcPr>
                <w:p>
                  <w:pPr>
                    <w:pStyle w:val="6"/>
                    <w:bidi w:val="0"/>
                    <w:rPr>
                      <w:rFonts w:hint="default"/>
                      <w:lang w:val="en-US" w:eastAsia="zh-CN"/>
                    </w:rPr>
                  </w:pPr>
                  <w:r>
                    <w:rPr>
                      <w:rFonts w:hint="default"/>
                      <w:lang w:val="en-US" w:eastAsia="zh-CN"/>
                    </w:rPr>
                    <w:t>功能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47" w:hRule="atLeast"/>
                <w:jc w:val="center"/>
              </w:trPr>
              <w:tc>
                <w:tcPr>
                  <w:tcW w:w="265" w:type="pct"/>
                  <w:tcBorders>
                    <w:tl2br w:val="nil"/>
                    <w:tr2bl w:val="nil"/>
                  </w:tcBorders>
                  <w:noWrap w:val="0"/>
                  <w:vAlign w:val="center"/>
                </w:tcPr>
                <w:p>
                  <w:pPr>
                    <w:pStyle w:val="6"/>
                    <w:bidi w:val="0"/>
                    <w:rPr>
                      <w:rFonts w:hint="default"/>
                      <w:lang w:val="en-US" w:eastAsia="zh-CN"/>
                    </w:rPr>
                  </w:pPr>
                  <w:r>
                    <w:rPr>
                      <w:rFonts w:hint="default"/>
                      <w:lang w:val="en-US" w:eastAsia="zh-CN"/>
                    </w:rPr>
                    <w:t>1</w:t>
                  </w:r>
                </w:p>
              </w:tc>
              <w:tc>
                <w:tcPr>
                  <w:tcW w:w="1074" w:type="pct"/>
                  <w:tcBorders>
                    <w:tl2br w:val="nil"/>
                    <w:tr2bl w:val="nil"/>
                  </w:tcBorders>
                  <w:noWrap w:val="0"/>
                  <w:vAlign w:val="center"/>
                </w:tcPr>
                <w:p>
                  <w:pPr>
                    <w:pStyle w:val="6"/>
                    <w:bidi w:val="0"/>
                    <w:rPr>
                      <w:rFonts w:hint="default"/>
                      <w:lang w:val="en-US" w:eastAsia="zh-CN"/>
                    </w:rPr>
                  </w:pPr>
                  <w:r>
                    <w:rPr>
                      <w:rFonts w:hint="default"/>
                      <w:lang w:val="en-US" w:eastAsia="zh-CN"/>
                    </w:rPr>
                    <w:drawing>
                      <wp:inline distT="0" distB="0" distL="114300" distR="114300">
                        <wp:extent cx="897255" cy="912495"/>
                        <wp:effectExtent l="0" t="0" r="17145" b="1905"/>
                        <wp:docPr id="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pic:cNvPicPr>
                                  <a:picLocks noChangeAspect="1"/>
                                </pic:cNvPicPr>
                              </pic:nvPicPr>
                              <pic:blipFill>
                                <a:blip r:embed="rId23"/>
                                <a:stretch>
                                  <a:fillRect/>
                                </a:stretch>
                              </pic:blipFill>
                              <pic:spPr>
                                <a:xfrm>
                                  <a:off x="0" y="0"/>
                                  <a:ext cx="897255" cy="912495"/>
                                </a:xfrm>
                                <a:prstGeom prst="rect">
                                  <a:avLst/>
                                </a:prstGeom>
                                <a:noFill/>
                                <a:ln>
                                  <a:noFill/>
                                </a:ln>
                              </pic:spPr>
                            </pic:pic>
                          </a:graphicData>
                        </a:graphic>
                      </wp:inline>
                    </w:drawing>
                  </w:r>
                </w:p>
              </w:tc>
              <w:tc>
                <w:tcPr>
                  <w:tcW w:w="1153" w:type="pct"/>
                  <w:tcBorders>
                    <w:tl2br w:val="nil"/>
                    <w:tr2bl w:val="nil"/>
                  </w:tcBorders>
                  <w:noWrap w:val="0"/>
                  <w:vAlign w:val="center"/>
                </w:tcPr>
                <w:p>
                  <w:pPr>
                    <w:pStyle w:val="6"/>
                    <w:bidi w:val="0"/>
                    <w:rPr>
                      <w:rFonts w:hint="default"/>
                      <w:lang w:val="en-US" w:eastAsia="zh-CN"/>
                    </w:rPr>
                  </w:pPr>
                  <w:r>
                    <w:rPr>
                      <w:rFonts w:hint="default"/>
                      <w:lang w:val="en-US" w:eastAsia="zh-CN"/>
                    </w:rPr>
                    <w:drawing>
                      <wp:inline distT="0" distB="0" distL="114300" distR="114300">
                        <wp:extent cx="1035050" cy="877570"/>
                        <wp:effectExtent l="0" t="0" r="12700" b="17780"/>
                        <wp:docPr id="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7"/>
                                <pic:cNvPicPr>
                                  <a:picLocks noChangeAspect="1"/>
                                </pic:cNvPicPr>
                              </pic:nvPicPr>
                              <pic:blipFill>
                                <a:blip r:embed="rId24"/>
                                <a:stretch>
                                  <a:fillRect/>
                                </a:stretch>
                              </pic:blipFill>
                              <pic:spPr>
                                <a:xfrm>
                                  <a:off x="0" y="0"/>
                                  <a:ext cx="1035050" cy="877570"/>
                                </a:xfrm>
                                <a:prstGeom prst="rect">
                                  <a:avLst/>
                                </a:prstGeom>
                                <a:noFill/>
                                <a:ln>
                                  <a:noFill/>
                                </a:ln>
                              </pic:spPr>
                            </pic:pic>
                          </a:graphicData>
                        </a:graphic>
                      </wp:inline>
                    </w:drawing>
                  </w:r>
                </w:p>
              </w:tc>
              <w:tc>
                <w:tcPr>
                  <w:tcW w:w="818" w:type="pct"/>
                  <w:tcBorders>
                    <w:tl2br w:val="nil"/>
                    <w:tr2bl w:val="nil"/>
                  </w:tcBorders>
                  <w:noWrap w:val="0"/>
                  <w:vAlign w:val="center"/>
                </w:tcPr>
                <w:p>
                  <w:pPr>
                    <w:pStyle w:val="6"/>
                    <w:bidi w:val="0"/>
                    <w:rPr>
                      <w:rFonts w:hint="default"/>
                      <w:lang w:val="en-US" w:eastAsia="zh-CN"/>
                    </w:rPr>
                  </w:pPr>
                  <w:r>
                    <w:rPr>
                      <w:rFonts w:hint="default"/>
                      <w:lang w:val="en-US" w:eastAsia="zh-CN"/>
                    </w:rPr>
                    <w:t>污水排放口</w:t>
                  </w:r>
                </w:p>
              </w:tc>
              <w:tc>
                <w:tcPr>
                  <w:tcW w:w="1687" w:type="pct"/>
                  <w:tcBorders>
                    <w:tl2br w:val="nil"/>
                    <w:tr2bl w:val="nil"/>
                  </w:tcBorders>
                  <w:noWrap w:val="0"/>
                  <w:vAlign w:val="center"/>
                </w:tcPr>
                <w:p>
                  <w:pPr>
                    <w:pStyle w:val="6"/>
                    <w:bidi w:val="0"/>
                    <w:rPr>
                      <w:rFonts w:hint="default"/>
                      <w:lang w:val="en-US" w:eastAsia="zh-CN"/>
                    </w:rPr>
                  </w:pPr>
                  <w:r>
                    <w:rPr>
                      <w:rFonts w:hint="default"/>
                      <w:lang w:val="en-US" w:eastAsia="zh-CN"/>
                    </w:rPr>
                    <w:t>表示污水向外环境排放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90" w:hRule="atLeast"/>
                <w:jc w:val="center"/>
              </w:trPr>
              <w:tc>
                <w:tcPr>
                  <w:tcW w:w="265" w:type="pct"/>
                  <w:tcBorders>
                    <w:tl2br w:val="nil"/>
                    <w:tr2bl w:val="nil"/>
                  </w:tcBorders>
                  <w:noWrap w:val="0"/>
                  <w:vAlign w:val="center"/>
                </w:tcPr>
                <w:p>
                  <w:pPr>
                    <w:pStyle w:val="6"/>
                    <w:bidi w:val="0"/>
                    <w:rPr>
                      <w:rFonts w:hint="default"/>
                      <w:lang w:val="en-US" w:eastAsia="zh-CN"/>
                    </w:rPr>
                  </w:pPr>
                  <w:r>
                    <w:rPr>
                      <w:rFonts w:hint="default"/>
                      <w:lang w:val="en-US" w:eastAsia="zh-CN"/>
                    </w:rPr>
                    <w:t>2</w:t>
                  </w:r>
                </w:p>
              </w:tc>
              <w:tc>
                <w:tcPr>
                  <w:tcW w:w="1074" w:type="pct"/>
                  <w:tcBorders>
                    <w:tl2br w:val="nil"/>
                    <w:tr2bl w:val="nil"/>
                  </w:tcBorders>
                  <w:noWrap w:val="0"/>
                  <w:vAlign w:val="center"/>
                </w:tcPr>
                <w:p>
                  <w:pPr>
                    <w:pStyle w:val="6"/>
                    <w:bidi w:val="0"/>
                    <w:rPr>
                      <w:rFonts w:hint="default"/>
                      <w:lang w:val="en-US" w:eastAsia="zh-CN"/>
                    </w:rPr>
                  </w:pPr>
                  <w:r>
                    <w:rPr>
                      <w:rFonts w:hint="default"/>
                      <w:lang w:val="en-US" w:eastAsia="zh-CN"/>
                    </w:rPr>
                    <w:drawing>
                      <wp:inline distT="0" distB="0" distL="114300" distR="114300">
                        <wp:extent cx="1006475" cy="1005840"/>
                        <wp:effectExtent l="0" t="0" r="3175" b="3810"/>
                        <wp:docPr id="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8"/>
                                <pic:cNvPicPr>
                                  <a:picLocks noChangeAspect="1"/>
                                </pic:cNvPicPr>
                              </pic:nvPicPr>
                              <pic:blipFill>
                                <a:blip r:embed="rId25"/>
                                <a:stretch>
                                  <a:fillRect/>
                                </a:stretch>
                              </pic:blipFill>
                              <pic:spPr>
                                <a:xfrm>
                                  <a:off x="0" y="0"/>
                                  <a:ext cx="1006475" cy="1005840"/>
                                </a:xfrm>
                                <a:prstGeom prst="rect">
                                  <a:avLst/>
                                </a:prstGeom>
                                <a:noFill/>
                                <a:ln>
                                  <a:noFill/>
                                </a:ln>
                              </pic:spPr>
                            </pic:pic>
                          </a:graphicData>
                        </a:graphic>
                      </wp:inline>
                    </w:drawing>
                  </w:r>
                </w:p>
              </w:tc>
              <w:tc>
                <w:tcPr>
                  <w:tcW w:w="1153" w:type="pct"/>
                  <w:tcBorders>
                    <w:tl2br w:val="nil"/>
                    <w:tr2bl w:val="nil"/>
                  </w:tcBorders>
                  <w:noWrap w:val="0"/>
                  <w:vAlign w:val="center"/>
                </w:tcPr>
                <w:p>
                  <w:pPr>
                    <w:pStyle w:val="6"/>
                    <w:bidi w:val="0"/>
                    <w:rPr>
                      <w:rFonts w:hint="default"/>
                      <w:lang w:val="en-US" w:eastAsia="zh-CN"/>
                    </w:rPr>
                  </w:pPr>
                  <w:r>
                    <w:rPr>
                      <w:rFonts w:hint="default"/>
                      <w:lang w:val="en-US" w:eastAsia="zh-CN"/>
                    </w:rPr>
                    <w:drawing>
                      <wp:inline distT="0" distB="0" distL="114300" distR="114300">
                        <wp:extent cx="1008380" cy="817880"/>
                        <wp:effectExtent l="0" t="0" r="1270" b="1270"/>
                        <wp:docPr id="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9"/>
                                <pic:cNvPicPr>
                                  <a:picLocks noChangeAspect="1"/>
                                </pic:cNvPicPr>
                              </pic:nvPicPr>
                              <pic:blipFill>
                                <a:blip r:embed="rId26"/>
                                <a:stretch>
                                  <a:fillRect/>
                                </a:stretch>
                              </pic:blipFill>
                              <pic:spPr>
                                <a:xfrm>
                                  <a:off x="0" y="0"/>
                                  <a:ext cx="1008380" cy="817880"/>
                                </a:xfrm>
                                <a:prstGeom prst="rect">
                                  <a:avLst/>
                                </a:prstGeom>
                                <a:noFill/>
                                <a:ln>
                                  <a:noFill/>
                                </a:ln>
                              </pic:spPr>
                            </pic:pic>
                          </a:graphicData>
                        </a:graphic>
                      </wp:inline>
                    </w:drawing>
                  </w:r>
                </w:p>
              </w:tc>
              <w:tc>
                <w:tcPr>
                  <w:tcW w:w="818" w:type="pct"/>
                  <w:tcBorders>
                    <w:tl2br w:val="nil"/>
                    <w:tr2bl w:val="nil"/>
                  </w:tcBorders>
                  <w:noWrap w:val="0"/>
                  <w:vAlign w:val="center"/>
                </w:tcPr>
                <w:p>
                  <w:pPr>
                    <w:pStyle w:val="6"/>
                    <w:bidi w:val="0"/>
                    <w:rPr>
                      <w:rFonts w:hint="default"/>
                      <w:lang w:val="en-US" w:eastAsia="zh-CN"/>
                    </w:rPr>
                  </w:pPr>
                  <w:r>
                    <w:rPr>
                      <w:rFonts w:hint="default"/>
                      <w:lang w:val="en-US" w:eastAsia="zh-CN"/>
                    </w:rPr>
                    <w:t>一般固体废物</w:t>
                  </w:r>
                </w:p>
              </w:tc>
              <w:tc>
                <w:tcPr>
                  <w:tcW w:w="1687" w:type="pct"/>
                  <w:tcBorders>
                    <w:tl2br w:val="nil"/>
                    <w:tr2bl w:val="nil"/>
                  </w:tcBorders>
                  <w:noWrap w:val="0"/>
                  <w:vAlign w:val="center"/>
                </w:tcPr>
                <w:p>
                  <w:pPr>
                    <w:pStyle w:val="6"/>
                    <w:bidi w:val="0"/>
                    <w:rPr>
                      <w:rFonts w:hint="default"/>
                      <w:lang w:val="en-US" w:eastAsia="zh-CN"/>
                    </w:rPr>
                  </w:pPr>
                  <w:r>
                    <w:rPr>
                      <w:rFonts w:hint="default"/>
                      <w:lang w:val="en-US" w:eastAsia="zh-CN"/>
                    </w:rPr>
                    <w:t>表示一般固体废物贮存、处置场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90" w:hRule="atLeast"/>
                <w:jc w:val="center"/>
              </w:trPr>
              <w:tc>
                <w:tcPr>
                  <w:tcW w:w="265" w:type="pct"/>
                  <w:tcBorders>
                    <w:tl2br w:val="nil"/>
                    <w:tr2bl w:val="nil"/>
                  </w:tcBorders>
                  <w:noWrap w:val="0"/>
                  <w:vAlign w:val="center"/>
                </w:tcPr>
                <w:p>
                  <w:pPr>
                    <w:pStyle w:val="6"/>
                    <w:bidi w:val="0"/>
                    <w:rPr>
                      <w:rFonts w:hint="default"/>
                      <w:lang w:val="en-US" w:eastAsia="zh-CN"/>
                    </w:rPr>
                  </w:pPr>
                  <w:r>
                    <w:rPr>
                      <w:rFonts w:hint="default"/>
                      <w:lang w:val="en-US" w:eastAsia="zh-CN"/>
                    </w:rPr>
                    <w:t>3</w:t>
                  </w:r>
                </w:p>
              </w:tc>
              <w:tc>
                <w:tcPr>
                  <w:tcW w:w="2227" w:type="pct"/>
                  <w:gridSpan w:val="2"/>
                  <w:tcBorders>
                    <w:tl2br w:val="nil"/>
                    <w:tr2bl w:val="nil"/>
                  </w:tcBorders>
                  <w:noWrap w:val="0"/>
                  <w:vAlign w:val="center"/>
                </w:tcPr>
                <w:p>
                  <w:pPr>
                    <w:pStyle w:val="6"/>
                    <w:bidi w:val="0"/>
                    <w:rPr>
                      <w:rFonts w:hint="default"/>
                      <w:lang w:val="en-US" w:eastAsia="zh-CN"/>
                    </w:rPr>
                  </w:pPr>
                  <w:r>
                    <w:rPr>
                      <w:rFonts w:hint="default"/>
                      <w:lang w:val="en-US" w:eastAsia="zh-CN"/>
                    </w:rPr>
                    <w:drawing>
                      <wp:inline distT="0" distB="0" distL="114300" distR="114300">
                        <wp:extent cx="1144905" cy="1012825"/>
                        <wp:effectExtent l="0" t="0" r="17145" b="15875"/>
                        <wp:docPr id="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0"/>
                                <pic:cNvPicPr>
                                  <a:picLocks noChangeAspect="1"/>
                                </pic:cNvPicPr>
                              </pic:nvPicPr>
                              <pic:blipFill>
                                <a:blip r:embed="rId27"/>
                                <a:stretch>
                                  <a:fillRect/>
                                </a:stretch>
                              </pic:blipFill>
                              <pic:spPr>
                                <a:xfrm>
                                  <a:off x="0" y="0"/>
                                  <a:ext cx="1144905" cy="1012825"/>
                                </a:xfrm>
                                <a:prstGeom prst="rect">
                                  <a:avLst/>
                                </a:prstGeom>
                                <a:noFill/>
                                <a:ln>
                                  <a:noFill/>
                                </a:ln>
                              </pic:spPr>
                            </pic:pic>
                          </a:graphicData>
                        </a:graphic>
                      </wp:inline>
                    </w:drawing>
                  </w:r>
                </w:p>
              </w:tc>
              <w:tc>
                <w:tcPr>
                  <w:tcW w:w="818" w:type="pct"/>
                  <w:tcBorders>
                    <w:tl2br w:val="nil"/>
                    <w:tr2bl w:val="nil"/>
                  </w:tcBorders>
                  <w:noWrap w:val="0"/>
                  <w:vAlign w:val="center"/>
                </w:tcPr>
                <w:p>
                  <w:pPr>
                    <w:pStyle w:val="6"/>
                    <w:bidi w:val="0"/>
                    <w:rPr>
                      <w:rFonts w:hint="default"/>
                      <w:lang w:val="en-US" w:eastAsia="zh-CN"/>
                    </w:rPr>
                  </w:pPr>
                  <w:r>
                    <w:rPr>
                      <w:rFonts w:hint="default"/>
                      <w:lang w:val="en-US" w:eastAsia="zh-CN"/>
                    </w:rPr>
                    <w:t>危险废物</w:t>
                  </w:r>
                </w:p>
              </w:tc>
              <w:tc>
                <w:tcPr>
                  <w:tcW w:w="1687" w:type="pct"/>
                  <w:tcBorders>
                    <w:tl2br w:val="nil"/>
                    <w:tr2bl w:val="nil"/>
                  </w:tcBorders>
                  <w:noWrap w:val="0"/>
                  <w:vAlign w:val="center"/>
                </w:tcPr>
                <w:p>
                  <w:pPr>
                    <w:pStyle w:val="6"/>
                    <w:bidi w:val="0"/>
                    <w:rPr>
                      <w:rFonts w:hint="default"/>
                      <w:lang w:val="en-US" w:eastAsia="zh-CN"/>
                    </w:rPr>
                  </w:pPr>
                  <w:r>
                    <w:rPr>
                      <w:rFonts w:hint="default"/>
                      <w:lang w:val="en-US" w:eastAsia="zh-CN"/>
                    </w:rPr>
                    <w:t>表示危险废物贮存、处置场警告图形符号</w:t>
                  </w:r>
                </w:p>
                <w:p>
                  <w:pPr>
                    <w:pStyle w:val="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265" w:type="pct"/>
                  <w:tcBorders>
                    <w:tl2br w:val="nil"/>
                    <w:tr2bl w:val="nil"/>
                  </w:tcBorders>
                  <w:noWrap w:val="0"/>
                  <w:vAlign w:val="center"/>
                </w:tcPr>
                <w:p>
                  <w:pPr>
                    <w:pStyle w:val="6"/>
                    <w:bidi w:val="0"/>
                    <w:rPr>
                      <w:rFonts w:hint="default"/>
                      <w:lang w:val="en-US" w:eastAsia="zh-CN"/>
                    </w:rPr>
                  </w:pPr>
                  <w:r>
                    <w:rPr>
                      <w:rFonts w:hint="default"/>
                      <w:lang w:val="en-US" w:eastAsia="zh-CN"/>
                    </w:rPr>
                    <w:t>4</w:t>
                  </w:r>
                </w:p>
              </w:tc>
              <w:tc>
                <w:tcPr>
                  <w:tcW w:w="1074" w:type="pct"/>
                  <w:tcBorders>
                    <w:tl2br w:val="nil"/>
                    <w:tr2bl w:val="nil"/>
                  </w:tcBorders>
                  <w:noWrap w:val="0"/>
                  <w:vAlign w:val="center"/>
                </w:tcPr>
                <w:p>
                  <w:pPr>
                    <w:pStyle w:val="6"/>
                    <w:bidi w:val="0"/>
                    <w:rPr>
                      <w:rFonts w:hint="default"/>
                      <w:lang w:val="en-US" w:eastAsia="zh-CN"/>
                    </w:rPr>
                  </w:pPr>
                  <w:r>
                    <w:rPr>
                      <w:rFonts w:hint="default"/>
                      <w:lang w:val="en-US" w:eastAsia="zh-CN"/>
                    </w:rPr>
                    <w:drawing>
                      <wp:inline distT="0" distB="0" distL="114300" distR="114300">
                        <wp:extent cx="1005840" cy="914400"/>
                        <wp:effectExtent l="0" t="0" r="3810" b="0"/>
                        <wp:docPr id="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1"/>
                                <pic:cNvPicPr>
                                  <a:picLocks noChangeAspect="1"/>
                                </pic:cNvPicPr>
                              </pic:nvPicPr>
                              <pic:blipFill>
                                <a:blip r:embed="rId28"/>
                                <a:stretch>
                                  <a:fillRect/>
                                </a:stretch>
                              </pic:blipFill>
                              <pic:spPr>
                                <a:xfrm>
                                  <a:off x="0" y="0"/>
                                  <a:ext cx="1005840" cy="914400"/>
                                </a:xfrm>
                                <a:prstGeom prst="rect">
                                  <a:avLst/>
                                </a:prstGeom>
                                <a:noFill/>
                                <a:ln>
                                  <a:noFill/>
                                </a:ln>
                              </pic:spPr>
                            </pic:pic>
                          </a:graphicData>
                        </a:graphic>
                      </wp:inline>
                    </w:drawing>
                  </w:r>
                </w:p>
              </w:tc>
              <w:tc>
                <w:tcPr>
                  <w:tcW w:w="1153" w:type="pct"/>
                  <w:tcBorders>
                    <w:tl2br w:val="nil"/>
                    <w:tr2bl w:val="nil"/>
                  </w:tcBorders>
                  <w:noWrap w:val="0"/>
                  <w:vAlign w:val="center"/>
                </w:tcPr>
                <w:p>
                  <w:pPr>
                    <w:pStyle w:val="6"/>
                    <w:bidi w:val="0"/>
                    <w:rPr>
                      <w:rFonts w:hint="default"/>
                      <w:lang w:val="en-US" w:eastAsia="zh-CN"/>
                    </w:rPr>
                  </w:pPr>
                  <w:r>
                    <w:rPr>
                      <w:rFonts w:hint="default"/>
                      <w:lang w:val="en-US" w:eastAsia="zh-CN"/>
                    </w:rPr>
                    <w:drawing>
                      <wp:inline distT="0" distB="0" distL="114300" distR="114300">
                        <wp:extent cx="1003935" cy="821690"/>
                        <wp:effectExtent l="0" t="0" r="5715" b="16510"/>
                        <wp:docPr id="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2"/>
                                <pic:cNvPicPr>
                                  <a:picLocks noChangeAspect="1"/>
                                </pic:cNvPicPr>
                              </pic:nvPicPr>
                              <pic:blipFill>
                                <a:blip r:embed="rId29"/>
                                <a:stretch>
                                  <a:fillRect/>
                                </a:stretch>
                              </pic:blipFill>
                              <pic:spPr>
                                <a:xfrm>
                                  <a:off x="0" y="0"/>
                                  <a:ext cx="1003935" cy="821690"/>
                                </a:xfrm>
                                <a:prstGeom prst="rect">
                                  <a:avLst/>
                                </a:prstGeom>
                                <a:noFill/>
                                <a:ln>
                                  <a:noFill/>
                                </a:ln>
                              </pic:spPr>
                            </pic:pic>
                          </a:graphicData>
                        </a:graphic>
                      </wp:inline>
                    </w:drawing>
                  </w:r>
                </w:p>
              </w:tc>
              <w:tc>
                <w:tcPr>
                  <w:tcW w:w="818" w:type="pct"/>
                  <w:tcBorders>
                    <w:tl2br w:val="nil"/>
                    <w:tr2bl w:val="nil"/>
                  </w:tcBorders>
                  <w:noWrap w:val="0"/>
                  <w:vAlign w:val="center"/>
                </w:tcPr>
                <w:p>
                  <w:pPr>
                    <w:pStyle w:val="6"/>
                    <w:bidi w:val="0"/>
                    <w:rPr>
                      <w:rFonts w:hint="default"/>
                      <w:lang w:val="en-US" w:eastAsia="zh-CN"/>
                    </w:rPr>
                  </w:pPr>
                  <w:r>
                    <w:rPr>
                      <w:rFonts w:hint="default"/>
                      <w:lang w:val="en-US" w:eastAsia="zh-CN"/>
                    </w:rPr>
                    <w:t>噪声源</w:t>
                  </w:r>
                </w:p>
              </w:tc>
              <w:tc>
                <w:tcPr>
                  <w:tcW w:w="1687" w:type="pct"/>
                  <w:tcBorders>
                    <w:tl2br w:val="nil"/>
                    <w:tr2bl w:val="nil"/>
                  </w:tcBorders>
                  <w:noWrap w:val="0"/>
                  <w:vAlign w:val="center"/>
                </w:tcPr>
                <w:p>
                  <w:pPr>
                    <w:pStyle w:val="6"/>
                    <w:bidi w:val="0"/>
                    <w:rPr>
                      <w:rFonts w:hint="default"/>
                      <w:lang w:val="en-US" w:eastAsia="zh-CN"/>
                    </w:rPr>
                  </w:pPr>
                  <w:r>
                    <w:rPr>
                      <w:rFonts w:hint="default"/>
                      <w:lang w:val="en-US" w:eastAsia="zh-CN"/>
                    </w:rPr>
                    <w:t>表示噪声向外环境排放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265" w:type="pct"/>
                  <w:tcBorders>
                    <w:tl2br w:val="nil"/>
                    <w:tr2bl w:val="nil"/>
                  </w:tcBorders>
                  <w:noWrap w:val="0"/>
                  <w:vAlign w:val="center"/>
                </w:tcPr>
                <w:p>
                  <w:pPr>
                    <w:pStyle w:val="6"/>
                    <w:bidi w:val="0"/>
                    <w:rPr>
                      <w:rFonts w:hint="default"/>
                      <w:lang w:val="en-US" w:eastAsia="zh-CN"/>
                    </w:rPr>
                  </w:pPr>
                  <w:r>
                    <w:rPr>
                      <w:rFonts w:hint="default"/>
                      <w:lang w:val="en-US" w:eastAsia="zh-CN"/>
                    </w:rPr>
                    <w:t>5</w:t>
                  </w:r>
                </w:p>
              </w:tc>
              <w:tc>
                <w:tcPr>
                  <w:tcW w:w="1074" w:type="pct"/>
                  <w:tcBorders>
                    <w:tl2br w:val="nil"/>
                    <w:tr2bl w:val="nil"/>
                  </w:tcBorders>
                  <w:noWrap w:val="0"/>
                  <w:vAlign w:val="center"/>
                </w:tcPr>
                <w:p>
                  <w:pPr>
                    <w:pStyle w:val="6"/>
                    <w:bidi w:val="0"/>
                    <w:rPr>
                      <w:rFonts w:hint="default"/>
                      <w:lang w:val="en-US" w:eastAsia="zh-CN"/>
                    </w:rPr>
                  </w:pPr>
                  <w:r>
                    <w:rPr>
                      <w:rFonts w:hint="default"/>
                      <w:lang w:val="en-US" w:eastAsia="zh-CN"/>
                    </w:rPr>
                    <w:drawing>
                      <wp:inline distT="0" distB="0" distL="114300" distR="114300">
                        <wp:extent cx="962025" cy="1200150"/>
                        <wp:effectExtent l="0" t="0" r="9525" b="0"/>
                        <wp:docPr id="1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3"/>
                                <pic:cNvPicPr>
                                  <a:picLocks noChangeAspect="1"/>
                                </pic:cNvPicPr>
                              </pic:nvPicPr>
                              <pic:blipFill>
                                <a:blip r:embed="rId30"/>
                                <a:stretch>
                                  <a:fillRect/>
                                </a:stretch>
                              </pic:blipFill>
                              <pic:spPr>
                                <a:xfrm>
                                  <a:off x="0" y="0"/>
                                  <a:ext cx="962025" cy="1200150"/>
                                </a:xfrm>
                                <a:prstGeom prst="rect">
                                  <a:avLst/>
                                </a:prstGeom>
                                <a:noFill/>
                                <a:ln>
                                  <a:noFill/>
                                </a:ln>
                              </pic:spPr>
                            </pic:pic>
                          </a:graphicData>
                        </a:graphic>
                      </wp:inline>
                    </w:drawing>
                  </w:r>
                </w:p>
              </w:tc>
              <w:tc>
                <w:tcPr>
                  <w:tcW w:w="1153" w:type="pct"/>
                  <w:tcBorders>
                    <w:tl2br w:val="nil"/>
                    <w:tr2bl w:val="nil"/>
                  </w:tcBorders>
                  <w:noWrap w:val="0"/>
                  <w:vAlign w:val="center"/>
                </w:tcPr>
                <w:p>
                  <w:pPr>
                    <w:pStyle w:val="6"/>
                    <w:bidi w:val="0"/>
                    <w:rPr>
                      <w:rFonts w:hint="default"/>
                      <w:lang w:val="en-US" w:eastAsia="zh-CN"/>
                    </w:rPr>
                  </w:pPr>
                  <w:r>
                    <w:rPr>
                      <w:rFonts w:hint="default"/>
                      <w:lang w:val="en-US" w:eastAsia="zh-CN"/>
                    </w:rPr>
                    <w:drawing>
                      <wp:inline distT="0" distB="0" distL="114300" distR="114300">
                        <wp:extent cx="1019175" cy="1171575"/>
                        <wp:effectExtent l="0" t="0" r="9525" b="9525"/>
                        <wp:docPr id="1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4"/>
                                <pic:cNvPicPr>
                                  <a:picLocks noChangeAspect="1"/>
                                </pic:cNvPicPr>
                              </pic:nvPicPr>
                              <pic:blipFill>
                                <a:blip r:embed="rId31"/>
                                <a:stretch>
                                  <a:fillRect/>
                                </a:stretch>
                              </pic:blipFill>
                              <pic:spPr>
                                <a:xfrm>
                                  <a:off x="0" y="0"/>
                                  <a:ext cx="1019175" cy="1171575"/>
                                </a:xfrm>
                                <a:prstGeom prst="rect">
                                  <a:avLst/>
                                </a:prstGeom>
                                <a:noFill/>
                                <a:ln>
                                  <a:noFill/>
                                </a:ln>
                              </pic:spPr>
                            </pic:pic>
                          </a:graphicData>
                        </a:graphic>
                      </wp:inline>
                    </w:drawing>
                  </w:r>
                </w:p>
              </w:tc>
              <w:tc>
                <w:tcPr>
                  <w:tcW w:w="818" w:type="pct"/>
                  <w:tcBorders>
                    <w:tl2br w:val="nil"/>
                    <w:tr2bl w:val="nil"/>
                  </w:tcBorders>
                  <w:noWrap w:val="0"/>
                  <w:vAlign w:val="center"/>
                </w:tcPr>
                <w:p>
                  <w:pPr>
                    <w:pStyle w:val="6"/>
                    <w:bidi w:val="0"/>
                    <w:rPr>
                      <w:rFonts w:hint="default"/>
                      <w:lang w:val="en-US" w:eastAsia="zh-CN"/>
                    </w:rPr>
                  </w:pPr>
                  <w:r>
                    <w:rPr>
                      <w:rFonts w:hint="default"/>
                      <w:lang w:val="en-US" w:eastAsia="zh-CN"/>
                    </w:rPr>
                    <w:t>废气排放口</w:t>
                  </w:r>
                </w:p>
              </w:tc>
              <w:tc>
                <w:tcPr>
                  <w:tcW w:w="1687" w:type="pct"/>
                  <w:tcBorders>
                    <w:tl2br w:val="nil"/>
                    <w:tr2bl w:val="nil"/>
                  </w:tcBorders>
                  <w:noWrap w:val="0"/>
                  <w:vAlign w:val="center"/>
                </w:tcPr>
                <w:p>
                  <w:pPr>
                    <w:pStyle w:val="6"/>
                    <w:bidi w:val="0"/>
                    <w:rPr>
                      <w:rFonts w:hint="default"/>
                      <w:lang w:val="en-US" w:eastAsia="zh-CN"/>
                    </w:rPr>
                  </w:pPr>
                  <w:r>
                    <w:rPr>
                      <w:rFonts w:hint="default"/>
                      <w:lang w:val="en-US" w:eastAsia="zh-CN"/>
                    </w:rPr>
                    <w:t>表示废气向外环境排放</w:t>
                  </w:r>
                </w:p>
              </w:tc>
            </w:tr>
          </w:tbl>
          <w:p>
            <w:pPr>
              <w:keepLines w:val="0"/>
              <w:pageBreakBefore w:val="0"/>
              <w:widowControl/>
              <w:kinsoku/>
              <w:wordWrap/>
              <w:overflowPunct/>
              <w:bidi w:val="0"/>
              <w:rPr>
                <w:color w:val="000000"/>
                <w:spacing w:val="0"/>
                <w:kern w:val="0"/>
              </w:rPr>
            </w:pPr>
          </w:p>
          <w:p>
            <w:pPr>
              <w:keepLines w:val="0"/>
              <w:pageBreakBefore w:val="0"/>
              <w:widowControl/>
              <w:kinsoku/>
              <w:wordWrap/>
              <w:overflowPunct/>
              <w:bidi w:val="0"/>
              <w:rPr>
                <w:color w:val="000000"/>
                <w:spacing w:val="0"/>
                <w:kern w:val="0"/>
              </w:rPr>
            </w:pPr>
          </w:p>
          <w:p>
            <w:pPr>
              <w:keepLines w:val="0"/>
              <w:pageBreakBefore w:val="0"/>
              <w:widowControl/>
              <w:kinsoku/>
              <w:wordWrap/>
              <w:overflowPunct/>
              <w:bidi w:val="0"/>
              <w:rPr>
                <w:color w:val="000000"/>
                <w:spacing w:val="0"/>
                <w:kern w:val="0"/>
              </w:rPr>
            </w:pPr>
          </w:p>
          <w:p>
            <w:pPr>
              <w:keepLines w:val="0"/>
              <w:pageBreakBefore w:val="0"/>
              <w:widowControl/>
              <w:kinsoku/>
              <w:wordWrap/>
              <w:overflowPunct/>
              <w:bidi w:val="0"/>
              <w:ind w:left="0" w:leftChars="0" w:firstLine="0" w:firstLineChars="0"/>
              <w:rPr>
                <w:color w:val="000000"/>
                <w:spacing w:val="0"/>
                <w:kern w:val="0"/>
              </w:rPr>
            </w:pPr>
          </w:p>
        </w:tc>
      </w:tr>
    </w:tbl>
    <w:p>
      <w:pPr>
        <w:adjustRightInd w:val="0"/>
        <w:snapToGrid w:val="0"/>
        <w:rPr>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3"/>
        <w:rPr>
          <w:color w:val="auto"/>
        </w:rPr>
      </w:pPr>
      <w:r>
        <w:rPr>
          <w:color w:val="auto"/>
        </w:rPr>
        <w:t>五、</w:t>
      </w:r>
      <w:bookmarkEnd w:id="11"/>
      <w:r>
        <w:rPr>
          <w:rFonts w:hint="eastAsia"/>
          <w:color w:val="auto"/>
        </w:rPr>
        <w:t>环境保护措施监督检查清单</w:t>
      </w:r>
    </w:p>
    <w:tbl>
      <w:tblPr>
        <w:tblStyle w:val="4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744"/>
        <w:gridCol w:w="2180"/>
        <w:gridCol w:w="1375"/>
        <w:gridCol w:w="2013"/>
        <w:gridCol w:w="27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PrEx>
        <w:trPr>
          <w:jc w:val="center"/>
        </w:trPr>
        <w:tc>
          <w:tcPr>
            <w:tcW w:w="410" w:type="pct"/>
            <w:noWrap w:val="0"/>
            <w:vAlign w:val="center"/>
          </w:tcPr>
          <w:p>
            <w:pPr>
              <w:pStyle w:val="9"/>
              <w:bidi w:val="0"/>
            </w:pPr>
            <w:r>
              <w:t>内容</w:t>
            </w:r>
          </w:p>
          <w:p>
            <w:pPr>
              <w:pStyle w:val="9"/>
              <w:bidi w:val="0"/>
            </w:pPr>
            <w:r>
              <w:t>要素</w:t>
            </w:r>
          </w:p>
        </w:tc>
        <w:tc>
          <w:tcPr>
            <w:tcW w:w="1203" w:type="pct"/>
            <w:noWrap w:val="0"/>
            <w:vAlign w:val="center"/>
          </w:tcPr>
          <w:p>
            <w:pPr>
              <w:pStyle w:val="9"/>
              <w:bidi w:val="0"/>
            </w:pPr>
            <w:r>
              <w:t>排放口</w:t>
            </w:r>
            <w:r>
              <w:rPr>
                <w:rFonts w:hint="eastAsia"/>
                <w:lang w:eastAsia="zh-CN"/>
              </w:rPr>
              <w:t>（</w:t>
            </w:r>
            <w:r>
              <w:t>编号、</w:t>
            </w:r>
          </w:p>
          <w:p>
            <w:pPr>
              <w:pStyle w:val="9"/>
              <w:bidi w:val="0"/>
            </w:pPr>
            <w:r>
              <w:t>名称</w:t>
            </w:r>
            <w:r>
              <w:rPr>
                <w:rFonts w:hint="eastAsia"/>
                <w:lang w:eastAsia="zh-CN"/>
              </w:rPr>
              <w:t>）</w:t>
            </w:r>
            <w:r>
              <w:t>/污染源</w:t>
            </w:r>
          </w:p>
        </w:tc>
        <w:tc>
          <w:tcPr>
            <w:tcW w:w="758" w:type="pct"/>
            <w:noWrap w:val="0"/>
            <w:vAlign w:val="center"/>
          </w:tcPr>
          <w:p>
            <w:pPr>
              <w:pStyle w:val="9"/>
              <w:bidi w:val="0"/>
            </w:pPr>
            <w:r>
              <w:t>污染物项目</w:t>
            </w:r>
          </w:p>
        </w:tc>
        <w:tc>
          <w:tcPr>
            <w:tcW w:w="1110" w:type="pct"/>
            <w:noWrap w:val="0"/>
            <w:vAlign w:val="center"/>
          </w:tcPr>
          <w:p>
            <w:pPr>
              <w:pStyle w:val="9"/>
              <w:bidi w:val="0"/>
            </w:pPr>
            <w:r>
              <w:t>环境保护措施</w:t>
            </w:r>
          </w:p>
        </w:tc>
        <w:tc>
          <w:tcPr>
            <w:tcW w:w="1516" w:type="pct"/>
            <w:noWrap w:val="0"/>
            <w:vAlign w:val="center"/>
          </w:tcPr>
          <w:p>
            <w:pPr>
              <w:pStyle w:val="9"/>
              <w:bidi w:val="0"/>
            </w:pPr>
            <w: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410" w:type="pct"/>
            <w:vMerge w:val="restart"/>
            <w:noWrap w:val="0"/>
            <w:vAlign w:val="center"/>
          </w:tcPr>
          <w:p>
            <w:pPr>
              <w:pStyle w:val="9"/>
              <w:bidi w:val="0"/>
              <w:rPr>
                <w:rFonts w:hint="eastAsia"/>
                <w:lang w:val="en-US" w:eastAsia="zh-CN"/>
              </w:rPr>
            </w:pPr>
            <w:r>
              <w:rPr>
                <w:rFonts w:hint="eastAsia"/>
                <w:lang w:val="en-US" w:eastAsia="zh-CN"/>
              </w:rPr>
              <w:t>大气环境</w:t>
            </w:r>
          </w:p>
        </w:tc>
        <w:tc>
          <w:tcPr>
            <w:tcW w:w="1203" w:type="pct"/>
            <w:noWrap w:val="0"/>
            <w:vAlign w:val="center"/>
          </w:tcPr>
          <w:p>
            <w:pPr>
              <w:pStyle w:val="9"/>
              <w:bidi w:val="0"/>
              <w:rPr>
                <w:rFonts w:hint="default"/>
                <w:lang w:val="en-US" w:eastAsia="zh-CN"/>
              </w:rPr>
            </w:pPr>
            <w:r>
              <w:rPr>
                <w:rFonts w:hint="eastAsia"/>
                <w:lang w:val="en-US" w:eastAsia="zh-CN"/>
              </w:rPr>
              <w:t>DA001</w:t>
            </w:r>
          </w:p>
          <w:p>
            <w:pPr>
              <w:pStyle w:val="9"/>
              <w:bidi w:val="0"/>
              <w:rPr>
                <w:rFonts w:hint="eastAsia"/>
              </w:rPr>
            </w:pPr>
            <w:r>
              <w:rPr>
                <w:rFonts w:hint="eastAsia"/>
                <w:lang w:val="en-US" w:eastAsia="zh-CN"/>
              </w:rPr>
              <w:t>筒仓废气</w:t>
            </w:r>
          </w:p>
        </w:tc>
        <w:tc>
          <w:tcPr>
            <w:tcW w:w="758" w:type="pct"/>
            <w:noWrap w:val="0"/>
            <w:vAlign w:val="center"/>
          </w:tcPr>
          <w:p>
            <w:pPr>
              <w:pStyle w:val="9"/>
              <w:bidi w:val="0"/>
            </w:pPr>
            <w:r>
              <w:t>颗粒物</w:t>
            </w:r>
          </w:p>
        </w:tc>
        <w:tc>
          <w:tcPr>
            <w:tcW w:w="1110" w:type="pct"/>
            <w:noWrap w:val="0"/>
            <w:vAlign w:val="center"/>
          </w:tcPr>
          <w:p>
            <w:pPr>
              <w:pStyle w:val="9"/>
              <w:bidi w:val="0"/>
              <w:rPr>
                <w:rFonts w:hint="default"/>
              </w:rPr>
            </w:pPr>
            <w:r>
              <w:rPr>
                <w:rFonts w:hint="eastAsia"/>
              </w:rPr>
              <w:t>仓顶脉冲布袋除尘器</w:t>
            </w:r>
          </w:p>
        </w:tc>
        <w:tc>
          <w:tcPr>
            <w:tcW w:w="1516" w:type="pct"/>
            <w:vMerge w:val="restart"/>
            <w:noWrap w:val="0"/>
            <w:vAlign w:val="center"/>
          </w:tcPr>
          <w:p>
            <w:pPr>
              <w:pStyle w:val="9"/>
              <w:bidi w:val="0"/>
            </w:pPr>
            <w:r>
              <w:rPr>
                <w:rFonts w:hint="eastAsia"/>
                <w:lang w:val="en-US" w:eastAsia="zh-CN"/>
              </w:rPr>
              <w:t>《水泥工业大气污染物排放标准》（GB4915-2013）表1大气污染物排放限值要求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center"/>
          </w:tcPr>
          <w:p>
            <w:pPr>
              <w:pStyle w:val="9"/>
              <w:bidi w:val="0"/>
              <w:rPr>
                <w:rFonts w:hint="eastAsia"/>
                <w:lang w:val="en-US" w:eastAsia="zh-CN"/>
              </w:rPr>
            </w:pPr>
          </w:p>
        </w:tc>
        <w:tc>
          <w:tcPr>
            <w:tcW w:w="1203" w:type="pct"/>
            <w:shd w:val="clear" w:color="auto" w:fill="auto"/>
            <w:noWrap w:val="0"/>
            <w:vAlign w:val="center"/>
          </w:tcPr>
          <w:p>
            <w:pPr>
              <w:pStyle w:val="9"/>
              <w:bidi w:val="0"/>
              <w:rPr>
                <w:rFonts w:hint="default"/>
                <w:lang w:val="en-US" w:eastAsia="zh-CN"/>
              </w:rPr>
            </w:pPr>
            <w:r>
              <w:rPr>
                <w:rFonts w:hint="eastAsia"/>
                <w:lang w:val="en-US" w:eastAsia="zh-CN"/>
              </w:rPr>
              <w:t>DA002</w:t>
            </w:r>
          </w:p>
          <w:p>
            <w:pPr>
              <w:pStyle w:val="9"/>
              <w:bidi w:val="0"/>
              <w:ind w:left="0" w:leftChars="0" w:firstLine="0" w:firstLineChars="0"/>
              <w:rPr>
                <w:rFonts w:hint="eastAsia" w:ascii="Times New Roman" w:hAnsi="Times New Roman" w:eastAsia="宋体" w:cs="Times New Roman"/>
                <w:kern w:val="2"/>
                <w:sz w:val="24"/>
                <w:szCs w:val="18"/>
                <w:lang w:val="en-US" w:eastAsia="zh-CN" w:bidi="ar-SA"/>
              </w:rPr>
            </w:pPr>
            <w:r>
              <w:rPr>
                <w:rFonts w:hint="eastAsia"/>
                <w:lang w:val="en-US" w:eastAsia="zh-CN"/>
              </w:rPr>
              <w:t>搅拌废气</w:t>
            </w:r>
          </w:p>
        </w:tc>
        <w:tc>
          <w:tcPr>
            <w:tcW w:w="758" w:type="pct"/>
            <w:shd w:val="clear" w:color="auto" w:fill="auto"/>
            <w:noWrap w:val="0"/>
            <w:vAlign w:val="center"/>
          </w:tcPr>
          <w:p>
            <w:pPr>
              <w:pStyle w:val="9"/>
              <w:bidi w:val="0"/>
              <w:ind w:left="0" w:leftChars="0" w:firstLine="0" w:firstLineChars="0"/>
              <w:rPr>
                <w:rFonts w:ascii="Times New Roman" w:hAnsi="Times New Roman" w:eastAsia="宋体" w:cs="Times New Roman"/>
                <w:kern w:val="2"/>
                <w:sz w:val="24"/>
                <w:szCs w:val="18"/>
                <w:lang w:val="en-US" w:eastAsia="zh-CN" w:bidi="ar-SA"/>
              </w:rPr>
            </w:pPr>
            <w:r>
              <w:t>颗粒物</w:t>
            </w:r>
          </w:p>
        </w:tc>
        <w:tc>
          <w:tcPr>
            <w:tcW w:w="1110" w:type="pct"/>
            <w:shd w:val="clear" w:color="auto" w:fill="auto"/>
            <w:noWrap w:val="0"/>
            <w:vAlign w:val="center"/>
          </w:tcPr>
          <w:p>
            <w:pPr>
              <w:pStyle w:val="9"/>
              <w:bidi w:val="0"/>
              <w:ind w:left="0" w:leftChars="0" w:firstLine="0" w:firstLineChars="0"/>
              <w:rPr>
                <w:rFonts w:hint="default" w:ascii="Times New Roman" w:hAnsi="Times New Roman" w:eastAsia="宋体" w:cs="Times New Roman"/>
                <w:kern w:val="2"/>
                <w:sz w:val="24"/>
                <w:szCs w:val="18"/>
                <w:lang w:val="en-US" w:eastAsia="zh-CN" w:bidi="ar-SA"/>
              </w:rPr>
            </w:pPr>
            <w:r>
              <w:rPr>
                <w:rFonts w:hint="default"/>
              </w:rPr>
              <w:t>布袋除尘器</w:t>
            </w:r>
          </w:p>
        </w:tc>
        <w:tc>
          <w:tcPr>
            <w:tcW w:w="1516" w:type="pct"/>
            <w:vMerge w:val="continue"/>
            <w:noWrap w:val="0"/>
            <w:vAlign w:val="center"/>
          </w:tcPr>
          <w:p>
            <w:pPr>
              <w:pStyle w:val="9"/>
              <w:bidi w:val="0"/>
              <w:rPr>
                <w:rFonts w:hint="eastAsia"/>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410" w:type="pct"/>
            <w:vMerge w:val="continue"/>
            <w:noWrap w:val="0"/>
            <w:vAlign w:val="center"/>
          </w:tcPr>
          <w:p>
            <w:pPr>
              <w:pStyle w:val="9"/>
              <w:bidi w:val="0"/>
            </w:pPr>
          </w:p>
        </w:tc>
        <w:tc>
          <w:tcPr>
            <w:tcW w:w="1203" w:type="pct"/>
            <w:noWrap w:val="0"/>
            <w:vAlign w:val="center"/>
          </w:tcPr>
          <w:p>
            <w:pPr>
              <w:pStyle w:val="9"/>
              <w:bidi w:val="0"/>
              <w:rPr>
                <w:rFonts w:hint="eastAsia"/>
                <w:lang w:val="en-US" w:eastAsia="zh-CN"/>
              </w:rPr>
            </w:pPr>
            <w:r>
              <w:rPr>
                <w:rFonts w:hint="eastAsia"/>
                <w:lang w:val="en-US" w:eastAsia="zh-CN"/>
              </w:rPr>
              <w:t>厂界外</w:t>
            </w:r>
          </w:p>
        </w:tc>
        <w:tc>
          <w:tcPr>
            <w:tcW w:w="758" w:type="pct"/>
            <w:noWrap w:val="0"/>
            <w:vAlign w:val="center"/>
          </w:tcPr>
          <w:p>
            <w:pPr>
              <w:pStyle w:val="9"/>
              <w:bidi w:val="0"/>
            </w:pPr>
            <w:r>
              <w:t>颗粒物</w:t>
            </w:r>
          </w:p>
        </w:tc>
        <w:tc>
          <w:tcPr>
            <w:tcW w:w="1110" w:type="pct"/>
            <w:noWrap w:val="0"/>
            <w:vAlign w:val="center"/>
          </w:tcPr>
          <w:p>
            <w:pPr>
              <w:pStyle w:val="9"/>
              <w:bidi w:val="0"/>
              <w:rPr>
                <w:rFonts w:hint="default" w:eastAsia="宋体"/>
                <w:lang w:val="en-US" w:eastAsia="zh-CN"/>
              </w:rPr>
            </w:pPr>
            <w:r>
              <w:rPr>
                <w:rFonts w:hint="eastAsia" w:ascii="Times New Roman" w:hAnsi="Times New Roman" w:eastAsia="宋体" w:cs="Times New Roman"/>
                <w:color w:val="000000" w:themeColor="text1"/>
                <w:kern w:val="0"/>
                <w:lang w:val="en-US" w:eastAsia="zh-CN"/>
                <w14:textFill>
                  <w14:solidFill>
                    <w14:schemeClr w14:val="tx1"/>
                  </w14:solidFill>
                </w14:textFill>
              </w:rPr>
              <w:t>上料粉尘洒水抑尘；输送管道采取密闭管道；砂石料堆场采用围挡（防风抑尘墙）+定期洒水，成品堆场进行遮盖+喷洒水</w:t>
            </w:r>
          </w:p>
        </w:tc>
        <w:tc>
          <w:tcPr>
            <w:tcW w:w="1516" w:type="pct"/>
            <w:noWrap w:val="0"/>
            <w:vAlign w:val="center"/>
          </w:tcPr>
          <w:p>
            <w:pPr>
              <w:pStyle w:val="9"/>
              <w:bidi w:val="0"/>
            </w:pPr>
            <w:r>
              <w:rPr>
                <w:rFonts w:hint="default"/>
              </w:rPr>
              <w:t>《水泥工业大气污染物排放标准》（GB4915-2013）</w:t>
            </w:r>
            <w:r>
              <w:rPr>
                <w:rFonts w:hint="default"/>
                <w:lang w:eastAsia="zh-CN"/>
              </w:rPr>
              <w:t>中</w:t>
            </w:r>
            <w:r>
              <w:rPr>
                <w:rFonts w:hint="default"/>
              </w:rPr>
              <w:t>表</w:t>
            </w:r>
            <w:r>
              <w:rPr>
                <w:rFonts w:hint="eastAsia"/>
                <w:lang w:val="en-US" w:eastAsia="zh-CN"/>
              </w:rPr>
              <w:t>3大气污染物无组织排放限值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410" w:type="pct"/>
            <w:noWrap w:val="0"/>
            <w:vAlign w:val="center"/>
          </w:tcPr>
          <w:p>
            <w:pPr>
              <w:pStyle w:val="9"/>
              <w:bidi w:val="0"/>
            </w:pPr>
            <w:r>
              <w:t>地表水环境</w:t>
            </w:r>
          </w:p>
        </w:tc>
        <w:tc>
          <w:tcPr>
            <w:tcW w:w="1203" w:type="pct"/>
            <w:noWrap w:val="0"/>
            <w:vAlign w:val="center"/>
          </w:tcPr>
          <w:p>
            <w:pPr>
              <w:pStyle w:val="9"/>
              <w:bidi w:val="0"/>
            </w:pPr>
            <w:r>
              <w:t>生活污水</w:t>
            </w:r>
          </w:p>
        </w:tc>
        <w:tc>
          <w:tcPr>
            <w:tcW w:w="758" w:type="pct"/>
            <w:noWrap w:val="0"/>
            <w:vAlign w:val="center"/>
          </w:tcPr>
          <w:p>
            <w:pPr>
              <w:pStyle w:val="9"/>
              <w:bidi w:val="0"/>
              <w:rPr>
                <w:rFonts w:hint="default" w:eastAsia="宋体"/>
                <w:lang w:val="en-US" w:eastAsia="zh-CN"/>
              </w:rPr>
            </w:pPr>
            <w:r>
              <w:t>COD、BOD、氨氮</w:t>
            </w:r>
            <w:r>
              <w:rPr>
                <w:rFonts w:hint="eastAsia"/>
                <w:lang w:eastAsia="zh-CN"/>
              </w:rPr>
              <w:t>、</w:t>
            </w:r>
            <w:r>
              <w:rPr>
                <w:rFonts w:hint="eastAsia"/>
                <w:lang w:val="en-US" w:eastAsia="zh-CN"/>
              </w:rPr>
              <w:t>pH、SS</w:t>
            </w:r>
          </w:p>
        </w:tc>
        <w:tc>
          <w:tcPr>
            <w:tcW w:w="1110" w:type="pct"/>
            <w:noWrap w:val="0"/>
            <w:vAlign w:val="center"/>
          </w:tcPr>
          <w:p>
            <w:pPr>
              <w:pStyle w:val="9"/>
              <w:bidi w:val="0"/>
            </w:pPr>
            <w:r>
              <w:rPr>
                <w:rFonts w:hint="eastAsia"/>
                <w:color w:val="000000" w:themeColor="text1"/>
                <w:kern w:val="0"/>
                <w:lang w:val="en-US" w:eastAsia="zh-CN"/>
                <w14:textFill>
                  <w14:solidFill>
                    <w14:schemeClr w14:val="tx1"/>
                  </w14:solidFill>
                </w14:textFill>
              </w:rPr>
              <w:t>生活污水进入防渗化粪池收集，定期由清污车清掏至若羌县污水处理厂处理</w:t>
            </w:r>
          </w:p>
        </w:tc>
        <w:tc>
          <w:tcPr>
            <w:tcW w:w="1516" w:type="pct"/>
            <w:noWrap w:val="0"/>
            <w:vAlign w:val="center"/>
          </w:tcPr>
          <w:p>
            <w:pPr>
              <w:pStyle w:val="9"/>
              <w:bidi w:val="0"/>
            </w:pPr>
            <w:r>
              <w:t>《污水综合排放标准》（GB8978-1996）三级标准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410" w:type="pct"/>
            <w:noWrap w:val="0"/>
            <w:vAlign w:val="center"/>
          </w:tcPr>
          <w:p>
            <w:pPr>
              <w:pStyle w:val="9"/>
              <w:bidi w:val="0"/>
            </w:pPr>
            <w:r>
              <w:t>声环境</w:t>
            </w:r>
          </w:p>
        </w:tc>
        <w:tc>
          <w:tcPr>
            <w:tcW w:w="1203" w:type="pct"/>
            <w:noWrap w:val="0"/>
            <w:vAlign w:val="center"/>
          </w:tcPr>
          <w:p>
            <w:pPr>
              <w:pStyle w:val="9"/>
              <w:bidi w:val="0"/>
            </w:pPr>
            <w:r>
              <w:t>生产设备</w:t>
            </w:r>
          </w:p>
        </w:tc>
        <w:tc>
          <w:tcPr>
            <w:tcW w:w="758" w:type="pct"/>
            <w:noWrap w:val="0"/>
            <w:vAlign w:val="center"/>
          </w:tcPr>
          <w:p>
            <w:pPr>
              <w:pStyle w:val="9"/>
              <w:bidi w:val="0"/>
            </w:pPr>
            <w:r>
              <w:t>噪声级</w:t>
            </w:r>
          </w:p>
        </w:tc>
        <w:tc>
          <w:tcPr>
            <w:tcW w:w="1110" w:type="pct"/>
            <w:noWrap w:val="0"/>
            <w:vAlign w:val="center"/>
          </w:tcPr>
          <w:p>
            <w:pPr>
              <w:pStyle w:val="9"/>
              <w:bidi w:val="0"/>
            </w:pPr>
            <w:r>
              <w:t>厂房隔声、基础减震、设备维护</w:t>
            </w:r>
          </w:p>
        </w:tc>
        <w:tc>
          <w:tcPr>
            <w:tcW w:w="1516" w:type="pct"/>
            <w:noWrap w:val="0"/>
            <w:vAlign w:val="center"/>
          </w:tcPr>
          <w:p>
            <w:pPr>
              <w:pStyle w:val="9"/>
              <w:bidi w:val="0"/>
            </w:pPr>
            <w:r>
              <w:t>《工业企业厂界环境噪声排放标准》（GB12348-2008）中的</w:t>
            </w:r>
            <w:r>
              <w:rPr>
                <w:rFonts w:hint="eastAsia"/>
                <w:lang w:val="en-US" w:eastAsia="zh-CN"/>
              </w:rPr>
              <w:t>2</w:t>
            </w:r>
            <w:r>
              <w:t>类标准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410" w:type="pct"/>
            <w:noWrap w:val="0"/>
            <w:vAlign w:val="center"/>
          </w:tcPr>
          <w:p>
            <w:pPr>
              <w:pStyle w:val="9"/>
              <w:bidi w:val="0"/>
            </w:pPr>
            <w:r>
              <w:t>电磁辐射</w:t>
            </w:r>
          </w:p>
        </w:tc>
        <w:tc>
          <w:tcPr>
            <w:tcW w:w="1203" w:type="pct"/>
            <w:noWrap w:val="0"/>
            <w:vAlign w:val="center"/>
          </w:tcPr>
          <w:p>
            <w:pPr>
              <w:pStyle w:val="9"/>
              <w:bidi w:val="0"/>
            </w:pPr>
            <w:r>
              <w:t>/</w:t>
            </w:r>
          </w:p>
        </w:tc>
        <w:tc>
          <w:tcPr>
            <w:tcW w:w="758" w:type="pct"/>
            <w:noWrap w:val="0"/>
            <w:vAlign w:val="center"/>
          </w:tcPr>
          <w:p>
            <w:pPr>
              <w:pStyle w:val="9"/>
              <w:bidi w:val="0"/>
            </w:pPr>
            <w:r>
              <w:t>/</w:t>
            </w:r>
          </w:p>
        </w:tc>
        <w:tc>
          <w:tcPr>
            <w:tcW w:w="1110" w:type="pct"/>
            <w:noWrap w:val="0"/>
            <w:vAlign w:val="center"/>
          </w:tcPr>
          <w:p>
            <w:pPr>
              <w:pStyle w:val="9"/>
              <w:bidi w:val="0"/>
            </w:pPr>
            <w:r>
              <w:t>/</w:t>
            </w:r>
          </w:p>
        </w:tc>
        <w:tc>
          <w:tcPr>
            <w:tcW w:w="1516" w:type="pct"/>
            <w:noWrap w:val="0"/>
            <w:vAlign w:val="center"/>
          </w:tcPr>
          <w:p>
            <w:pPr>
              <w:pStyle w:val="9"/>
              <w:bidi w:val="0"/>
            </w:pPr>
            <w: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410" w:type="pct"/>
            <w:noWrap w:val="0"/>
            <w:vAlign w:val="center"/>
          </w:tcPr>
          <w:p>
            <w:pPr>
              <w:pStyle w:val="9"/>
              <w:bidi w:val="0"/>
            </w:pPr>
            <w:r>
              <w:t>固体废物</w:t>
            </w:r>
          </w:p>
        </w:tc>
        <w:tc>
          <w:tcPr>
            <w:tcW w:w="4589" w:type="pct"/>
            <w:gridSpan w:val="4"/>
            <w:noWrap w:val="0"/>
            <w:vAlign w:val="center"/>
          </w:tcPr>
          <w:p>
            <w:pPr>
              <w:bidi w:val="0"/>
              <w:rPr>
                <w:rFonts w:hint="eastAsia"/>
              </w:rPr>
            </w:pPr>
            <w:r>
              <w:rPr>
                <w:rFonts w:hint="eastAsia"/>
                <w:lang w:val="en-US" w:eastAsia="zh-CN"/>
              </w:rPr>
              <w:t>除尘灰</w:t>
            </w:r>
            <w:r>
              <w:rPr>
                <w:rFonts w:hint="eastAsia"/>
                <w:lang w:eastAsia="zh-CN"/>
              </w:rPr>
              <w:t>、</w:t>
            </w:r>
            <w:r>
              <w:t>沉降粉尘</w:t>
            </w:r>
            <w:r>
              <w:rPr>
                <w:rFonts w:hint="eastAsia"/>
                <w:lang w:val="en-US" w:eastAsia="zh-CN"/>
              </w:rPr>
              <w:t>及沉淀池沉渣</w:t>
            </w:r>
            <w:r>
              <w:t>收集后定期清理后</w:t>
            </w:r>
            <w:r>
              <w:rPr>
                <w:rFonts w:hint="eastAsia"/>
                <w:lang w:val="en-US" w:eastAsia="zh-CN"/>
              </w:rPr>
              <w:t>回用于生产</w:t>
            </w:r>
            <w:r>
              <w:t>；</w:t>
            </w:r>
            <w:r>
              <w:rPr>
                <w:rFonts w:hint="eastAsia"/>
                <w:lang w:val="en-US" w:eastAsia="zh-CN"/>
              </w:rPr>
              <w:t>废布袋、不合格产品及边角料经集中收集处理后定期清运至一般固废填埋场填埋</w:t>
            </w:r>
            <w:r>
              <w:t>；生活垃圾由厂区设置的垃圾桶收集后，定期交由园区环卫部门</w:t>
            </w:r>
            <w:r>
              <w:rPr>
                <w:rFonts w:hint="eastAsia"/>
                <w:lang w:val="en-US" w:eastAsia="zh-CN"/>
              </w:rPr>
              <w:t>处置</w:t>
            </w:r>
            <w:r>
              <w:t>；</w:t>
            </w:r>
            <w:r>
              <w:rPr>
                <w:rFonts w:hint="eastAsia" w:ascii="Times New Roman" w:hAnsi="Times New Roman" w:eastAsia="宋体" w:cs="Times New Roman"/>
                <w:color w:val="auto"/>
                <w:kern w:val="0"/>
                <w:highlight w:val="none"/>
              </w:rPr>
              <w:t>含油抹布、劳保用品</w:t>
            </w:r>
            <w:r>
              <w:rPr>
                <w:rFonts w:hint="eastAsia" w:ascii="Times New Roman" w:hAnsi="Times New Roman" w:eastAsia="宋体" w:cs="Times New Roman"/>
                <w:color w:val="auto"/>
                <w:kern w:val="0"/>
                <w:highlight w:val="none"/>
                <w:lang w:eastAsia="zh-CN"/>
              </w:rPr>
              <w:t>、</w:t>
            </w:r>
            <w:r>
              <w:t>废润滑油</w:t>
            </w:r>
            <w:r>
              <w:rPr>
                <w:rFonts w:hint="eastAsia"/>
                <w:lang w:val="en-US" w:eastAsia="zh-CN"/>
              </w:rPr>
              <w:t>和废油桶</w:t>
            </w:r>
            <w:r>
              <w:t>收集暂存于危废暂存间，定期交由有资质的单位处理</w:t>
            </w:r>
            <w:r>
              <w:rPr>
                <w:rFonts w:hint="eastAsia" w:ascii="Times New Roman" w:hAnsi="Times New Roman" w:eastAsia="宋体" w:cs="Times New Roman"/>
                <w:color w:val="auto"/>
                <w:kern w:val="0"/>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410" w:type="pct"/>
            <w:noWrap w:val="0"/>
            <w:vAlign w:val="center"/>
          </w:tcPr>
          <w:p>
            <w:pPr>
              <w:pStyle w:val="9"/>
              <w:bidi w:val="0"/>
            </w:pPr>
            <w:r>
              <w:t>土壤及地下水</w:t>
            </w:r>
          </w:p>
          <w:p>
            <w:pPr>
              <w:pStyle w:val="9"/>
              <w:bidi w:val="0"/>
            </w:pPr>
            <w:r>
              <w:t>污染防治措施</w:t>
            </w:r>
          </w:p>
        </w:tc>
        <w:tc>
          <w:tcPr>
            <w:tcW w:w="4589" w:type="pct"/>
            <w:gridSpan w:val="4"/>
            <w:noWrap w:val="0"/>
            <w:vAlign w:val="center"/>
          </w:tcPr>
          <w:p>
            <w:pPr>
              <w:bidi w:val="0"/>
              <w:rPr>
                <w:rFonts w:hint="default" w:eastAsia="宋体"/>
                <w:lang w:val="en-US" w:eastAsia="zh-CN"/>
              </w:rPr>
            </w:pPr>
            <w:r>
              <w:rPr>
                <w:rFonts w:hint="eastAsia"/>
                <w:lang w:val="en-US" w:eastAsia="zh-CN"/>
              </w:rPr>
              <w:t>本项目采取分区防渗措施，</w:t>
            </w:r>
            <w:r>
              <w:t>危险废物暂存间</w:t>
            </w:r>
            <w:r>
              <w:rPr>
                <w:rFonts w:hint="eastAsia"/>
                <w:lang w:val="en-US" w:eastAsia="zh-CN"/>
              </w:rPr>
              <w:t>采取重点防渗措施；</w:t>
            </w:r>
            <w:r>
              <w:rPr>
                <w:rFonts w:hint="eastAsia"/>
              </w:rPr>
              <w:t>生产车间、生活区</w:t>
            </w:r>
            <w:r>
              <w:rPr>
                <w:rFonts w:hint="eastAsia"/>
                <w:lang w:eastAsia="zh-CN"/>
              </w:rPr>
              <w:t>、</w:t>
            </w:r>
            <w:r>
              <w:rPr>
                <w:rFonts w:hint="eastAsia"/>
                <w:lang w:val="en-US" w:eastAsia="zh-CN"/>
              </w:rPr>
              <w:t>循环沉淀池</w:t>
            </w:r>
            <w:r>
              <w:rPr>
                <w:rFonts w:hint="eastAsia"/>
                <w:lang w:eastAsia="zh-CN"/>
              </w:rPr>
              <w:t>、</w:t>
            </w:r>
            <w:r>
              <w:rPr>
                <w:rFonts w:hint="eastAsia"/>
                <w:lang w:val="en-US" w:eastAsia="zh-CN"/>
              </w:rPr>
              <w:t>防渗化粪池、洗车沉淀池采取一般防渗措施；仓库、一般工业固废暂存间、</w:t>
            </w:r>
            <w:r>
              <w:t>其他区域</w:t>
            </w:r>
            <w:r>
              <w:rPr>
                <w:rFonts w:hint="eastAsia"/>
                <w:lang w:val="en-US" w:eastAsia="zh-CN"/>
              </w:rPr>
              <w:t>采取简单防渗。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410" w:type="pct"/>
            <w:noWrap w:val="0"/>
            <w:vAlign w:val="center"/>
          </w:tcPr>
          <w:p>
            <w:pPr>
              <w:pStyle w:val="9"/>
              <w:bidi w:val="0"/>
            </w:pPr>
            <w:r>
              <w:t>生态保护措施</w:t>
            </w:r>
          </w:p>
        </w:tc>
        <w:tc>
          <w:tcPr>
            <w:tcW w:w="4589" w:type="pct"/>
            <w:gridSpan w:val="4"/>
            <w:noWrap w:val="0"/>
            <w:vAlign w:val="center"/>
          </w:tcPr>
          <w:p>
            <w:pPr>
              <w:bidi w:val="0"/>
            </w:pPr>
            <w: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410" w:type="pct"/>
            <w:noWrap w:val="0"/>
            <w:vAlign w:val="center"/>
          </w:tcPr>
          <w:p>
            <w:pPr>
              <w:pStyle w:val="9"/>
              <w:bidi w:val="0"/>
            </w:pPr>
            <w:r>
              <w:t>环境风险</w:t>
            </w:r>
          </w:p>
          <w:p>
            <w:pPr>
              <w:pStyle w:val="9"/>
              <w:bidi w:val="0"/>
            </w:pPr>
            <w:r>
              <w:t>防范措施</w:t>
            </w:r>
          </w:p>
        </w:tc>
        <w:tc>
          <w:tcPr>
            <w:tcW w:w="4589" w:type="pct"/>
            <w:gridSpan w:val="4"/>
            <w:noWrap w:val="0"/>
            <w:vAlign w:val="center"/>
          </w:tcPr>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color w:val="auto"/>
                <w:kern w:val="0"/>
                <w:sz w:val="24"/>
                <w:highlight w:val="none"/>
              </w:rPr>
              <w:t>（</w:t>
            </w:r>
            <w:r>
              <w:rPr>
                <w:rFonts w:hint="default"/>
                <w:color w:val="auto"/>
                <w:kern w:val="0"/>
                <w:sz w:val="24"/>
                <w:highlight w:val="none"/>
              </w:rPr>
              <w:t>1</w:t>
            </w:r>
            <w:r>
              <w:rPr>
                <w:rFonts w:hint="eastAsia"/>
                <w:color w:val="auto"/>
                <w:kern w:val="0"/>
                <w:sz w:val="24"/>
                <w:highlight w:val="none"/>
              </w:rPr>
              <w:t>）完善物料贮存设施，加强对物料储存、使用的安全管理和检查，避免物料出现泄漏，严禁明火。</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auto"/>
                <w:highlight w:val="none"/>
                <w:lang w:val="en-US" w:eastAsia="zh-CN"/>
              </w:rPr>
            </w:pPr>
            <w:r>
              <w:rPr>
                <w:rFonts w:hint="eastAsia"/>
                <w:color w:val="auto"/>
                <w:kern w:val="0"/>
                <w:sz w:val="24"/>
                <w:highlight w:val="none"/>
              </w:rPr>
              <w:t>（</w:t>
            </w:r>
            <w:r>
              <w:rPr>
                <w:rFonts w:hint="default"/>
                <w:color w:val="auto"/>
                <w:kern w:val="0"/>
                <w:sz w:val="24"/>
                <w:highlight w:val="none"/>
              </w:rPr>
              <w:t>2</w:t>
            </w:r>
            <w:r>
              <w:rPr>
                <w:rFonts w:hint="eastAsia"/>
                <w:color w:val="auto"/>
                <w:kern w:val="0"/>
                <w:sz w:val="24"/>
                <w:highlight w:val="none"/>
              </w:rPr>
              <w:t>）</w:t>
            </w:r>
            <w:r>
              <w:rPr>
                <w:rFonts w:hint="eastAsia"/>
                <w:color w:val="auto"/>
                <w:highlight w:val="none"/>
                <w:lang w:val="en-US" w:eastAsia="zh-CN"/>
              </w:rPr>
              <w:t>废润滑油贮存危险废物暂存间地面均应采取防腐、防渗处理。为了防止泄漏，应设置不小于储存容积的围堰，围堰高度为</w:t>
            </w:r>
            <w:r>
              <w:rPr>
                <w:rFonts w:hint="default"/>
                <w:color w:val="auto"/>
                <w:highlight w:val="none"/>
                <w:lang w:val="en-US" w:eastAsia="zh-CN"/>
              </w:rPr>
              <w:t>10cm</w:t>
            </w:r>
            <w:r>
              <w:rPr>
                <w:rFonts w:hint="eastAsia"/>
                <w:color w:val="auto"/>
                <w:highlight w:val="none"/>
                <w:lang w:val="en-US" w:eastAsia="zh-CN"/>
              </w:rPr>
              <w:t>；以满足物料泄漏时能够全部将物料拦截在贮存区内。</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color w:val="auto"/>
                <w:kern w:val="0"/>
                <w:sz w:val="24"/>
                <w:highlight w:val="none"/>
              </w:rPr>
              <w:t>（</w:t>
            </w:r>
            <w:r>
              <w:rPr>
                <w:rFonts w:hint="default"/>
                <w:color w:val="auto"/>
                <w:kern w:val="0"/>
                <w:sz w:val="24"/>
                <w:highlight w:val="none"/>
              </w:rPr>
              <w:t>3</w:t>
            </w:r>
            <w:r>
              <w:rPr>
                <w:rFonts w:hint="eastAsia"/>
                <w:color w:val="auto"/>
                <w:kern w:val="0"/>
                <w:sz w:val="24"/>
                <w:highlight w:val="none"/>
              </w:rPr>
              <w:t>）在储存期内定期检查，发现其品质变化、包装破损、渗漏等，及时处理</w:t>
            </w:r>
            <w:r>
              <w:rPr>
                <w:rFonts w:hint="eastAsia"/>
                <w:color w:val="auto"/>
                <w:kern w:val="0"/>
                <w:sz w:val="24"/>
                <w:highlight w:val="none"/>
                <w:lang w:eastAsia="zh-CN"/>
              </w:rPr>
              <w:t>，</w:t>
            </w:r>
            <w:r>
              <w:rPr>
                <w:rFonts w:hint="eastAsia"/>
                <w:color w:val="auto"/>
                <w:kern w:val="0"/>
                <w:sz w:val="24"/>
                <w:highlight w:val="none"/>
              </w:rPr>
              <w:t>防</w:t>
            </w:r>
            <w:r>
              <w:rPr>
                <w:rFonts w:hint="eastAsia"/>
                <w:color w:val="auto"/>
                <w:kern w:val="0"/>
                <w:sz w:val="24"/>
                <w:highlight w:val="none"/>
                <w:lang w:eastAsia="zh-CN"/>
              </w:rPr>
              <w:t>止</w:t>
            </w:r>
            <w:r>
              <w:rPr>
                <w:rFonts w:hint="eastAsia"/>
                <w:color w:val="auto"/>
                <w:kern w:val="0"/>
                <w:sz w:val="24"/>
                <w:highlight w:val="none"/>
              </w:rPr>
              <w:t>污染土壤及地下水环境。</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color w:val="auto"/>
                <w:kern w:val="0"/>
                <w:sz w:val="24"/>
                <w:highlight w:val="none"/>
              </w:rPr>
              <w:t>（</w:t>
            </w:r>
            <w:r>
              <w:rPr>
                <w:rFonts w:hint="default"/>
                <w:color w:val="auto"/>
                <w:kern w:val="0"/>
                <w:sz w:val="24"/>
                <w:highlight w:val="none"/>
              </w:rPr>
              <w:t>4</w:t>
            </w:r>
            <w:r>
              <w:rPr>
                <w:rFonts w:hint="eastAsia"/>
                <w:color w:val="auto"/>
                <w:kern w:val="0"/>
                <w:sz w:val="24"/>
                <w:highlight w:val="none"/>
              </w:rPr>
              <w:t>）易燃物品贮存区需确保通风、配备相应品种和数量的消防器材，预留必要的安全间距，远离火种和热源，防止阳光直射。</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color w:val="auto"/>
                <w:kern w:val="0"/>
                <w:sz w:val="24"/>
                <w:highlight w:val="none"/>
              </w:rPr>
              <w:t>（</w:t>
            </w:r>
            <w:r>
              <w:rPr>
                <w:rFonts w:hint="eastAsia"/>
                <w:color w:val="auto"/>
                <w:kern w:val="0"/>
                <w:sz w:val="24"/>
                <w:highlight w:val="none"/>
                <w:lang w:val="en-US" w:eastAsia="zh-CN"/>
              </w:rPr>
              <w:t>5</w:t>
            </w:r>
            <w:r>
              <w:rPr>
                <w:rFonts w:hint="eastAsia"/>
                <w:color w:val="auto"/>
                <w:kern w:val="0"/>
                <w:sz w:val="24"/>
                <w:highlight w:val="none"/>
              </w:rPr>
              <w:t>）配备应急救援物资，灭火器、消防</w:t>
            </w:r>
            <w:r>
              <w:rPr>
                <w:rFonts w:hint="eastAsia"/>
                <w:color w:val="auto"/>
                <w:kern w:val="0"/>
                <w:sz w:val="24"/>
                <w:highlight w:val="none"/>
                <w:lang w:val="en-US" w:eastAsia="zh-CN"/>
              </w:rPr>
              <w:t>沙</w:t>
            </w:r>
            <w:r>
              <w:rPr>
                <w:rFonts w:hint="eastAsia"/>
                <w:color w:val="auto"/>
                <w:kern w:val="0"/>
                <w:sz w:val="24"/>
                <w:highlight w:val="none"/>
              </w:rPr>
              <w:t>等。</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color w:val="auto"/>
                <w:kern w:val="0"/>
                <w:sz w:val="24"/>
                <w:highlight w:val="none"/>
              </w:rPr>
              <w:t>（</w:t>
            </w:r>
            <w:r>
              <w:rPr>
                <w:rFonts w:hint="eastAsia"/>
                <w:color w:val="auto"/>
                <w:kern w:val="0"/>
                <w:sz w:val="24"/>
                <w:highlight w:val="none"/>
                <w:lang w:val="en-US" w:eastAsia="zh-CN"/>
              </w:rPr>
              <w:t>6</w:t>
            </w:r>
            <w:r>
              <w:rPr>
                <w:rFonts w:hint="eastAsia"/>
                <w:color w:val="auto"/>
                <w:kern w:val="0"/>
                <w:sz w:val="24"/>
                <w:highlight w:val="none"/>
              </w:rPr>
              <w:t>）制定风险防范措施，通过加强员工的安全、环保知识和风险事故安全教育，</w:t>
            </w:r>
            <w:r>
              <w:rPr>
                <w:rFonts w:hint="eastAsia"/>
                <w:color w:val="auto"/>
                <w:kern w:val="0"/>
                <w:sz w:val="24"/>
                <w:highlight w:val="none"/>
                <w:lang w:eastAsia="zh-CN"/>
              </w:rPr>
              <w:t>增强</w:t>
            </w:r>
            <w:r>
              <w:rPr>
                <w:rFonts w:hint="eastAsia"/>
                <w:color w:val="auto"/>
                <w:kern w:val="0"/>
                <w:sz w:val="24"/>
                <w:highlight w:val="none"/>
              </w:rPr>
              <w:t>职工的风险意识，以减少风险发生的概率。</w:t>
            </w:r>
          </w:p>
          <w:p>
            <w:pPr>
              <w:bidi w:val="0"/>
            </w:pPr>
            <w:r>
              <w:rPr>
                <w:rFonts w:hint="eastAsia"/>
                <w:color w:val="auto"/>
                <w:kern w:val="0"/>
                <w:sz w:val="24"/>
                <w:highlight w:val="none"/>
              </w:rPr>
              <w:t>（</w:t>
            </w:r>
            <w:r>
              <w:rPr>
                <w:rFonts w:hint="eastAsia"/>
                <w:color w:val="auto"/>
                <w:kern w:val="0"/>
                <w:sz w:val="24"/>
                <w:highlight w:val="none"/>
                <w:lang w:val="en-US" w:eastAsia="zh-CN"/>
              </w:rPr>
              <w:t>7</w:t>
            </w:r>
            <w:r>
              <w:rPr>
                <w:rFonts w:hint="eastAsia"/>
                <w:color w:val="auto"/>
                <w:kern w:val="0"/>
                <w:sz w:val="24"/>
                <w:highlight w:val="none"/>
              </w:rPr>
              <w:t>）</w:t>
            </w:r>
            <w:r>
              <w:rPr>
                <w:rFonts w:hint="default"/>
                <w:color w:val="auto"/>
                <w:kern w:val="0"/>
                <w:sz w:val="24"/>
                <w:highlight w:val="none"/>
              </w:rPr>
              <w:t>建设单位应严格按照国家有关标准的要求对生产过程进行严格监控和管理，认真落实本次环评提出的环保对策措施，</w:t>
            </w:r>
            <w:r>
              <w:rPr>
                <w:rFonts w:hint="eastAsia"/>
                <w:color w:val="auto"/>
                <w:kern w:val="0"/>
                <w:sz w:val="24"/>
                <w:highlight w:val="none"/>
              </w:rPr>
              <w:t>并</w:t>
            </w:r>
            <w:r>
              <w:rPr>
                <w:rFonts w:hint="default"/>
                <w:color w:val="auto"/>
                <w:kern w:val="0"/>
                <w:sz w:val="24"/>
                <w:highlight w:val="none"/>
              </w:rPr>
              <w:t>制定应急预案</w:t>
            </w:r>
            <w:r>
              <w:rPr>
                <w:rFonts w:hint="eastAsia"/>
                <w:color w:val="auto"/>
                <w:kern w:val="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jc w:val="center"/>
        </w:trPr>
        <w:tc>
          <w:tcPr>
            <w:tcW w:w="410" w:type="pct"/>
            <w:noWrap w:val="0"/>
            <w:vAlign w:val="center"/>
          </w:tcPr>
          <w:p>
            <w:pPr>
              <w:pStyle w:val="9"/>
              <w:bidi w:val="0"/>
            </w:pPr>
            <w:r>
              <w:t>其他环境</w:t>
            </w:r>
          </w:p>
          <w:p>
            <w:pPr>
              <w:pStyle w:val="9"/>
              <w:bidi w:val="0"/>
            </w:pPr>
            <w:r>
              <w:t>管理要求</w:t>
            </w:r>
          </w:p>
        </w:tc>
        <w:tc>
          <w:tcPr>
            <w:tcW w:w="4589" w:type="pct"/>
            <w:gridSpan w:val="4"/>
            <w:noWrap w:val="0"/>
            <w:vAlign w:val="center"/>
          </w:tcPr>
          <w:p>
            <w:pPr>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1、</w:t>
            </w:r>
            <w:r>
              <w:rPr>
                <w:rFonts w:hint="default"/>
                <w:color w:val="auto"/>
                <w:highlight w:val="none"/>
              </w:rPr>
              <w:t>建设单位应设置环保管理人员，负责厂区环保工作日常事务。环保管理人员应做到有职、有权、有责，</w:t>
            </w:r>
            <w:r>
              <w:rPr>
                <w:rFonts w:hint="eastAsia"/>
                <w:color w:val="auto"/>
                <w:highlight w:val="none"/>
                <w:lang w:eastAsia="zh-CN"/>
              </w:rPr>
              <w:t>切</w:t>
            </w:r>
            <w:r>
              <w:rPr>
                <w:rFonts w:hint="default"/>
                <w:color w:val="auto"/>
                <w:highlight w:val="none"/>
              </w:rPr>
              <w:t>实担负起环境保护管理及监督责任。该人员除对项目负责外，也应与地方环境保护管理部门加强联系，使项目环保工作纳入地方环境管理工作系统。</w:t>
            </w:r>
          </w:p>
          <w:p>
            <w:pPr>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2、</w:t>
            </w:r>
            <w:r>
              <w:rPr>
                <w:rFonts w:hint="default"/>
                <w:color w:val="auto"/>
                <w:highlight w:val="none"/>
              </w:rPr>
              <w:t>严格遵照国家和地方有关环境保护的方针、政策、法规、条例，如《中华人民共和国环境保护法》《全国生态环境保护纲要》等，结合企业的实际情况，确定环境保护控制目标，制定环境保护发展规划和年度实施计划，建立环境保护制度，并组织、监督实施。</w:t>
            </w:r>
          </w:p>
          <w:p>
            <w:pPr>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3、</w:t>
            </w:r>
            <w:r>
              <w:rPr>
                <w:rFonts w:hint="default"/>
                <w:color w:val="auto"/>
                <w:highlight w:val="none"/>
              </w:rPr>
              <w:t>安排组织员工的环保教育、培训和考核，</w:t>
            </w:r>
            <w:r>
              <w:rPr>
                <w:rFonts w:hint="eastAsia"/>
                <w:color w:val="auto"/>
                <w:highlight w:val="none"/>
                <w:lang w:eastAsia="zh-CN"/>
              </w:rPr>
              <w:t>增强</w:t>
            </w:r>
            <w:r>
              <w:rPr>
                <w:rFonts w:hint="default"/>
                <w:color w:val="auto"/>
                <w:highlight w:val="none"/>
              </w:rPr>
              <w:t>员工的环保意识和环境</w:t>
            </w:r>
            <w:r>
              <w:rPr>
                <w:rFonts w:hint="eastAsia"/>
                <w:color w:val="auto"/>
                <w:highlight w:val="none"/>
                <w:lang w:eastAsia="zh-CN"/>
              </w:rPr>
              <w:t>法治观念</w:t>
            </w:r>
            <w:r>
              <w:rPr>
                <w:rFonts w:hint="default"/>
                <w:color w:val="auto"/>
                <w:highlight w:val="none"/>
              </w:rPr>
              <w:t>；推广并应用先进的环境保护管理经验和污染治理技术，提高环保管理人员业务水平。</w:t>
            </w:r>
          </w:p>
          <w:p>
            <w:pPr>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4、</w:t>
            </w:r>
            <w:r>
              <w:rPr>
                <w:rFonts w:hint="default"/>
                <w:color w:val="auto"/>
                <w:highlight w:val="none"/>
              </w:rPr>
              <w:t>组织与领导项目的环境监测和统计工作，掌握污染源动态。</w:t>
            </w:r>
          </w:p>
          <w:p>
            <w:pPr>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5、</w:t>
            </w:r>
            <w:r>
              <w:rPr>
                <w:rFonts w:hint="default"/>
                <w:color w:val="auto"/>
                <w:highlight w:val="none"/>
              </w:rPr>
              <w:t>监督、检查环保设施、设备的运行及维护，建立环保设施运行档案。</w:t>
            </w:r>
          </w:p>
          <w:p>
            <w:pPr>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6、</w:t>
            </w:r>
            <w:r>
              <w:rPr>
                <w:rFonts w:hint="default"/>
                <w:color w:val="auto"/>
                <w:highlight w:val="none"/>
              </w:rPr>
              <w:t>项目生产过程中存在环境风险，为避免企业发生环境风险事故，造成环境危害，企业应自行组织</w:t>
            </w:r>
            <w:r>
              <w:rPr>
                <w:rFonts w:hint="eastAsia"/>
                <w:color w:val="auto"/>
                <w:highlight w:val="none"/>
                <w:lang w:val="en-US" w:eastAsia="zh-CN"/>
              </w:rPr>
              <w:t>修编</w:t>
            </w:r>
            <w:r>
              <w:rPr>
                <w:rFonts w:hint="default"/>
                <w:color w:val="auto"/>
                <w:highlight w:val="none"/>
              </w:rPr>
              <w:t>企业环境风险事故应急预案，报生态环境主管部门备案，并定期组织演练及培训。</w:t>
            </w:r>
          </w:p>
          <w:p>
            <w:pPr>
              <w:keepNext w:val="0"/>
              <w:keepLines w:val="0"/>
              <w:suppressLineNumbers w:val="0"/>
              <w:bidi w:val="0"/>
              <w:spacing w:before="0" w:beforeAutospacing="0" w:after="0" w:afterAutospacing="0"/>
              <w:ind w:left="0" w:right="0"/>
              <w:rPr>
                <w:rFonts w:hint="default"/>
                <w:color w:val="auto"/>
                <w:highlight w:val="none"/>
              </w:rPr>
            </w:pPr>
            <w:r>
              <w:rPr>
                <w:rFonts w:hint="eastAsia"/>
                <w:color w:val="auto"/>
                <w:highlight w:val="none"/>
                <w:lang w:val="en-US" w:eastAsia="zh-CN"/>
              </w:rPr>
              <w:t>7、</w:t>
            </w:r>
            <w:r>
              <w:rPr>
                <w:rFonts w:hint="default"/>
                <w:color w:val="auto"/>
                <w:highlight w:val="none"/>
              </w:rPr>
              <w:t>建设项目竣工后，由建设单位根据《建设项目竣工环境保护设施验收技术规范</w:t>
            </w:r>
            <w:r>
              <w:rPr>
                <w:rFonts w:hint="eastAsia"/>
                <w:color w:val="auto"/>
                <w:highlight w:val="none"/>
                <w:lang w:val="en-US" w:eastAsia="zh-CN"/>
              </w:rPr>
              <w:t xml:space="preserve"> </w:t>
            </w:r>
            <w:r>
              <w:rPr>
                <w:rFonts w:hint="default"/>
                <w:color w:val="auto"/>
                <w:highlight w:val="none"/>
              </w:rPr>
              <w:t>水泥工业》</w:t>
            </w:r>
            <w:r>
              <w:rPr>
                <w:rFonts w:hint="eastAsia"/>
                <w:color w:val="auto"/>
                <w:highlight w:val="none"/>
                <w:lang w:eastAsia="zh-CN"/>
              </w:rPr>
              <w:t>（HJ</w:t>
            </w:r>
            <w:r>
              <w:rPr>
                <w:rFonts w:hint="eastAsia"/>
                <w:color w:val="auto"/>
                <w:highlight w:val="none"/>
                <w:lang w:val="en-US" w:eastAsia="zh-CN"/>
              </w:rPr>
              <w:t xml:space="preserve"> </w:t>
            </w:r>
            <w:r>
              <w:rPr>
                <w:rFonts w:hint="eastAsia"/>
                <w:color w:val="auto"/>
                <w:highlight w:val="none"/>
                <w:lang w:eastAsia="zh-CN"/>
              </w:rPr>
              <w:t>256-2021）</w:t>
            </w:r>
            <w:r>
              <w:rPr>
                <w:rFonts w:hint="default"/>
                <w:color w:val="auto"/>
                <w:highlight w:val="none"/>
              </w:rPr>
              <w:t>按照规定程序和标准自行组织</w:t>
            </w:r>
            <w:r>
              <w:rPr>
                <w:rFonts w:hint="eastAsia"/>
                <w:color w:val="auto"/>
                <w:highlight w:val="none"/>
              </w:rPr>
              <w:t>“</w:t>
            </w:r>
            <w:r>
              <w:rPr>
                <w:rFonts w:hint="default"/>
                <w:color w:val="auto"/>
                <w:highlight w:val="none"/>
              </w:rPr>
              <w:t>三同时</w:t>
            </w:r>
            <w:r>
              <w:rPr>
                <w:rFonts w:hint="eastAsia"/>
                <w:color w:val="auto"/>
                <w:highlight w:val="none"/>
              </w:rPr>
              <w:t>”</w:t>
            </w:r>
            <w:r>
              <w:rPr>
                <w:rFonts w:hint="default"/>
                <w:color w:val="auto"/>
                <w:highlight w:val="none"/>
              </w:rPr>
              <w:t>环保竣工验收，不具备编制验收监测（调查）报告能力的，可委托有能力的技术机构进行编制；企业在正常运行期间，设置危废管理台账，按照固废防治法等要求进行危废暂存、处置，不得随意丢弃及擅自处置。</w:t>
            </w:r>
          </w:p>
          <w:p>
            <w:pPr>
              <w:bidi w:val="0"/>
              <w:rPr>
                <w:rFonts w:hint="default"/>
                <w:color w:val="auto"/>
                <w:highlight w:val="none"/>
              </w:rPr>
            </w:pPr>
            <w:r>
              <w:rPr>
                <w:rFonts w:hint="eastAsia"/>
                <w:color w:val="auto"/>
                <w:highlight w:val="none"/>
                <w:lang w:val="en-US" w:eastAsia="zh-CN"/>
              </w:rPr>
              <w:t>8、</w:t>
            </w:r>
            <w:r>
              <w:rPr>
                <w:rFonts w:hint="default"/>
                <w:color w:val="auto"/>
                <w:highlight w:val="none"/>
              </w:rPr>
              <w:t>按照《排污许可管理条例》（中华人民共和国国务院令 第736号）要求，</w:t>
            </w:r>
            <w:r>
              <w:rPr>
                <w:rFonts w:hint="eastAsia"/>
                <w:color w:val="auto"/>
                <w:highlight w:val="none"/>
                <w:lang w:val="en-US" w:eastAsia="zh-CN"/>
              </w:rPr>
              <w:t>申请排污许可证</w:t>
            </w:r>
            <w:r>
              <w:rPr>
                <w:rFonts w:hint="default"/>
                <w:color w:val="auto"/>
                <w:highlight w:val="none"/>
              </w:rPr>
              <w:t>，未取得排污</w:t>
            </w:r>
            <w:r>
              <w:rPr>
                <w:rFonts w:hint="eastAsia"/>
                <w:color w:val="auto"/>
                <w:highlight w:val="none"/>
                <w:lang w:val="en-US" w:eastAsia="zh-CN"/>
              </w:rPr>
              <w:t>许可证的</w:t>
            </w:r>
            <w:r>
              <w:rPr>
                <w:rFonts w:hint="default"/>
                <w:color w:val="auto"/>
                <w:highlight w:val="none"/>
              </w:rPr>
              <w:t>，不得排放污染物。</w:t>
            </w:r>
          </w:p>
          <w:p>
            <w:pPr>
              <w:pStyle w:val="2"/>
              <w:rPr>
                <w:rFonts w:hint="default"/>
                <w:color w:val="auto"/>
                <w:highlight w:val="none"/>
              </w:rPr>
            </w:pPr>
          </w:p>
          <w:p>
            <w:pPr>
              <w:rPr>
                <w:rFonts w:hint="default"/>
                <w:color w:val="auto"/>
                <w:highlight w:val="none"/>
              </w:rPr>
            </w:pPr>
          </w:p>
          <w:p>
            <w:pPr>
              <w:pStyle w:val="2"/>
              <w:rPr>
                <w:rFonts w:hint="default"/>
                <w:color w:val="auto"/>
                <w:highlight w:val="none"/>
              </w:rPr>
            </w:pPr>
          </w:p>
          <w:p>
            <w:pPr>
              <w:rPr>
                <w:rFonts w:hint="default"/>
                <w:color w:val="auto"/>
                <w:highlight w:val="none"/>
              </w:rPr>
            </w:pPr>
          </w:p>
          <w:p>
            <w:pPr>
              <w:pStyle w:val="2"/>
              <w:rPr>
                <w:rFonts w:hint="default"/>
                <w:color w:val="auto"/>
                <w:highlight w:val="none"/>
              </w:rPr>
            </w:pPr>
          </w:p>
          <w:p>
            <w:pPr>
              <w:rPr>
                <w:rFonts w:hint="default"/>
                <w:color w:val="auto"/>
                <w:highlight w:val="none"/>
              </w:rPr>
            </w:pPr>
          </w:p>
          <w:p>
            <w:pPr>
              <w:pStyle w:val="2"/>
              <w:rPr>
                <w:rFonts w:hint="default"/>
                <w:color w:val="auto"/>
                <w:highlight w:val="none"/>
              </w:rPr>
            </w:pPr>
          </w:p>
          <w:p>
            <w:pPr>
              <w:rPr>
                <w:rFonts w:hint="default"/>
                <w:color w:val="auto"/>
                <w:highlight w:val="none"/>
              </w:rPr>
            </w:pPr>
          </w:p>
          <w:p>
            <w:pPr>
              <w:pStyle w:val="2"/>
              <w:rPr>
                <w:rFonts w:hint="default"/>
                <w:color w:val="auto"/>
                <w:highlight w:val="none"/>
              </w:rPr>
            </w:pPr>
          </w:p>
          <w:p>
            <w:pPr>
              <w:rPr>
                <w:rFonts w:hint="default"/>
                <w:color w:val="auto"/>
                <w:highlight w:val="none"/>
              </w:rPr>
            </w:pPr>
          </w:p>
          <w:p>
            <w:pPr>
              <w:pStyle w:val="2"/>
              <w:rPr>
                <w:rFonts w:hint="default"/>
                <w:color w:val="auto"/>
                <w:highlight w:val="none"/>
              </w:rPr>
            </w:pPr>
          </w:p>
          <w:p>
            <w:pPr>
              <w:rPr>
                <w:rFonts w:hint="default"/>
                <w:color w:val="auto"/>
                <w:highlight w:val="none"/>
              </w:rPr>
            </w:pPr>
          </w:p>
          <w:p>
            <w:pPr>
              <w:pStyle w:val="2"/>
              <w:rPr>
                <w:rFonts w:hint="default"/>
                <w:color w:val="auto"/>
                <w:highlight w:val="none"/>
              </w:rPr>
            </w:pPr>
          </w:p>
          <w:p>
            <w:pPr>
              <w:rPr>
                <w:rFonts w:hint="default"/>
                <w:color w:val="auto"/>
                <w:highlight w:val="none"/>
              </w:rPr>
            </w:pPr>
          </w:p>
          <w:p>
            <w:pPr>
              <w:pStyle w:val="2"/>
              <w:rPr>
                <w:rFonts w:hint="default"/>
                <w:color w:val="auto"/>
                <w:highlight w:val="none"/>
              </w:rPr>
            </w:pPr>
          </w:p>
          <w:p>
            <w:pPr>
              <w:rPr>
                <w:rFonts w:hint="default"/>
                <w:color w:val="auto"/>
                <w:highlight w:val="none"/>
              </w:rPr>
            </w:pPr>
          </w:p>
          <w:p>
            <w:pPr>
              <w:pStyle w:val="2"/>
              <w:rPr>
                <w:rFonts w:hint="default"/>
                <w:color w:val="auto"/>
                <w:highlight w:val="none"/>
              </w:rPr>
            </w:pPr>
          </w:p>
          <w:p>
            <w:pPr>
              <w:rPr>
                <w:rFonts w:hint="default"/>
                <w:color w:val="auto"/>
                <w:highlight w:val="none"/>
              </w:rPr>
            </w:pPr>
          </w:p>
          <w:p>
            <w:pPr>
              <w:pStyle w:val="2"/>
              <w:rPr>
                <w:rFonts w:hint="default"/>
                <w:color w:val="auto"/>
                <w:highlight w:val="none"/>
              </w:rPr>
            </w:pPr>
          </w:p>
          <w:p/>
        </w:tc>
      </w:tr>
    </w:tbl>
    <w:p>
      <w:pPr>
        <w:pStyle w:val="3"/>
        <w:rPr>
          <w:snapToGrid w:val="0"/>
          <w:color w:val="auto"/>
        </w:rPr>
      </w:pPr>
      <w:r>
        <w:rPr>
          <w:snapToGrid w:val="0"/>
          <w:color w:val="auto"/>
        </w:rPr>
        <w:br w:type="page"/>
      </w:r>
      <w:bookmarkStart w:id="19" w:name="_Toc28307"/>
      <w:r>
        <w:rPr>
          <w:snapToGrid w:val="0"/>
          <w:color w:val="auto"/>
        </w:rPr>
        <w:t>六、结论</w:t>
      </w:r>
      <w:bookmarkEnd w:id="19"/>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6" w:hRule="atLeast"/>
          <w:jc w:val="center"/>
        </w:trPr>
        <w:tc>
          <w:tcPr>
            <w:tcW w:w="8865" w:type="dxa"/>
            <w:noWrap w:val="0"/>
            <w:vAlign w:val="top"/>
          </w:tcPr>
          <w:p>
            <w:pPr>
              <w:ind w:firstLine="480" w:firstLineChars="200"/>
            </w:pPr>
            <w:r>
              <w:rPr>
                <w:szCs w:val="21"/>
              </w:rPr>
              <w:t>本</w:t>
            </w:r>
            <w:r>
              <w:rPr>
                <w:szCs w:val="21"/>
                <w:lang w:val="zh-CN"/>
              </w:rPr>
              <w:t>项目</w:t>
            </w:r>
            <w:r>
              <w:rPr>
                <w:szCs w:val="21"/>
              </w:rPr>
              <w:t>在</w:t>
            </w:r>
            <w:r>
              <w:rPr>
                <w:szCs w:val="21"/>
                <w:lang w:val="zh-CN"/>
              </w:rPr>
              <w:t>切实落实报告表中提出的各项防治措施要求，严格执行各项污染物的排放标准，积极有效地进行治理和防范，并使各项污染物达标排放，从环境保护角度考虑，建设项目</w:t>
            </w:r>
            <w:r>
              <w:rPr>
                <w:rFonts w:hint="eastAsia"/>
                <w:szCs w:val="21"/>
              </w:rPr>
              <w:t>环境影响</w:t>
            </w:r>
            <w:r>
              <w:rPr>
                <w:szCs w:val="21"/>
                <w:lang w:val="zh-CN"/>
              </w:rPr>
              <w:t>可行。</w:t>
            </w:r>
          </w:p>
        </w:tc>
      </w:tr>
    </w:tbl>
    <w:p>
      <w:p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3"/>
        <w:rPr>
          <w:color w:val="auto"/>
        </w:rPr>
      </w:pPr>
      <w:bookmarkStart w:id="20" w:name="_Toc2965"/>
      <w:r>
        <w:rPr>
          <w:color w:val="auto"/>
        </w:rPr>
        <w:t>建设项目污染物排放量汇总表</w:t>
      </w:r>
      <w:bookmarkEnd w:id="20"/>
    </w:p>
    <w:tbl>
      <w:tblPr>
        <w:tblStyle w:val="4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autofit"/>
        <w:tblCellMar>
          <w:top w:w="0" w:type="dxa"/>
          <w:left w:w="108" w:type="dxa"/>
          <w:bottom w:w="0" w:type="dxa"/>
          <w:right w:w="108" w:type="dxa"/>
        </w:tblCellMar>
      </w:tblPr>
      <w:tblGrid>
        <w:gridCol w:w="786"/>
        <w:gridCol w:w="1955"/>
        <w:gridCol w:w="1701"/>
        <w:gridCol w:w="707"/>
        <w:gridCol w:w="1701"/>
        <w:gridCol w:w="2017"/>
        <w:gridCol w:w="1166"/>
        <w:gridCol w:w="2103"/>
        <w:gridCol w:w="13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794" w:hRule="atLeast"/>
          <w:jc w:val="center"/>
        </w:trPr>
        <w:tc>
          <w:tcPr>
            <w:tcW w:w="291" w:type="pct"/>
            <w:tcBorders>
              <w:tl2br w:val="nil"/>
              <w:tr2bl w:val="nil"/>
            </w:tcBorders>
            <w:noWrap w:val="0"/>
            <w:tcMar>
              <w:left w:w="28" w:type="dxa"/>
              <w:right w:w="28" w:type="dxa"/>
            </w:tcMar>
            <w:vAlign w:val="center"/>
          </w:tcPr>
          <w:p>
            <w:pPr>
              <w:pStyle w:val="6"/>
              <w:bidi w:val="0"/>
              <w:rPr>
                <w:b/>
                <w:bCs w:val="0"/>
              </w:rPr>
            </w:pPr>
            <w:r>
              <w:rPr>
                <w:b/>
                <w:bCs w:val="0"/>
              </w:rPr>
              <w:t>项目</w:t>
            </w:r>
          </w:p>
          <w:p>
            <w:pPr>
              <w:pStyle w:val="6"/>
              <w:bidi w:val="0"/>
              <w:rPr>
                <w:b/>
                <w:bCs w:val="0"/>
              </w:rPr>
            </w:pPr>
            <w:r>
              <w:rPr>
                <w:b/>
                <w:bCs w:val="0"/>
              </w:rPr>
              <w:t>分类</w:t>
            </w:r>
          </w:p>
        </w:tc>
        <w:tc>
          <w:tcPr>
            <w:tcW w:w="724" w:type="pct"/>
            <w:tcBorders>
              <w:tl2br w:val="nil"/>
              <w:tr2bl w:val="nil"/>
            </w:tcBorders>
            <w:noWrap w:val="0"/>
            <w:tcMar>
              <w:left w:w="28" w:type="dxa"/>
              <w:right w:w="28" w:type="dxa"/>
            </w:tcMar>
            <w:vAlign w:val="center"/>
          </w:tcPr>
          <w:p>
            <w:pPr>
              <w:pStyle w:val="6"/>
              <w:bidi w:val="0"/>
              <w:rPr>
                <w:b/>
                <w:bCs w:val="0"/>
              </w:rPr>
            </w:pPr>
            <w:r>
              <w:rPr>
                <w:b/>
                <w:bCs w:val="0"/>
              </w:rPr>
              <w:t>污染物名称</w:t>
            </w:r>
          </w:p>
        </w:tc>
        <w:tc>
          <w:tcPr>
            <w:tcW w:w="630" w:type="pct"/>
            <w:tcBorders>
              <w:tl2br w:val="nil"/>
              <w:tr2bl w:val="nil"/>
            </w:tcBorders>
            <w:noWrap w:val="0"/>
            <w:tcMar>
              <w:left w:w="28" w:type="dxa"/>
              <w:right w:w="28" w:type="dxa"/>
            </w:tcMar>
            <w:vAlign w:val="center"/>
          </w:tcPr>
          <w:p>
            <w:pPr>
              <w:pStyle w:val="6"/>
              <w:bidi w:val="0"/>
              <w:rPr>
                <w:b/>
                <w:bCs w:val="0"/>
              </w:rPr>
            </w:pPr>
            <w:r>
              <w:rPr>
                <w:b/>
                <w:bCs w:val="0"/>
              </w:rPr>
              <w:t>现有工程</w:t>
            </w:r>
          </w:p>
          <w:p>
            <w:pPr>
              <w:pStyle w:val="6"/>
              <w:bidi w:val="0"/>
              <w:rPr>
                <w:b/>
                <w:bCs w:val="0"/>
              </w:rPr>
            </w:pPr>
            <w:r>
              <w:rPr>
                <w:b/>
                <w:bCs w:val="0"/>
              </w:rPr>
              <w:t>排放量（固体废物产生量）</w:t>
            </w:r>
            <w:r>
              <w:rPr>
                <w:b/>
                <w:bCs w:val="0"/>
              </w:rPr>
              <w:fldChar w:fldCharType="begin"/>
            </w:r>
            <w:r>
              <w:rPr>
                <w:b/>
                <w:bCs w:val="0"/>
              </w:rPr>
              <w:instrText xml:space="preserve"> = 1 \* GB3 \* MERGEFORMAT </w:instrText>
            </w:r>
            <w:r>
              <w:rPr>
                <w:b/>
                <w:bCs w:val="0"/>
              </w:rPr>
              <w:fldChar w:fldCharType="separate"/>
            </w:r>
            <w:r>
              <w:rPr>
                <w:b/>
                <w:bCs w:val="0"/>
              </w:rPr>
              <w:t>①</w:t>
            </w:r>
            <w:r>
              <w:rPr>
                <w:b/>
                <w:bCs w:val="0"/>
              </w:rPr>
              <w:fldChar w:fldCharType="end"/>
            </w:r>
          </w:p>
        </w:tc>
        <w:tc>
          <w:tcPr>
            <w:tcW w:w="262" w:type="pct"/>
            <w:tcBorders>
              <w:tl2br w:val="nil"/>
              <w:tr2bl w:val="nil"/>
            </w:tcBorders>
            <w:noWrap w:val="0"/>
            <w:tcMar>
              <w:left w:w="28" w:type="dxa"/>
              <w:right w:w="28" w:type="dxa"/>
            </w:tcMar>
            <w:vAlign w:val="center"/>
          </w:tcPr>
          <w:p>
            <w:pPr>
              <w:pStyle w:val="6"/>
              <w:bidi w:val="0"/>
              <w:rPr>
                <w:b/>
                <w:bCs w:val="0"/>
              </w:rPr>
            </w:pPr>
            <w:r>
              <w:rPr>
                <w:b/>
                <w:bCs w:val="0"/>
              </w:rPr>
              <w:t>现有工程许可排放量</w:t>
            </w:r>
          </w:p>
          <w:p>
            <w:pPr>
              <w:pStyle w:val="6"/>
              <w:bidi w:val="0"/>
              <w:rPr>
                <w:b/>
                <w:bCs w:val="0"/>
              </w:rPr>
            </w:pPr>
            <w:r>
              <w:rPr>
                <w:b/>
                <w:bCs w:val="0"/>
              </w:rPr>
              <w:fldChar w:fldCharType="begin"/>
            </w:r>
            <w:r>
              <w:rPr>
                <w:b/>
                <w:bCs w:val="0"/>
              </w:rPr>
              <w:instrText xml:space="preserve"> = 2 \* GB3 \* MERGEFORMAT </w:instrText>
            </w:r>
            <w:r>
              <w:rPr>
                <w:b/>
                <w:bCs w:val="0"/>
              </w:rPr>
              <w:fldChar w:fldCharType="separate"/>
            </w:r>
            <w:r>
              <w:rPr>
                <w:b/>
                <w:bCs w:val="0"/>
              </w:rPr>
              <w:t>②</w:t>
            </w:r>
            <w:r>
              <w:rPr>
                <w:b/>
                <w:bCs w:val="0"/>
              </w:rPr>
              <w:fldChar w:fldCharType="end"/>
            </w:r>
          </w:p>
        </w:tc>
        <w:tc>
          <w:tcPr>
            <w:tcW w:w="630" w:type="pct"/>
            <w:tcBorders>
              <w:tl2br w:val="nil"/>
              <w:tr2bl w:val="nil"/>
            </w:tcBorders>
            <w:noWrap w:val="0"/>
            <w:tcMar>
              <w:left w:w="28" w:type="dxa"/>
              <w:right w:w="28" w:type="dxa"/>
            </w:tcMar>
            <w:vAlign w:val="center"/>
          </w:tcPr>
          <w:p>
            <w:pPr>
              <w:pStyle w:val="6"/>
              <w:bidi w:val="0"/>
              <w:rPr>
                <w:b/>
                <w:bCs w:val="0"/>
              </w:rPr>
            </w:pPr>
            <w:r>
              <w:rPr>
                <w:b/>
                <w:bCs w:val="0"/>
              </w:rPr>
              <w:t>在建工程</w:t>
            </w:r>
          </w:p>
          <w:p>
            <w:pPr>
              <w:pStyle w:val="6"/>
              <w:bidi w:val="0"/>
              <w:rPr>
                <w:b/>
                <w:bCs w:val="0"/>
              </w:rPr>
            </w:pPr>
            <w:r>
              <w:rPr>
                <w:b/>
                <w:bCs w:val="0"/>
              </w:rPr>
              <w:t>排放量（固体废物产生量）</w:t>
            </w:r>
            <w:r>
              <w:rPr>
                <w:b/>
                <w:bCs w:val="0"/>
              </w:rPr>
              <w:fldChar w:fldCharType="begin"/>
            </w:r>
            <w:r>
              <w:rPr>
                <w:b/>
                <w:bCs w:val="0"/>
              </w:rPr>
              <w:instrText xml:space="preserve"> = 3 \* GB3 \* MERGEFORMAT </w:instrText>
            </w:r>
            <w:r>
              <w:rPr>
                <w:b/>
                <w:bCs w:val="0"/>
              </w:rPr>
              <w:fldChar w:fldCharType="separate"/>
            </w:r>
            <w:r>
              <w:rPr>
                <w:b/>
                <w:bCs w:val="0"/>
              </w:rPr>
              <w:t>③</w:t>
            </w:r>
            <w:r>
              <w:rPr>
                <w:b/>
                <w:bCs w:val="0"/>
              </w:rPr>
              <w:fldChar w:fldCharType="end"/>
            </w:r>
          </w:p>
        </w:tc>
        <w:tc>
          <w:tcPr>
            <w:tcW w:w="747" w:type="pct"/>
            <w:tcBorders>
              <w:tl2br w:val="nil"/>
              <w:tr2bl w:val="nil"/>
            </w:tcBorders>
            <w:noWrap w:val="0"/>
            <w:tcMar>
              <w:left w:w="28" w:type="dxa"/>
              <w:right w:w="28" w:type="dxa"/>
            </w:tcMar>
            <w:vAlign w:val="center"/>
          </w:tcPr>
          <w:p>
            <w:pPr>
              <w:pStyle w:val="6"/>
              <w:bidi w:val="0"/>
              <w:rPr>
                <w:b/>
                <w:bCs w:val="0"/>
              </w:rPr>
            </w:pPr>
            <w:r>
              <w:rPr>
                <w:b/>
                <w:bCs w:val="0"/>
              </w:rPr>
              <w:t>本项目</w:t>
            </w:r>
          </w:p>
          <w:p>
            <w:pPr>
              <w:pStyle w:val="6"/>
              <w:bidi w:val="0"/>
              <w:rPr>
                <w:b/>
                <w:bCs w:val="0"/>
              </w:rPr>
            </w:pPr>
            <w:r>
              <w:rPr>
                <w:b/>
                <w:bCs w:val="0"/>
              </w:rPr>
              <w:t>排放量（固体废物产生量）</w:t>
            </w:r>
            <w:r>
              <w:rPr>
                <w:b/>
                <w:bCs w:val="0"/>
              </w:rPr>
              <w:fldChar w:fldCharType="begin"/>
            </w:r>
            <w:r>
              <w:rPr>
                <w:b/>
                <w:bCs w:val="0"/>
              </w:rPr>
              <w:instrText xml:space="preserve"> = 4 \* GB3 \* MERGEFORMAT </w:instrText>
            </w:r>
            <w:r>
              <w:rPr>
                <w:b/>
                <w:bCs w:val="0"/>
              </w:rPr>
              <w:fldChar w:fldCharType="separate"/>
            </w:r>
            <w:r>
              <w:rPr>
                <w:b/>
                <w:bCs w:val="0"/>
              </w:rPr>
              <w:t>④</w:t>
            </w:r>
            <w:r>
              <w:rPr>
                <w:b/>
                <w:bCs w:val="0"/>
              </w:rPr>
              <w:fldChar w:fldCharType="end"/>
            </w:r>
          </w:p>
        </w:tc>
        <w:tc>
          <w:tcPr>
            <w:tcW w:w="432" w:type="pct"/>
            <w:tcBorders>
              <w:tl2br w:val="nil"/>
              <w:tr2bl w:val="nil"/>
            </w:tcBorders>
            <w:noWrap w:val="0"/>
            <w:tcMar>
              <w:left w:w="28" w:type="dxa"/>
              <w:right w:w="28" w:type="dxa"/>
            </w:tcMar>
            <w:vAlign w:val="center"/>
          </w:tcPr>
          <w:p>
            <w:pPr>
              <w:pStyle w:val="6"/>
              <w:bidi w:val="0"/>
              <w:rPr>
                <w:b/>
                <w:bCs w:val="0"/>
              </w:rPr>
            </w:pPr>
            <w:r>
              <w:rPr>
                <w:b/>
                <w:bCs w:val="0"/>
              </w:rPr>
              <w:t>以新带老削减量（新建项目不填）</w:t>
            </w:r>
            <w:r>
              <w:rPr>
                <w:b/>
                <w:bCs w:val="0"/>
              </w:rPr>
              <w:fldChar w:fldCharType="begin"/>
            </w:r>
            <w:r>
              <w:rPr>
                <w:b/>
                <w:bCs w:val="0"/>
              </w:rPr>
              <w:instrText xml:space="preserve"> = 5 \* GB3 \* MERGEFORMAT </w:instrText>
            </w:r>
            <w:r>
              <w:rPr>
                <w:b/>
                <w:bCs w:val="0"/>
              </w:rPr>
              <w:fldChar w:fldCharType="separate"/>
            </w:r>
            <w:r>
              <w:rPr>
                <w:b/>
                <w:bCs w:val="0"/>
              </w:rPr>
              <w:t>⑤</w:t>
            </w:r>
            <w:r>
              <w:rPr>
                <w:b/>
                <w:bCs w:val="0"/>
              </w:rPr>
              <w:fldChar w:fldCharType="end"/>
            </w:r>
          </w:p>
        </w:tc>
        <w:tc>
          <w:tcPr>
            <w:tcW w:w="779" w:type="pct"/>
            <w:tcBorders>
              <w:tl2br w:val="nil"/>
              <w:tr2bl w:val="nil"/>
            </w:tcBorders>
            <w:noWrap w:val="0"/>
            <w:tcMar>
              <w:left w:w="28" w:type="dxa"/>
              <w:right w:w="28" w:type="dxa"/>
            </w:tcMar>
            <w:vAlign w:val="center"/>
          </w:tcPr>
          <w:p>
            <w:pPr>
              <w:pStyle w:val="6"/>
              <w:bidi w:val="0"/>
              <w:rPr>
                <w:b/>
                <w:bCs w:val="0"/>
              </w:rPr>
            </w:pPr>
            <w:r>
              <w:rPr>
                <w:b/>
                <w:bCs w:val="0"/>
              </w:rPr>
              <w:t>本项目建成后</w:t>
            </w:r>
          </w:p>
          <w:p>
            <w:pPr>
              <w:pStyle w:val="6"/>
              <w:bidi w:val="0"/>
              <w:rPr>
                <w:b/>
                <w:bCs w:val="0"/>
              </w:rPr>
            </w:pPr>
            <w:r>
              <w:rPr>
                <w:b/>
                <w:bCs w:val="0"/>
              </w:rPr>
              <w:t>全厂排放量（固体废物产生量）</w:t>
            </w:r>
            <w:r>
              <w:rPr>
                <w:b/>
                <w:bCs w:val="0"/>
              </w:rPr>
              <w:fldChar w:fldCharType="begin"/>
            </w:r>
            <w:r>
              <w:rPr>
                <w:b/>
                <w:bCs w:val="0"/>
              </w:rPr>
              <w:instrText xml:space="preserve"> = 6 \* GB3 \* MERGEFORMAT </w:instrText>
            </w:r>
            <w:r>
              <w:rPr>
                <w:b/>
                <w:bCs w:val="0"/>
              </w:rPr>
              <w:fldChar w:fldCharType="separate"/>
            </w:r>
            <w:r>
              <w:rPr>
                <w:b/>
                <w:bCs w:val="0"/>
              </w:rPr>
              <w:t>⑥</w:t>
            </w:r>
            <w:r>
              <w:rPr>
                <w:b/>
                <w:bCs w:val="0"/>
              </w:rPr>
              <w:fldChar w:fldCharType="end"/>
            </w:r>
          </w:p>
        </w:tc>
        <w:tc>
          <w:tcPr>
            <w:tcW w:w="502" w:type="pct"/>
            <w:tcBorders>
              <w:tl2br w:val="nil"/>
              <w:tr2bl w:val="nil"/>
            </w:tcBorders>
            <w:noWrap w:val="0"/>
            <w:tcMar>
              <w:left w:w="28" w:type="dxa"/>
              <w:right w:w="28" w:type="dxa"/>
            </w:tcMar>
            <w:vAlign w:val="center"/>
          </w:tcPr>
          <w:p>
            <w:pPr>
              <w:pStyle w:val="6"/>
              <w:bidi w:val="0"/>
              <w:rPr>
                <w:b/>
                <w:bCs w:val="0"/>
              </w:rPr>
            </w:pPr>
            <w:r>
              <w:rPr>
                <w:b/>
                <w:bCs w:val="0"/>
              </w:rPr>
              <w:t>变化量</w:t>
            </w:r>
          </w:p>
          <w:p>
            <w:pPr>
              <w:pStyle w:val="6"/>
              <w:bidi w:val="0"/>
              <w:rPr>
                <w:b/>
                <w:bCs w:val="0"/>
              </w:rPr>
            </w:pPr>
            <w:r>
              <w:rPr>
                <w:b/>
                <w:bCs w:val="0"/>
              </w:rPr>
              <w:fldChar w:fldCharType="begin"/>
            </w:r>
            <w:r>
              <w:rPr>
                <w:b/>
                <w:bCs w:val="0"/>
              </w:rPr>
              <w:instrText xml:space="preserve"> = 7 \* GB3 \* MERGEFORMAT </w:instrText>
            </w:r>
            <w:r>
              <w:rPr>
                <w:b/>
                <w:bCs w:val="0"/>
              </w:rPr>
              <w:fldChar w:fldCharType="separate"/>
            </w:r>
            <w:r>
              <w:rPr>
                <w:b/>
                <w:bCs w:val="0"/>
              </w:rPr>
              <w:t>⑦</w:t>
            </w:r>
            <w:r>
              <w:rPr>
                <w:b/>
                <w:bCs w:val="0"/>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12" w:hRule="atLeast"/>
          <w:jc w:val="center"/>
        </w:trPr>
        <w:tc>
          <w:tcPr>
            <w:tcW w:w="291" w:type="pct"/>
            <w:tcBorders>
              <w:tl2br w:val="nil"/>
              <w:tr2bl w:val="nil"/>
            </w:tcBorders>
            <w:noWrap w:val="0"/>
            <w:vAlign w:val="center"/>
          </w:tcPr>
          <w:p>
            <w:pPr>
              <w:pStyle w:val="6"/>
              <w:bidi w:val="0"/>
              <w:rPr>
                <w:b/>
                <w:bCs w:val="0"/>
              </w:rPr>
            </w:pPr>
            <w:r>
              <w:rPr>
                <w:b/>
                <w:bCs w:val="0"/>
              </w:rPr>
              <w:t>废气</w:t>
            </w:r>
          </w:p>
        </w:tc>
        <w:tc>
          <w:tcPr>
            <w:tcW w:w="724"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颗粒物</w:t>
            </w:r>
          </w:p>
        </w:tc>
        <w:tc>
          <w:tcPr>
            <w:tcW w:w="630"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262"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630"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747"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eastAsia" w:cs="Times New Roman"/>
                <w:b w:val="0"/>
                <w:bCs w:val="0"/>
                <w:color w:val="auto"/>
                <w:highlight w:val="none"/>
                <w:lang w:val="en-US" w:eastAsia="zh-CN"/>
              </w:rPr>
              <w:t>0.489</w:t>
            </w:r>
            <w:r>
              <w:rPr>
                <w:rFonts w:hint="default" w:ascii="Times New Roman" w:hAnsi="Times New Roman" w:eastAsia="宋体" w:cs="Times New Roman"/>
                <w:b w:val="0"/>
                <w:bCs w:val="0"/>
                <w:color w:val="auto"/>
                <w:highlight w:val="none"/>
                <w:lang w:val="en-US" w:eastAsia="zh-CN"/>
              </w:rPr>
              <w:t>t/a</w:t>
            </w:r>
          </w:p>
        </w:tc>
        <w:tc>
          <w:tcPr>
            <w:tcW w:w="432"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779"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highlight w:val="none"/>
                <w:lang w:val="en-US" w:eastAsia="zh-CN"/>
              </w:rPr>
              <w:t>0.489</w:t>
            </w:r>
            <w:r>
              <w:rPr>
                <w:rFonts w:hint="default" w:ascii="Times New Roman" w:hAnsi="Times New Roman" w:eastAsia="宋体" w:cs="Times New Roman"/>
                <w:b w:val="0"/>
                <w:bCs w:val="0"/>
                <w:color w:val="auto"/>
                <w:highlight w:val="none"/>
                <w:lang w:val="en-US" w:eastAsia="zh-CN"/>
              </w:rPr>
              <w:t>t/a</w:t>
            </w:r>
          </w:p>
        </w:tc>
        <w:tc>
          <w:tcPr>
            <w:tcW w:w="502"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highlight w:val="none"/>
                <w:lang w:val="en-US" w:eastAsia="zh-CN"/>
              </w:rPr>
              <w:t>+0.489</w:t>
            </w:r>
            <w:r>
              <w:rPr>
                <w:rFonts w:hint="default" w:ascii="Times New Roman" w:hAnsi="Times New Roman" w:eastAsia="宋体" w:cs="Times New Roman"/>
                <w:b w:val="0"/>
                <w:bCs w:val="0"/>
                <w:color w:val="auto"/>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82" w:hRule="atLeast"/>
          <w:jc w:val="center"/>
        </w:trPr>
        <w:tc>
          <w:tcPr>
            <w:tcW w:w="291" w:type="pct"/>
            <w:vMerge w:val="restart"/>
            <w:tcBorders>
              <w:tl2br w:val="nil"/>
              <w:tr2bl w:val="nil"/>
            </w:tcBorders>
            <w:noWrap w:val="0"/>
            <w:vAlign w:val="center"/>
          </w:tcPr>
          <w:p>
            <w:pPr>
              <w:pStyle w:val="6"/>
              <w:bidi w:val="0"/>
              <w:rPr>
                <w:b/>
                <w:bCs w:val="0"/>
              </w:rPr>
            </w:pPr>
            <w:r>
              <w:rPr>
                <w:b/>
                <w:bCs w:val="0"/>
              </w:rPr>
              <w:t>废水</w:t>
            </w:r>
          </w:p>
        </w:tc>
        <w:tc>
          <w:tcPr>
            <w:tcW w:w="724"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COD</w:t>
            </w:r>
          </w:p>
        </w:tc>
        <w:tc>
          <w:tcPr>
            <w:tcW w:w="630"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262"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630"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747"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0.096 t/a</w:t>
            </w:r>
          </w:p>
        </w:tc>
        <w:tc>
          <w:tcPr>
            <w:tcW w:w="432"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779"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highlight w:val="none"/>
                <w:lang w:val="en-US" w:eastAsia="zh-CN"/>
              </w:rPr>
              <w:t>0.096 t/a</w:t>
            </w:r>
          </w:p>
        </w:tc>
        <w:tc>
          <w:tcPr>
            <w:tcW w:w="502"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highlight w:val="none"/>
                <w:lang w:val="en-US" w:eastAsia="zh-CN"/>
              </w:rPr>
              <w:t>+</w:t>
            </w:r>
            <w:r>
              <w:rPr>
                <w:rFonts w:hint="default" w:ascii="Times New Roman" w:hAnsi="Times New Roman" w:eastAsia="宋体" w:cs="Times New Roman"/>
                <w:b w:val="0"/>
                <w:bCs w:val="0"/>
                <w:color w:val="auto"/>
                <w:highlight w:val="none"/>
                <w:lang w:val="en-US" w:eastAsia="zh-CN"/>
              </w:rPr>
              <w:t>0.096 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82" w:hRule="atLeast"/>
          <w:jc w:val="center"/>
        </w:trPr>
        <w:tc>
          <w:tcPr>
            <w:tcW w:w="291" w:type="pct"/>
            <w:vMerge w:val="continue"/>
            <w:tcBorders>
              <w:tl2br w:val="nil"/>
              <w:tr2bl w:val="nil"/>
            </w:tcBorders>
            <w:noWrap w:val="0"/>
            <w:vAlign w:val="center"/>
          </w:tcPr>
          <w:p>
            <w:pPr>
              <w:pStyle w:val="6"/>
              <w:bidi w:val="0"/>
              <w:rPr>
                <w:b/>
                <w:bCs w:val="0"/>
              </w:rPr>
            </w:pPr>
          </w:p>
        </w:tc>
        <w:tc>
          <w:tcPr>
            <w:tcW w:w="724"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BOD</w:t>
            </w:r>
            <w:r>
              <w:rPr>
                <w:rFonts w:hint="default" w:ascii="Times New Roman" w:hAnsi="Times New Roman" w:eastAsia="宋体" w:cs="Times New Roman"/>
                <w:b w:val="0"/>
                <w:bCs w:val="0"/>
                <w:color w:val="auto"/>
                <w:highlight w:val="none"/>
                <w:vertAlign w:val="subscript"/>
                <w:lang w:val="en-US" w:eastAsia="zh-CN"/>
              </w:rPr>
              <w:t>5</w:t>
            </w:r>
          </w:p>
        </w:tc>
        <w:tc>
          <w:tcPr>
            <w:tcW w:w="630"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262"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630"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747"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0.035 t/a</w:t>
            </w:r>
          </w:p>
        </w:tc>
        <w:tc>
          <w:tcPr>
            <w:tcW w:w="432"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779"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highlight w:val="none"/>
                <w:lang w:val="en-US" w:eastAsia="zh-CN"/>
              </w:rPr>
              <w:t>0.035 t/a</w:t>
            </w:r>
          </w:p>
        </w:tc>
        <w:tc>
          <w:tcPr>
            <w:tcW w:w="502"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highlight w:val="none"/>
                <w:lang w:val="en-US" w:eastAsia="zh-CN"/>
              </w:rPr>
              <w:t>+</w:t>
            </w:r>
            <w:r>
              <w:rPr>
                <w:rFonts w:hint="default" w:ascii="Times New Roman" w:hAnsi="Times New Roman" w:eastAsia="宋体" w:cs="Times New Roman"/>
                <w:b w:val="0"/>
                <w:bCs w:val="0"/>
                <w:color w:val="auto"/>
                <w:highlight w:val="none"/>
                <w:lang w:val="en-US" w:eastAsia="zh-CN"/>
              </w:rPr>
              <w:t>0.035 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82" w:hRule="atLeast"/>
          <w:jc w:val="center"/>
        </w:trPr>
        <w:tc>
          <w:tcPr>
            <w:tcW w:w="291" w:type="pct"/>
            <w:vMerge w:val="continue"/>
            <w:tcBorders>
              <w:tl2br w:val="nil"/>
              <w:tr2bl w:val="nil"/>
            </w:tcBorders>
            <w:noWrap w:val="0"/>
            <w:vAlign w:val="center"/>
          </w:tcPr>
          <w:p>
            <w:pPr>
              <w:pStyle w:val="6"/>
              <w:bidi w:val="0"/>
              <w:rPr>
                <w:b/>
                <w:bCs w:val="0"/>
              </w:rPr>
            </w:pPr>
          </w:p>
        </w:tc>
        <w:tc>
          <w:tcPr>
            <w:tcW w:w="724"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b w:val="0"/>
                <w:bCs w:val="0"/>
                <w:color w:val="auto"/>
                <w:highlight w:val="none"/>
              </w:rPr>
              <w:t>SS</w:t>
            </w:r>
          </w:p>
        </w:tc>
        <w:tc>
          <w:tcPr>
            <w:tcW w:w="630" w:type="pct"/>
            <w:tcBorders>
              <w:tl2br w:val="nil"/>
              <w:tr2bl w:val="nil"/>
            </w:tcBorders>
            <w:shd w:val="clear" w:color="auto" w:fill="auto"/>
            <w:noWrap w:val="0"/>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262" w:type="pct"/>
            <w:tcBorders>
              <w:tl2br w:val="nil"/>
              <w:tr2bl w:val="nil"/>
            </w:tcBorders>
            <w:shd w:val="clear" w:color="auto" w:fill="auto"/>
            <w:noWrap w:val="0"/>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630" w:type="pct"/>
            <w:tcBorders>
              <w:tl2br w:val="nil"/>
              <w:tr2bl w:val="nil"/>
            </w:tcBorders>
            <w:shd w:val="clear" w:color="auto" w:fill="auto"/>
            <w:noWrap w:val="0"/>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747"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0.060 t/a</w:t>
            </w:r>
          </w:p>
        </w:tc>
        <w:tc>
          <w:tcPr>
            <w:tcW w:w="432"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779"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highlight w:val="none"/>
                <w:lang w:val="en-US" w:eastAsia="zh-CN"/>
              </w:rPr>
              <w:t>0.060 t/a</w:t>
            </w:r>
          </w:p>
        </w:tc>
        <w:tc>
          <w:tcPr>
            <w:tcW w:w="502"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highlight w:val="none"/>
                <w:lang w:val="en-US" w:eastAsia="zh-CN"/>
              </w:rPr>
              <w:t>+</w:t>
            </w:r>
            <w:r>
              <w:rPr>
                <w:rFonts w:hint="default" w:ascii="Times New Roman" w:hAnsi="Times New Roman" w:eastAsia="宋体" w:cs="Times New Roman"/>
                <w:b w:val="0"/>
                <w:bCs w:val="0"/>
                <w:color w:val="auto"/>
                <w:highlight w:val="none"/>
                <w:lang w:val="en-US" w:eastAsia="zh-CN"/>
              </w:rPr>
              <w:t>0.060 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82" w:hRule="atLeast"/>
          <w:jc w:val="center"/>
        </w:trPr>
        <w:tc>
          <w:tcPr>
            <w:tcW w:w="291" w:type="pct"/>
            <w:vMerge w:val="continue"/>
            <w:tcBorders>
              <w:tl2br w:val="nil"/>
              <w:tr2bl w:val="nil"/>
            </w:tcBorders>
            <w:noWrap w:val="0"/>
            <w:vAlign w:val="center"/>
          </w:tcPr>
          <w:p>
            <w:pPr>
              <w:pStyle w:val="6"/>
              <w:bidi w:val="0"/>
              <w:rPr>
                <w:b/>
                <w:bCs w:val="0"/>
              </w:rPr>
            </w:pPr>
          </w:p>
        </w:tc>
        <w:tc>
          <w:tcPr>
            <w:tcW w:w="724"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default"/>
                <w:b w:val="0"/>
                <w:bCs w:val="0"/>
                <w:color w:val="auto"/>
                <w:highlight w:val="none"/>
              </w:rPr>
              <w:t>NH</w:t>
            </w:r>
            <w:r>
              <w:rPr>
                <w:rFonts w:hint="default"/>
                <w:b w:val="0"/>
                <w:bCs w:val="0"/>
                <w:color w:val="auto"/>
                <w:highlight w:val="none"/>
                <w:vertAlign w:val="subscript"/>
              </w:rPr>
              <w:t>3</w:t>
            </w:r>
            <w:r>
              <w:rPr>
                <w:rFonts w:hint="default"/>
                <w:b w:val="0"/>
                <w:bCs w:val="0"/>
                <w:color w:val="auto"/>
                <w:highlight w:val="none"/>
              </w:rPr>
              <w:t>-N</w:t>
            </w:r>
          </w:p>
        </w:tc>
        <w:tc>
          <w:tcPr>
            <w:tcW w:w="630" w:type="pct"/>
            <w:tcBorders>
              <w:tl2br w:val="nil"/>
              <w:tr2bl w:val="nil"/>
            </w:tcBorders>
            <w:shd w:val="clear" w:color="auto" w:fill="auto"/>
            <w:noWrap w:val="0"/>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262" w:type="pct"/>
            <w:tcBorders>
              <w:tl2br w:val="nil"/>
              <w:tr2bl w:val="nil"/>
            </w:tcBorders>
            <w:shd w:val="clear" w:color="auto" w:fill="auto"/>
            <w:noWrap w:val="0"/>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630" w:type="pct"/>
            <w:tcBorders>
              <w:tl2br w:val="nil"/>
              <w:tr2bl w:val="nil"/>
            </w:tcBorders>
            <w:shd w:val="clear" w:color="auto" w:fill="auto"/>
            <w:noWrap w:val="0"/>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747"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0.015 t/a</w:t>
            </w:r>
          </w:p>
        </w:tc>
        <w:tc>
          <w:tcPr>
            <w:tcW w:w="432"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779"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highlight w:val="none"/>
                <w:lang w:val="en-US" w:eastAsia="zh-CN"/>
              </w:rPr>
              <w:t>0.015 t/a</w:t>
            </w:r>
          </w:p>
        </w:tc>
        <w:tc>
          <w:tcPr>
            <w:tcW w:w="502"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highlight w:val="none"/>
                <w:lang w:val="en-US" w:eastAsia="zh-CN"/>
              </w:rPr>
              <w:t>+</w:t>
            </w:r>
            <w:r>
              <w:rPr>
                <w:rFonts w:hint="default" w:ascii="Times New Roman" w:hAnsi="Times New Roman" w:eastAsia="宋体" w:cs="Times New Roman"/>
                <w:b w:val="0"/>
                <w:bCs w:val="0"/>
                <w:color w:val="auto"/>
                <w:highlight w:val="none"/>
                <w:lang w:val="en-US" w:eastAsia="zh-CN"/>
              </w:rPr>
              <w:t>0.015 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82" w:hRule="atLeast"/>
          <w:jc w:val="center"/>
        </w:trPr>
        <w:tc>
          <w:tcPr>
            <w:tcW w:w="291" w:type="pct"/>
            <w:vMerge w:val="restart"/>
            <w:tcBorders>
              <w:tl2br w:val="nil"/>
              <w:tr2bl w:val="nil"/>
            </w:tcBorders>
            <w:noWrap w:val="0"/>
            <w:vAlign w:val="center"/>
          </w:tcPr>
          <w:p>
            <w:pPr>
              <w:pStyle w:val="6"/>
              <w:bidi w:val="0"/>
              <w:rPr>
                <w:b/>
                <w:bCs w:val="0"/>
              </w:rPr>
            </w:pPr>
            <w:r>
              <w:rPr>
                <w:b/>
                <w:bCs w:val="0"/>
              </w:rPr>
              <w:t>一般工业</w:t>
            </w:r>
          </w:p>
          <w:p>
            <w:pPr>
              <w:pStyle w:val="6"/>
              <w:bidi w:val="0"/>
              <w:rPr>
                <w:b/>
                <w:bCs w:val="0"/>
              </w:rPr>
            </w:pPr>
            <w:r>
              <w:rPr>
                <w:b/>
                <w:bCs w:val="0"/>
              </w:rPr>
              <w:t>固体废物</w:t>
            </w:r>
          </w:p>
        </w:tc>
        <w:tc>
          <w:tcPr>
            <w:tcW w:w="724" w:type="pct"/>
            <w:tcBorders>
              <w:tl2br w:val="nil"/>
              <w:tr2bl w:val="nil"/>
            </w:tcBorders>
            <w:shd w:val="clear" w:color="auto" w:fill="auto"/>
            <w:noWrap w:val="0"/>
            <w:vAlign w:val="center"/>
          </w:tcPr>
          <w:p>
            <w:pPr>
              <w:pStyle w:val="6"/>
              <w:bidi w:val="0"/>
              <w:ind w:firstLine="0" w:firstLineChars="0"/>
              <w:rPr>
                <w:rFonts w:hint="default" w:ascii="Times New Roman" w:hAnsi="Times New Roman" w:eastAsia="宋体" w:cs="Times New Roman"/>
                <w:b w:val="0"/>
                <w:bCs w:val="0"/>
                <w:kern w:val="2"/>
                <w:sz w:val="21"/>
                <w:szCs w:val="28"/>
                <w:lang w:val="en-US" w:eastAsia="zh-CN" w:bidi="ar-SA"/>
              </w:rPr>
            </w:pPr>
            <w:r>
              <w:rPr>
                <w:rFonts w:hint="eastAsia"/>
                <w:b w:val="0"/>
                <w:bCs w:val="0"/>
                <w:lang w:val="en-US" w:eastAsia="zh-CN"/>
              </w:rPr>
              <w:t>废布袋</w:t>
            </w:r>
          </w:p>
        </w:tc>
        <w:tc>
          <w:tcPr>
            <w:tcW w:w="630" w:type="pct"/>
            <w:tcBorders>
              <w:tl2br w:val="nil"/>
              <w:tr2bl w:val="nil"/>
            </w:tcBorders>
            <w:shd w:val="clear" w:color="auto" w:fill="auto"/>
            <w:noWrap w:val="0"/>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262" w:type="pct"/>
            <w:tcBorders>
              <w:tl2br w:val="nil"/>
              <w:tr2bl w:val="nil"/>
            </w:tcBorders>
            <w:shd w:val="clear" w:color="auto" w:fill="auto"/>
            <w:noWrap w:val="0"/>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630" w:type="pct"/>
            <w:tcBorders>
              <w:tl2br w:val="nil"/>
              <w:tr2bl w:val="nil"/>
            </w:tcBorders>
            <w:shd w:val="clear" w:color="auto" w:fill="auto"/>
            <w:noWrap w:val="0"/>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747"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highlight w:val="none"/>
                <w:lang w:val="en-US" w:eastAsia="zh-CN"/>
              </w:rPr>
              <w:t>0.1</w:t>
            </w:r>
            <w:r>
              <w:rPr>
                <w:rFonts w:hint="default" w:ascii="Times New Roman" w:hAnsi="Times New Roman" w:eastAsia="宋体" w:cs="Times New Roman"/>
                <w:b w:val="0"/>
                <w:bCs w:val="0"/>
                <w:color w:val="auto"/>
                <w:highlight w:val="none"/>
                <w:lang w:val="en-US" w:eastAsia="zh-CN"/>
              </w:rPr>
              <w:t>t/a</w:t>
            </w:r>
          </w:p>
        </w:tc>
        <w:tc>
          <w:tcPr>
            <w:tcW w:w="432"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highlight w:val="none"/>
                <w:lang w:val="en-US" w:eastAsia="zh-CN"/>
              </w:rPr>
              <w:t>/</w:t>
            </w:r>
          </w:p>
        </w:tc>
        <w:tc>
          <w:tcPr>
            <w:tcW w:w="779"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highlight w:val="none"/>
                <w:lang w:val="en-US" w:eastAsia="zh-CN"/>
              </w:rPr>
              <w:t>0.1</w:t>
            </w:r>
            <w:r>
              <w:rPr>
                <w:rFonts w:hint="default" w:ascii="Times New Roman" w:hAnsi="Times New Roman" w:eastAsia="宋体" w:cs="Times New Roman"/>
                <w:b w:val="0"/>
                <w:bCs w:val="0"/>
                <w:color w:val="auto"/>
                <w:highlight w:val="none"/>
                <w:lang w:val="en-US" w:eastAsia="zh-CN"/>
              </w:rPr>
              <w:t>t/a</w:t>
            </w:r>
          </w:p>
        </w:tc>
        <w:tc>
          <w:tcPr>
            <w:tcW w:w="502"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highlight w:val="none"/>
                <w:lang w:val="en-US" w:eastAsia="zh-CN"/>
              </w:rPr>
              <w:t>+</w:t>
            </w:r>
            <w:r>
              <w:rPr>
                <w:rFonts w:hint="eastAsia" w:ascii="Times New Roman" w:hAnsi="Times New Roman" w:eastAsia="宋体" w:cs="Times New Roman"/>
                <w:b w:val="0"/>
                <w:bCs w:val="0"/>
                <w:color w:val="auto"/>
                <w:highlight w:val="none"/>
                <w:lang w:val="en-US" w:eastAsia="zh-CN"/>
              </w:rPr>
              <w:t>0.1</w:t>
            </w:r>
            <w:r>
              <w:rPr>
                <w:rFonts w:hint="default" w:ascii="Times New Roman" w:hAnsi="Times New Roman" w:eastAsia="宋体" w:cs="Times New Roman"/>
                <w:b w:val="0"/>
                <w:bCs w:val="0"/>
                <w:color w:val="auto"/>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82" w:hRule="atLeast"/>
          <w:jc w:val="center"/>
        </w:trPr>
        <w:tc>
          <w:tcPr>
            <w:tcW w:w="291" w:type="pct"/>
            <w:vMerge w:val="continue"/>
            <w:tcBorders>
              <w:tl2br w:val="nil"/>
              <w:tr2bl w:val="nil"/>
            </w:tcBorders>
            <w:noWrap w:val="0"/>
            <w:vAlign w:val="center"/>
          </w:tcPr>
          <w:p>
            <w:pPr>
              <w:pStyle w:val="6"/>
              <w:bidi w:val="0"/>
              <w:rPr>
                <w:b/>
                <w:bCs w:val="0"/>
              </w:rPr>
            </w:pPr>
          </w:p>
        </w:tc>
        <w:tc>
          <w:tcPr>
            <w:tcW w:w="724" w:type="pct"/>
            <w:tcBorders>
              <w:tl2br w:val="nil"/>
              <w:tr2bl w:val="nil"/>
            </w:tcBorders>
            <w:shd w:val="clear" w:color="auto" w:fill="auto"/>
            <w:noWrap w:val="0"/>
            <w:vAlign w:val="center"/>
          </w:tcPr>
          <w:p>
            <w:pPr>
              <w:pStyle w:val="6"/>
              <w:bidi w:val="0"/>
              <w:ind w:firstLine="0" w:firstLineChars="0"/>
              <w:rPr>
                <w:rFonts w:hint="eastAsia" w:ascii="Times New Roman" w:hAnsi="Times New Roman" w:eastAsia="宋体" w:cs="Times New Roman"/>
                <w:b w:val="0"/>
                <w:bCs w:val="0"/>
                <w:kern w:val="2"/>
                <w:sz w:val="21"/>
                <w:szCs w:val="28"/>
                <w:lang w:val="en-US" w:eastAsia="zh-CN" w:bidi="ar-SA"/>
              </w:rPr>
            </w:pPr>
            <w:r>
              <w:rPr>
                <w:rFonts w:hint="eastAsia"/>
                <w:b w:val="0"/>
                <w:bCs w:val="0"/>
                <w:lang w:val="en-US" w:eastAsia="zh-CN"/>
              </w:rPr>
              <w:t>不合格产品及边角料</w:t>
            </w:r>
          </w:p>
        </w:tc>
        <w:tc>
          <w:tcPr>
            <w:tcW w:w="630" w:type="pct"/>
            <w:tcBorders>
              <w:tl2br w:val="nil"/>
              <w:tr2bl w:val="nil"/>
            </w:tcBorders>
            <w:noWrap w:val="0"/>
            <w:vAlign w:val="center"/>
          </w:tcPr>
          <w:p>
            <w:pPr>
              <w:pStyle w:val="6"/>
              <w:bidi w:val="0"/>
              <w:rPr>
                <w:b w:val="0"/>
                <w:bCs w:val="0"/>
              </w:rPr>
            </w:pPr>
            <w:r>
              <w:rPr>
                <w:b w:val="0"/>
                <w:bCs w:val="0"/>
              </w:rPr>
              <w:t>/</w:t>
            </w:r>
          </w:p>
        </w:tc>
        <w:tc>
          <w:tcPr>
            <w:tcW w:w="262" w:type="pct"/>
            <w:tcBorders>
              <w:tl2br w:val="nil"/>
              <w:tr2bl w:val="nil"/>
            </w:tcBorders>
            <w:noWrap w:val="0"/>
            <w:vAlign w:val="center"/>
          </w:tcPr>
          <w:p>
            <w:pPr>
              <w:pStyle w:val="6"/>
              <w:bidi w:val="0"/>
              <w:rPr>
                <w:b w:val="0"/>
                <w:bCs w:val="0"/>
              </w:rPr>
            </w:pPr>
            <w:r>
              <w:rPr>
                <w:b w:val="0"/>
                <w:bCs w:val="0"/>
              </w:rPr>
              <w:t>/</w:t>
            </w:r>
          </w:p>
        </w:tc>
        <w:tc>
          <w:tcPr>
            <w:tcW w:w="630" w:type="pct"/>
            <w:tcBorders>
              <w:tl2br w:val="nil"/>
              <w:tr2bl w:val="nil"/>
            </w:tcBorders>
            <w:noWrap w:val="0"/>
            <w:vAlign w:val="center"/>
          </w:tcPr>
          <w:p>
            <w:pPr>
              <w:pStyle w:val="6"/>
              <w:bidi w:val="0"/>
              <w:rPr>
                <w:b w:val="0"/>
                <w:bCs w:val="0"/>
              </w:rPr>
            </w:pPr>
            <w:r>
              <w:rPr>
                <w:b w:val="0"/>
                <w:bCs w:val="0"/>
              </w:rPr>
              <w:t>/</w:t>
            </w:r>
          </w:p>
        </w:tc>
        <w:tc>
          <w:tcPr>
            <w:tcW w:w="747"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eastAsia" w:cs="Times New Roman"/>
                <w:b w:val="0"/>
                <w:bCs w:val="0"/>
                <w:color w:val="auto"/>
                <w:highlight w:val="none"/>
                <w:lang w:val="en-US" w:eastAsia="zh-CN"/>
              </w:rPr>
              <w:t>10</w:t>
            </w:r>
            <w:r>
              <w:rPr>
                <w:rFonts w:hint="default" w:ascii="Times New Roman" w:hAnsi="Times New Roman" w:eastAsia="宋体" w:cs="Times New Roman"/>
                <w:b w:val="0"/>
                <w:bCs w:val="0"/>
                <w:color w:val="auto"/>
                <w:highlight w:val="none"/>
                <w:lang w:val="en-US" w:eastAsia="zh-CN"/>
              </w:rPr>
              <w:t>t/a</w:t>
            </w:r>
          </w:p>
        </w:tc>
        <w:tc>
          <w:tcPr>
            <w:tcW w:w="432"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779"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highlight w:val="none"/>
                <w:lang w:val="en-US" w:eastAsia="zh-CN"/>
              </w:rPr>
              <w:t>10</w:t>
            </w:r>
            <w:r>
              <w:rPr>
                <w:rFonts w:hint="default" w:ascii="Times New Roman" w:hAnsi="Times New Roman" w:eastAsia="宋体" w:cs="Times New Roman"/>
                <w:b w:val="0"/>
                <w:bCs w:val="0"/>
                <w:color w:val="auto"/>
                <w:highlight w:val="none"/>
                <w:lang w:val="en-US" w:eastAsia="zh-CN"/>
              </w:rPr>
              <w:t>t/a</w:t>
            </w:r>
          </w:p>
        </w:tc>
        <w:tc>
          <w:tcPr>
            <w:tcW w:w="502"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highlight w:val="none"/>
                <w:lang w:val="en-US" w:eastAsia="zh-CN"/>
              </w:rPr>
              <w:t>+10</w:t>
            </w:r>
            <w:r>
              <w:rPr>
                <w:rFonts w:hint="default" w:ascii="Times New Roman" w:hAnsi="Times New Roman" w:eastAsia="宋体" w:cs="Times New Roman"/>
                <w:b w:val="0"/>
                <w:bCs w:val="0"/>
                <w:color w:val="auto"/>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52" w:hRule="atLeast"/>
          <w:jc w:val="center"/>
        </w:trPr>
        <w:tc>
          <w:tcPr>
            <w:tcW w:w="291" w:type="pct"/>
            <w:vMerge w:val="restart"/>
            <w:tcBorders>
              <w:tl2br w:val="nil"/>
              <w:tr2bl w:val="nil"/>
            </w:tcBorders>
            <w:noWrap w:val="0"/>
            <w:vAlign w:val="center"/>
          </w:tcPr>
          <w:p>
            <w:pPr>
              <w:pStyle w:val="6"/>
              <w:bidi w:val="0"/>
              <w:rPr>
                <w:b/>
                <w:bCs w:val="0"/>
              </w:rPr>
            </w:pPr>
            <w:r>
              <w:rPr>
                <w:b/>
                <w:bCs w:val="0"/>
              </w:rPr>
              <w:t>危险废物</w:t>
            </w:r>
          </w:p>
        </w:tc>
        <w:tc>
          <w:tcPr>
            <w:tcW w:w="724" w:type="pct"/>
            <w:tcBorders>
              <w:tl2br w:val="nil"/>
              <w:tr2bl w:val="nil"/>
            </w:tcBorders>
            <w:shd w:val="clear" w:color="auto" w:fill="auto"/>
            <w:noWrap w:val="0"/>
            <w:vAlign w:val="center"/>
          </w:tcPr>
          <w:p>
            <w:pPr>
              <w:pStyle w:val="6"/>
              <w:bidi w:val="0"/>
              <w:ind w:firstLine="0" w:firstLineChars="0"/>
              <w:rPr>
                <w:rFonts w:hint="eastAsia" w:ascii="Times New Roman" w:hAnsi="Times New Roman" w:eastAsia="宋体" w:cs="Times New Roman"/>
                <w:b w:val="0"/>
                <w:bCs w:val="0"/>
                <w:kern w:val="2"/>
                <w:sz w:val="21"/>
                <w:szCs w:val="28"/>
                <w:lang w:val="en-US" w:eastAsia="zh-CN" w:bidi="ar-SA"/>
              </w:rPr>
            </w:pPr>
            <w:r>
              <w:rPr>
                <w:rFonts w:hint="eastAsia"/>
                <w:b w:val="0"/>
                <w:bCs w:val="0"/>
                <w:lang w:val="en-US" w:eastAsia="zh-CN"/>
              </w:rPr>
              <w:t>废润滑油</w:t>
            </w:r>
          </w:p>
        </w:tc>
        <w:tc>
          <w:tcPr>
            <w:tcW w:w="630" w:type="pct"/>
            <w:tcBorders>
              <w:tl2br w:val="nil"/>
              <w:tr2bl w:val="nil"/>
            </w:tcBorders>
            <w:noWrap w:val="0"/>
            <w:vAlign w:val="center"/>
          </w:tcPr>
          <w:p>
            <w:pPr>
              <w:pStyle w:val="6"/>
              <w:bidi w:val="0"/>
              <w:rPr>
                <w:b w:val="0"/>
                <w:bCs w:val="0"/>
              </w:rPr>
            </w:pPr>
            <w:r>
              <w:rPr>
                <w:b w:val="0"/>
                <w:bCs w:val="0"/>
              </w:rPr>
              <w:t>/</w:t>
            </w:r>
          </w:p>
        </w:tc>
        <w:tc>
          <w:tcPr>
            <w:tcW w:w="262" w:type="pct"/>
            <w:tcBorders>
              <w:tl2br w:val="nil"/>
              <w:tr2bl w:val="nil"/>
            </w:tcBorders>
            <w:noWrap w:val="0"/>
            <w:vAlign w:val="center"/>
          </w:tcPr>
          <w:p>
            <w:pPr>
              <w:pStyle w:val="6"/>
              <w:bidi w:val="0"/>
              <w:rPr>
                <w:b w:val="0"/>
                <w:bCs w:val="0"/>
              </w:rPr>
            </w:pPr>
            <w:r>
              <w:rPr>
                <w:b w:val="0"/>
                <w:bCs w:val="0"/>
              </w:rPr>
              <w:t>/</w:t>
            </w:r>
          </w:p>
        </w:tc>
        <w:tc>
          <w:tcPr>
            <w:tcW w:w="630" w:type="pct"/>
            <w:tcBorders>
              <w:tl2br w:val="nil"/>
              <w:tr2bl w:val="nil"/>
            </w:tcBorders>
            <w:noWrap w:val="0"/>
            <w:vAlign w:val="center"/>
          </w:tcPr>
          <w:p>
            <w:pPr>
              <w:pStyle w:val="6"/>
              <w:bidi w:val="0"/>
              <w:rPr>
                <w:b w:val="0"/>
                <w:bCs w:val="0"/>
              </w:rPr>
            </w:pPr>
            <w:r>
              <w:rPr>
                <w:b w:val="0"/>
                <w:bCs w:val="0"/>
              </w:rPr>
              <w:t>/</w:t>
            </w:r>
          </w:p>
        </w:tc>
        <w:tc>
          <w:tcPr>
            <w:tcW w:w="747"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0.05</w:t>
            </w:r>
            <w:r>
              <w:rPr>
                <w:rFonts w:hint="default" w:ascii="Times New Roman" w:hAnsi="Times New Roman" w:eastAsia="宋体" w:cs="Times New Roman"/>
                <w:b w:val="0"/>
                <w:bCs w:val="0"/>
                <w:color w:val="auto"/>
                <w:highlight w:val="none"/>
                <w:lang w:val="en-US" w:eastAsia="zh-CN"/>
              </w:rPr>
              <w:t>t/a</w:t>
            </w:r>
          </w:p>
        </w:tc>
        <w:tc>
          <w:tcPr>
            <w:tcW w:w="432" w:type="pct"/>
            <w:tcBorders>
              <w:tl2br w:val="nil"/>
              <w:tr2bl w:val="nil"/>
            </w:tcBorders>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w:t>
            </w:r>
          </w:p>
        </w:tc>
        <w:tc>
          <w:tcPr>
            <w:tcW w:w="779"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highlight w:val="none"/>
                <w:lang w:val="en-US" w:eastAsia="zh-CN"/>
              </w:rPr>
              <w:t>0.05</w:t>
            </w:r>
            <w:r>
              <w:rPr>
                <w:rFonts w:hint="default" w:ascii="Times New Roman" w:hAnsi="Times New Roman" w:eastAsia="宋体" w:cs="Times New Roman"/>
                <w:b w:val="0"/>
                <w:bCs w:val="0"/>
                <w:color w:val="auto"/>
                <w:highlight w:val="none"/>
                <w:lang w:val="en-US" w:eastAsia="zh-CN"/>
              </w:rPr>
              <w:t>t/a</w:t>
            </w:r>
          </w:p>
        </w:tc>
        <w:tc>
          <w:tcPr>
            <w:tcW w:w="502" w:type="pct"/>
            <w:tcBorders>
              <w:tl2br w:val="nil"/>
              <w:tr2bl w:val="nil"/>
            </w:tcBorders>
            <w:shd w:val="clear" w:color="auto" w:fill="auto"/>
            <w:noWrap w:val="0"/>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highlight w:val="none"/>
                <w:lang w:val="en-US" w:eastAsia="zh-CN"/>
              </w:rPr>
              <w:t>+</w:t>
            </w:r>
            <w:r>
              <w:rPr>
                <w:rFonts w:hint="eastAsia" w:ascii="Times New Roman" w:hAnsi="Times New Roman" w:eastAsia="宋体" w:cs="Times New Roman"/>
                <w:b w:val="0"/>
                <w:bCs w:val="0"/>
                <w:color w:val="auto"/>
                <w:highlight w:val="none"/>
                <w:lang w:val="en-US" w:eastAsia="zh-CN"/>
              </w:rPr>
              <w:t>0.05</w:t>
            </w:r>
            <w:r>
              <w:rPr>
                <w:rFonts w:hint="default" w:ascii="Times New Roman" w:hAnsi="Times New Roman" w:eastAsia="宋体" w:cs="Times New Roman"/>
                <w:b w:val="0"/>
                <w:bCs w:val="0"/>
                <w:color w:val="auto"/>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52" w:hRule="atLeast"/>
          <w:jc w:val="center"/>
        </w:trPr>
        <w:tc>
          <w:tcPr>
            <w:tcW w:w="291" w:type="pct"/>
            <w:vMerge w:val="continue"/>
          </w:tcPr>
          <w:p>
            <w:pPr>
              <w:pStyle w:val="6"/>
              <w:bidi w:val="0"/>
              <w:rPr>
                <w:b/>
                <w:bCs w:val="0"/>
              </w:rPr>
            </w:pPr>
            <w:bookmarkStart w:id="21" w:name="_Toc13762"/>
          </w:p>
        </w:tc>
        <w:tc>
          <w:tcPr>
            <w:tcW w:w="0" w:type="auto"/>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废油桶</w:t>
            </w:r>
          </w:p>
        </w:tc>
        <w:tc>
          <w:tcPr>
            <w:tcW w:w="0" w:type="auto"/>
            <w:shd w:val="clear" w:color="auto" w:fill="auto"/>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0" w:type="auto"/>
            <w:shd w:val="clear" w:color="auto" w:fill="auto"/>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0" w:type="auto"/>
            <w:shd w:val="clear" w:color="auto" w:fill="auto"/>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0" w:type="auto"/>
            <w:shd w:val="clear" w:color="auto" w:fill="auto"/>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0.01</w:t>
            </w:r>
            <w:r>
              <w:rPr>
                <w:rFonts w:hint="default" w:ascii="Times New Roman" w:hAnsi="Times New Roman" w:eastAsia="宋体" w:cs="Times New Roman"/>
                <w:b w:val="0"/>
                <w:bCs w:val="0"/>
                <w:color w:val="auto"/>
                <w:highlight w:val="none"/>
                <w:lang w:val="en-US" w:eastAsia="zh-CN"/>
              </w:rPr>
              <w:t>t/a</w:t>
            </w:r>
          </w:p>
        </w:tc>
        <w:tc>
          <w:tcPr>
            <w:tcW w:w="0" w:type="auto"/>
            <w:shd w:val="clear" w:color="auto" w:fill="auto"/>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highlight w:val="none"/>
                <w:lang w:val="en-US" w:eastAsia="zh-CN"/>
              </w:rPr>
              <w:t>/</w:t>
            </w:r>
          </w:p>
        </w:tc>
        <w:tc>
          <w:tcPr>
            <w:tcW w:w="0" w:type="auto"/>
            <w:shd w:val="clear" w:color="auto" w:fill="auto"/>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highlight w:val="none"/>
                <w:lang w:val="en-US" w:eastAsia="zh-CN"/>
              </w:rPr>
              <w:t>0.01</w:t>
            </w:r>
            <w:r>
              <w:rPr>
                <w:rFonts w:hint="default" w:ascii="Times New Roman" w:hAnsi="Times New Roman" w:eastAsia="宋体" w:cs="Times New Roman"/>
                <w:b w:val="0"/>
                <w:bCs w:val="0"/>
                <w:color w:val="auto"/>
                <w:highlight w:val="none"/>
                <w:lang w:val="en-US" w:eastAsia="zh-CN"/>
              </w:rPr>
              <w:t>t/a</w:t>
            </w:r>
          </w:p>
        </w:tc>
        <w:tc>
          <w:tcPr>
            <w:tcW w:w="0" w:type="auto"/>
            <w:shd w:val="clear" w:color="auto" w:fill="auto"/>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highlight w:val="none"/>
                <w:lang w:val="en-US" w:eastAsia="zh-CN"/>
              </w:rPr>
              <w:t>+</w:t>
            </w:r>
            <w:r>
              <w:rPr>
                <w:rFonts w:hint="eastAsia" w:ascii="Times New Roman" w:hAnsi="Times New Roman" w:eastAsia="宋体" w:cs="Times New Roman"/>
                <w:b w:val="0"/>
                <w:bCs w:val="0"/>
                <w:color w:val="auto"/>
                <w:highlight w:val="none"/>
                <w:lang w:val="en-US" w:eastAsia="zh-CN"/>
              </w:rPr>
              <w:t>0.01</w:t>
            </w:r>
            <w:r>
              <w:rPr>
                <w:rFonts w:hint="default" w:ascii="Times New Roman" w:hAnsi="Times New Roman" w:eastAsia="宋体" w:cs="Times New Roman"/>
                <w:b w:val="0"/>
                <w:bCs w:val="0"/>
                <w:color w:val="auto"/>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52" w:hRule="atLeast"/>
          <w:jc w:val="center"/>
        </w:trPr>
        <w:tc>
          <w:tcPr>
            <w:tcW w:w="291" w:type="pct"/>
            <w:vMerge w:val="continue"/>
          </w:tcPr>
          <w:p>
            <w:pPr>
              <w:pStyle w:val="6"/>
              <w:bidi w:val="0"/>
              <w:rPr>
                <w:b/>
                <w:bCs w:val="0"/>
              </w:rPr>
            </w:pPr>
          </w:p>
        </w:tc>
        <w:tc>
          <w:tcPr>
            <w:tcW w:w="0" w:type="auto"/>
            <w:shd w:val="clear" w:color="auto" w:fill="auto"/>
            <w:vAlign w:val="center"/>
          </w:tcPr>
          <w:p>
            <w:pPr>
              <w:pStyle w:val="6"/>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含油抹布、劳保用品</w:t>
            </w:r>
          </w:p>
        </w:tc>
        <w:tc>
          <w:tcPr>
            <w:tcW w:w="0" w:type="auto"/>
            <w:shd w:val="clear" w:color="auto" w:fill="auto"/>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0" w:type="auto"/>
            <w:shd w:val="clear" w:color="auto" w:fill="auto"/>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0" w:type="auto"/>
            <w:shd w:val="clear" w:color="auto" w:fill="auto"/>
            <w:vAlign w:val="center"/>
          </w:tcPr>
          <w:p>
            <w:pPr>
              <w:pStyle w:val="6"/>
              <w:bidi w:val="0"/>
              <w:ind w:firstLine="0" w:firstLineChars="0"/>
              <w:rPr>
                <w:rFonts w:ascii="Times New Roman" w:hAnsi="Times New Roman" w:eastAsia="宋体" w:cs="Times New Roman"/>
                <w:b w:val="0"/>
                <w:bCs w:val="0"/>
                <w:kern w:val="2"/>
                <w:sz w:val="21"/>
                <w:szCs w:val="28"/>
                <w:lang w:val="en-US" w:eastAsia="zh-CN" w:bidi="ar-SA"/>
              </w:rPr>
            </w:pPr>
            <w:r>
              <w:rPr>
                <w:b w:val="0"/>
                <w:bCs w:val="0"/>
              </w:rPr>
              <w:t>/</w:t>
            </w:r>
          </w:p>
        </w:tc>
        <w:tc>
          <w:tcPr>
            <w:tcW w:w="0" w:type="auto"/>
            <w:shd w:val="clear" w:color="auto" w:fill="auto"/>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0.002</w:t>
            </w:r>
            <w:r>
              <w:rPr>
                <w:rFonts w:hint="default" w:ascii="Times New Roman" w:hAnsi="Times New Roman" w:eastAsia="宋体" w:cs="Times New Roman"/>
                <w:b w:val="0"/>
                <w:bCs w:val="0"/>
                <w:color w:val="auto"/>
                <w:highlight w:val="none"/>
                <w:lang w:val="en-US" w:eastAsia="zh-CN"/>
              </w:rPr>
              <w:t>t/a</w:t>
            </w:r>
          </w:p>
        </w:tc>
        <w:tc>
          <w:tcPr>
            <w:tcW w:w="0" w:type="auto"/>
            <w:shd w:val="clear" w:color="auto" w:fill="auto"/>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highlight w:val="none"/>
                <w:lang w:val="en-US" w:eastAsia="zh-CN"/>
              </w:rPr>
              <w:t>/</w:t>
            </w:r>
          </w:p>
        </w:tc>
        <w:tc>
          <w:tcPr>
            <w:tcW w:w="0" w:type="auto"/>
            <w:shd w:val="clear" w:color="auto" w:fill="auto"/>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highlight w:val="none"/>
                <w:lang w:val="en-US" w:eastAsia="zh-CN"/>
              </w:rPr>
              <w:t>0.002</w:t>
            </w:r>
            <w:r>
              <w:rPr>
                <w:rFonts w:hint="default" w:ascii="Times New Roman" w:hAnsi="Times New Roman" w:eastAsia="宋体" w:cs="Times New Roman"/>
                <w:b w:val="0"/>
                <w:bCs w:val="0"/>
                <w:color w:val="auto"/>
                <w:highlight w:val="none"/>
                <w:lang w:val="en-US" w:eastAsia="zh-CN"/>
              </w:rPr>
              <w:t>t/a</w:t>
            </w:r>
          </w:p>
        </w:tc>
        <w:tc>
          <w:tcPr>
            <w:tcW w:w="0" w:type="auto"/>
            <w:shd w:val="clear" w:color="auto" w:fill="auto"/>
            <w:vAlign w:val="center"/>
          </w:tcPr>
          <w:p>
            <w:pPr>
              <w:pStyle w:val="87"/>
              <w:keepNext w:val="0"/>
              <w:keepLines w:val="0"/>
              <w:suppressLineNumbers w:val="0"/>
              <w:topLinePunct/>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highlight w:val="none"/>
                <w:lang w:val="en-US" w:eastAsia="zh-CN"/>
              </w:rPr>
              <w:t>+</w:t>
            </w:r>
            <w:r>
              <w:rPr>
                <w:rFonts w:hint="eastAsia" w:ascii="Times New Roman" w:hAnsi="Times New Roman" w:eastAsia="宋体" w:cs="Times New Roman"/>
                <w:b w:val="0"/>
                <w:bCs w:val="0"/>
                <w:color w:val="auto"/>
                <w:highlight w:val="none"/>
                <w:lang w:val="en-US" w:eastAsia="zh-CN"/>
              </w:rPr>
              <w:t>0.002</w:t>
            </w:r>
            <w:r>
              <w:rPr>
                <w:rFonts w:hint="default" w:ascii="Times New Roman" w:hAnsi="Times New Roman" w:eastAsia="宋体" w:cs="Times New Roman"/>
                <w:b w:val="0"/>
                <w:bCs w:val="0"/>
                <w:color w:val="auto"/>
                <w:highlight w:val="none"/>
                <w:lang w:val="en-US" w:eastAsia="zh-CN"/>
              </w:rPr>
              <w:t>t/a</w:t>
            </w:r>
          </w:p>
        </w:tc>
      </w:tr>
    </w:tbl>
    <w:p>
      <w:pPr>
        <w:outlineLvl w:val="0"/>
        <w:rPr>
          <w:snapToGrid w:val="0"/>
          <w:spacing w:val="-6"/>
          <w:kern w:val="21"/>
          <w:szCs w:val="21"/>
        </w:rPr>
      </w:pPr>
      <w:r>
        <w:rPr>
          <w:snapToGrid w:val="0"/>
          <w:kern w:val="21"/>
          <w:szCs w:val="21"/>
        </w:rPr>
        <w:t>注：</w:t>
      </w:r>
      <w:r>
        <w:rPr>
          <w:snapToGrid w:val="0"/>
          <w:spacing w:val="-16"/>
          <w:kern w:val="21"/>
          <w:szCs w:val="21"/>
        </w:rPr>
        <w:fldChar w:fldCharType="begin"/>
      </w:r>
      <w:r>
        <w:rPr>
          <w:snapToGrid w:val="0"/>
          <w:spacing w:val="-16"/>
          <w:kern w:val="21"/>
          <w:szCs w:val="21"/>
        </w:rPr>
        <w:instrText xml:space="preserve"> = 6 \* GB3 \* MERGEFORMAT </w:instrText>
      </w:r>
      <w:r>
        <w:rPr>
          <w:snapToGrid w:val="0"/>
          <w:spacing w:val="-16"/>
          <w:kern w:val="21"/>
          <w:szCs w:val="21"/>
        </w:rPr>
        <w:fldChar w:fldCharType="separate"/>
      </w:r>
      <w:r>
        <w:rPr>
          <w:szCs w:val="21"/>
        </w:rPr>
        <w:t>⑥</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1 \* GB3 \* MERGEFORMAT </w:instrText>
      </w:r>
      <w:r>
        <w:rPr>
          <w:snapToGrid w:val="0"/>
          <w:spacing w:val="-6"/>
          <w:kern w:val="21"/>
          <w:szCs w:val="21"/>
        </w:rPr>
        <w:fldChar w:fldCharType="separate"/>
      </w:r>
      <w:r>
        <w:rPr>
          <w:szCs w:val="21"/>
        </w:rPr>
        <w:t>①</w:t>
      </w:r>
      <w:r>
        <w:rPr>
          <w:snapToGrid w:val="0"/>
          <w:spacing w:val="-6"/>
          <w:kern w:val="21"/>
          <w:szCs w:val="21"/>
        </w:rPr>
        <w:fldChar w:fldCharType="end"/>
      </w:r>
      <w:r>
        <w:rPr>
          <w:snapToGrid w:val="0"/>
          <w:spacing w:val="-6"/>
          <w:kern w:val="21"/>
          <w:szCs w:val="21"/>
        </w:rPr>
        <w:t>+</w:t>
      </w:r>
      <w:r>
        <w:rPr>
          <w:snapToGrid w:val="0"/>
          <w:spacing w:val="-6"/>
          <w:kern w:val="21"/>
          <w:szCs w:val="21"/>
        </w:rPr>
        <w:fldChar w:fldCharType="begin"/>
      </w:r>
      <w:r>
        <w:rPr>
          <w:snapToGrid w:val="0"/>
          <w:spacing w:val="-6"/>
          <w:kern w:val="21"/>
          <w:szCs w:val="21"/>
        </w:rPr>
        <w:instrText xml:space="preserve"> = 3 \* GB3 \* MERGEFORMAT </w:instrText>
      </w:r>
      <w:r>
        <w:rPr>
          <w:snapToGrid w:val="0"/>
          <w:spacing w:val="-6"/>
          <w:kern w:val="21"/>
          <w:szCs w:val="21"/>
        </w:rPr>
        <w:fldChar w:fldCharType="separate"/>
      </w:r>
      <w:r>
        <w:rPr>
          <w:szCs w:val="21"/>
        </w:rPr>
        <w:t>③</w:t>
      </w:r>
      <w:r>
        <w:rPr>
          <w:snapToGrid w:val="0"/>
          <w:spacing w:val="-6"/>
          <w:kern w:val="21"/>
          <w:szCs w:val="21"/>
        </w:rPr>
        <w:fldChar w:fldCharType="end"/>
      </w:r>
      <w:r>
        <w:rPr>
          <w:snapToGrid w:val="0"/>
          <w:spacing w:val="-6"/>
          <w:kern w:val="21"/>
          <w:szCs w:val="21"/>
        </w:rPr>
        <w:t>+</w:t>
      </w:r>
      <w:r>
        <w:rPr>
          <w:snapToGrid w:val="0"/>
          <w:spacing w:val="-6"/>
          <w:kern w:val="21"/>
          <w:szCs w:val="21"/>
        </w:rPr>
        <w:fldChar w:fldCharType="begin"/>
      </w:r>
      <w:r>
        <w:rPr>
          <w:snapToGrid w:val="0"/>
          <w:spacing w:val="-6"/>
          <w:kern w:val="21"/>
          <w:szCs w:val="21"/>
        </w:rPr>
        <w:instrText xml:space="preserve"> = 4 \* GB3 \* MERGEFORMAT </w:instrText>
      </w:r>
      <w:r>
        <w:rPr>
          <w:snapToGrid w:val="0"/>
          <w:spacing w:val="-6"/>
          <w:kern w:val="21"/>
          <w:szCs w:val="21"/>
        </w:rPr>
        <w:fldChar w:fldCharType="separate"/>
      </w:r>
      <w:r>
        <w:rPr>
          <w:szCs w:val="21"/>
        </w:rPr>
        <w:t>④</w:t>
      </w:r>
      <w:r>
        <w:rPr>
          <w:snapToGrid w:val="0"/>
          <w:spacing w:val="-6"/>
          <w:kern w:val="21"/>
          <w:szCs w:val="21"/>
        </w:rPr>
        <w:fldChar w:fldCharType="end"/>
      </w:r>
      <w:r>
        <w:rPr>
          <w:snapToGrid w:val="0"/>
          <w:spacing w:val="-6"/>
          <w:kern w:val="21"/>
          <w:szCs w:val="21"/>
        </w:rPr>
        <w:t>-</w:t>
      </w:r>
      <w:r>
        <w:rPr>
          <w:snapToGrid w:val="0"/>
          <w:spacing w:val="-16"/>
          <w:kern w:val="21"/>
          <w:szCs w:val="21"/>
        </w:rPr>
        <w:fldChar w:fldCharType="begin"/>
      </w:r>
      <w:r>
        <w:rPr>
          <w:snapToGrid w:val="0"/>
          <w:spacing w:val="-16"/>
          <w:kern w:val="21"/>
          <w:szCs w:val="21"/>
        </w:rPr>
        <w:instrText xml:space="preserve"> = 5 \* GB3 \* MERGEFORMAT </w:instrText>
      </w:r>
      <w:r>
        <w:rPr>
          <w:snapToGrid w:val="0"/>
          <w:spacing w:val="-16"/>
          <w:kern w:val="21"/>
          <w:szCs w:val="21"/>
        </w:rPr>
        <w:fldChar w:fldCharType="separate"/>
      </w:r>
      <w:r>
        <w:rPr>
          <w:szCs w:val="21"/>
        </w:rPr>
        <w:t>⑤</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7 \* GB3 \* MERGEFORMAT </w:instrText>
      </w:r>
      <w:r>
        <w:rPr>
          <w:snapToGrid w:val="0"/>
          <w:spacing w:val="-6"/>
          <w:kern w:val="21"/>
          <w:szCs w:val="21"/>
        </w:rPr>
        <w:fldChar w:fldCharType="separate"/>
      </w:r>
      <w:r>
        <w:rPr>
          <w:szCs w:val="21"/>
        </w:rPr>
        <w:t>⑦</w:t>
      </w:r>
      <w:r>
        <w:rPr>
          <w:snapToGrid w:val="0"/>
          <w:spacing w:val="-6"/>
          <w:kern w:val="21"/>
          <w:szCs w:val="21"/>
        </w:rPr>
        <w:fldChar w:fldCharType="end"/>
      </w:r>
      <w:r>
        <w:rPr>
          <w:snapToGrid w:val="0"/>
          <w:spacing w:val="-6"/>
          <w:kern w:val="21"/>
          <w:szCs w:val="21"/>
        </w:rPr>
        <w:t>=</w:t>
      </w:r>
      <w:r>
        <w:rPr>
          <w:snapToGrid w:val="0"/>
          <w:spacing w:val="-16"/>
          <w:kern w:val="21"/>
          <w:szCs w:val="21"/>
        </w:rPr>
        <w:fldChar w:fldCharType="begin"/>
      </w:r>
      <w:r>
        <w:rPr>
          <w:snapToGrid w:val="0"/>
          <w:spacing w:val="-16"/>
          <w:kern w:val="21"/>
          <w:szCs w:val="21"/>
        </w:rPr>
        <w:instrText xml:space="preserve"> = 6 \* GB3 \* MERGEFORMAT </w:instrText>
      </w:r>
      <w:r>
        <w:rPr>
          <w:snapToGrid w:val="0"/>
          <w:spacing w:val="-16"/>
          <w:kern w:val="21"/>
          <w:szCs w:val="21"/>
        </w:rPr>
        <w:fldChar w:fldCharType="separate"/>
      </w:r>
      <w:r>
        <w:rPr>
          <w:szCs w:val="21"/>
        </w:rPr>
        <w:t>⑥</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1 \* GB3 \* MERGEFORMAT </w:instrText>
      </w:r>
      <w:r>
        <w:rPr>
          <w:snapToGrid w:val="0"/>
          <w:spacing w:val="-6"/>
          <w:kern w:val="21"/>
          <w:szCs w:val="21"/>
        </w:rPr>
        <w:fldChar w:fldCharType="separate"/>
      </w:r>
      <w:r>
        <w:rPr>
          <w:szCs w:val="21"/>
        </w:rPr>
        <w:t>①</w:t>
      </w:r>
      <w:r>
        <w:rPr>
          <w:snapToGrid w:val="0"/>
          <w:spacing w:val="-6"/>
          <w:kern w:val="21"/>
          <w:szCs w:val="21"/>
        </w:rPr>
        <w:fldChar w:fldCharType="end"/>
      </w:r>
      <w:bookmarkEnd w:id="21"/>
    </w:p>
    <w:sectPr>
      <w:footerReference r:id="rId7"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22dssBAACd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DW7CW0osNzjx8/dv5x+/zj+/&#10;kmWxKpNEvYcKM5885sbhzg2YPvsBnYn50AaTvsiJYBwFPl0ElkMkIj0qV2VZ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UttnbLAQAAnQ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58</w:t>
                          </w:r>
                          <w:r>
                            <w:rPr>
                              <w:rFonts w:hint="eastAsi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yAtwMsBAACd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avU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8gLcDLAQAAnQ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keepNext w:val="0"/>
      <w:keepLines w:val="0"/>
      <w:pageBreakBefore w:val="0"/>
      <w:widowControl w:val="0"/>
      <w:kinsoku/>
      <w:wordWrap/>
      <w:overflowPunct/>
      <w:topLinePunct w:val="0"/>
      <w:bidi w:val="0"/>
      <w:adjustRightInd w:val="0"/>
      <w:snapToGrid w:val="0"/>
      <w:ind w:right="0" w:firstLine="0"/>
      <w:jc w:val="center"/>
      <w:textAlignment w:val="auto"/>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209DB"/>
    <w:multiLevelType w:val="multilevel"/>
    <w:tmpl w:val="995209DB"/>
    <w:lvl w:ilvl="0" w:tentative="0">
      <w:start w:val="1"/>
      <w:numFmt w:val="chineseCounting"/>
      <w:isLgl/>
      <w:suff w:val="space"/>
      <w:lvlText w:val="%1"/>
      <w:lvlJc w:val="left"/>
      <w:pPr>
        <w:tabs>
          <w:tab w:val="left" w:pos="0"/>
        </w:tabs>
        <w:ind w:left="0" w:firstLine="420"/>
      </w:pPr>
      <w:rPr>
        <w:rFonts w:hint="eastAsia" w:ascii="宋体" w:hAnsi="宋体" w:eastAsia="宋体" w:cs="宋体"/>
      </w:rPr>
    </w:lvl>
    <w:lvl w:ilvl="1" w:tentative="0">
      <w:start w:val="1"/>
      <w:numFmt w:val="decimal"/>
      <w:isLgl/>
      <w:suff w:val="space"/>
      <w:lvlText w:val="%1.%2"/>
      <w:lvlJc w:val="left"/>
      <w:pPr>
        <w:tabs>
          <w:tab w:val="left" w:pos="420"/>
        </w:tabs>
        <w:ind w:left="0" w:firstLine="420"/>
      </w:pPr>
      <w:rPr>
        <w:rFonts w:hint="eastAsia" w:ascii="宋体" w:hAnsi="宋体" w:eastAsia="宋体" w:cs="宋体"/>
      </w:rPr>
    </w:lvl>
    <w:lvl w:ilvl="2" w:tentative="0">
      <w:start w:val="1"/>
      <w:numFmt w:val="decimal"/>
      <w:isLgl/>
      <w:suff w:val="space"/>
      <w:lvlText w:val="%1.%2.%3"/>
      <w:lvlJc w:val="left"/>
      <w:pPr>
        <w:tabs>
          <w:tab w:val="left" w:pos="420"/>
        </w:tabs>
        <w:ind w:left="1520" w:firstLine="420"/>
      </w:pPr>
      <w:rPr>
        <w:rFonts w:hint="eastAsia" w:ascii="宋体" w:hAnsi="宋体" w:eastAsia="宋体" w:cs="宋体"/>
      </w:rPr>
    </w:lvl>
    <w:lvl w:ilvl="3" w:tentative="0">
      <w:start w:val="1"/>
      <w:numFmt w:val="decimalEnclosedCircleChinese"/>
      <w:isLgl/>
      <w:suff w:val="space"/>
      <w:lvlText w:val="(%4)"/>
      <w:lvlJc w:val="left"/>
      <w:pPr>
        <w:tabs>
          <w:tab w:val="left" w:pos="420"/>
        </w:tabs>
        <w:ind w:left="0" w:firstLine="420"/>
      </w:pPr>
      <w:rPr>
        <w:rFonts w:hint="eastAsia" w:ascii="宋体" w:hAnsi="宋体" w:eastAsia="宋体" w:cs="宋体"/>
      </w:rPr>
    </w:lvl>
    <w:lvl w:ilvl="4" w:tentative="0">
      <w:start w:val="1"/>
      <w:numFmt w:val="decimal"/>
      <w:lvlRestart w:val="1"/>
      <w:isLgl/>
      <w:suff w:val="space"/>
      <w:lvlText w:val="表%1-%5"/>
      <w:lvlJc w:val="left"/>
      <w:pPr>
        <w:tabs>
          <w:tab w:val="left" w:pos="420"/>
        </w:tabs>
        <w:ind w:left="0" w:firstLine="420"/>
      </w:pPr>
      <w:rPr>
        <w:rFonts w:hint="default" w:ascii="楷体_GB2312" w:hAnsi="楷体_GB2312" w:eastAsia="楷体_GB2312" w:cs="楷体_GB2312"/>
        <w:b/>
        <w:bCs/>
        <w:sz w:val="28"/>
        <w:szCs w:val="28"/>
      </w:rPr>
    </w:lvl>
    <w:lvl w:ilvl="5" w:tentative="0">
      <w:start w:val="1"/>
      <w:numFmt w:val="decimalFullWidth"/>
      <w:lvlRestart w:val="1"/>
      <w:pStyle w:val="8"/>
      <w:isLgl/>
      <w:suff w:val="space"/>
      <w:lvlText w:val="图%1-%6"/>
      <w:lvlJc w:val="left"/>
      <w:pPr>
        <w:tabs>
          <w:tab w:val="left" w:pos="420"/>
        </w:tabs>
        <w:ind w:left="0" w:firstLine="420"/>
      </w:pPr>
      <w:rPr>
        <w:rFonts w:hint="eastAsia" w:ascii="宋体" w:hAnsi="宋体" w:eastAsia="宋体" w:cs="宋体"/>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F12B7BBF"/>
    <w:multiLevelType w:val="singleLevel"/>
    <w:tmpl w:val="F12B7BBF"/>
    <w:lvl w:ilvl="0" w:tentative="0">
      <w:start w:val="2"/>
      <w:numFmt w:val="decimal"/>
      <w:suff w:val="nothing"/>
      <w:lvlText w:val="%1、"/>
      <w:lvlJc w:val="left"/>
      <w:pPr>
        <w:ind w:left="0"/>
      </w:pPr>
    </w:lvl>
  </w:abstractNum>
  <w:abstractNum w:abstractNumId="2">
    <w:nsid w:val="402F5A1A"/>
    <w:multiLevelType w:val="singleLevel"/>
    <w:tmpl w:val="402F5A1A"/>
    <w:lvl w:ilvl="0" w:tentative="0">
      <w:start w:val="1"/>
      <w:numFmt w:val="bullet"/>
      <w:pStyle w:val="22"/>
      <w:lvlText w:val=""/>
      <w:lvlJc w:val="left"/>
      <w:pPr>
        <w:tabs>
          <w:tab w:val="left" w:pos="2040"/>
        </w:tabs>
        <w:ind w:left="2040" w:hanging="360"/>
      </w:pPr>
      <w:rPr>
        <w:rFonts w:hint="default" w:ascii="Wingdings" w:hAnsi="Wingdings"/>
      </w:rPr>
    </w:lvl>
  </w:abstractNum>
  <w:abstractNum w:abstractNumId="3">
    <w:nsid w:val="4FE7F4C5"/>
    <w:multiLevelType w:val="singleLevel"/>
    <w:tmpl w:val="4FE7F4C5"/>
    <w:lvl w:ilvl="0" w:tentative="0">
      <w:start w:val="6"/>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comment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NjNhNmJiNzNmOGMxODNhOGJhZDk1MDYxMDZkMGQ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B68A2"/>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49DA"/>
    <w:rsid w:val="001A6F61"/>
    <w:rsid w:val="001B72B8"/>
    <w:rsid w:val="001C69B3"/>
    <w:rsid w:val="001D5595"/>
    <w:rsid w:val="001D7874"/>
    <w:rsid w:val="001D7F22"/>
    <w:rsid w:val="001E54F6"/>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7251E"/>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351EB"/>
    <w:rsid w:val="00836C76"/>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72716"/>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535A9"/>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3752"/>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36732D"/>
    <w:rsid w:val="015D1E09"/>
    <w:rsid w:val="019F1377"/>
    <w:rsid w:val="01C6143B"/>
    <w:rsid w:val="024D588A"/>
    <w:rsid w:val="02697903"/>
    <w:rsid w:val="02A7595B"/>
    <w:rsid w:val="02B20C36"/>
    <w:rsid w:val="02F96569"/>
    <w:rsid w:val="032A2EC2"/>
    <w:rsid w:val="039147BE"/>
    <w:rsid w:val="03936A9A"/>
    <w:rsid w:val="03EA7B21"/>
    <w:rsid w:val="03FD2384"/>
    <w:rsid w:val="042D4DE1"/>
    <w:rsid w:val="04C6173D"/>
    <w:rsid w:val="051558B9"/>
    <w:rsid w:val="05CD433F"/>
    <w:rsid w:val="05F83EAE"/>
    <w:rsid w:val="060774EA"/>
    <w:rsid w:val="063E7D85"/>
    <w:rsid w:val="06416374"/>
    <w:rsid w:val="066F546B"/>
    <w:rsid w:val="069D140E"/>
    <w:rsid w:val="071E7209"/>
    <w:rsid w:val="07293586"/>
    <w:rsid w:val="07295285"/>
    <w:rsid w:val="075A7AEE"/>
    <w:rsid w:val="07636392"/>
    <w:rsid w:val="07686631"/>
    <w:rsid w:val="07770C56"/>
    <w:rsid w:val="07C91BBB"/>
    <w:rsid w:val="080B3400"/>
    <w:rsid w:val="089A2898"/>
    <w:rsid w:val="08C02E0A"/>
    <w:rsid w:val="090901F8"/>
    <w:rsid w:val="092217DD"/>
    <w:rsid w:val="093A7294"/>
    <w:rsid w:val="098360BB"/>
    <w:rsid w:val="09AA6B0A"/>
    <w:rsid w:val="09B63DDC"/>
    <w:rsid w:val="0A2261FA"/>
    <w:rsid w:val="0A263993"/>
    <w:rsid w:val="0A2D3AC2"/>
    <w:rsid w:val="0A7C3445"/>
    <w:rsid w:val="0A815795"/>
    <w:rsid w:val="0A86004A"/>
    <w:rsid w:val="0A8D5403"/>
    <w:rsid w:val="0AA755DF"/>
    <w:rsid w:val="0B120D44"/>
    <w:rsid w:val="0B380146"/>
    <w:rsid w:val="0BB9744D"/>
    <w:rsid w:val="0BD0037E"/>
    <w:rsid w:val="0BD27BF6"/>
    <w:rsid w:val="0BF90A63"/>
    <w:rsid w:val="0C0056CB"/>
    <w:rsid w:val="0C0D3381"/>
    <w:rsid w:val="0C3B3C7D"/>
    <w:rsid w:val="0C3C6E5B"/>
    <w:rsid w:val="0CAB2EAE"/>
    <w:rsid w:val="0CAE6912"/>
    <w:rsid w:val="0D16044D"/>
    <w:rsid w:val="0D197B03"/>
    <w:rsid w:val="0D621C7D"/>
    <w:rsid w:val="0DB717F6"/>
    <w:rsid w:val="0DF36D23"/>
    <w:rsid w:val="0E356BBF"/>
    <w:rsid w:val="0E4C5316"/>
    <w:rsid w:val="0E73034D"/>
    <w:rsid w:val="0EE73C7D"/>
    <w:rsid w:val="0EEA668C"/>
    <w:rsid w:val="0F13775A"/>
    <w:rsid w:val="0F352DA1"/>
    <w:rsid w:val="0F5F45FE"/>
    <w:rsid w:val="0F9A112B"/>
    <w:rsid w:val="0FBC7598"/>
    <w:rsid w:val="0FC279BF"/>
    <w:rsid w:val="106D2F64"/>
    <w:rsid w:val="1081433D"/>
    <w:rsid w:val="10B63710"/>
    <w:rsid w:val="10F10820"/>
    <w:rsid w:val="111C2F7A"/>
    <w:rsid w:val="1122167C"/>
    <w:rsid w:val="11665CA1"/>
    <w:rsid w:val="118D3328"/>
    <w:rsid w:val="11B65E5F"/>
    <w:rsid w:val="121D3BF2"/>
    <w:rsid w:val="13044AF4"/>
    <w:rsid w:val="133F6421"/>
    <w:rsid w:val="136A730B"/>
    <w:rsid w:val="13784E57"/>
    <w:rsid w:val="13951726"/>
    <w:rsid w:val="13BC7FB1"/>
    <w:rsid w:val="14131750"/>
    <w:rsid w:val="141F00F5"/>
    <w:rsid w:val="14283450"/>
    <w:rsid w:val="14396509"/>
    <w:rsid w:val="145D1C03"/>
    <w:rsid w:val="14DD2C3C"/>
    <w:rsid w:val="14F645EC"/>
    <w:rsid w:val="15910B7E"/>
    <w:rsid w:val="15934B3E"/>
    <w:rsid w:val="15A02D8B"/>
    <w:rsid w:val="15EE7D7F"/>
    <w:rsid w:val="16087E1D"/>
    <w:rsid w:val="160F25DB"/>
    <w:rsid w:val="167C3914"/>
    <w:rsid w:val="16FC471D"/>
    <w:rsid w:val="171D2561"/>
    <w:rsid w:val="17291729"/>
    <w:rsid w:val="17701D14"/>
    <w:rsid w:val="17735226"/>
    <w:rsid w:val="178F417E"/>
    <w:rsid w:val="17CF1BF4"/>
    <w:rsid w:val="17D86F39"/>
    <w:rsid w:val="17F00CF7"/>
    <w:rsid w:val="187807A0"/>
    <w:rsid w:val="189F624C"/>
    <w:rsid w:val="192920CE"/>
    <w:rsid w:val="19642E83"/>
    <w:rsid w:val="198F1AB8"/>
    <w:rsid w:val="19A26AB0"/>
    <w:rsid w:val="1A1C66C0"/>
    <w:rsid w:val="1A3C04E4"/>
    <w:rsid w:val="1A42393B"/>
    <w:rsid w:val="1A644AB4"/>
    <w:rsid w:val="1AA255DC"/>
    <w:rsid w:val="1AAC2E59"/>
    <w:rsid w:val="1AAD45DE"/>
    <w:rsid w:val="1AB60001"/>
    <w:rsid w:val="1ADA4009"/>
    <w:rsid w:val="1B046F80"/>
    <w:rsid w:val="1B3267B5"/>
    <w:rsid w:val="1B40161D"/>
    <w:rsid w:val="1B441859"/>
    <w:rsid w:val="1B6606B1"/>
    <w:rsid w:val="1BA11882"/>
    <w:rsid w:val="1BCC2910"/>
    <w:rsid w:val="1BEF2AA3"/>
    <w:rsid w:val="1C3333A8"/>
    <w:rsid w:val="1C5E7925"/>
    <w:rsid w:val="1CBC2C02"/>
    <w:rsid w:val="1CC16130"/>
    <w:rsid w:val="1CE94C7E"/>
    <w:rsid w:val="1CFD070F"/>
    <w:rsid w:val="1D5F6196"/>
    <w:rsid w:val="1D6132A5"/>
    <w:rsid w:val="1D8E56D5"/>
    <w:rsid w:val="1D950251"/>
    <w:rsid w:val="1DA4489F"/>
    <w:rsid w:val="1DBB6E04"/>
    <w:rsid w:val="1DC35F95"/>
    <w:rsid w:val="1DE8709C"/>
    <w:rsid w:val="1E1C7F3F"/>
    <w:rsid w:val="1E7A43DA"/>
    <w:rsid w:val="1EB84F5C"/>
    <w:rsid w:val="1EDA5344"/>
    <w:rsid w:val="1F291E28"/>
    <w:rsid w:val="1F3B76DF"/>
    <w:rsid w:val="1F543D23"/>
    <w:rsid w:val="1FBD78B3"/>
    <w:rsid w:val="1FE7539E"/>
    <w:rsid w:val="20671BE0"/>
    <w:rsid w:val="20963CB8"/>
    <w:rsid w:val="20A26336"/>
    <w:rsid w:val="20A81A1B"/>
    <w:rsid w:val="20B07FB6"/>
    <w:rsid w:val="20B646FB"/>
    <w:rsid w:val="20EF156B"/>
    <w:rsid w:val="213B74B1"/>
    <w:rsid w:val="215A2310"/>
    <w:rsid w:val="21DE318A"/>
    <w:rsid w:val="21E32E28"/>
    <w:rsid w:val="21EF5B80"/>
    <w:rsid w:val="21FD3E53"/>
    <w:rsid w:val="22576990"/>
    <w:rsid w:val="227608BB"/>
    <w:rsid w:val="22EB3FC4"/>
    <w:rsid w:val="22F47480"/>
    <w:rsid w:val="22FB7F7F"/>
    <w:rsid w:val="232B179A"/>
    <w:rsid w:val="234731C4"/>
    <w:rsid w:val="23B74A16"/>
    <w:rsid w:val="23DE1C48"/>
    <w:rsid w:val="240210CD"/>
    <w:rsid w:val="24160ECB"/>
    <w:rsid w:val="242157C3"/>
    <w:rsid w:val="247C6E9E"/>
    <w:rsid w:val="24BF09F7"/>
    <w:rsid w:val="24C9147A"/>
    <w:rsid w:val="2501275B"/>
    <w:rsid w:val="252D53FE"/>
    <w:rsid w:val="25560C22"/>
    <w:rsid w:val="257E7DF0"/>
    <w:rsid w:val="258202C6"/>
    <w:rsid w:val="25916CD2"/>
    <w:rsid w:val="25EC2D81"/>
    <w:rsid w:val="25F5515A"/>
    <w:rsid w:val="26094761"/>
    <w:rsid w:val="260B62D1"/>
    <w:rsid w:val="261E52E3"/>
    <w:rsid w:val="26C849E5"/>
    <w:rsid w:val="26F31C29"/>
    <w:rsid w:val="2728237A"/>
    <w:rsid w:val="277057A2"/>
    <w:rsid w:val="27CF05B7"/>
    <w:rsid w:val="28397580"/>
    <w:rsid w:val="28E11E34"/>
    <w:rsid w:val="28E246C7"/>
    <w:rsid w:val="290F208E"/>
    <w:rsid w:val="29206EB8"/>
    <w:rsid w:val="29214371"/>
    <w:rsid w:val="29595666"/>
    <w:rsid w:val="29874881"/>
    <w:rsid w:val="29CD2261"/>
    <w:rsid w:val="29E325E0"/>
    <w:rsid w:val="2A331DAD"/>
    <w:rsid w:val="2A452503"/>
    <w:rsid w:val="2A77438F"/>
    <w:rsid w:val="2B63012E"/>
    <w:rsid w:val="2BA936A8"/>
    <w:rsid w:val="2C315A5A"/>
    <w:rsid w:val="2C4B1C25"/>
    <w:rsid w:val="2CBF3CF4"/>
    <w:rsid w:val="2D102879"/>
    <w:rsid w:val="2D1C121E"/>
    <w:rsid w:val="2D9E56F5"/>
    <w:rsid w:val="2DDF4725"/>
    <w:rsid w:val="2DF474DF"/>
    <w:rsid w:val="2E497DF1"/>
    <w:rsid w:val="2E667F96"/>
    <w:rsid w:val="2E79337C"/>
    <w:rsid w:val="2E8226AB"/>
    <w:rsid w:val="2EB01164"/>
    <w:rsid w:val="2F6D179B"/>
    <w:rsid w:val="2FD065E6"/>
    <w:rsid w:val="2FD96870"/>
    <w:rsid w:val="2FEC4655"/>
    <w:rsid w:val="300036C6"/>
    <w:rsid w:val="302A799E"/>
    <w:rsid w:val="303B4974"/>
    <w:rsid w:val="30580BC9"/>
    <w:rsid w:val="306653AC"/>
    <w:rsid w:val="30D208A8"/>
    <w:rsid w:val="30D23125"/>
    <w:rsid w:val="311E2ED7"/>
    <w:rsid w:val="315619EE"/>
    <w:rsid w:val="315C449C"/>
    <w:rsid w:val="31833619"/>
    <w:rsid w:val="31AF719A"/>
    <w:rsid w:val="31B82709"/>
    <w:rsid w:val="31D05482"/>
    <w:rsid w:val="320329AC"/>
    <w:rsid w:val="322E5285"/>
    <w:rsid w:val="32400B34"/>
    <w:rsid w:val="329E6876"/>
    <w:rsid w:val="32B65CD7"/>
    <w:rsid w:val="330B7E2F"/>
    <w:rsid w:val="333015F2"/>
    <w:rsid w:val="334B6320"/>
    <w:rsid w:val="33D934D4"/>
    <w:rsid w:val="33FE2F6A"/>
    <w:rsid w:val="340E07E5"/>
    <w:rsid w:val="34235BF7"/>
    <w:rsid w:val="345D2848"/>
    <w:rsid w:val="349247CD"/>
    <w:rsid w:val="34DA79F4"/>
    <w:rsid w:val="35186C85"/>
    <w:rsid w:val="358C5FA8"/>
    <w:rsid w:val="359C114E"/>
    <w:rsid w:val="35BA3B24"/>
    <w:rsid w:val="35C15DF1"/>
    <w:rsid w:val="36074A7F"/>
    <w:rsid w:val="36213401"/>
    <w:rsid w:val="368E4F3A"/>
    <w:rsid w:val="36923549"/>
    <w:rsid w:val="36B75FBF"/>
    <w:rsid w:val="36BD0C45"/>
    <w:rsid w:val="37E00298"/>
    <w:rsid w:val="38B302F9"/>
    <w:rsid w:val="38F12CD3"/>
    <w:rsid w:val="38F94775"/>
    <w:rsid w:val="392971ED"/>
    <w:rsid w:val="39325651"/>
    <w:rsid w:val="39511B6E"/>
    <w:rsid w:val="399863BE"/>
    <w:rsid w:val="39D578AC"/>
    <w:rsid w:val="3A240899"/>
    <w:rsid w:val="3A872856"/>
    <w:rsid w:val="3AD97982"/>
    <w:rsid w:val="3B3763D1"/>
    <w:rsid w:val="3BA321AC"/>
    <w:rsid w:val="3BF27565"/>
    <w:rsid w:val="3C211577"/>
    <w:rsid w:val="3C2F6E1E"/>
    <w:rsid w:val="3C4F64BA"/>
    <w:rsid w:val="3CB32D5F"/>
    <w:rsid w:val="3CD64012"/>
    <w:rsid w:val="3CDA245A"/>
    <w:rsid w:val="3D023435"/>
    <w:rsid w:val="3D1E06B7"/>
    <w:rsid w:val="3D8C7CFA"/>
    <w:rsid w:val="3DD82DF2"/>
    <w:rsid w:val="3EC32F2C"/>
    <w:rsid w:val="3EC57823"/>
    <w:rsid w:val="3EDA0523"/>
    <w:rsid w:val="3EE358C2"/>
    <w:rsid w:val="3F6342D6"/>
    <w:rsid w:val="402661E4"/>
    <w:rsid w:val="4069269E"/>
    <w:rsid w:val="407A6407"/>
    <w:rsid w:val="40D06E7B"/>
    <w:rsid w:val="413E2A25"/>
    <w:rsid w:val="416074D3"/>
    <w:rsid w:val="419C6EE8"/>
    <w:rsid w:val="41AD1111"/>
    <w:rsid w:val="41D52F1C"/>
    <w:rsid w:val="4200449D"/>
    <w:rsid w:val="422525E9"/>
    <w:rsid w:val="423A3BCC"/>
    <w:rsid w:val="424E57D2"/>
    <w:rsid w:val="426D301F"/>
    <w:rsid w:val="42B26C49"/>
    <w:rsid w:val="433A6FE6"/>
    <w:rsid w:val="43480868"/>
    <w:rsid w:val="4350713C"/>
    <w:rsid w:val="436653E0"/>
    <w:rsid w:val="43B86002"/>
    <w:rsid w:val="43BA7D78"/>
    <w:rsid w:val="43BE4985"/>
    <w:rsid w:val="43C4431A"/>
    <w:rsid w:val="43C875F7"/>
    <w:rsid w:val="43D34E63"/>
    <w:rsid w:val="44B951CC"/>
    <w:rsid w:val="44C25606"/>
    <w:rsid w:val="44CD14E0"/>
    <w:rsid w:val="44F20B0B"/>
    <w:rsid w:val="45187590"/>
    <w:rsid w:val="45266E38"/>
    <w:rsid w:val="452E5F4C"/>
    <w:rsid w:val="45612018"/>
    <w:rsid w:val="456E3C0C"/>
    <w:rsid w:val="458946E9"/>
    <w:rsid w:val="458D2861"/>
    <w:rsid w:val="45A47C0E"/>
    <w:rsid w:val="45FE72BB"/>
    <w:rsid w:val="46577FD6"/>
    <w:rsid w:val="46737DFE"/>
    <w:rsid w:val="46822917"/>
    <w:rsid w:val="46A07E4D"/>
    <w:rsid w:val="46AB7443"/>
    <w:rsid w:val="46AF2FD7"/>
    <w:rsid w:val="46D955A7"/>
    <w:rsid w:val="47133957"/>
    <w:rsid w:val="47A07E0C"/>
    <w:rsid w:val="47EA3429"/>
    <w:rsid w:val="483B7CF1"/>
    <w:rsid w:val="4870272E"/>
    <w:rsid w:val="48DF5182"/>
    <w:rsid w:val="49697991"/>
    <w:rsid w:val="497A5993"/>
    <w:rsid w:val="49D86012"/>
    <w:rsid w:val="49DC7715"/>
    <w:rsid w:val="4A023139"/>
    <w:rsid w:val="4A7B576F"/>
    <w:rsid w:val="4AF561A9"/>
    <w:rsid w:val="4B477DDE"/>
    <w:rsid w:val="4B863FDA"/>
    <w:rsid w:val="4BFF18AE"/>
    <w:rsid w:val="4C0F53FA"/>
    <w:rsid w:val="4C425C81"/>
    <w:rsid w:val="4C4A0649"/>
    <w:rsid w:val="4C7E5ECA"/>
    <w:rsid w:val="4C876AA5"/>
    <w:rsid w:val="4CB107E4"/>
    <w:rsid w:val="4CC8345D"/>
    <w:rsid w:val="4D0E00FB"/>
    <w:rsid w:val="4D176606"/>
    <w:rsid w:val="4DEC4FB0"/>
    <w:rsid w:val="4DEF143D"/>
    <w:rsid w:val="4E075D8A"/>
    <w:rsid w:val="4E3D0FF5"/>
    <w:rsid w:val="4EC00FAD"/>
    <w:rsid w:val="4EF22B2C"/>
    <w:rsid w:val="4F396CF6"/>
    <w:rsid w:val="4F9843DC"/>
    <w:rsid w:val="4FC62A8C"/>
    <w:rsid w:val="4FE20F0D"/>
    <w:rsid w:val="4FE51552"/>
    <w:rsid w:val="4FF51A5F"/>
    <w:rsid w:val="50504C4B"/>
    <w:rsid w:val="505634DB"/>
    <w:rsid w:val="509C6E7C"/>
    <w:rsid w:val="5162104E"/>
    <w:rsid w:val="519E0EE9"/>
    <w:rsid w:val="51A258E6"/>
    <w:rsid w:val="52021EE1"/>
    <w:rsid w:val="523A167B"/>
    <w:rsid w:val="527649FB"/>
    <w:rsid w:val="52831274"/>
    <w:rsid w:val="53576D69"/>
    <w:rsid w:val="5388190F"/>
    <w:rsid w:val="538E02A6"/>
    <w:rsid w:val="53A039CC"/>
    <w:rsid w:val="53A1505A"/>
    <w:rsid w:val="54063E08"/>
    <w:rsid w:val="543437E8"/>
    <w:rsid w:val="546D21DB"/>
    <w:rsid w:val="54F73313"/>
    <w:rsid w:val="54F80955"/>
    <w:rsid w:val="554E7006"/>
    <w:rsid w:val="555170A7"/>
    <w:rsid w:val="5587536D"/>
    <w:rsid w:val="559B174B"/>
    <w:rsid w:val="55C723EE"/>
    <w:rsid w:val="55CE0CF4"/>
    <w:rsid w:val="561B5ABA"/>
    <w:rsid w:val="562E761D"/>
    <w:rsid w:val="567A3DF2"/>
    <w:rsid w:val="56951575"/>
    <w:rsid w:val="56B22A9C"/>
    <w:rsid w:val="56BE0ACC"/>
    <w:rsid w:val="570D735E"/>
    <w:rsid w:val="57867174"/>
    <w:rsid w:val="57B72A76"/>
    <w:rsid w:val="57C3426C"/>
    <w:rsid w:val="57CE1F93"/>
    <w:rsid w:val="57FE077E"/>
    <w:rsid w:val="588743D1"/>
    <w:rsid w:val="5887701A"/>
    <w:rsid w:val="589C6BEB"/>
    <w:rsid w:val="58D30811"/>
    <w:rsid w:val="58F026D9"/>
    <w:rsid w:val="5970191B"/>
    <w:rsid w:val="5971107E"/>
    <w:rsid w:val="59A0095D"/>
    <w:rsid w:val="59C0439F"/>
    <w:rsid w:val="5A075905"/>
    <w:rsid w:val="5A1468D1"/>
    <w:rsid w:val="5A276869"/>
    <w:rsid w:val="5AB87F3A"/>
    <w:rsid w:val="5ABE2233"/>
    <w:rsid w:val="5AC2169F"/>
    <w:rsid w:val="5B2A2098"/>
    <w:rsid w:val="5BDF5D95"/>
    <w:rsid w:val="5BFE7528"/>
    <w:rsid w:val="5C155E00"/>
    <w:rsid w:val="5C2A09B2"/>
    <w:rsid w:val="5C3C27FA"/>
    <w:rsid w:val="5C467A97"/>
    <w:rsid w:val="5C5B6DBD"/>
    <w:rsid w:val="5C9522CF"/>
    <w:rsid w:val="5CE172C2"/>
    <w:rsid w:val="5CE37FC0"/>
    <w:rsid w:val="5D424C9D"/>
    <w:rsid w:val="5D567DF8"/>
    <w:rsid w:val="5D9334C1"/>
    <w:rsid w:val="5DDD521E"/>
    <w:rsid w:val="5E0D24F0"/>
    <w:rsid w:val="5E1A22A0"/>
    <w:rsid w:val="5E1B3B2A"/>
    <w:rsid w:val="5E2467F1"/>
    <w:rsid w:val="5E616AA4"/>
    <w:rsid w:val="5F00273C"/>
    <w:rsid w:val="5F1A2B43"/>
    <w:rsid w:val="5F355A6D"/>
    <w:rsid w:val="5F542F09"/>
    <w:rsid w:val="5F852F88"/>
    <w:rsid w:val="5FB837BB"/>
    <w:rsid w:val="60CC405A"/>
    <w:rsid w:val="61291238"/>
    <w:rsid w:val="61AA53EA"/>
    <w:rsid w:val="61E215D8"/>
    <w:rsid w:val="61FE1B1D"/>
    <w:rsid w:val="621B3775"/>
    <w:rsid w:val="62364782"/>
    <w:rsid w:val="624B3289"/>
    <w:rsid w:val="62653ABA"/>
    <w:rsid w:val="62795012"/>
    <w:rsid w:val="633640E0"/>
    <w:rsid w:val="6394356A"/>
    <w:rsid w:val="63AB4186"/>
    <w:rsid w:val="63B079EF"/>
    <w:rsid w:val="63C61B2C"/>
    <w:rsid w:val="63D40BE9"/>
    <w:rsid w:val="64102431"/>
    <w:rsid w:val="641C15A0"/>
    <w:rsid w:val="64641D0A"/>
    <w:rsid w:val="64A5243A"/>
    <w:rsid w:val="64F531DE"/>
    <w:rsid w:val="65373578"/>
    <w:rsid w:val="66253A4B"/>
    <w:rsid w:val="66C355F8"/>
    <w:rsid w:val="66F44096"/>
    <w:rsid w:val="671B7875"/>
    <w:rsid w:val="671F124A"/>
    <w:rsid w:val="67263A62"/>
    <w:rsid w:val="674C14F0"/>
    <w:rsid w:val="67795889"/>
    <w:rsid w:val="677A33C6"/>
    <w:rsid w:val="67C51AB9"/>
    <w:rsid w:val="67FF0373"/>
    <w:rsid w:val="681271F9"/>
    <w:rsid w:val="681F6961"/>
    <w:rsid w:val="68610A2F"/>
    <w:rsid w:val="68805514"/>
    <w:rsid w:val="68E36DED"/>
    <w:rsid w:val="690802CD"/>
    <w:rsid w:val="69316E2F"/>
    <w:rsid w:val="694E2071"/>
    <w:rsid w:val="69766163"/>
    <w:rsid w:val="697A3B33"/>
    <w:rsid w:val="69861A44"/>
    <w:rsid w:val="69D44760"/>
    <w:rsid w:val="6A2B7DCF"/>
    <w:rsid w:val="6A4D20CD"/>
    <w:rsid w:val="6A520EC7"/>
    <w:rsid w:val="6ABD740F"/>
    <w:rsid w:val="6ADD61CF"/>
    <w:rsid w:val="6AE532D1"/>
    <w:rsid w:val="6AF87E20"/>
    <w:rsid w:val="6B322639"/>
    <w:rsid w:val="6B3D6961"/>
    <w:rsid w:val="6B835C69"/>
    <w:rsid w:val="6BAC3191"/>
    <w:rsid w:val="6BD40E11"/>
    <w:rsid w:val="6C636C38"/>
    <w:rsid w:val="6D657A9C"/>
    <w:rsid w:val="6DAC49B1"/>
    <w:rsid w:val="6DB34098"/>
    <w:rsid w:val="6DB545B6"/>
    <w:rsid w:val="6DBC2D7B"/>
    <w:rsid w:val="6DE02FB4"/>
    <w:rsid w:val="6E007687"/>
    <w:rsid w:val="6E514CED"/>
    <w:rsid w:val="6E6F3F6F"/>
    <w:rsid w:val="6E7666D4"/>
    <w:rsid w:val="6E7D0C14"/>
    <w:rsid w:val="6EB563D5"/>
    <w:rsid w:val="6ED92677"/>
    <w:rsid w:val="6EE44E6B"/>
    <w:rsid w:val="6F225983"/>
    <w:rsid w:val="6F584ECD"/>
    <w:rsid w:val="6F8314F8"/>
    <w:rsid w:val="6FF044CA"/>
    <w:rsid w:val="6FFC5590"/>
    <w:rsid w:val="70027824"/>
    <w:rsid w:val="70367FE4"/>
    <w:rsid w:val="704177B9"/>
    <w:rsid w:val="706D1DD0"/>
    <w:rsid w:val="7072709B"/>
    <w:rsid w:val="70856B87"/>
    <w:rsid w:val="70D527EE"/>
    <w:rsid w:val="70D70CB1"/>
    <w:rsid w:val="7104137A"/>
    <w:rsid w:val="71566000"/>
    <w:rsid w:val="715B5300"/>
    <w:rsid w:val="71D27F8A"/>
    <w:rsid w:val="71D451F0"/>
    <w:rsid w:val="72553024"/>
    <w:rsid w:val="727D7FB6"/>
    <w:rsid w:val="72A03324"/>
    <w:rsid w:val="72AC1CC9"/>
    <w:rsid w:val="72EB7997"/>
    <w:rsid w:val="73004895"/>
    <w:rsid w:val="73122968"/>
    <w:rsid w:val="731F5D5E"/>
    <w:rsid w:val="733058B6"/>
    <w:rsid w:val="735A5656"/>
    <w:rsid w:val="739E1E6F"/>
    <w:rsid w:val="73C51AD5"/>
    <w:rsid w:val="741E793C"/>
    <w:rsid w:val="741F5B77"/>
    <w:rsid w:val="745E3944"/>
    <w:rsid w:val="746978AF"/>
    <w:rsid w:val="750F77FD"/>
    <w:rsid w:val="75C67560"/>
    <w:rsid w:val="75E579CC"/>
    <w:rsid w:val="7635099D"/>
    <w:rsid w:val="76630463"/>
    <w:rsid w:val="766823AB"/>
    <w:rsid w:val="767E687A"/>
    <w:rsid w:val="769D7627"/>
    <w:rsid w:val="76A338B5"/>
    <w:rsid w:val="77752FD1"/>
    <w:rsid w:val="77762421"/>
    <w:rsid w:val="778D448E"/>
    <w:rsid w:val="77B56B1F"/>
    <w:rsid w:val="780F09F4"/>
    <w:rsid w:val="782F143B"/>
    <w:rsid w:val="78674983"/>
    <w:rsid w:val="78970D25"/>
    <w:rsid w:val="78A90480"/>
    <w:rsid w:val="792E1F68"/>
    <w:rsid w:val="798017B9"/>
    <w:rsid w:val="7A364017"/>
    <w:rsid w:val="7A5F2933"/>
    <w:rsid w:val="7A8265E1"/>
    <w:rsid w:val="7AAD65DE"/>
    <w:rsid w:val="7B485B8B"/>
    <w:rsid w:val="7B686D42"/>
    <w:rsid w:val="7B841746"/>
    <w:rsid w:val="7B8B18B3"/>
    <w:rsid w:val="7B9318AB"/>
    <w:rsid w:val="7BEC2C61"/>
    <w:rsid w:val="7C044924"/>
    <w:rsid w:val="7C3C4038"/>
    <w:rsid w:val="7C6C5AC7"/>
    <w:rsid w:val="7C7C38A2"/>
    <w:rsid w:val="7C887303"/>
    <w:rsid w:val="7CAD6954"/>
    <w:rsid w:val="7CC6544B"/>
    <w:rsid w:val="7CDD2D69"/>
    <w:rsid w:val="7D0239FF"/>
    <w:rsid w:val="7D23702C"/>
    <w:rsid w:val="7D532081"/>
    <w:rsid w:val="7D5E40CD"/>
    <w:rsid w:val="7DCD56F2"/>
    <w:rsid w:val="7E3808B5"/>
    <w:rsid w:val="7E4B18FA"/>
    <w:rsid w:val="7E4B683A"/>
    <w:rsid w:val="7E502BE9"/>
    <w:rsid w:val="7E6A3164"/>
    <w:rsid w:val="7EAF1B49"/>
    <w:rsid w:val="7ED57156"/>
    <w:rsid w:val="7F001CE7"/>
    <w:rsid w:val="7F10538E"/>
    <w:rsid w:val="7F370B6C"/>
    <w:rsid w:val="7F692720"/>
    <w:rsid w:val="7FB16B71"/>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qFormat="1"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iPriority="0" w:semiHidden="0" w:name="caption" w:locked="1"/>
    <w:lsdException w:qFormat="1" w:uiPriority="99"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iPriority="99"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qFormat="1"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sdException w:unhideWhenUsed="0" w:uiPriority="0" w:semiHidden="0" w:name="Note Heading" w:locked="1"/>
    <w:lsdException w:qFormat="1" w:uiPriority="99"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54"/>
    <w:qFormat/>
    <w:locked/>
    <w:uiPriority w:val="99"/>
    <w:pPr>
      <w:keepNext/>
      <w:overflowPunct w:val="0"/>
      <w:snapToGrid w:val="0"/>
      <w:spacing w:line="360" w:lineRule="auto"/>
      <w:ind w:left="0" w:firstLine="0" w:firstLineChars="0"/>
      <w:jc w:val="center"/>
      <w:outlineLvl w:val="0"/>
    </w:pPr>
    <w:rPr>
      <w:rFonts w:ascii="Times New Roman" w:hAnsi="Times New Roman" w:eastAsia="黑体"/>
      <w:b/>
      <w:bCs/>
      <w:color w:val="000000"/>
      <w:kern w:val="44"/>
      <w:sz w:val="30"/>
      <w:szCs w:val="30"/>
    </w:rPr>
  </w:style>
  <w:style w:type="paragraph" w:styleId="4">
    <w:name w:val="heading 2"/>
    <w:basedOn w:val="1"/>
    <w:next w:val="1"/>
    <w:link w:val="144"/>
    <w:qFormat/>
    <w:locked/>
    <w:uiPriority w:val="0"/>
    <w:pPr>
      <w:keepNext/>
      <w:keepLines/>
      <w:spacing w:line="360" w:lineRule="auto"/>
      <w:ind w:firstLine="0" w:firstLineChars="0"/>
      <w:outlineLvl w:val="1"/>
    </w:pPr>
    <w:rPr>
      <w:b/>
      <w:bCs/>
      <w:szCs w:val="32"/>
    </w:rPr>
  </w:style>
  <w:style w:type="paragraph" w:styleId="5">
    <w:name w:val="heading 3"/>
    <w:basedOn w:val="1"/>
    <w:next w:val="1"/>
    <w:link w:val="53"/>
    <w:qFormat/>
    <w:locked/>
    <w:uiPriority w:val="0"/>
    <w:pPr>
      <w:keepLines/>
      <w:adjustRightInd w:val="0"/>
      <w:spacing w:line="240" w:lineRule="auto"/>
      <w:ind w:firstLine="0" w:firstLineChars="0"/>
      <w:jc w:val="center"/>
      <w:textAlignment w:val="baseline"/>
      <w:outlineLvl w:val="2"/>
    </w:pPr>
    <w:rPr>
      <w:rFonts w:ascii="Times New Roman" w:hAnsi="Times New Roman" w:eastAsia="宋体"/>
      <w:b/>
      <w:kern w:val="0"/>
      <w:szCs w:val="20"/>
    </w:rPr>
  </w:style>
  <w:style w:type="paragraph" w:styleId="6">
    <w:name w:val="heading 4"/>
    <w:basedOn w:val="1"/>
    <w:next w:val="1"/>
    <w:link w:val="55"/>
    <w:unhideWhenUsed/>
    <w:qFormat/>
    <w:locked/>
    <w:uiPriority w:val="0"/>
    <w:pPr>
      <w:spacing w:line="240" w:lineRule="auto"/>
      <w:ind w:firstLine="0" w:firstLineChars="0"/>
      <w:jc w:val="center"/>
      <w:outlineLvl w:val="3"/>
    </w:pPr>
    <w:rPr>
      <w:rFonts w:ascii="Times New Roman" w:hAnsi="Times New Roman" w:eastAsia="宋体"/>
      <w:bCs/>
      <w:sz w:val="21"/>
      <w:szCs w:val="28"/>
    </w:rPr>
  </w:style>
  <w:style w:type="paragraph" w:styleId="7">
    <w:name w:val="heading 5"/>
    <w:basedOn w:val="1"/>
    <w:next w:val="1"/>
    <w:link w:val="96"/>
    <w:unhideWhenUsed/>
    <w:qFormat/>
    <w:locked/>
    <w:uiPriority w:val="0"/>
    <w:pPr>
      <w:keepNext/>
      <w:keepLines/>
      <w:spacing w:beforeLines="0" w:beforeAutospacing="0" w:afterLines="0" w:afterAutospacing="0" w:line="360" w:lineRule="auto"/>
      <w:ind w:firstLine="0" w:firstLineChars="0"/>
      <w:outlineLvl w:val="4"/>
    </w:pPr>
    <w:rPr>
      <w:rFonts w:ascii="Times New Roman" w:hAnsi="Times New Roman"/>
      <w:b/>
      <w:sz w:val="24"/>
    </w:rPr>
  </w:style>
  <w:style w:type="paragraph" w:styleId="8">
    <w:name w:val="heading 6"/>
    <w:basedOn w:val="1"/>
    <w:next w:val="1"/>
    <w:semiHidden/>
    <w:unhideWhenUsed/>
    <w:qFormat/>
    <w:locked/>
    <w:uiPriority w:val="0"/>
    <w:pPr>
      <w:keepNext/>
      <w:keepLines/>
      <w:numPr>
        <w:ilvl w:val="5"/>
        <w:numId w:val="1"/>
      </w:numPr>
      <w:spacing w:before="240" w:beforeLines="0" w:beforeAutospacing="0" w:after="64" w:afterLines="0" w:afterAutospacing="0" w:line="317" w:lineRule="auto"/>
      <w:ind w:firstLine="420" w:firstLineChars="0"/>
      <w:outlineLvl w:val="5"/>
    </w:pPr>
    <w:rPr>
      <w:rFonts w:ascii="Arial" w:hAnsi="Arial" w:eastAsia="黑体"/>
      <w:b/>
      <w:sz w:val="24"/>
    </w:rPr>
  </w:style>
  <w:style w:type="character" w:default="1" w:styleId="42">
    <w:name w:val="Default Paragraph Font"/>
    <w:semiHidden/>
    <w:unhideWhenUsed/>
    <w:qFormat/>
    <w:uiPriority w:val="1"/>
  </w:style>
  <w:style w:type="table" w:default="1" w:styleId="40">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locked/>
    <w:uiPriority w:val="99"/>
    <w:pPr>
      <w:jc w:val="center"/>
    </w:pPr>
    <w:rPr>
      <w:sz w:val="24"/>
    </w:rPr>
  </w:style>
  <w:style w:type="paragraph" w:styleId="9">
    <w:name w:val="toc 7"/>
    <w:basedOn w:val="1"/>
    <w:next w:val="1"/>
    <w:qFormat/>
    <w:locked/>
    <w:uiPriority w:val="0"/>
    <w:pPr>
      <w:spacing w:line="240" w:lineRule="auto"/>
      <w:ind w:left="0" w:firstLine="0" w:firstLineChars="0"/>
      <w:jc w:val="center"/>
    </w:pPr>
    <w:rPr>
      <w:sz w:val="24"/>
      <w:szCs w:val="18"/>
    </w:rPr>
  </w:style>
  <w:style w:type="paragraph" w:styleId="10">
    <w:name w:val="Normal Indent"/>
    <w:basedOn w:val="1"/>
    <w:next w:val="1"/>
    <w:link w:val="56"/>
    <w:qFormat/>
    <w:locked/>
    <w:uiPriority w:val="0"/>
    <w:pPr>
      <w:spacing w:line="240" w:lineRule="auto"/>
      <w:ind w:firstLine="720" w:firstLineChars="200"/>
      <w:jc w:val="both"/>
    </w:pPr>
    <w:rPr>
      <w:rFonts w:ascii="Times New Roman" w:hAnsi="Times New Roman" w:eastAsia="宋体"/>
      <w:b/>
      <w:sz w:val="21"/>
    </w:rPr>
  </w:style>
  <w:style w:type="paragraph" w:styleId="11">
    <w:name w:val="caption"/>
    <w:basedOn w:val="1"/>
    <w:next w:val="1"/>
    <w:link w:val="98"/>
    <w:unhideWhenUsed/>
    <w:qFormat/>
    <w:locked/>
    <w:uiPriority w:val="0"/>
    <w:pPr>
      <w:keepNext/>
      <w:adjustRightInd w:val="0"/>
      <w:spacing w:line="240" w:lineRule="auto"/>
      <w:ind w:firstLine="0" w:firstLineChars="0"/>
      <w:jc w:val="center"/>
    </w:pPr>
    <w:rPr>
      <w:rFonts w:ascii="Times New Roman" w:hAnsi="Times New Roman" w:eastAsia="宋体" w:cs="Times New Roman"/>
      <w:b/>
      <w:kern w:val="21"/>
      <w:sz w:val="21"/>
      <w:szCs w:val="20"/>
    </w:rPr>
  </w:style>
  <w:style w:type="paragraph" w:styleId="12">
    <w:name w:val="Document Map"/>
    <w:basedOn w:val="1"/>
    <w:qFormat/>
    <w:locked/>
    <w:uiPriority w:val="0"/>
    <w:pPr>
      <w:shd w:val="clear" w:color="auto" w:fill="000080"/>
      <w:ind w:firstLine="0" w:firstLineChars="0"/>
    </w:pPr>
    <w:rPr>
      <w:rFonts w:ascii="Times New Roman" w:hAnsi="Times New Roman"/>
      <w:sz w:val="24"/>
    </w:rPr>
  </w:style>
  <w:style w:type="paragraph" w:styleId="13">
    <w:name w:val="annotation text"/>
    <w:basedOn w:val="1"/>
    <w:link w:val="97"/>
    <w:qFormat/>
    <w:uiPriority w:val="0"/>
    <w:pPr>
      <w:jc w:val="left"/>
    </w:pPr>
    <w:rPr>
      <w:kern w:val="0"/>
      <w:sz w:val="24"/>
      <w:szCs w:val="20"/>
    </w:rPr>
  </w:style>
  <w:style w:type="paragraph" w:styleId="14">
    <w:name w:val="Body Text 3"/>
    <w:basedOn w:val="1"/>
    <w:qFormat/>
    <w:locked/>
    <w:uiPriority w:val="0"/>
    <w:pPr>
      <w:spacing w:line="360" w:lineRule="auto"/>
      <w:ind w:firstLine="0" w:firstLineChars="0"/>
      <w:jc w:val="center"/>
    </w:pPr>
    <w:rPr>
      <w:rFonts w:ascii="宋体" w:hAnsi="宋体"/>
      <w:b/>
      <w:sz w:val="28"/>
    </w:rPr>
  </w:style>
  <w:style w:type="paragraph" w:styleId="15">
    <w:name w:val="Body Text"/>
    <w:basedOn w:val="1"/>
    <w:next w:val="16"/>
    <w:link w:val="51"/>
    <w:qFormat/>
    <w:uiPriority w:val="0"/>
    <w:pPr>
      <w:widowControl/>
      <w:adjustRightInd w:val="0"/>
      <w:snapToGrid w:val="0"/>
      <w:spacing w:line="240" w:lineRule="auto"/>
      <w:ind w:right="0" w:firstLine="0" w:firstLineChars="0"/>
      <w:jc w:val="center"/>
    </w:pPr>
    <w:rPr>
      <w:rFonts w:ascii="Times New Roman" w:hAnsi="Times New Roman" w:eastAsia="宋体"/>
      <w:sz w:val="24"/>
    </w:rPr>
  </w:style>
  <w:style w:type="paragraph" w:customStyle="1" w:styleId="16">
    <w:name w:val="Default"/>
    <w:basedOn w:val="17"/>
    <w:next w:val="1"/>
    <w:qFormat/>
    <w:uiPriority w:val="0"/>
    <w:pPr>
      <w:autoSpaceDE w:val="0"/>
      <w:autoSpaceDN w:val="0"/>
      <w:jc w:val="left"/>
    </w:pPr>
    <w:rPr>
      <w:rFonts w:hint="eastAsia" w:ascii="宋体"/>
      <w:kern w:val="0"/>
      <w:sz w:val="24"/>
      <w:szCs w:val="24"/>
    </w:rPr>
  </w:style>
  <w:style w:type="paragraph" w:customStyle="1" w:styleId="17">
    <w:name w:val="1 表头"/>
    <w:basedOn w:val="1"/>
    <w:qFormat/>
    <w:uiPriority w:val="0"/>
    <w:pPr>
      <w:adjustRightInd w:val="0"/>
      <w:snapToGrid w:val="0"/>
      <w:jc w:val="center"/>
    </w:pPr>
    <w:rPr>
      <w:b/>
      <w:color w:val="000000"/>
      <w:szCs w:val="21"/>
    </w:rPr>
  </w:style>
  <w:style w:type="paragraph" w:styleId="18">
    <w:name w:val="Body Text Indent"/>
    <w:basedOn w:val="1"/>
    <w:next w:val="19"/>
    <w:link w:val="112"/>
    <w:qFormat/>
    <w:uiPriority w:val="0"/>
    <w:pPr>
      <w:spacing w:after="120"/>
      <w:ind w:left="420" w:leftChars="200"/>
    </w:pPr>
    <w:rPr>
      <w:kern w:val="0"/>
      <w:sz w:val="24"/>
      <w:szCs w:val="20"/>
    </w:rPr>
  </w:style>
  <w:style w:type="paragraph" w:styleId="19">
    <w:name w:val="Body Text First Indent 2"/>
    <w:basedOn w:val="18"/>
    <w:next w:val="1"/>
    <w:qFormat/>
    <w:uiPriority w:val="0"/>
    <w:pPr>
      <w:ind w:firstLine="420"/>
    </w:pPr>
  </w:style>
  <w:style w:type="paragraph" w:styleId="20">
    <w:name w:val="Block Text"/>
    <w:basedOn w:val="1"/>
    <w:qFormat/>
    <w:locked/>
    <w:uiPriority w:val="0"/>
    <w:pPr>
      <w:spacing w:after="120"/>
      <w:ind w:left="1440" w:leftChars="700" w:right="700" w:rightChars="700"/>
    </w:pPr>
  </w:style>
  <w:style w:type="paragraph" w:styleId="21">
    <w:name w:val="Plain Text"/>
    <w:basedOn w:val="1"/>
    <w:qFormat/>
    <w:locked/>
    <w:uiPriority w:val="0"/>
    <w:pPr>
      <w:ind w:firstLine="200" w:firstLineChars="200"/>
    </w:pPr>
    <w:rPr>
      <w:rFonts w:ascii="宋体"/>
      <w:bCs/>
      <w:color w:val="000000"/>
      <w:sz w:val="28"/>
      <w:szCs w:val="28"/>
    </w:rPr>
  </w:style>
  <w:style w:type="paragraph" w:styleId="22">
    <w:name w:val="List Bullet 5"/>
    <w:basedOn w:val="1"/>
    <w:qFormat/>
    <w:locked/>
    <w:uiPriority w:val="0"/>
    <w:pPr>
      <w:numPr>
        <w:ilvl w:val="0"/>
        <w:numId w:val="2"/>
      </w:numPr>
    </w:pPr>
  </w:style>
  <w:style w:type="paragraph" w:styleId="23">
    <w:name w:val="Date"/>
    <w:basedOn w:val="1"/>
    <w:next w:val="1"/>
    <w:link w:val="116"/>
    <w:qFormat/>
    <w:uiPriority w:val="0"/>
    <w:pPr>
      <w:ind w:left="100" w:leftChars="2500"/>
    </w:pPr>
    <w:rPr>
      <w:kern w:val="0"/>
      <w:sz w:val="24"/>
      <w:szCs w:val="20"/>
    </w:rPr>
  </w:style>
  <w:style w:type="paragraph" w:styleId="24">
    <w:name w:val="Body Text Indent 2"/>
    <w:basedOn w:val="1"/>
    <w:qFormat/>
    <w:locked/>
    <w:uiPriority w:val="0"/>
    <w:pPr>
      <w:spacing w:line="360" w:lineRule="auto"/>
      <w:ind w:firstLine="573"/>
    </w:pPr>
    <w:rPr>
      <w:sz w:val="28"/>
    </w:rPr>
  </w:style>
  <w:style w:type="paragraph" w:styleId="25">
    <w:name w:val="Balloon Text"/>
    <w:basedOn w:val="1"/>
    <w:link w:val="66"/>
    <w:semiHidden/>
    <w:qFormat/>
    <w:uiPriority w:val="0"/>
    <w:rPr>
      <w:kern w:val="0"/>
      <w:sz w:val="18"/>
      <w:szCs w:val="20"/>
    </w:rPr>
  </w:style>
  <w:style w:type="paragraph" w:styleId="26">
    <w:name w:val="footer"/>
    <w:basedOn w:val="1"/>
    <w:link w:val="62"/>
    <w:qFormat/>
    <w:uiPriority w:val="99"/>
    <w:pPr>
      <w:tabs>
        <w:tab w:val="center" w:pos="4153"/>
        <w:tab w:val="right" w:pos="8306"/>
      </w:tabs>
      <w:snapToGrid w:val="0"/>
      <w:jc w:val="left"/>
    </w:pPr>
    <w:rPr>
      <w:kern w:val="0"/>
      <w:sz w:val="18"/>
      <w:szCs w:val="20"/>
    </w:rPr>
  </w:style>
  <w:style w:type="paragraph" w:styleId="27">
    <w:name w:val="header"/>
    <w:basedOn w:val="1"/>
    <w:link w:val="159"/>
    <w:qFormat/>
    <w:uiPriority w:val="0"/>
    <w:pPr>
      <w:pBdr>
        <w:bottom w:val="single" w:color="auto" w:sz="6" w:space="1"/>
      </w:pBdr>
      <w:tabs>
        <w:tab w:val="center" w:pos="4153"/>
        <w:tab w:val="right" w:pos="8306"/>
      </w:tabs>
      <w:snapToGrid w:val="0"/>
      <w:jc w:val="center"/>
    </w:pPr>
    <w:rPr>
      <w:kern w:val="0"/>
      <w:sz w:val="18"/>
      <w:szCs w:val="20"/>
    </w:rPr>
  </w:style>
  <w:style w:type="paragraph" w:styleId="28">
    <w:name w:val="toc 1"/>
    <w:basedOn w:val="1"/>
    <w:next w:val="1"/>
    <w:qFormat/>
    <w:locked/>
    <w:uiPriority w:val="39"/>
    <w:rPr>
      <w:b/>
    </w:rPr>
  </w:style>
  <w:style w:type="paragraph" w:styleId="29">
    <w:name w:val="List Continue 4"/>
    <w:basedOn w:val="1"/>
    <w:qFormat/>
    <w:locked/>
    <w:uiPriority w:val="0"/>
    <w:pPr>
      <w:spacing w:after="120" w:afterLines="0" w:afterAutospacing="0"/>
      <w:ind w:left="1680" w:leftChars="800"/>
    </w:pPr>
  </w:style>
  <w:style w:type="paragraph" w:styleId="30">
    <w:name w:val="index heading"/>
    <w:basedOn w:val="1"/>
    <w:next w:val="31"/>
    <w:qFormat/>
    <w:locked/>
    <w:uiPriority w:val="0"/>
    <w:rPr>
      <w:rFonts w:ascii="Arial" w:hAnsi="Arial"/>
      <w:b/>
    </w:rPr>
  </w:style>
  <w:style w:type="paragraph" w:styleId="31">
    <w:name w:val="index 1"/>
    <w:basedOn w:val="1"/>
    <w:next w:val="1"/>
    <w:qFormat/>
    <w:locked/>
    <w:uiPriority w:val="0"/>
  </w:style>
  <w:style w:type="paragraph" w:styleId="32">
    <w:name w:val="List"/>
    <w:basedOn w:val="1"/>
    <w:next w:val="1"/>
    <w:semiHidden/>
    <w:unhideWhenUsed/>
    <w:qFormat/>
    <w:locked/>
    <w:uiPriority w:val="99"/>
    <w:pPr>
      <w:ind w:left="200" w:hanging="200" w:hangingChars="200"/>
      <w:contextualSpacing/>
    </w:pPr>
  </w:style>
  <w:style w:type="paragraph" w:styleId="33">
    <w:name w:val="Body Text Indent 3"/>
    <w:basedOn w:val="1"/>
    <w:qFormat/>
    <w:locked/>
    <w:uiPriority w:val="0"/>
    <w:pPr>
      <w:spacing w:after="120" w:afterLines="0" w:afterAutospacing="0"/>
      <w:ind w:left="420" w:leftChars="200"/>
    </w:pPr>
    <w:rPr>
      <w:sz w:val="16"/>
    </w:rPr>
  </w:style>
  <w:style w:type="paragraph" w:styleId="34">
    <w:name w:val="Body Text 2"/>
    <w:basedOn w:val="1"/>
    <w:unhideWhenUsed/>
    <w:qFormat/>
    <w:locked/>
    <w:uiPriority w:val="99"/>
    <w:pPr>
      <w:spacing w:after="120" w:line="480" w:lineRule="auto"/>
    </w:pPr>
  </w:style>
  <w:style w:type="paragraph" w:styleId="35">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6">
    <w:name w:val="Normal (Web)"/>
    <w:basedOn w:val="1"/>
    <w:link w:val="64"/>
    <w:qFormat/>
    <w:uiPriority w:val="0"/>
    <w:pPr>
      <w:widowControl/>
      <w:spacing w:beforeAutospacing="1" w:afterAutospacing="1"/>
      <w:jc w:val="left"/>
    </w:pPr>
    <w:rPr>
      <w:rFonts w:ascii="宋体" w:hAnsi="宋体"/>
      <w:kern w:val="0"/>
      <w:szCs w:val="20"/>
    </w:rPr>
  </w:style>
  <w:style w:type="paragraph" w:styleId="37">
    <w:name w:val="Title"/>
    <w:basedOn w:val="1"/>
    <w:next w:val="1"/>
    <w:qFormat/>
    <w:locked/>
    <w:uiPriority w:val="0"/>
    <w:pPr>
      <w:spacing w:before="240" w:after="60"/>
      <w:jc w:val="center"/>
      <w:outlineLvl w:val="0"/>
    </w:pPr>
    <w:rPr>
      <w:rFonts w:ascii="Cambria" w:hAnsi="Cambria"/>
      <w:b/>
      <w:bCs/>
      <w:sz w:val="32"/>
      <w:szCs w:val="32"/>
    </w:rPr>
  </w:style>
  <w:style w:type="paragraph" w:styleId="38">
    <w:name w:val="annotation subject"/>
    <w:basedOn w:val="13"/>
    <w:next w:val="13"/>
    <w:link w:val="65"/>
    <w:qFormat/>
    <w:uiPriority w:val="0"/>
    <w:rPr>
      <w:b/>
    </w:rPr>
  </w:style>
  <w:style w:type="paragraph" w:styleId="39">
    <w:name w:val="Body Text First Indent"/>
    <w:basedOn w:val="15"/>
    <w:qFormat/>
    <w:locked/>
    <w:uiPriority w:val="0"/>
    <w:pPr>
      <w:spacing w:after="120"/>
      <w:ind w:firstLine="420" w:firstLineChars="100"/>
    </w:pPr>
    <w:rPr>
      <w:kern w:val="2"/>
      <w:sz w:val="21"/>
      <w:szCs w:val="24"/>
    </w:rPr>
  </w:style>
  <w:style w:type="table" w:styleId="41">
    <w:name w:val="Table Grid"/>
    <w:basedOn w:val="4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locked/>
    <w:uiPriority w:val="0"/>
    <w:rPr>
      <w:b/>
      <w:bCs/>
    </w:rPr>
  </w:style>
  <w:style w:type="character" w:styleId="44">
    <w:name w:val="page number"/>
    <w:basedOn w:val="42"/>
    <w:qFormat/>
    <w:locked/>
    <w:uiPriority w:val="0"/>
    <w:rPr>
      <w:rFonts w:hint="default" w:ascii="Times New Roman" w:hAnsi="Times New Roman" w:cs="Times New Roman"/>
    </w:rPr>
  </w:style>
  <w:style w:type="character" w:styleId="45">
    <w:name w:val="FollowedHyperlink"/>
    <w:basedOn w:val="42"/>
    <w:qFormat/>
    <w:locked/>
    <w:uiPriority w:val="0"/>
    <w:rPr>
      <w:color w:val="000000"/>
      <w:u w:val="none"/>
    </w:rPr>
  </w:style>
  <w:style w:type="character" w:styleId="46">
    <w:name w:val="Emphasis"/>
    <w:basedOn w:val="42"/>
    <w:qFormat/>
    <w:locked/>
    <w:uiPriority w:val="0"/>
  </w:style>
  <w:style w:type="character" w:styleId="47">
    <w:name w:val="Hyperlink"/>
    <w:basedOn w:val="42"/>
    <w:qFormat/>
    <w:locked/>
    <w:uiPriority w:val="0"/>
    <w:rPr>
      <w:color w:val="000000"/>
      <w:u w:val="none"/>
    </w:rPr>
  </w:style>
  <w:style w:type="character" w:styleId="48">
    <w:name w:val="annotation reference"/>
    <w:semiHidden/>
    <w:qFormat/>
    <w:uiPriority w:val="0"/>
    <w:rPr>
      <w:sz w:val="21"/>
    </w:rPr>
  </w:style>
  <w:style w:type="character" w:customStyle="1" w:styleId="49">
    <w:name w:val="标题 1 字符"/>
    <w:link w:val="3"/>
    <w:qFormat/>
    <w:uiPriority w:val="0"/>
    <w:rPr>
      <w:rFonts w:ascii="Times New Roman" w:hAnsi="Times New Roman" w:eastAsia="黑体"/>
      <w:b/>
      <w:bCs/>
      <w:color w:val="000000"/>
      <w:kern w:val="44"/>
      <w:sz w:val="30"/>
      <w:szCs w:val="30"/>
    </w:rPr>
  </w:style>
  <w:style w:type="character" w:customStyle="1" w:styleId="50">
    <w:name w:val="标题 2 Char"/>
    <w:link w:val="4"/>
    <w:qFormat/>
    <w:uiPriority w:val="0"/>
    <w:rPr>
      <w:b/>
      <w:bCs/>
      <w:szCs w:val="32"/>
    </w:rPr>
  </w:style>
  <w:style w:type="character" w:customStyle="1" w:styleId="51">
    <w:name w:val="正文文本 字符"/>
    <w:link w:val="15"/>
    <w:qFormat/>
    <w:locked/>
    <w:uiPriority w:val="0"/>
    <w:rPr>
      <w:rFonts w:ascii="Times New Roman" w:hAnsi="Times New Roman" w:eastAsia="宋体"/>
      <w:sz w:val="24"/>
    </w:rPr>
  </w:style>
  <w:style w:type="character" w:customStyle="1" w:styleId="52">
    <w:name w:val="批注文字 字符"/>
    <w:link w:val="13"/>
    <w:qFormat/>
    <w:locked/>
    <w:uiPriority w:val="0"/>
    <w:rPr>
      <w:kern w:val="0"/>
      <w:sz w:val="24"/>
      <w:szCs w:val="20"/>
    </w:rPr>
  </w:style>
  <w:style w:type="character" w:customStyle="1" w:styleId="53">
    <w:name w:val="标题 3 Char"/>
    <w:link w:val="5"/>
    <w:qFormat/>
    <w:uiPriority w:val="0"/>
    <w:rPr>
      <w:rFonts w:ascii="Times New Roman" w:hAnsi="Times New Roman" w:eastAsia="宋体"/>
      <w:b/>
      <w:kern w:val="0"/>
      <w:sz w:val="24"/>
      <w:szCs w:val="20"/>
    </w:rPr>
  </w:style>
  <w:style w:type="character" w:customStyle="1" w:styleId="54">
    <w:name w:val="标题 1 Char"/>
    <w:link w:val="3"/>
    <w:qFormat/>
    <w:uiPriority w:val="9"/>
    <w:rPr>
      <w:rFonts w:ascii="Times New Roman" w:hAnsi="Times New Roman" w:eastAsia="黑体"/>
      <w:b/>
      <w:bCs/>
      <w:color w:val="000000"/>
      <w:kern w:val="44"/>
      <w:sz w:val="30"/>
      <w:szCs w:val="30"/>
    </w:rPr>
  </w:style>
  <w:style w:type="character" w:customStyle="1" w:styleId="55">
    <w:name w:val="标题 4 字符"/>
    <w:link w:val="6"/>
    <w:qFormat/>
    <w:uiPriority w:val="0"/>
    <w:rPr>
      <w:rFonts w:ascii="Times New Roman" w:hAnsi="Times New Roman" w:eastAsia="宋体"/>
      <w:bCs/>
      <w:sz w:val="21"/>
      <w:szCs w:val="28"/>
    </w:rPr>
  </w:style>
  <w:style w:type="character" w:customStyle="1" w:styleId="56">
    <w:name w:val="正文缩进 字符"/>
    <w:link w:val="10"/>
    <w:qFormat/>
    <w:uiPriority w:val="0"/>
    <w:rPr>
      <w:rFonts w:ascii="Times New Roman" w:hAnsi="Times New Roman" w:eastAsia="宋体"/>
      <w:b/>
      <w:sz w:val="21"/>
    </w:rPr>
  </w:style>
  <w:style w:type="paragraph" w:customStyle="1" w:styleId="57">
    <w:name w:val="正文1"/>
    <w:basedOn w:val="10"/>
    <w:next w:val="1"/>
    <w:qFormat/>
    <w:uiPriority w:val="0"/>
    <w:pPr>
      <w:adjustRightInd w:val="0"/>
      <w:snapToGrid w:val="0"/>
      <w:spacing w:line="500" w:lineRule="atLeast"/>
      <w:ind w:firstLine="567"/>
    </w:pPr>
    <w:rPr>
      <w:sz w:val="28"/>
    </w:rPr>
  </w:style>
  <w:style w:type="paragraph" w:customStyle="1" w:styleId="58">
    <w:name w:val="Char Char Char Char Char Char Char Char Char1 Char"/>
    <w:basedOn w:val="1"/>
    <w:next w:val="59"/>
    <w:qFormat/>
    <w:uiPriority w:val="0"/>
    <w:pPr>
      <w:spacing w:line="360" w:lineRule="auto"/>
      <w:ind w:firstLine="200" w:firstLineChars="200"/>
    </w:pPr>
    <w:rPr>
      <w:rFonts w:hAnsi="宋体" w:cs="宋体"/>
      <w:spacing w:val="0"/>
      <w:sz w:val="24"/>
      <w:szCs w:val="24"/>
    </w:rPr>
  </w:style>
  <w:style w:type="paragraph" w:customStyle="1" w:styleId="59">
    <w:name w:val="Body Text First Indent1"/>
    <w:next w:val="1"/>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character" w:customStyle="1" w:styleId="60">
    <w:name w:val="日期 字符"/>
    <w:link w:val="23"/>
    <w:semiHidden/>
    <w:qFormat/>
    <w:locked/>
    <w:uiPriority w:val="0"/>
    <w:rPr>
      <w:rFonts w:ascii="Times New Roman" w:hAnsi="Times New Roman" w:eastAsia="宋体"/>
      <w:sz w:val="24"/>
    </w:rPr>
  </w:style>
  <w:style w:type="character" w:customStyle="1" w:styleId="61">
    <w:name w:val="批注框文本 字符"/>
    <w:link w:val="25"/>
    <w:semiHidden/>
    <w:qFormat/>
    <w:locked/>
    <w:uiPriority w:val="0"/>
    <w:rPr>
      <w:kern w:val="0"/>
      <w:sz w:val="18"/>
      <w:szCs w:val="20"/>
    </w:rPr>
  </w:style>
  <w:style w:type="character" w:customStyle="1" w:styleId="62">
    <w:name w:val="页脚 字符1"/>
    <w:link w:val="26"/>
    <w:qFormat/>
    <w:locked/>
    <w:uiPriority w:val="99"/>
    <w:rPr>
      <w:kern w:val="0"/>
      <w:sz w:val="18"/>
      <w:szCs w:val="20"/>
    </w:rPr>
  </w:style>
  <w:style w:type="character" w:customStyle="1" w:styleId="63">
    <w:name w:val="页眉 字符"/>
    <w:link w:val="27"/>
    <w:qFormat/>
    <w:locked/>
    <w:uiPriority w:val="0"/>
    <w:rPr>
      <w:kern w:val="0"/>
      <w:sz w:val="18"/>
      <w:szCs w:val="20"/>
    </w:rPr>
  </w:style>
  <w:style w:type="character" w:customStyle="1" w:styleId="64">
    <w:name w:val="普通(网站) 字符"/>
    <w:link w:val="36"/>
    <w:qFormat/>
    <w:locked/>
    <w:uiPriority w:val="0"/>
    <w:rPr>
      <w:rFonts w:ascii="宋体" w:hAnsi="宋体"/>
      <w:kern w:val="0"/>
      <w:szCs w:val="20"/>
    </w:rPr>
  </w:style>
  <w:style w:type="character" w:customStyle="1" w:styleId="65">
    <w:name w:val="批注主题 字符"/>
    <w:link w:val="38"/>
    <w:semiHidden/>
    <w:qFormat/>
    <w:locked/>
    <w:uiPriority w:val="0"/>
    <w:rPr>
      <w:b/>
    </w:rPr>
  </w:style>
  <w:style w:type="character" w:customStyle="1" w:styleId="66">
    <w:name w:val="批注框文本 Char"/>
    <w:link w:val="25"/>
    <w:qFormat/>
    <w:uiPriority w:val="0"/>
    <w:rPr>
      <w:kern w:val="0"/>
      <w:sz w:val="18"/>
      <w:szCs w:val="20"/>
    </w:rPr>
  </w:style>
  <w:style w:type="character" w:customStyle="1" w:styleId="67">
    <w:name w:val="页脚 字符"/>
    <w:basedOn w:val="42"/>
    <w:qFormat/>
    <w:uiPriority w:val="99"/>
  </w:style>
  <w:style w:type="paragraph" w:customStyle="1" w:styleId="68">
    <w:name w:val="表头"/>
    <w:basedOn w:val="69"/>
    <w:next w:val="1"/>
    <w:qFormat/>
    <w:uiPriority w:val="0"/>
    <w:rPr>
      <w:rFonts w:ascii="黑体" w:eastAsia="黑体"/>
      <w:sz w:val="24"/>
    </w:rPr>
  </w:style>
  <w:style w:type="paragraph" w:customStyle="1" w:styleId="69">
    <w:name w:val="报告表格"/>
    <w:basedOn w:val="1"/>
    <w:qFormat/>
    <w:uiPriority w:val="0"/>
    <w:pPr>
      <w:autoSpaceDE w:val="0"/>
      <w:autoSpaceDN w:val="0"/>
      <w:adjustRightInd w:val="0"/>
      <w:jc w:val="center"/>
      <w:textAlignment w:val="baseline"/>
    </w:pPr>
    <w:rPr>
      <w:kern w:val="0"/>
      <w:szCs w:val="20"/>
    </w:rPr>
  </w:style>
  <w:style w:type="paragraph" w:customStyle="1" w:styleId="70">
    <w:name w:val="WPSOffice手动目录 1"/>
    <w:qFormat/>
    <w:uiPriority w:val="0"/>
    <w:rPr>
      <w:rFonts w:ascii="Times New Roman" w:hAnsi="Times New Roman" w:eastAsia="宋体" w:cs="Times New Roman"/>
      <w:lang w:val="en-US" w:eastAsia="zh-CN" w:bidi="ar-SA"/>
    </w:rPr>
  </w:style>
  <w:style w:type="paragraph" w:customStyle="1" w:styleId="71">
    <w:name w:val="表格标题"/>
    <w:basedOn w:val="1"/>
    <w:next w:val="1"/>
    <w:qFormat/>
    <w:uiPriority w:val="0"/>
    <w:pPr>
      <w:spacing w:line="360" w:lineRule="auto"/>
      <w:ind w:firstLine="2168" w:firstLineChars="600"/>
      <w:jc w:val="center"/>
    </w:pPr>
    <w:rPr>
      <w:b/>
      <w:bCs/>
      <w:szCs w:val="20"/>
    </w:rPr>
  </w:style>
  <w:style w:type="paragraph" w:customStyle="1" w:styleId="72">
    <w:name w:val="表中文字"/>
    <w:basedOn w:val="1"/>
    <w:qFormat/>
    <w:uiPriority w:val="0"/>
    <w:pPr>
      <w:tabs>
        <w:tab w:val="left" w:pos="2700"/>
      </w:tabs>
      <w:spacing w:line="240" w:lineRule="auto"/>
      <w:ind w:firstLine="0" w:firstLineChars="0"/>
      <w:jc w:val="center"/>
      <w:textAlignment w:val="center"/>
    </w:pPr>
    <w:rPr>
      <w:sz w:val="21"/>
      <w:szCs w:val="21"/>
    </w:rPr>
  </w:style>
  <w:style w:type="paragraph" w:customStyle="1" w:styleId="73">
    <w:name w:val="样式3"/>
    <w:basedOn w:val="1"/>
    <w:next w:val="1"/>
    <w:qFormat/>
    <w:uiPriority w:val="0"/>
    <w:pPr>
      <w:keepNext/>
      <w:keepLines/>
      <w:spacing w:beforeLines="0" w:afterLines="0" w:line="240" w:lineRule="auto"/>
      <w:ind w:firstLine="0" w:firstLineChars="0"/>
      <w:jc w:val="center"/>
      <w:outlineLvl w:val="1"/>
    </w:pPr>
    <w:rPr>
      <w:sz w:val="21"/>
    </w:rPr>
  </w:style>
  <w:style w:type="paragraph" w:customStyle="1" w:styleId="74">
    <w:name w:val="报告正文小四"/>
    <w:basedOn w:val="1"/>
    <w:qFormat/>
    <w:uiPriority w:val="0"/>
    <w:pPr>
      <w:ind w:firstLine="200"/>
    </w:pPr>
    <w:rPr>
      <w:szCs w:val="20"/>
    </w:rPr>
  </w:style>
  <w:style w:type="paragraph" w:customStyle="1" w:styleId="75">
    <w:name w:val="表格后空行"/>
    <w:basedOn w:val="1"/>
    <w:qFormat/>
    <w:uiPriority w:val="0"/>
    <w:pPr>
      <w:widowControl/>
      <w:spacing w:line="240" w:lineRule="exact"/>
      <w:textAlignment w:val="baseline"/>
    </w:pPr>
    <w:rPr>
      <w:rFonts w:ascii="宋体" w:cs="宋体"/>
      <w:color w:val="000000"/>
      <w:kern w:val="0"/>
      <w:sz w:val="18"/>
      <w:szCs w:val="20"/>
      <w:u w:color="000000"/>
    </w:rPr>
  </w:style>
  <w:style w:type="paragraph" w:customStyle="1" w:styleId="76">
    <w:name w:val="表格内"/>
    <w:basedOn w:val="1"/>
    <w:qFormat/>
    <w:uiPriority w:val="0"/>
    <w:pPr>
      <w:widowControl/>
      <w:adjustRightInd w:val="0"/>
      <w:snapToGrid w:val="0"/>
      <w:spacing w:after="200" w:line="360" w:lineRule="exact"/>
      <w:jc w:val="center"/>
    </w:pPr>
    <w:rPr>
      <w:rFonts w:eastAsia="微软雅黑"/>
      <w:snapToGrid w:val="0"/>
      <w:kern w:val="0"/>
      <w:sz w:val="22"/>
      <w:szCs w:val="21"/>
    </w:rPr>
  </w:style>
  <w:style w:type="paragraph" w:customStyle="1" w:styleId="77">
    <w:name w:val="表格内容"/>
    <w:basedOn w:val="10"/>
    <w:next w:val="1"/>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paragraph" w:styleId="78">
    <w:name w:val="List Paragraph"/>
    <w:basedOn w:val="1"/>
    <w:qFormat/>
    <w:uiPriority w:val="1"/>
    <w:pPr>
      <w:ind w:left="122" w:hanging="795"/>
    </w:pPr>
    <w:rPr>
      <w:rFonts w:ascii="宋体" w:hAnsi="宋体" w:eastAsia="宋体" w:cs="宋体"/>
      <w:lang w:val="zh-CN" w:eastAsia="zh-CN" w:bidi="zh-CN"/>
    </w:rPr>
  </w:style>
  <w:style w:type="paragraph" w:customStyle="1" w:styleId="79">
    <w:name w:val="Table Paragraph"/>
    <w:basedOn w:val="1"/>
    <w:qFormat/>
    <w:uiPriority w:val="1"/>
    <w:rPr>
      <w:rFonts w:ascii="宋体" w:hAnsi="宋体" w:cs="宋体"/>
      <w:lang w:val="zh-CN" w:bidi="zh-CN"/>
    </w:rPr>
  </w:style>
  <w:style w:type="character" w:customStyle="1" w:styleId="80">
    <w:name w:val="font21"/>
    <w:basedOn w:val="42"/>
    <w:qFormat/>
    <w:uiPriority w:val="0"/>
    <w:rPr>
      <w:rFonts w:hint="eastAsia" w:ascii="宋体" w:hAnsi="宋体" w:eastAsia="宋体" w:cs="宋体"/>
      <w:color w:val="000000"/>
      <w:sz w:val="21"/>
      <w:szCs w:val="21"/>
      <w:u w:val="none"/>
    </w:rPr>
  </w:style>
  <w:style w:type="character" w:customStyle="1" w:styleId="81">
    <w:name w:val="font31"/>
    <w:basedOn w:val="42"/>
    <w:qFormat/>
    <w:uiPriority w:val="0"/>
    <w:rPr>
      <w:rFonts w:hint="default" w:ascii="Times New Roman" w:hAnsi="Times New Roman" w:cs="Times New Roman"/>
      <w:color w:val="000000"/>
      <w:sz w:val="21"/>
      <w:szCs w:val="21"/>
      <w:u w:val="none"/>
    </w:rPr>
  </w:style>
  <w:style w:type="paragraph" w:customStyle="1" w:styleId="82">
    <w:name w:val="正文(首行缩进)"/>
    <w:basedOn w:val="1"/>
    <w:next w:val="4"/>
    <w:qFormat/>
    <w:uiPriority w:val="0"/>
    <w:pPr>
      <w:spacing w:line="360" w:lineRule="auto"/>
      <w:ind w:firstLine="480" w:firstLineChars="200"/>
    </w:pPr>
    <w:rPr>
      <w:bCs/>
      <w:color w:val="000000"/>
      <w:kern w:val="24"/>
      <w:sz w:val="24"/>
    </w:rPr>
  </w:style>
  <w:style w:type="paragraph" w:customStyle="1" w:styleId="83">
    <w:name w:val="Table Text"/>
    <w:basedOn w:val="1"/>
    <w:semiHidden/>
    <w:qFormat/>
    <w:uiPriority w:val="0"/>
    <w:rPr>
      <w:rFonts w:ascii="Times New Roman" w:hAnsi="Times New Roman" w:eastAsia="Times New Roman" w:cs="Times New Roman"/>
      <w:sz w:val="24"/>
      <w:szCs w:val="24"/>
      <w:lang w:val="en-US" w:eastAsia="en-US" w:bidi="ar-SA"/>
    </w:rPr>
  </w:style>
  <w:style w:type="table" w:customStyle="1" w:styleId="84">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85">
    <w:name w:val="准 正文 左侧:  2 字符 + 首行缩进:  2 字符"/>
    <w:basedOn w:val="1"/>
    <w:qFormat/>
    <w:uiPriority w:val="0"/>
    <w:pPr>
      <w:spacing w:line="360" w:lineRule="auto"/>
      <w:ind w:firstLine="480" w:firstLineChars="200"/>
    </w:pPr>
    <w:rPr>
      <w:rFonts w:cs="宋体"/>
      <w:sz w:val="24"/>
    </w:rPr>
  </w:style>
  <w:style w:type="paragraph" w:customStyle="1" w:styleId="86">
    <w:name w:val="_Style 67"/>
    <w:unhideWhenUsed/>
    <w:qFormat/>
    <w:uiPriority w:val="99"/>
    <w:rPr>
      <w:rFonts w:ascii="Times New Roman" w:hAnsi="Times New Roman" w:eastAsia="宋体" w:cs="Times New Roman"/>
      <w:kern w:val="2"/>
      <w:sz w:val="24"/>
      <w:szCs w:val="24"/>
      <w:lang w:val="en-US" w:eastAsia="zh-CN" w:bidi="ar-SA"/>
    </w:rPr>
  </w:style>
  <w:style w:type="paragraph" w:customStyle="1" w:styleId="87">
    <w:name w:val="表格文字"/>
    <w:basedOn w:val="39"/>
    <w:next w:val="1"/>
    <w:qFormat/>
    <w:uiPriority w:val="0"/>
    <w:pPr>
      <w:adjustRightInd w:val="0"/>
      <w:spacing w:line="320" w:lineRule="exact"/>
      <w:ind w:left="-80"/>
      <w:jc w:val="center"/>
      <w:textAlignment w:val="baseline"/>
    </w:pPr>
    <w:rPr>
      <w:szCs w:val="21"/>
    </w:rPr>
  </w:style>
  <w:style w:type="paragraph" w:customStyle="1" w:styleId="88">
    <w:name w:val="标题三！！！！！！！"/>
    <w:basedOn w:val="5"/>
    <w:qFormat/>
    <w:uiPriority w:val="0"/>
    <w:pPr>
      <w:keepLines w:val="0"/>
      <w:adjustRightInd/>
      <w:spacing w:before="0" w:after="0" w:line="500" w:lineRule="exact"/>
      <w:textAlignment w:val="auto"/>
    </w:pPr>
    <w:rPr>
      <w:rFonts w:ascii="楷体_GB2312" w:hAnsi="楷体_GB2312" w:eastAsia="楷体_GB2312" w:cs="楷体_GB2312"/>
      <w:sz w:val="28"/>
      <w:szCs w:val="28"/>
    </w:rPr>
  </w:style>
  <w:style w:type="paragraph" w:customStyle="1" w:styleId="89">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90">
    <w:name w:val="样式 首行缩进:  2 字符1"/>
    <w:basedOn w:val="1"/>
    <w:qFormat/>
    <w:uiPriority w:val="0"/>
    <w:pPr>
      <w:adjustRightInd w:val="0"/>
      <w:snapToGrid w:val="0"/>
      <w:spacing w:line="360" w:lineRule="auto"/>
      <w:ind w:firstLine="480"/>
    </w:pPr>
    <w:rPr>
      <w:rFonts w:cs="宋体"/>
    </w:rPr>
  </w:style>
  <w:style w:type="paragraph" w:customStyle="1" w:styleId="91">
    <w:name w:val="表题"/>
    <w:basedOn w:val="1"/>
    <w:next w:val="1"/>
    <w:qFormat/>
    <w:uiPriority w:val="0"/>
    <w:pPr>
      <w:spacing w:before="50" w:beforeLines="50"/>
      <w:jc w:val="center"/>
    </w:pPr>
    <w:rPr>
      <w:b/>
    </w:rPr>
  </w:style>
  <w:style w:type="paragraph" w:customStyle="1" w:styleId="92">
    <w:name w:val="图表"/>
    <w:basedOn w:val="1"/>
    <w:qFormat/>
    <w:uiPriority w:val="0"/>
    <w:pPr>
      <w:tabs>
        <w:tab w:val="left" w:pos="1322"/>
        <w:tab w:val="center" w:pos="4635"/>
      </w:tabs>
      <w:adjustRightInd w:val="0"/>
      <w:snapToGrid w:val="0"/>
      <w:jc w:val="center"/>
      <w:outlineLvl w:val="1"/>
    </w:pPr>
    <w:rPr>
      <w:rFonts w:eastAsia="黑体"/>
      <w:b/>
      <w:snapToGrid w:val="0"/>
      <w:kern w:val="0"/>
      <w:sz w:val="22"/>
      <w:szCs w:val="22"/>
    </w:rPr>
  </w:style>
  <w:style w:type="paragraph" w:customStyle="1" w:styleId="93">
    <w:name w:val="样式1"/>
    <w:basedOn w:val="30"/>
    <w:next w:val="1"/>
    <w:qFormat/>
    <w:uiPriority w:val="0"/>
    <w:pPr>
      <w:spacing w:line="260" w:lineRule="exact"/>
      <w:ind w:left="12"/>
    </w:pPr>
  </w:style>
  <w:style w:type="character" w:customStyle="1" w:styleId="94">
    <w:name w:val="font11"/>
    <w:basedOn w:val="42"/>
    <w:qFormat/>
    <w:uiPriority w:val="0"/>
    <w:rPr>
      <w:rFonts w:hint="eastAsia" w:ascii="宋体" w:hAnsi="宋体" w:eastAsia="宋体" w:cs="宋体"/>
      <w:color w:val="000000"/>
      <w:sz w:val="21"/>
      <w:szCs w:val="21"/>
      <w:u w:val="none"/>
    </w:rPr>
  </w:style>
  <w:style w:type="character" w:customStyle="1" w:styleId="95">
    <w:name w:val="正文文本缩进 Char"/>
    <w:link w:val="18"/>
    <w:qFormat/>
    <w:uiPriority w:val="0"/>
    <w:rPr>
      <w:kern w:val="0"/>
      <w:sz w:val="24"/>
      <w:szCs w:val="20"/>
    </w:rPr>
  </w:style>
  <w:style w:type="character" w:customStyle="1" w:styleId="96">
    <w:name w:val="标题 5 字符"/>
    <w:link w:val="7"/>
    <w:qFormat/>
    <w:uiPriority w:val="0"/>
    <w:rPr>
      <w:rFonts w:ascii="Times New Roman" w:hAnsi="Times New Roman"/>
      <w:b/>
      <w:sz w:val="24"/>
    </w:rPr>
  </w:style>
  <w:style w:type="character" w:customStyle="1" w:styleId="97">
    <w:name w:val="批注文字 Char"/>
    <w:link w:val="13"/>
    <w:qFormat/>
    <w:uiPriority w:val="0"/>
    <w:rPr>
      <w:kern w:val="0"/>
      <w:sz w:val="24"/>
      <w:szCs w:val="20"/>
    </w:rPr>
  </w:style>
  <w:style w:type="character" w:customStyle="1" w:styleId="98">
    <w:name w:val="题注 Char"/>
    <w:link w:val="11"/>
    <w:qFormat/>
    <w:uiPriority w:val="35"/>
    <w:rPr>
      <w:rFonts w:ascii="Times New Roman" w:hAnsi="Times New Roman" w:eastAsia="宋体" w:cs="Times New Roman"/>
      <w:b/>
      <w:kern w:val="21"/>
      <w:sz w:val="21"/>
      <w:szCs w:val="20"/>
    </w:rPr>
  </w:style>
  <w:style w:type="paragraph" w:customStyle="1" w:styleId="99">
    <w:name w:val="纯文本1"/>
    <w:basedOn w:val="1"/>
    <w:qFormat/>
    <w:uiPriority w:val="0"/>
    <w:pPr>
      <w:adjustRightInd w:val="0"/>
      <w:textAlignment w:val="baseline"/>
    </w:pPr>
    <w:rPr>
      <w:rFonts w:ascii="宋体" w:hAnsi="Courier New"/>
      <w:szCs w:val="20"/>
    </w:rPr>
  </w:style>
  <w:style w:type="paragraph" w:customStyle="1" w:styleId="100">
    <w:name w:val="Body Text 21"/>
    <w:basedOn w:val="1"/>
    <w:qFormat/>
    <w:uiPriority w:val="0"/>
    <w:pPr>
      <w:spacing w:after="120" w:line="480" w:lineRule="auto"/>
    </w:pPr>
  </w:style>
  <w:style w:type="paragraph" w:customStyle="1" w:styleId="101">
    <w:name w:val="样式 表内容 + 行距: 固定值 28 磅"/>
    <w:basedOn w:val="102"/>
    <w:qFormat/>
    <w:uiPriority w:val="0"/>
    <w:pPr>
      <w:jc w:val="center"/>
    </w:pPr>
    <w:rPr>
      <w:rFonts w:hAnsi="宋体" w:cs="宋体"/>
      <w:spacing w:val="5"/>
      <w:sz w:val="21"/>
      <w:szCs w:val="20"/>
    </w:rPr>
  </w:style>
  <w:style w:type="paragraph" w:customStyle="1" w:styleId="102">
    <w:name w:val="表内容"/>
    <w:basedOn w:val="1"/>
    <w:next w:val="1"/>
    <w:qFormat/>
    <w:uiPriority w:val="0"/>
    <w:pPr>
      <w:jc w:val="center"/>
    </w:pPr>
    <w:rPr>
      <w:rFonts w:ascii="宋体" w:hAnsi="宋体" w:eastAsia="宋体"/>
      <w:kern w:val="2"/>
      <w:sz w:val="21"/>
      <w:lang w:val="en-US" w:eastAsia="zh-CN" w:bidi="ar-SA"/>
    </w:rPr>
  </w:style>
  <w:style w:type="paragraph" w:customStyle="1" w:styleId="103">
    <w:name w:val="表格"/>
    <w:basedOn w:val="79"/>
    <w:next w:val="104"/>
    <w:link w:val="117"/>
    <w:qFormat/>
    <w:uiPriority w:val="0"/>
    <w:pPr>
      <w:adjustRightInd w:val="0"/>
      <w:snapToGrid w:val="0"/>
      <w:spacing w:beforeLines="10" w:afterLines="10" w:line="259" w:lineRule="auto"/>
      <w:jc w:val="center"/>
    </w:pPr>
    <w:rPr>
      <w:kern w:val="0"/>
      <w:szCs w:val="20"/>
    </w:rPr>
  </w:style>
  <w:style w:type="paragraph" w:customStyle="1" w:styleId="104">
    <w:name w:val="样式 标题 2 + 首行缩进:  2 字符"/>
    <w:basedOn w:val="4"/>
    <w:next w:val="105"/>
    <w:qFormat/>
    <w:uiPriority w:val="0"/>
    <w:pPr>
      <w:widowControl/>
      <w:spacing w:line="300" w:lineRule="auto"/>
      <w:ind w:left="1320" w:hanging="420"/>
    </w:pPr>
    <w:rPr>
      <w:rFonts w:eastAsia="黑体"/>
      <w:b w:val="0"/>
      <w:sz w:val="30"/>
    </w:rPr>
  </w:style>
  <w:style w:type="paragraph" w:customStyle="1" w:styleId="105">
    <w:name w:val="图号"/>
    <w:next w:val="106"/>
    <w:qFormat/>
    <w:uiPriority w:val="0"/>
    <w:pPr>
      <w:widowControl w:val="0"/>
      <w:spacing w:line="529" w:lineRule="exact"/>
      <w:ind w:left="198"/>
    </w:pPr>
    <w:rPr>
      <w:rFonts w:ascii="宋体" w:hAnsi="Times New Roman" w:eastAsia="宋体" w:cs="Times New Roman"/>
      <w:b/>
      <w:sz w:val="24"/>
      <w:lang w:val="en-US" w:eastAsia="zh-CN" w:bidi="ar-SA"/>
    </w:rPr>
  </w:style>
  <w:style w:type="paragraph" w:customStyle="1" w:styleId="106">
    <w:name w:val=" Char Char Char Char Char Char Char Char Char Char Char Char Char Char Char Char Char Char Char Char Char Char"/>
    <w:basedOn w:val="1"/>
    <w:next w:val="1"/>
    <w:qFormat/>
    <w:uiPriority w:val="0"/>
    <w:pPr>
      <w:widowControl w:val="0"/>
      <w:autoSpaceDE/>
      <w:autoSpaceDN/>
      <w:spacing w:before="0" w:after="0" w:line="360" w:lineRule="auto"/>
      <w:ind w:left="0" w:firstLine="200"/>
    </w:pPr>
    <w:rPr>
      <w:rFonts w:ascii="宋体" w:eastAsia="宋体"/>
      <w:sz w:val="24"/>
    </w:rPr>
  </w:style>
  <w:style w:type="paragraph" w:customStyle="1" w:styleId="107">
    <w:name w:val="Char Char Char Char Char Char Char Char Char Char Char Char Char Char Char Char Char Char Char Char Char Char"/>
    <w:basedOn w:val="1"/>
    <w:next w:val="1"/>
    <w:qFormat/>
    <w:uiPriority w:val="0"/>
    <w:pPr>
      <w:spacing w:line="360" w:lineRule="auto"/>
      <w:ind w:firstLine="200"/>
    </w:pPr>
    <w:rPr>
      <w:rFonts w:ascii="宋体"/>
      <w:sz w:val="24"/>
    </w:rPr>
  </w:style>
  <w:style w:type="paragraph" w:customStyle="1" w:styleId="108">
    <w:name w:val="样式 标题 1一级标题 + 段前: 0.5 行 段后: 0.5 行"/>
    <w:basedOn w:val="3"/>
    <w:qFormat/>
    <w:uiPriority w:val="99"/>
    <w:pPr>
      <w:spacing w:line="320" w:lineRule="exact"/>
      <w:outlineLvl w:val="9"/>
    </w:pPr>
    <w:rPr>
      <w:spacing w:val="-6"/>
      <w:sz w:val="21"/>
      <w:szCs w:val="21"/>
    </w:rPr>
  </w:style>
  <w:style w:type="character" w:customStyle="1" w:styleId="109">
    <w:name w:val="cur"/>
    <w:basedOn w:val="42"/>
    <w:qFormat/>
    <w:uiPriority w:val="0"/>
    <w:rPr>
      <w:color w:val="FFFFFF"/>
      <w:shd w:val="clear" w:color="auto" w:fill="2F6B98"/>
    </w:rPr>
  </w:style>
  <w:style w:type="character" w:customStyle="1" w:styleId="110">
    <w:name w:val="_Style 5"/>
    <w:qFormat/>
    <w:uiPriority w:val="0"/>
    <w:rPr>
      <w:b/>
      <w:smallCaps/>
      <w:spacing w:val="5"/>
    </w:rPr>
  </w:style>
  <w:style w:type="character" w:customStyle="1" w:styleId="111">
    <w:name w:val="radio-btn"/>
    <w:basedOn w:val="42"/>
    <w:qFormat/>
    <w:uiPriority w:val="0"/>
    <w:rPr>
      <w:sz w:val="16"/>
      <w:szCs w:val="16"/>
    </w:rPr>
  </w:style>
  <w:style w:type="character" w:customStyle="1" w:styleId="112">
    <w:name w:val="正文文本缩进 字符"/>
    <w:link w:val="18"/>
    <w:semiHidden/>
    <w:qFormat/>
    <w:locked/>
    <w:uiPriority w:val="0"/>
    <w:rPr>
      <w:kern w:val="0"/>
      <w:sz w:val="24"/>
      <w:szCs w:val="20"/>
    </w:rPr>
  </w:style>
  <w:style w:type="character" w:customStyle="1" w:styleId="113">
    <w:name w:val="radio-btn2"/>
    <w:basedOn w:val="42"/>
    <w:qFormat/>
    <w:uiPriority w:val="0"/>
    <w:rPr>
      <w:sz w:val="19"/>
      <w:szCs w:val="19"/>
    </w:rPr>
  </w:style>
  <w:style w:type="character" w:customStyle="1" w:styleId="114">
    <w:name w:val="正文文本 字符1"/>
    <w:semiHidden/>
    <w:qFormat/>
    <w:uiPriority w:val="0"/>
    <w:rPr>
      <w:rFonts w:ascii="Times New Roman" w:hAnsi="Times New Roman" w:eastAsia="宋体"/>
      <w:sz w:val="24"/>
    </w:rPr>
  </w:style>
  <w:style w:type="character" w:customStyle="1" w:styleId="115">
    <w:name w:val="批注文字 字符1"/>
    <w:semiHidden/>
    <w:qFormat/>
    <w:uiPriority w:val="0"/>
    <w:rPr>
      <w:rFonts w:ascii="Times New Roman" w:hAnsi="Times New Roman" w:eastAsia="宋体"/>
      <w:sz w:val="24"/>
    </w:rPr>
  </w:style>
  <w:style w:type="character" w:customStyle="1" w:styleId="116">
    <w:name w:val="日期 字符1"/>
    <w:link w:val="23"/>
    <w:qFormat/>
    <w:locked/>
    <w:uiPriority w:val="0"/>
    <w:rPr>
      <w:kern w:val="0"/>
      <w:sz w:val="24"/>
      <w:szCs w:val="20"/>
    </w:rPr>
  </w:style>
  <w:style w:type="character" w:customStyle="1" w:styleId="117">
    <w:name w:val="表格 Char"/>
    <w:link w:val="103"/>
    <w:qFormat/>
    <w:locked/>
    <w:uiPriority w:val="0"/>
    <w:rPr>
      <w:kern w:val="0"/>
      <w:szCs w:val="20"/>
    </w:rPr>
  </w:style>
  <w:style w:type="character" w:customStyle="1" w:styleId="118">
    <w:name w:val="lable"/>
    <w:basedOn w:val="42"/>
    <w:qFormat/>
    <w:uiPriority w:val="0"/>
    <w:rPr>
      <w:sz w:val="19"/>
      <w:szCs w:val="19"/>
    </w:rPr>
  </w:style>
  <w:style w:type="character" w:customStyle="1" w:styleId="119">
    <w:name w:val="radio-btn1"/>
    <w:basedOn w:val="42"/>
    <w:qFormat/>
    <w:uiPriority w:val="0"/>
    <w:rPr>
      <w:sz w:val="19"/>
      <w:szCs w:val="19"/>
    </w:rPr>
  </w:style>
  <w:style w:type="character" w:customStyle="1" w:styleId="120">
    <w:name w:val="lishishuju"/>
    <w:basedOn w:val="42"/>
    <w:qFormat/>
    <w:uiPriority w:val="0"/>
    <w:rPr>
      <w:b/>
      <w:bCs/>
      <w:color w:val="000052"/>
      <w:sz w:val="19"/>
      <w:szCs w:val="19"/>
      <w:bdr w:val="single" w:color="E3E3E3" w:sz="4" w:space="0"/>
    </w:rPr>
  </w:style>
  <w:style w:type="character" w:customStyle="1" w:styleId="121">
    <w:name w:val="cur1"/>
    <w:basedOn w:val="42"/>
    <w:qFormat/>
    <w:uiPriority w:val="0"/>
    <w:rPr>
      <w:color w:val="FFFFFF"/>
      <w:shd w:val="clear" w:color="auto" w:fill="2F6B98"/>
    </w:rPr>
  </w:style>
  <w:style w:type="character" w:customStyle="1" w:styleId="122">
    <w:name w:val="znspantitle"/>
    <w:basedOn w:val="42"/>
    <w:qFormat/>
    <w:uiPriority w:val="0"/>
    <w:rPr>
      <w:b/>
      <w:bCs/>
      <w:color w:val="333333"/>
    </w:rPr>
  </w:style>
  <w:style w:type="paragraph" w:customStyle="1" w:styleId="123">
    <w:name w:val="Char"/>
    <w:basedOn w:val="1"/>
    <w:qFormat/>
    <w:uiPriority w:val="0"/>
  </w:style>
  <w:style w:type="paragraph" w:customStyle="1" w:styleId="124">
    <w:name w:val="样式 标题 3 + 黑体 非加粗"/>
    <w:basedOn w:val="5"/>
    <w:qFormat/>
    <w:uiPriority w:val="0"/>
    <w:pPr>
      <w:tabs>
        <w:tab w:val="left" w:pos="4678"/>
      </w:tabs>
      <w:snapToGrid w:val="0"/>
      <w:spacing w:before="156" w:beforeLines="50" w:after="156" w:afterLines="50" w:line="360" w:lineRule="auto"/>
    </w:pPr>
  </w:style>
  <w:style w:type="paragraph" w:customStyle="1" w:styleId="125">
    <w:name w:val="表格的文字"/>
    <w:basedOn w:val="1"/>
    <w:qFormat/>
    <w:uiPriority w:val="0"/>
    <w:pPr>
      <w:adjustRightInd w:val="0"/>
      <w:snapToGrid w:val="0"/>
      <w:spacing w:line="240" w:lineRule="atLeast"/>
      <w:jc w:val="center"/>
    </w:pPr>
    <w:rPr>
      <w:rFonts w:ascii="仿宋_GB2312" w:hAnsi="仿宋_GB2312"/>
      <w:bCs/>
      <w:szCs w:val="20"/>
    </w:rPr>
  </w:style>
  <w:style w:type="paragraph" w:customStyle="1" w:styleId="126">
    <w:name w:val="缩进"/>
    <w:basedOn w:val="1"/>
    <w:qFormat/>
    <w:uiPriority w:val="0"/>
    <w:pPr>
      <w:spacing w:line="360" w:lineRule="auto"/>
      <w:ind w:firstLine="200" w:firstLineChars="200"/>
    </w:pPr>
    <w:rPr>
      <w:sz w:val="24"/>
    </w:rPr>
  </w:style>
  <w:style w:type="paragraph" w:customStyle="1" w:styleId="127">
    <w:name w:val="报告正文"/>
    <w:basedOn w:val="1"/>
    <w:qFormat/>
    <w:uiPriority w:val="0"/>
    <w:pPr>
      <w:spacing w:line="520" w:lineRule="exact"/>
      <w:ind w:firstLine="488" w:firstLineChars="200"/>
      <w:jc w:val="left"/>
    </w:pPr>
    <w:rPr>
      <w:bCs/>
      <w:spacing w:val="8"/>
      <w:kern w:val="0"/>
      <w:sz w:val="24"/>
    </w:rPr>
  </w:style>
  <w:style w:type="paragraph" w:customStyle="1" w:styleId="128">
    <w:name w:val="正本文字"/>
    <w:basedOn w:val="1"/>
    <w:qFormat/>
    <w:uiPriority w:val="0"/>
    <w:pPr>
      <w:adjustRightInd w:val="0"/>
      <w:snapToGrid w:val="0"/>
      <w:spacing w:line="360" w:lineRule="auto"/>
      <w:ind w:firstLine="480" w:firstLineChars="200"/>
      <w:jc w:val="left"/>
    </w:pPr>
    <w:rPr>
      <w:kern w:val="18"/>
      <w:sz w:val="24"/>
      <w:szCs w:val="20"/>
    </w:rPr>
  </w:style>
  <w:style w:type="paragraph" w:customStyle="1" w:styleId="129">
    <w:name w:val="表头、图号"/>
    <w:basedOn w:val="1"/>
    <w:unhideWhenUsed/>
    <w:qFormat/>
    <w:uiPriority w:val="0"/>
    <w:pPr>
      <w:widowControl/>
    </w:pPr>
    <w:rPr>
      <w:rFonts w:eastAsia="黑体"/>
      <w:kern w:val="0"/>
    </w:rPr>
  </w:style>
  <w:style w:type="paragraph" w:customStyle="1" w:styleId="130">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1">
    <w:name w:val="li_正文"/>
    <w:basedOn w:val="1"/>
    <w:qFormat/>
    <w:uiPriority w:val="0"/>
    <w:pPr>
      <w:ind w:firstLine="200" w:firstLineChars="200"/>
      <w:jc w:val="left"/>
    </w:pPr>
    <w:rPr>
      <w:rFonts w:ascii="Calibri" w:hAnsi="Calibri"/>
      <w:sz w:val="28"/>
      <w:szCs w:val="28"/>
    </w:rPr>
  </w:style>
  <w:style w:type="paragraph" w:customStyle="1" w:styleId="132">
    <w:name w:val="表格文字中"/>
    <w:basedOn w:val="1"/>
    <w:qFormat/>
    <w:uiPriority w:val="0"/>
    <w:pPr>
      <w:jc w:val="center"/>
    </w:pPr>
    <w:rPr>
      <w:kern w:val="0"/>
      <w:sz w:val="24"/>
      <w:szCs w:val="20"/>
    </w:rPr>
  </w:style>
  <w:style w:type="paragraph" w:customStyle="1" w:styleId="133">
    <w:name w:val="样式5"/>
    <w:basedOn w:val="1"/>
    <w:qFormat/>
    <w:uiPriority w:val="0"/>
    <w:pPr>
      <w:snapToGrid w:val="0"/>
      <w:spacing w:line="360" w:lineRule="auto"/>
      <w:ind w:firstLine="510"/>
    </w:pPr>
    <w:rPr>
      <w:sz w:val="28"/>
    </w:rPr>
  </w:style>
  <w:style w:type="paragraph" w:customStyle="1" w:styleId="13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135">
    <w:name w:val="表、图名"/>
    <w:basedOn w:val="1"/>
    <w:qFormat/>
    <w:uiPriority w:val="0"/>
    <w:pPr>
      <w:adjustRightInd w:val="0"/>
      <w:snapToGrid w:val="0"/>
      <w:spacing w:line="520" w:lineRule="exact"/>
      <w:ind w:left="-6" w:firstLine="560"/>
    </w:pPr>
    <w:rPr>
      <w:b/>
      <w:szCs w:val="20"/>
    </w:rPr>
  </w:style>
  <w:style w:type="paragraph" w:customStyle="1" w:styleId="136">
    <w:name w:val="0"/>
    <w:basedOn w:val="123"/>
    <w:qFormat/>
    <w:uiPriority w:val="0"/>
    <w:pPr>
      <w:overflowPunct w:val="0"/>
      <w:snapToGrid w:val="0"/>
      <w:jc w:val="center"/>
    </w:pPr>
    <w:rPr>
      <w:rFonts w:ascii="Arial" w:hAnsi="Arial" w:eastAsia="仿宋_GB2312" w:cs="Arial"/>
      <w:bCs/>
      <w:snapToGrid w:val="0"/>
      <w:kern w:val="0"/>
      <w:szCs w:val="28"/>
    </w:rPr>
  </w:style>
  <w:style w:type="paragraph" w:customStyle="1" w:styleId="137">
    <w:name w:val="表头及表尾"/>
    <w:qFormat/>
    <w:uiPriority w:val="0"/>
    <w:pPr>
      <w:tabs>
        <w:tab w:val="center" w:pos="4200"/>
        <w:tab w:val="right" w:pos="8400"/>
      </w:tabs>
      <w:adjustRightInd w:val="0"/>
      <w:snapToGrid w:val="0"/>
      <w:spacing w:line="360" w:lineRule="auto"/>
      <w:jc w:val="center"/>
    </w:pPr>
    <w:rPr>
      <w:rFonts w:ascii="Times New Roman" w:hAnsi="Times New Roman" w:eastAsia="宋体" w:cs="Times New Roman"/>
      <w:b/>
      <w:sz w:val="21"/>
      <w:szCs w:val="21"/>
      <w:lang w:val="en-US" w:eastAsia="zh-CN" w:bidi="ar-SA"/>
    </w:rPr>
  </w:style>
  <w:style w:type="paragraph" w:customStyle="1" w:styleId="13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正文文本1"/>
    <w:basedOn w:val="1"/>
    <w:qFormat/>
    <w:uiPriority w:val="0"/>
    <w:pPr>
      <w:shd w:val="clear" w:color="auto" w:fill="FFFFFF"/>
      <w:spacing w:line="0" w:lineRule="atLeast"/>
      <w:jc w:val="distribute"/>
    </w:pPr>
    <w:rPr>
      <w:rFonts w:ascii="宋体" w:hAnsi="宋体" w:cs="宋体"/>
      <w:kern w:val="0"/>
      <w:sz w:val="26"/>
      <w:szCs w:val="26"/>
    </w:rPr>
  </w:style>
  <w:style w:type="paragraph" w:customStyle="1" w:styleId="140">
    <w:name w:val="ach正文"/>
    <w:basedOn w:val="1"/>
    <w:qFormat/>
    <w:uiPriority w:val="0"/>
    <w:pPr>
      <w:spacing w:line="500" w:lineRule="exact"/>
      <w:ind w:firstLine="200" w:firstLineChars="200"/>
    </w:pPr>
    <w:rPr>
      <w:rFonts w:hAnsi="宋体"/>
      <w:color w:val="0000FF"/>
    </w:rPr>
  </w:style>
  <w:style w:type="paragraph" w:styleId="141">
    <w:name w:val="No Spacing"/>
    <w:basedOn w:val="32"/>
    <w:next w:val="1"/>
    <w:qFormat/>
    <w:uiPriority w:val="1"/>
    <w:pPr>
      <w:ind w:left="0" w:firstLine="0" w:firstLineChars="0"/>
      <w:jc w:val="center"/>
    </w:pPr>
  </w:style>
  <w:style w:type="paragraph" w:customStyle="1" w:styleId="142">
    <w:name w:val="标题文本"/>
    <w:basedOn w:val="143"/>
    <w:qFormat/>
    <w:uiPriority w:val="0"/>
    <w:pPr>
      <w:ind w:firstLine="0" w:firstLineChars="0"/>
    </w:pPr>
    <w:rPr>
      <w:b/>
      <w:snapToGrid w:val="0"/>
    </w:rPr>
  </w:style>
  <w:style w:type="paragraph" w:customStyle="1" w:styleId="143">
    <w:name w:val="文本"/>
    <w:basedOn w:val="34"/>
    <w:next w:val="34"/>
    <w:qFormat/>
    <w:uiPriority w:val="0"/>
    <w:pPr>
      <w:adjustRightInd w:val="0"/>
      <w:snapToGrid w:val="0"/>
      <w:spacing w:after="0" w:line="520" w:lineRule="exact"/>
      <w:ind w:firstLine="200" w:firstLineChars="200"/>
    </w:pPr>
    <w:rPr>
      <w:rFonts w:ascii="宋体"/>
      <w:sz w:val="24"/>
    </w:rPr>
  </w:style>
  <w:style w:type="character" w:customStyle="1" w:styleId="144">
    <w:name w:val="标题 2 Char1"/>
    <w:link w:val="4"/>
    <w:qFormat/>
    <w:uiPriority w:val="0"/>
    <w:rPr>
      <w:b/>
      <w:bCs/>
      <w:szCs w:val="32"/>
    </w:rPr>
  </w:style>
  <w:style w:type="character" w:customStyle="1" w:styleId="145">
    <w:name w:val="bold align2"/>
    <w:basedOn w:val="42"/>
    <w:qFormat/>
    <w:uiPriority w:val="0"/>
  </w:style>
  <w:style w:type="character" w:customStyle="1" w:styleId="146">
    <w:name w:val="apple-converted-space"/>
    <w:basedOn w:val="42"/>
    <w:qFormat/>
    <w:uiPriority w:val="0"/>
  </w:style>
  <w:style w:type="character" w:customStyle="1" w:styleId="147">
    <w:name w:val="bold align1"/>
    <w:basedOn w:val="42"/>
    <w:qFormat/>
    <w:uiPriority w:val="0"/>
  </w:style>
  <w:style w:type="character" w:customStyle="1" w:styleId="148">
    <w:name w:val="bold"/>
    <w:basedOn w:val="42"/>
    <w:qFormat/>
    <w:uiPriority w:val="0"/>
  </w:style>
  <w:style w:type="character" w:customStyle="1" w:styleId="149">
    <w:name w:val="bsharetext"/>
    <w:basedOn w:val="42"/>
    <w:qFormat/>
    <w:uiPriority w:val="0"/>
  </w:style>
  <w:style w:type="character" w:customStyle="1" w:styleId="150">
    <w:name w:val="hover26"/>
    <w:basedOn w:val="42"/>
    <w:qFormat/>
    <w:uiPriority w:val="0"/>
  </w:style>
  <w:style w:type="character" w:customStyle="1" w:styleId="151">
    <w:name w:val="15"/>
    <w:basedOn w:val="42"/>
    <w:qFormat/>
    <w:uiPriority w:val="0"/>
    <w:rPr>
      <w:rFonts w:hint="default" w:ascii="Times New Roman" w:hAnsi="Times New Roman" w:cs="Times New Roman"/>
      <w:b/>
      <w:bCs/>
    </w:rPr>
  </w:style>
  <w:style w:type="paragraph" w:customStyle="1" w:styleId="152">
    <w:name w:val="表格题"/>
    <w:basedOn w:val="1"/>
    <w:qFormat/>
    <w:uiPriority w:val="0"/>
    <w:pPr>
      <w:jc w:val="center"/>
    </w:pPr>
    <w:rPr>
      <w:rFonts w:ascii="宋体" w:hAnsi="宋体"/>
      <w:szCs w:val="20"/>
    </w:rPr>
  </w:style>
  <w:style w:type="character" w:customStyle="1" w:styleId="153">
    <w:name w:val="font41"/>
    <w:basedOn w:val="42"/>
    <w:qFormat/>
    <w:uiPriority w:val="0"/>
    <w:rPr>
      <w:rFonts w:hint="default" w:ascii="Times New Roman" w:hAnsi="Times New Roman" w:cs="Times New Roman"/>
      <w:color w:val="000000"/>
      <w:sz w:val="21"/>
      <w:szCs w:val="21"/>
      <w:u w:val="none"/>
    </w:rPr>
  </w:style>
  <w:style w:type="paragraph" w:customStyle="1" w:styleId="154">
    <w:name w:val="主表格"/>
    <w:basedOn w:val="1"/>
    <w:qFormat/>
    <w:uiPriority w:val="0"/>
    <w:pPr>
      <w:spacing w:line="240" w:lineRule="auto"/>
      <w:ind w:firstLine="0" w:firstLineChars="0"/>
      <w:jc w:val="center"/>
    </w:pPr>
  </w:style>
  <w:style w:type="paragraph" w:customStyle="1" w:styleId="155">
    <w:name w:val="Default1"/>
    <w:basedOn w:val="1"/>
    <w:next w:val="1"/>
    <w:qFormat/>
    <w:uiPriority w:val="0"/>
    <w:pPr>
      <w:widowControl w:val="0"/>
      <w:autoSpaceDE w:val="0"/>
      <w:autoSpaceDN w:val="0"/>
      <w:adjustRightInd w:val="0"/>
    </w:pPr>
    <w:rPr>
      <w:rFonts w:ascii="宋体" w:hAnsi="宋体" w:cs="宋体"/>
      <w:color w:val="000000"/>
      <w:kern w:val="0"/>
      <w:sz w:val="24"/>
    </w:rPr>
  </w:style>
  <w:style w:type="character" w:customStyle="1" w:styleId="156">
    <w:name w:val="hover28"/>
    <w:basedOn w:val="42"/>
    <w:qFormat/>
    <w:uiPriority w:val="0"/>
  </w:style>
  <w:style w:type="character" w:customStyle="1" w:styleId="157">
    <w:name w:val="font01"/>
    <w:basedOn w:val="42"/>
    <w:qFormat/>
    <w:uiPriority w:val="0"/>
    <w:rPr>
      <w:rFonts w:hint="eastAsia" w:ascii="宋体" w:hAnsi="宋体" w:eastAsia="宋体" w:cs="宋体"/>
      <w:color w:val="000000"/>
      <w:sz w:val="22"/>
      <w:szCs w:val="22"/>
      <w:u w:val="none"/>
    </w:rPr>
  </w:style>
  <w:style w:type="paragraph" w:customStyle="1" w:styleId="158">
    <w:name w:val="标1"/>
    <w:basedOn w:val="1"/>
    <w:qFormat/>
    <w:uiPriority w:val="0"/>
    <w:pPr>
      <w:spacing w:before="60" w:beforeLines="0" w:beforeAutospacing="0" w:line="460" w:lineRule="exact"/>
      <w:outlineLvl w:val="0"/>
    </w:pPr>
    <w:rPr>
      <w:rFonts w:ascii="Times New Roman" w:hAnsi="Times New Roman" w:eastAsia="宋体" w:cs="Times New Roman"/>
      <w:b/>
      <w:kern w:val="2"/>
      <w:sz w:val="32"/>
      <w:lang w:val="en-US" w:eastAsia="zh-CN"/>
    </w:rPr>
  </w:style>
  <w:style w:type="character" w:customStyle="1" w:styleId="159">
    <w:name w:val="页眉 Char"/>
    <w:basedOn w:val="42"/>
    <w:link w:val="27"/>
    <w:qFormat/>
    <w:uiPriority w:val="0"/>
    <w:rPr>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footnotes" Target="footnotes.xml"/><Relationship Id="rId29" Type="http://schemas.openxmlformats.org/officeDocument/2006/relationships/image" Target="media/image16.jpeg"/><Relationship Id="rId28" Type="http://schemas.openxmlformats.org/officeDocument/2006/relationships/image" Target="media/image15.jpeg"/><Relationship Id="rId27" Type="http://schemas.openxmlformats.org/officeDocument/2006/relationships/image" Target="media/image14.png"/><Relationship Id="rId26" Type="http://schemas.openxmlformats.org/officeDocument/2006/relationships/image" Target="media/image13.jpeg"/><Relationship Id="rId25" Type="http://schemas.openxmlformats.org/officeDocument/2006/relationships/image" Target="media/image12.jpeg"/><Relationship Id="rId24" Type="http://schemas.openxmlformats.org/officeDocument/2006/relationships/image" Target="media/image11.jpeg"/><Relationship Id="rId23" Type="http://schemas.openxmlformats.org/officeDocument/2006/relationships/image" Target="media/image10.jpeg"/><Relationship Id="rId22" Type="http://schemas.openxmlformats.org/officeDocument/2006/relationships/image" Target="media/image9.wmf"/><Relationship Id="rId21" Type="http://schemas.openxmlformats.org/officeDocument/2006/relationships/image" Target="media/image8.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4.bin"/><Relationship Id="rId17" Type="http://schemas.openxmlformats.org/officeDocument/2006/relationships/image" Target="media/image6.wmf"/><Relationship Id="rId16" Type="http://schemas.openxmlformats.org/officeDocument/2006/relationships/oleObject" Target="embeddings/oleObject3.bin"/><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g3Mjk3NTY4NDgwIiwKCSJHcm91cElkIiA6ICI0Njc0MjM2NDgiLAoJIkltYWdlIiA6ICJpVkJPUncwS0dnb0FBQUFOU1VoRVVnQUFCTnNBQUFRWENBWUFBQURHUDIwZUFBQUFBWE5TUjBJQXJzNGM2UUFBSUFCSlJFRlVlSnpzM1hkWVUyZjdCL0R2Q1FFQ0JRVDNvRTdjQzlDNlI3VnFXMjFkVmR0WHEzV1dhbFY0dGE1cXhkVzZ0V29kV1BjZU9PdmVWZFFxRGdRRUVWUW9LQ0NnS0RPUTVQeis0TTM1RVpOQVVCRFE3K2U2dkNUbmVjN0prNkFuSi9kNW52c0d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2OURkSTNCY1YyRUhIWkFBQUFBQkpSVTVFcmtKZ2dnPT0iLAoJIlRoZW1lIiA6ICIiLAoJIlR5cGUiIDogImZsb3ciLAoJIlVzZXJJZCIgOiAiNDIxNzU2NDE1IiwKCSJWZXJzaW9uIiA6ICI0MiIKfQo="/>
    </extobj>
    <extobj name="ECB019B1-382A-4266-B25C-5B523AA43C14-2">
      <extobjdata type="ECB019B1-382A-4266-B25C-5B523AA43C14" data="ewoJIkZpbGVJZCIgOiAiMzgxNDAyMDcwNzQ1IiwKCSJHcm91cElkIiA6ICI0Njc0MjM2NDgiLAoJIkltYWdlIiA6ICJpVkJPUncwS0dnb0FBQUFOU1VoRVVnQUFBNXdBQUFSdkNBWUFBQUIwRSt2b0FBQUFBWE5TUjBJQXJzNGM2UUFBSUFCSlJFRlVlSnpzM1hsNEZGWGU5dkg3VktlekVXSmdRUFloS3ZzYVFFVkZSa0FZbjhjZEZGNTFFQlY5V0dRQUJSY1F4UTFGRmdVY0VVVVJ4RzBZVVFGSEJRVmxGTkFSQlpSTllGQVlFUkZad21JSVNhZlArd2NrRXJMUVdhcXJrM3cvMStWMXBhdE9WZjJpMWtuZlZhZE9T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dJUDhQM0pWSTR0QmdCNVdBQUFBQUVsRlRrU3VRbUNDIiwKCSJUaGVtZSIgOiAiIiwKCSJUeXBlIiA6ICJmbG93IiwKCSJVc2VySWQiIDogIjQyMTc1NjQxNSIsCgkiVmVyc2lvbiIgOiAiMjk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61</Pages>
  <Words>14861</Words>
  <Characters>16042</Characters>
  <Lines>289</Lines>
  <Paragraphs>81</Paragraphs>
  <TotalTime>1</TotalTime>
  <ScaleCrop>false</ScaleCrop>
  <LinksUpToDate>false</LinksUpToDate>
  <CharactersWithSpaces>16251</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lenovo</cp:lastModifiedBy>
  <cp:lastPrinted>2021-07-27T03:09:00Z</cp:lastPrinted>
  <dcterms:modified xsi:type="dcterms:W3CDTF">2025-06-25T04:01:46Z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8513679334D74ED3873237F9A224D1F4_13</vt:lpwstr>
  </property>
  <property fmtid="{D5CDD505-2E9C-101B-9397-08002B2CF9AE}" pid="4" name="KSOTemplateDocerSaveRecord">
    <vt:lpwstr>eyJoZGlkIjoiM2MxMzYxMTFjNDY5MmI5ZTdkYzhhMWI5OGEyMmY5MzUiLCJ1c2VySWQiOiI0MjE3NTY0MTUifQ==</vt:lpwstr>
  </property>
</Properties>
</file>