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hint="eastAsia" w:ascii="仿宋_GB2312" w:hAnsi="仿宋_GB2312" w:eastAsia="仿宋_GB2312" w:cs="仿宋_GB2312"/>
          <w:color w:val="auto"/>
          <w:sz w:val="36"/>
          <w:szCs w:val="36"/>
        </w:rPr>
      </w:pPr>
    </w:p>
    <w:p>
      <w:pPr>
        <w:adjustRightInd w:val="0"/>
        <w:snapToGrid w:val="0"/>
        <w:jc w:val="center"/>
        <w:outlineLvl w:val="0"/>
        <w:rPr>
          <w:rFonts w:hint="eastAsia"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before="192" w:beforeLines="80"/>
        <w:jc w:val="center"/>
        <w:rPr>
          <w:rFonts w:hint="eastAsia" w:ascii="楷体_GB2312" w:eastAsia="楷体_GB2312"/>
          <w:bCs/>
          <w:color w:val="auto"/>
          <w:sz w:val="48"/>
          <w:szCs w:val="48"/>
          <w:highlight w:val="none"/>
        </w:rPr>
      </w:pPr>
    </w:p>
    <w:p>
      <w:pPr>
        <w:adjustRightInd w:val="0"/>
        <w:snapToGrid w:val="0"/>
        <w:spacing w:line="288" w:lineRule="auto"/>
        <w:jc w:val="center"/>
        <w:outlineLvl w:val="0"/>
        <w:rPr>
          <w:rFonts w:ascii="华文仿宋" w:hAnsi="华文仿宋" w:eastAsia="华文仿宋" w:cs="华文仿宋"/>
          <w:color w:val="auto"/>
          <w:kern w:val="44"/>
          <w:sz w:val="44"/>
          <w:szCs w:val="44"/>
          <w:highlight w:val="none"/>
        </w:rPr>
      </w:pPr>
    </w:p>
    <w:p>
      <w:pPr>
        <w:jc w:val="center"/>
        <w:rPr>
          <w:rFonts w:eastAsia="仿宋"/>
          <w:color w:val="auto"/>
          <w:sz w:val="52"/>
          <w:szCs w:val="52"/>
          <w:highlight w:val="none"/>
        </w:rPr>
      </w:pPr>
    </w:p>
    <w:p>
      <w:pPr>
        <w:rPr>
          <w:rFonts w:eastAsia="仿宋"/>
          <w:color w:val="auto"/>
          <w:sz w:val="44"/>
          <w:szCs w:val="44"/>
          <w:highlight w:val="none"/>
        </w:rPr>
      </w:pPr>
    </w:p>
    <w:p>
      <w:pPr>
        <w:ind w:firstLine="1040"/>
        <w:rPr>
          <w:rFonts w:eastAsia="仿宋"/>
          <w:color w:val="auto"/>
          <w:sz w:val="44"/>
          <w:szCs w:val="44"/>
          <w:highlight w:val="none"/>
        </w:rPr>
      </w:pPr>
    </w:p>
    <w:p>
      <w:pPr>
        <w:adjustRightInd w:val="0"/>
        <w:snapToGrid w:val="0"/>
        <w:spacing w:line="288" w:lineRule="auto"/>
        <w:ind w:left="1800" w:hanging="1800" w:hangingChars="500"/>
        <w:rPr>
          <w:rFonts w:hint="default" w:ascii="仿宋_GB2312" w:eastAsia="仿宋_GB2312"/>
          <w:color w:val="auto"/>
          <w:sz w:val="36"/>
          <w:szCs w:val="36"/>
          <w:highlight w:val="none"/>
          <w:u w:val="single"/>
          <w:lang w:val="en-US" w:eastAsia="zh-CN"/>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val="en-US" w:eastAsia="zh-CN"/>
        </w:rPr>
        <w:t xml:space="preserve">国投新疆锂业有限公司年产15万吨速溶型硫酸钾项目                               </w:t>
      </w:r>
    </w:p>
    <w:p>
      <w:pPr>
        <w:adjustRightInd w:val="0"/>
        <w:snapToGrid w:val="0"/>
        <w:spacing w:line="288" w:lineRule="auto"/>
        <w:rPr>
          <w:rFonts w:hint="default" w:ascii="仿宋_GB2312" w:eastAsia="仿宋_GB2312"/>
          <w:color w:val="auto"/>
          <w:sz w:val="36"/>
          <w:szCs w:val="36"/>
          <w:highlight w:val="none"/>
          <w:u w:val="single"/>
          <w:lang w:val="en-US"/>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val="en-US" w:eastAsia="zh-CN"/>
        </w:rPr>
        <w:t xml:space="preserve">国投新疆锂业有限公司           </w:t>
      </w:r>
    </w:p>
    <w:p>
      <w:pPr>
        <w:adjustRightInd w:val="0"/>
        <w:snapToGrid w:val="0"/>
        <w:spacing w:line="288" w:lineRule="auto"/>
        <w:rPr>
          <w:rFonts w:hint="eastAsia" w:ascii="仿宋_GB2312" w:eastAsia="仿宋_GB2312"/>
          <w:color w:val="auto"/>
          <w:sz w:val="36"/>
          <w:szCs w:val="36"/>
          <w:highlight w:val="none"/>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lang w:val="en-US" w:eastAsia="zh-CN"/>
        </w:rPr>
        <w:t>2025年6月</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lang w:val="en-US" w:eastAsia="zh-CN"/>
        </w:rPr>
        <w:t xml:space="preserve">      </w:t>
      </w:r>
      <w:r>
        <w:rPr>
          <w:rFonts w:ascii="仿宋_GB2312" w:eastAsia="仿宋_GB2312"/>
          <w:color w:val="auto"/>
          <w:sz w:val="36"/>
          <w:szCs w:val="36"/>
          <w:highlight w:val="none"/>
          <w:u w:val="single"/>
        </w:rPr>
        <w:t xml:space="preserve">      </w:t>
      </w:r>
    </w:p>
    <w:p>
      <w:pPr>
        <w:adjustRightInd w:val="0"/>
        <w:snapToGrid w:val="0"/>
        <w:spacing w:line="288" w:lineRule="auto"/>
        <w:ind w:firstLine="1040"/>
        <w:rPr>
          <w:rFonts w:ascii="仿宋_GB2312" w:eastAsia="仿宋_GB2312"/>
          <w:color w:val="auto"/>
          <w:sz w:val="36"/>
          <w:szCs w:val="36"/>
          <w:highlight w:val="none"/>
          <w:u w:val="single"/>
        </w:rPr>
      </w:pP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pStyle w:val="28"/>
        <w:rPr>
          <w:rFonts w:hint="eastAsia" w:ascii="仿宋_GB2312" w:eastAsia="仿宋_GB2312"/>
          <w:color w:val="auto"/>
          <w:sz w:val="36"/>
          <w:szCs w:val="36"/>
          <w:highlight w:val="none"/>
        </w:rPr>
      </w:pPr>
    </w:p>
    <w:p>
      <w:pPr>
        <w:pStyle w:val="28"/>
        <w:rPr>
          <w:rFonts w:hint="eastAsia" w:ascii="仿宋_GB2312" w:eastAsia="仿宋_GB2312"/>
          <w:color w:val="auto"/>
          <w:sz w:val="36"/>
          <w:szCs w:val="36"/>
          <w:highlight w:val="none"/>
        </w:rPr>
      </w:pPr>
    </w:p>
    <w:p>
      <w:pPr>
        <w:pStyle w:val="28"/>
        <w:rPr>
          <w:rFonts w:hint="eastAsia" w:ascii="仿宋_GB2312" w:eastAsia="仿宋_GB2312"/>
          <w:color w:val="auto"/>
          <w:sz w:val="36"/>
          <w:szCs w:val="36"/>
          <w:highlight w:val="none"/>
        </w:rPr>
      </w:pPr>
    </w:p>
    <w:bookmarkEnd w:id="0"/>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highlight w:val="none"/>
        </w:rPr>
        <w:t>中华人民共和国生态环境部制</w:t>
      </w:r>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17"/>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75"/>
        <w:gridCol w:w="1633"/>
        <w:gridCol w:w="2206"/>
        <w:gridCol w:w="2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6488"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bookmarkStart w:id="6" w:name="_GoBack"/>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6488"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2212"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6488" w:type="dxa"/>
            <w:gridSpan w:val="3"/>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6488" w:type="dxa"/>
            <w:gridSpan w:val="3"/>
            <w:noWrap w:val="0"/>
            <w:vAlign w:val="center"/>
          </w:tcPr>
          <w:p>
            <w:pPr>
              <w:jc w:val="center"/>
              <w:rPr>
                <w:rFonts w:hint="default" w:ascii="Times New Roman" w:hAnsi="Times New Roman" w:eastAsia="宋体" w:cs="Times New Roman"/>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C2624复混肥料制造</w:t>
            </w:r>
          </w:p>
        </w:tc>
        <w:tc>
          <w:tcPr>
            <w:tcW w:w="2212"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1"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1"/>
          </w:p>
        </w:tc>
        <w:tc>
          <w:tcPr>
            <w:tcW w:w="2639" w:type="dxa"/>
            <w:noWrap w:val="0"/>
            <w:vAlign w:val="center"/>
          </w:tcPr>
          <w:p>
            <w:pPr>
              <w:adjustRightInd w:val="0"/>
              <w:snapToGrid w:val="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二十三、化学原料和化学制品制造业26——45肥料制造262——其他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637" w:type="dxa"/>
            <w:noWrap w:val="0"/>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2212" w:type="dxa"/>
            <w:noWrap w:val="0"/>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639" w:type="dxa"/>
            <w:noWrap w:val="0"/>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w:t>
            </w:r>
            <w:r>
              <w:rPr>
                <w:rFonts w:hint="default" w:ascii="Times New Roman" w:hAnsi="Times New Roman" w:eastAsia="宋体" w:cs="Times New Roman"/>
                <w:strike/>
                <w:dstrike w:val="0"/>
                <w:color w:val="auto"/>
                <w:sz w:val="24"/>
                <w:szCs w:val="24"/>
              </w:rPr>
              <w:t>核准</w:t>
            </w:r>
            <w:r>
              <w:rPr>
                <w:rFonts w:hint="default" w:ascii="Times New Roman" w:hAnsi="Times New Roman" w:eastAsia="宋体" w:cs="Times New Roman"/>
                <w:color w:val="auto"/>
                <w:sz w:val="24"/>
                <w:szCs w:val="24"/>
              </w:rPr>
              <w:t>/</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若羌县发展和改革委员会</w:t>
            </w:r>
          </w:p>
        </w:tc>
        <w:tc>
          <w:tcPr>
            <w:tcW w:w="2212" w:type="dxa"/>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w:t>
            </w:r>
            <w:r>
              <w:rPr>
                <w:rFonts w:hint="default" w:ascii="Times New Roman" w:hAnsi="Times New Roman" w:eastAsia="宋体" w:cs="Times New Roman"/>
                <w:strike/>
                <w:dstrike w:val="0"/>
                <w:color w:val="auto"/>
                <w:sz w:val="24"/>
                <w:szCs w:val="24"/>
              </w:rPr>
              <w:t>核准</w:t>
            </w:r>
            <w:r>
              <w:rPr>
                <w:rFonts w:hint="default" w:ascii="Times New Roman" w:hAnsi="Times New Roman" w:eastAsia="宋体" w:cs="Times New Roman"/>
                <w:color w:val="auto"/>
                <w:sz w:val="24"/>
                <w:szCs w:val="24"/>
              </w:rPr>
              <w:t>/</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备案证号：2503131366652800000198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2500</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637"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1.84</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637" w:type="dxa"/>
            <w:noWrap w:val="0"/>
            <w:vAlign w:val="center"/>
          </w:tcPr>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否</w:t>
            </w:r>
          </w:p>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用地（</w:t>
            </w:r>
            <w:r>
              <w:rPr>
                <w:rFonts w:hint="default" w:ascii="Times New Roman" w:hAnsi="Times New Roman" w:eastAsia="宋体" w:cs="Times New Roman"/>
                <w:strike/>
                <w:dstrike w:val="0"/>
                <w:color w:val="auto"/>
                <w:spacing w:val="-6"/>
                <w:sz w:val="24"/>
                <w:szCs w:val="24"/>
              </w:rPr>
              <w:t>用海</w:t>
            </w:r>
            <w:r>
              <w:rPr>
                <w:rFonts w:hint="default" w:ascii="Times New Roman" w:hAnsi="Times New Roman" w:eastAsia="宋体" w:cs="Times New Roman"/>
                <w:color w:val="auto"/>
                <w:spacing w:val="-6"/>
                <w:sz w:val="24"/>
                <w:szCs w:val="24"/>
              </w:rPr>
              <w:t>）</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面积（m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2639" w:type="dxa"/>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1698.6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6488" w:type="dxa"/>
            <w:gridSpan w:val="3"/>
            <w:noWrap w:val="0"/>
            <w:vAlign w:val="center"/>
          </w:tcPr>
          <w:p>
            <w:pPr>
              <w:pStyle w:val="54"/>
              <w:bidi w:val="0"/>
              <w:ind w:left="0" w:leftChars="0" w:firstLine="0" w:firstLineChars="0"/>
              <w:rPr>
                <w:rFonts w:hint="eastAsia"/>
                <w:color w:val="auto"/>
                <w:lang w:eastAsia="zh-CN"/>
              </w:rPr>
            </w:pPr>
            <w:r>
              <w:rPr>
                <w:rFonts w:hint="eastAsia"/>
                <w:color w:val="auto"/>
                <w:lang w:eastAsia="zh-CN"/>
              </w:rPr>
              <w:t>规划名称：《</w:t>
            </w:r>
            <w:r>
              <w:rPr>
                <w:rFonts w:hint="eastAsia"/>
                <w:color w:val="auto"/>
                <w:lang w:val="en-US" w:eastAsia="zh-CN"/>
              </w:rPr>
              <w:t>罗布泊盐化工工业园区总体规划（2009~2030年）</w:t>
            </w:r>
            <w:r>
              <w:rPr>
                <w:rFonts w:hint="eastAsia"/>
                <w:color w:val="auto"/>
                <w:lang w:eastAsia="zh-CN"/>
              </w:rPr>
              <w:t>》</w:t>
            </w:r>
          </w:p>
          <w:p>
            <w:pPr>
              <w:pStyle w:val="54"/>
              <w:bidi w:val="0"/>
              <w:ind w:left="0" w:leftChars="0" w:firstLine="0" w:firstLineChars="0"/>
              <w:rPr>
                <w:rFonts w:hint="default"/>
                <w:color w:val="auto"/>
                <w:lang w:val="en-US" w:eastAsia="zh-CN"/>
              </w:rPr>
            </w:pPr>
            <w:r>
              <w:rPr>
                <w:rFonts w:hint="eastAsia"/>
                <w:color w:val="auto"/>
                <w:lang w:eastAsia="zh-CN"/>
              </w:rPr>
              <w:t>审批机关：</w:t>
            </w:r>
            <w:r>
              <w:rPr>
                <w:rFonts w:hint="eastAsia"/>
                <w:color w:val="auto"/>
                <w:lang w:val="en-US" w:eastAsia="zh-CN"/>
              </w:rPr>
              <w:t>新疆维吾尔自治区人民政府</w:t>
            </w:r>
          </w:p>
          <w:p>
            <w:pPr>
              <w:pStyle w:val="54"/>
              <w:bidi w:val="0"/>
              <w:ind w:left="0" w:leftChars="0" w:firstLine="0" w:firstLineChars="0"/>
              <w:rPr>
                <w:rFonts w:hint="eastAsia" w:ascii="Times New Roman" w:hAnsi="Times New Roman" w:eastAsia="宋体" w:cs="Times New Roman"/>
                <w:color w:val="auto"/>
                <w:kern w:val="0"/>
                <w:szCs w:val="24"/>
                <w:lang w:val="en-US" w:eastAsia="zh-CN"/>
              </w:rPr>
            </w:pPr>
            <w:r>
              <w:rPr>
                <w:rFonts w:hint="eastAsia"/>
                <w:color w:val="auto"/>
                <w:lang w:eastAsia="zh-CN"/>
              </w:rPr>
              <w:t>审批文件名称及文号：《关于</w:t>
            </w:r>
            <w:r>
              <w:rPr>
                <w:rFonts w:hint="eastAsia"/>
                <w:color w:val="auto"/>
                <w:lang w:val="en-US" w:eastAsia="zh-CN"/>
              </w:rPr>
              <w:t>同意设立若羌罗布泊盐化工工业园区</w:t>
            </w:r>
            <w:r>
              <w:rPr>
                <w:rFonts w:hint="eastAsia"/>
                <w:color w:val="auto"/>
                <w:lang w:eastAsia="zh-CN"/>
              </w:rPr>
              <w:t>的批复》（</w:t>
            </w:r>
            <w:r>
              <w:rPr>
                <w:rFonts w:hint="eastAsia"/>
                <w:color w:val="auto"/>
                <w:lang w:val="en-US" w:eastAsia="zh-CN"/>
              </w:rPr>
              <w:t>新政函〔2010〕299号</w:t>
            </w:r>
            <w:r>
              <w:rPr>
                <w:rFonts w:hint="eastAsia"/>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382"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6488" w:type="dxa"/>
            <w:gridSpan w:val="3"/>
            <w:noWrap w:val="0"/>
            <w:vAlign w:val="center"/>
          </w:tcPr>
          <w:p>
            <w:pPr>
              <w:pStyle w:val="54"/>
              <w:bidi w:val="0"/>
              <w:ind w:left="0" w:leftChars="0" w:firstLine="0" w:firstLineChars="0"/>
              <w:rPr>
                <w:rFonts w:hint="eastAsia"/>
                <w:color w:val="auto"/>
                <w:lang w:eastAsia="zh-CN"/>
              </w:rPr>
            </w:pPr>
            <w:r>
              <w:rPr>
                <w:rFonts w:hint="eastAsia"/>
                <w:color w:val="auto"/>
                <w:lang w:eastAsia="zh-CN"/>
              </w:rPr>
              <w:t>规划环境影响评价文件名称：《</w:t>
            </w:r>
            <w:r>
              <w:rPr>
                <w:rFonts w:hint="eastAsia"/>
                <w:color w:val="auto"/>
                <w:lang w:val="en-US" w:eastAsia="zh-CN"/>
              </w:rPr>
              <w:t>新疆若羌县罗布泊工业园区总体规划环境影响报告书</w:t>
            </w:r>
            <w:r>
              <w:rPr>
                <w:rFonts w:hint="eastAsia"/>
                <w:color w:val="auto"/>
                <w:lang w:eastAsia="zh-CN"/>
              </w:rPr>
              <w:t>》</w:t>
            </w:r>
          </w:p>
          <w:p>
            <w:pPr>
              <w:pStyle w:val="54"/>
              <w:bidi w:val="0"/>
              <w:ind w:left="0" w:leftChars="0" w:firstLine="0" w:firstLineChars="0"/>
              <w:rPr>
                <w:rFonts w:hint="default"/>
                <w:color w:val="auto"/>
                <w:lang w:val="en-US" w:eastAsia="zh-CN"/>
              </w:rPr>
            </w:pPr>
            <w:r>
              <w:rPr>
                <w:rFonts w:hint="eastAsia"/>
                <w:color w:val="auto"/>
                <w:lang w:eastAsia="zh-CN"/>
              </w:rPr>
              <w:t>召集审查机关：</w:t>
            </w:r>
            <w:r>
              <w:rPr>
                <w:rFonts w:hint="eastAsia"/>
                <w:color w:val="auto"/>
                <w:lang w:val="en-US" w:eastAsia="zh-CN"/>
              </w:rPr>
              <w:t>新疆维吾尔自治区生态环境厅</w:t>
            </w:r>
          </w:p>
          <w:p>
            <w:pPr>
              <w:pStyle w:val="54"/>
              <w:bidi w:val="0"/>
              <w:ind w:left="0" w:leftChars="0" w:firstLine="0" w:firstLineChars="0"/>
              <w:rPr>
                <w:rFonts w:hint="eastAsia" w:ascii="Times New Roman" w:hAnsi="Times New Roman" w:eastAsia="宋体" w:cs="Times New Roman"/>
                <w:color w:val="auto"/>
                <w:kern w:val="0"/>
                <w:szCs w:val="24"/>
                <w:lang w:eastAsia="zh-CN"/>
              </w:rPr>
            </w:pPr>
            <w:r>
              <w:rPr>
                <w:rFonts w:hint="eastAsia"/>
                <w:color w:val="auto"/>
                <w:lang w:eastAsia="zh-CN"/>
              </w:rPr>
              <w:t>审查文件名称及文号：《关于</w:t>
            </w:r>
            <w:r>
              <w:rPr>
                <w:rFonts w:hint="eastAsia"/>
                <w:color w:val="auto"/>
                <w:lang w:val="en-US" w:eastAsia="zh-CN"/>
              </w:rPr>
              <w:t>新疆若羌县罗布泊工业园区总体规划环境影响报告书的审查意见</w:t>
            </w:r>
            <w:r>
              <w:rPr>
                <w:rFonts w:hint="eastAsia"/>
                <w:color w:val="auto"/>
                <w:lang w:eastAsia="zh-CN"/>
              </w:rPr>
              <w:t>》（</w:t>
            </w:r>
            <w:r>
              <w:rPr>
                <w:rFonts w:hint="eastAsia"/>
                <w:color w:val="auto"/>
                <w:lang w:val="en-US" w:eastAsia="zh-CN"/>
              </w:rPr>
              <w:t>新</w:t>
            </w:r>
            <w:r>
              <w:rPr>
                <w:rFonts w:hint="eastAsia"/>
                <w:color w:val="auto"/>
                <w:lang w:eastAsia="zh-CN"/>
              </w:rPr>
              <w:t>环</w:t>
            </w:r>
            <w:r>
              <w:rPr>
                <w:rFonts w:hint="eastAsia"/>
                <w:color w:val="auto"/>
                <w:lang w:val="en-US" w:eastAsia="zh-CN"/>
              </w:rPr>
              <w:t>评价函</w:t>
            </w:r>
            <w:r>
              <w:rPr>
                <w:rFonts w:hint="eastAsia"/>
                <w:color w:val="auto"/>
                <w:lang w:eastAsia="zh-CN"/>
              </w:rPr>
              <w:t>〔20</w:t>
            </w:r>
            <w:r>
              <w:rPr>
                <w:rFonts w:hint="eastAsia"/>
                <w:color w:val="auto"/>
                <w:lang w:val="en-US" w:eastAsia="zh-CN"/>
              </w:rPr>
              <w:t>10</w:t>
            </w:r>
            <w:r>
              <w:rPr>
                <w:rFonts w:hint="eastAsia"/>
                <w:color w:val="auto"/>
                <w:lang w:eastAsia="zh-CN"/>
              </w:rPr>
              <w:t>〕</w:t>
            </w:r>
            <w:r>
              <w:rPr>
                <w:rFonts w:hint="eastAsia"/>
                <w:color w:val="auto"/>
                <w:lang w:val="en-US" w:eastAsia="zh-CN"/>
              </w:rPr>
              <w:t>260</w:t>
            </w:r>
            <w:r>
              <w:rPr>
                <w:rFonts w:hint="eastAsia"/>
                <w:color w:val="auto"/>
                <w:lang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影响评价符合性分析</w:t>
            </w:r>
          </w:p>
        </w:tc>
        <w:tc>
          <w:tcPr>
            <w:tcW w:w="6488" w:type="dxa"/>
            <w:gridSpan w:val="3"/>
            <w:noWrap w:val="0"/>
            <w:vAlign w:val="center"/>
          </w:tcPr>
          <w:p>
            <w:pPr>
              <w:pStyle w:val="54"/>
              <w:bidi w:val="0"/>
              <w:rPr>
                <w:rFonts w:hint="eastAsia"/>
                <w:color w:val="auto"/>
                <w:lang w:val="en-US" w:eastAsia="zh-CN"/>
              </w:rPr>
            </w:pPr>
            <w:r>
              <w:rPr>
                <w:rFonts w:hint="eastAsia"/>
                <w:b/>
                <w:bCs/>
                <w:color w:val="auto"/>
                <w:lang w:val="en-US" w:eastAsia="zh-CN"/>
              </w:rPr>
              <w:t>一、与《罗布泊盐化工工业园区总体规划（2009~2030年》的符合性分析</w:t>
            </w:r>
          </w:p>
          <w:p>
            <w:pPr>
              <w:pStyle w:val="54"/>
              <w:bidi w:val="0"/>
              <w:rPr>
                <w:rFonts w:hint="eastAsia"/>
                <w:color w:val="auto"/>
                <w:lang w:val="en-US" w:eastAsia="zh-CN"/>
              </w:rPr>
            </w:pPr>
            <w:r>
              <w:rPr>
                <w:rFonts w:hint="eastAsia"/>
                <w:color w:val="auto"/>
                <w:lang w:val="en-US" w:eastAsia="zh-CN"/>
              </w:rPr>
              <w:t>罗布泊盐化工工业园区位于新疆维吾尔自治区巴音郭楞蒙古自治州若羌县，罗布泊盐化工工业园区范围东至罗若公路，南至国投罗钾公司盐田，西至国投罗钾公司盐田，北至罗中火车站北侧2km，总规划面积65.18km</w:t>
            </w:r>
            <w:r>
              <w:rPr>
                <w:rFonts w:hint="eastAsia"/>
                <w:color w:val="auto"/>
                <w:vertAlign w:val="superscript"/>
                <w:lang w:val="en-US" w:eastAsia="zh-CN"/>
              </w:rPr>
              <w:t>2</w:t>
            </w:r>
            <w:r>
              <w:rPr>
                <w:rFonts w:hint="eastAsia"/>
                <w:color w:val="auto"/>
                <w:lang w:val="en-US" w:eastAsia="zh-CN"/>
              </w:rPr>
              <w:t>。</w:t>
            </w:r>
          </w:p>
          <w:p>
            <w:pPr>
              <w:pStyle w:val="54"/>
              <w:bidi w:val="0"/>
              <w:rPr>
                <w:rFonts w:hint="default"/>
                <w:color w:val="auto"/>
                <w:lang w:val="en-US" w:eastAsia="zh-CN"/>
              </w:rPr>
            </w:pPr>
            <w:r>
              <w:rPr>
                <w:rFonts w:hint="eastAsia"/>
                <w:color w:val="auto"/>
                <w:lang w:val="en-US" w:eastAsia="zh-CN"/>
              </w:rPr>
              <w:t>1、战略定位</w:t>
            </w:r>
          </w:p>
          <w:p>
            <w:pPr>
              <w:pStyle w:val="54"/>
              <w:bidi w:val="0"/>
              <w:rPr>
                <w:rFonts w:hint="eastAsia"/>
                <w:color w:val="auto"/>
                <w:lang w:val="en-US" w:eastAsia="zh-CN"/>
              </w:rPr>
            </w:pPr>
            <w:r>
              <w:rPr>
                <w:rFonts w:hint="eastAsia"/>
                <w:color w:val="auto"/>
                <w:lang w:val="en-US" w:eastAsia="zh-CN"/>
              </w:rPr>
              <w:t>（1）工业定位：罗布泊工业园区因工业而生，工业是罗布泊工业园区的立足之本，目前正在开发的钾盐、矿产品粗加工都是园区发展的支柱产业。</w:t>
            </w:r>
          </w:p>
          <w:p>
            <w:pPr>
              <w:pStyle w:val="54"/>
              <w:bidi w:val="0"/>
              <w:rPr>
                <w:rFonts w:hint="eastAsia"/>
                <w:color w:val="auto"/>
                <w:lang w:val="en-US" w:eastAsia="zh-CN"/>
              </w:rPr>
            </w:pPr>
            <w:r>
              <w:rPr>
                <w:rFonts w:hint="eastAsia"/>
                <w:color w:val="auto"/>
                <w:lang w:val="en-US" w:eastAsia="zh-CN"/>
              </w:rPr>
              <w:t>（2）交通定位：随着若罗公路和哈罗公路的贯通，罗布泊工业园区将成为新疆公路网格局中的重要节点，从内地进疆南线上的补给站。</w:t>
            </w:r>
          </w:p>
          <w:p>
            <w:pPr>
              <w:pStyle w:val="54"/>
              <w:bidi w:val="0"/>
              <w:rPr>
                <w:rFonts w:hint="default"/>
                <w:color w:val="auto"/>
                <w:lang w:val="en-US" w:eastAsia="zh-CN"/>
              </w:rPr>
            </w:pPr>
            <w:r>
              <w:rPr>
                <w:rFonts w:hint="eastAsia"/>
                <w:color w:val="auto"/>
                <w:lang w:val="en-US" w:eastAsia="zh-CN"/>
              </w:rPr>
              <w:t>2、产业发展方向</w:t>
            </w:r>
          </w:p>
          <w:p>
            <w:pPr>
              <w:pStyle w:val="54"/>
              <w:bidi w:val="0"/>
              <w:rPr>
                <w:rFonts w:hint="eastAsia"/>
                <w:color w:val="auto"/>
                <w:lang w:val="en-US" w:eastAsia="zh-CN"/>
              </w:rPr>
            </w:pPr>
            <w:r>
              <w:rPr>
                <w:rFonts w:hint="eastAsia"/>
                <w:color w:val="auto"/>
                <w:lang w:val="en-US" w:eastAsia="zh-CN"/>
              </w:rPr>
              <w:t>近期依托钾盐公司的建设，发展盐化工和矿产品粗加工及餐饮、住宿、汽车修理等服务行业，逐步推进道路、广场、其他市政基础设施建设，完善医疗、邮政、文化娱乐等功能，注重城镇形象对外宣传推广，聚集人气，为远期发展打好基础。远期及远景待交通条件改善、基础设施的完备、人居环境得到改善之后，发展城镇的交通优势，发展城镇商贸功能，交通服务功能，以盐业及矿产品粗加工为主，深度开发历史文化风情游、自然风貌旅游，以罗布泊工业园区为中心辐射周边区域，带动罗布泊镇的发展。</w:t>
            </w:r>
          </w:p>
          <w:p>
            <w:pPr>
              <w:pStyle w:val="54"/>
              <w:bidi w:val="0"/>
              <w:rPr>
                <w:rFonts w:hint="default"/>
                <w:color w:val="auto"/>
                <w:lang w:val="en-US" w:eastAsia="zh-CN"/>
              </w:rPr>
            </w:pPr>
            <w:r>
              <w:rPr>
                <w:rFonts w:hint="eastAsia"/>
                <w:color w:val="auto"/>
                <w:lang w:val="en-US" w:eastAsia="zh-CN"/>
              </w:rPr>
              <w:t>3、空间布局与功能分区</w:t>
            </w:r>
          </w:p>
          <w:p>
            <w:pPr>
              <w:pStyle w:val="54"/>
              <w:bidi w:val="0"/>
              <w:rPr>
                <w:rFonts w:hint="eastAsia"/>
                <w:color w:val="auto"/>
                <w:lang w:val="en-US" w:eastAsia="zh-CN"/>
              </w:rPr>
            </w:pPr>
            <w:r>
              <w:rPr>
                <w:rFonts w:hint="eastAsia"/>
                <w:color w:val="auto"/>
                <w:lang w:val="en-US" w:eastAsia="zh-CN"/>
              </w:rPr>
              <w:t>规划以当地钾盐开发和矿产品粗加工为主导产业，划分为钾盐工业区、配套服务区以及预留区三个部分。总体分为钾盐工业区、配套服务区以及产业预留区，产业预留区分为北区和南区，以主导风向和综合配套服务区南侧边界交点形成的直线作为界限，北区作为仓储物流区，南区作为二类工业用地。</w:t>
            </w:r>
          </w:p>
          <w:p>
            <w:pPr>
              <w:pStyle w:val="54"/>
              <w:bidi w:val="0"/>
              <w:rPr>
                <w:rFonts w:hint="eastAsia"/>
                <w:color w:val="auto"/>
                <w:lang w:val="en-US" w:eastAsia="zh-CN"/>
              </w:rPr>
            </w:pPr>
            <w:r>
              <w:rPr>
                <w:rFonts w:hint="eastAsia"/>
                <w:color w:val="auto"/>
                <w:lang w:val="en-US" w:eastAsia="zh-CN"/>
              </w:rPr>
              <w:t>国投新疆锂业有限公司股东为国投新疆罗布泊钾盐有限责任公司，出资比例100%，为国投罗钾的全资子公司。本项目为复混肥料制造项目，原料硫酸钾从国投罗钾15万吨散料库直接购买。本项目位于钾盐工业区，用地类型为工业用地。因此本项目符合罗布泊盐化工工业园区总体规划（2009~2030）年的相关要求。</w:t>
            </w:r>
          </w:p>
          <w:p>
            <w:pPr>
              <w:pStyle w:val="54"/>
              <w:bidi w:val="0"/>
              <w:rPr>
                <w:rFonts w:hint="eastAsia"/>
                <w:color w:val="auto"/>
                <w:lang w:val="en-US" w:eastAsia="zh-CN"/>
              </w:rPr>
            </w:pPr>
            <w:r>
              <w:rPr>
                <w:rFonts w:hint="eastAsia"/>
                <w:b/>
                <w:bCs/>
                <w:color w:val="auto"/>
                <w:lang w:val="en-US" w:eastAsia="zh-CN"/>
              </w:rPr>
              <w:t>二、与《关于新疆若羌县罗布泊工业园区总体规划环境影响报告书的审查意见》的符合性分析</w:t>
            </w:r>
          </w:p>
          <w:p>
            <w:pPr>
              <w:pStyle w:val="54"/>
              <w:bidi w:val="0"/>
              <w:rPr>
                <w:rFonts w:hint="eastAsia"/>
                <w:color w:val="auto"/>
                <w:lang w:val="en-US" w:eastAsia="zh-CN"/>
              </w:rPr>
            </w:pPr>
            <w:r>
              <w:rPr>
                <w:rFonts w:hint="eastAsia"/>
                <w:color w:val="auto"/>
                <w:lang w:val="en-US" w:eastAsia="zh-CN"/>
              </w:rPr>
              <w:t>1、“严格入区项目环境准入。严禁违反国家产业政策和与园区产业类型不相符的建设项目入区。严格限制高耗水项目入区。”</w:t>
            </w:r>
          </w:p>
          <w:p>
            <w:pPr>
              <w:pStyle w:val="54"/>
              <w:bidi w:val="0"/>
              <w:rPr>
                <w:rFonts w:hint="default"/>
                <w:color w:val="auto"/>
                <w:lang w:val="en-US" w:eastAsia="zh-CN"/>
              </w:rPr>
            </w:pPr>
            <w:r>
              <w:rPr>
                <w:rFonts w:hint="eastAsia"/>
                <w:color w:val="auto"/>
                <w:lang w:val="en-US" w:eastAsia="zh-CN"/>
              </w:rPr>
              <w:t>本项目所属行业类别为《国民经济行业分类（GB/T4754-2017）》（2019年修订版）中C2624复混肥料制造。根据《产业结构调整指导目录（2024年本）》，本项目不属于鼓励类、限制类、淘汰类，视为“允许类”。因此，本项目建设符合国家产业政策要求。经与《罗布泊盐化工工业园区总体规划（2009~2030年》进行分析，本项目符合园区的产业发展方向。本项目无生产用水，不属于高耗水项目。</w:t>
            </w:r>
          </w:p>
          <w:p>
            <w:pPr>
              <w:pStyle w:val="54"/>
              <w:bidi w:val="0"/>
              <w:rPr>
                <w:rFonts w:hint="default"/>
                <w:color w:val="auto"/>
                <w:lang w:val="en-US" w:eastAsia="zh-CN"/>
              </w:rPr>
            </w:pPr>
            <w:r>
              <w:rPr>
                <w:rFonts w:hint="eastAsia"/>
                <w:color w:val="auto"/>
                <w:lang w:val="en-US" w:eastAsia="zh-CN"/>
              </w:rPr>
              <w:t>2、“强化水土流失和扬尘污染防治工作。合理布置各类施工场地、物料堆场以及尾矿、粉煤灰等固体废物堆场。”</w:t>
            </w:r>
          </w:p>
          <w:p>
            <w:pPr>
              <w:pStyle w:val="54"/>
              <w:bidi w:val="0"/>
              <w:rPr>
                <w:rFonts w:hint="eastAsia"/>
                <w:color w:val="auto"/>
                <w:lang w:val="en-US" w:eastAsia="zh-CN"/>
              </w:rPr>
            </w:pPr>
            <w:r>
              <w:rPr>
                <w:rFonts w:hint="eastAsia"/>
                <w:color w:val="auto"/>
                <w:lang w:val="en-US" w:eastAsia="zh-CN"/>
              </w:rPr>
              <w:t>本环评要求建设单位在施工期制定施工扬尘污染防治实施方案，并在工地公示具体防治措施及负责人信息。通过对施工用地边界设置施工围挡；土石方及散装物料装卸应尽可能降低落差、轻装慢卸，并在背风面进行，车辆应覆盖篷布，慢速行驶；施工场地、施工道路每天洒水4~5次，并及时清扫道路，碾压或覆盖裸露地表；易起尘物料应尽可能避免露天堆放，若露天堆放应加以覆盖；合理安排施工设备工作时间，并使用清洁燃油，减少施工设备废气的影响等措施可有效降低施工工地扬尘对大气环境的影响。</w:t>
            </w:r>
          </w:p>
          <w:p>
            <w:pPr>
              <w:pStyle w:val="54"/>
              <w:bidi w:val="0"/>
              <w:rPr>
                <w:rFonts w:hint="eastAsia"/>
                <w:color w:val="auto"/>
                <w:lang w:val="en-US" w:eastAsia="zh-CN"/>
              </w:rPr>
            </w:pPr>
            <w:r>
              <w:rPr>
                <w:rFonts w:hint="eastAsia"/>
                <w:color w:val="auto"/>
                <w:lang w:val="en-US" w:eastAsia="zh-CN"/>
              </w:rPr>
              <w:t>综上所述，本项目符合《关于新疆若羌县罗布泊工业园区总体规划环境影响报告书的审查意见》</w:t>
            </w:r>
            <w:r>
              <w:rPr>
                <w:rFonts w:hint="eastAsia"/>
                <w:color w:val="auto"/>
                <w:lang w:eastAsia="zh-CN"/>
              </w:rPr>
              <w:t>（新环评价函〔2010〕260号）</w:t>
            </w:r>
            <w:r>
              <w:rPr>
                <w:rFonts w:hint="eastAsia"/>
                <w:color w:val="auto"/>
                <w:lang w:val="en-US" w:eastAsia="zh-CN"/>
              </w:rPr>
              <w:t>的要求。</w:t>
            </w:r>
          </w:p>
          <w:p>
            <w:pPr>
              <w:pStyle w:val="54"/>
              <w:bidi w:val="0"/>
              <w:rPr>
                <w:rFonts w:hint="eastAsia"/>
                <w:color w:val="auto"/>
                <w:lang w:val="en-US" w:eastAsia="zh-CN"/>
              </w:rPr>
            </w:pPr>
            <w:r>
              <w:rPr>
                <w:rFonts w:hint="eastAsia"/>
                <w:b/>
                <w:bCs/>
                <w:color w:val="auto"/>
                <w:lang w:val="en-US" w:eastAsia="zh-CN"/>
              </w:rPr>
              <w:t>三、与</w:t>
            </w:r>
            <w:r>
              <w:rPr>
                <w:rFonts w:hint="eastAsia"/>
                <w:b/>
                <w:bCs/>
                <w:color w:val="auto"/>
                <w:lang w:eastAsia="zh-CN"/>
              </w:rPr>
              <w:t>《</w:t>
            </w:r>
            <w:r>
              <w:rPr>
                <w:rFonts w:hint="eastAsia"/>
                <w:b/>
                <w:bCs/>
                <w:color w:val="auto"/>
                <w:lang w:val="en-US" w:eastAsia="zh-CN"/>
              </w:rPr>
              <w:t>罗布泊盐化工工业园区总体规划环境影响跟踪评价报告书</w:t>
            </w:r>
            <w:r>
              <w:rPr>
                <w:rFonts w:hint="eastAsia"/>
                <w:b/>
                <w:bCs/>
                <w:color w:val="auto"/>
                <w:lang w:eastAsia="zh-CN"/>
              </w:rPr>
              <w:t>》</w:t>
            </w:r>
            <w:r>
              <w:rPr>
                <w:rFonts w:hint="eastAsia"/>
                <w:b/>
                <w:bCs/>
                <w:color w:val="auto"/>
                <w:lang w:val="en-US" w:eastAsia="zh-CN"/>
              </w:rPr>
              <w:t>结论的符合性分析</w:t>
            </w:r>
          </w:p>
          <w:p>
            <w:pPr>
              <w:pStyle w:val="54"/>
              <w:bidi w:val="0"/>
              <w:rPr>
                <w:rFonts w:hint="eastAsia"/>
                <w:color w:val="auto"/>
                <w:lang w:val="en-US" w:eastAsia="zh-CN"/>
              </w:rPr>
            </w:pPr>
            <w:r>
              <w:rPr>
                <w:rFonts w:hint="eastAsia"/>
                <w:color w:val="auto"/>
                <w:lang w:val="en-US" w:eastAsia="zh-CN"/>
              </w:rPr>
              <w:t>1、“工业园区内工业企业废气必须达到相应的行业排放标准和《大气污染物综合排放标准》（GB 16297-1996）中的二级标准。”</w:t>
            </w:r>
          </w:p>
          <w:p>
            <w:pPr>
              <w:pStyle w:val="54"/>
              <w:bidi w:val="0"/>
              <w:rPr>
                <w:rFonts w:hint="eastAsia"/>
                <w:color w:val="auto"/>
                <w:lang w:val="en-US" w:eastAsia="zh-CN"/>
              </w:rPr>
            </w:pPr>
            <w:r>
              <w:rPr>
                <w:rFonts w:hint="eastAsia"/>
                <w:color w:val="auto"/>
                <w:lang w:val="en-US" w:eastAsia="zh-CN"/>
              </w:rPr>
              <w:t>本项目投料工段在投料口处设计了三面封闭的投料斗，投料斗顶部设计有集气罩，侧面有吸尘管，集气罩吸尘管连接到高效脉冲布袋除尘器对产生的粉尘进行处理后通过1根DA001高度为15m的排气筒排放；磨粉工段产生的粉尘经6台高效脉冲布袋除尘器除尘后通过1根DA002高度为15m的排气筒排放；包装工段以每两台包装机共用一个除尘装置，在包装机易泄露粉尘的位置设计多个吸尘口，1#和2#包装机产生的粉尘通过收集经高效脉冲布袋除尘器处理后通过1根DA003高度为15m的排气筒排放；3#、4#、5#和6#包装机产生的粉尘通过收集经高效脉冲布袋除尘器处理后通过1根DA004高度为15m的排气筒排放。污染物可满足《大气污染物综合排放标准》（GB 16297-1996）中排放限值要求。</w:t>
            </w:r>
          </w:p>
          <w:p>
            <w:pPr>
              <w:pStyle w:val="54"/>
              <w:bidi w:val="0"/>
              <w:rPr>
                <w:rFonts w:hint="eastAsia"/>
                <w:color w:val="auto"/>
                <w:lang w:val="en-US" w:eastAsia="zh-CN"/>
              </w:rPr>
            </w:pPr>
            <w:r>
              <w:rPr>
                <w:rFonts w:hint="eastAsia"/>
                <w:color w:val="auto"/>
                <w:lang w:val="en-US" w:eastAsia="zh-CN"/>
              </w:rPr>
              <w:t>2、“工业园区现状无污水处理厂，现状仅剩国投罗钾公司一家企业，国投罗钾公司生活污水排入厂区化粪池处理达到《污水综合排放标准》（GB 8978-1996）表4二级标准后，通过管道排入尾盐池中，自然蒸发或返回加工厂重复使用。”</w:t>
            </w:r>
          </w:p>
          <w:p>
            <w:pPr>
              <w:pStyle w:val="54"/>
              <w:bidi w:val="0"/>
              <w:rPr>
                <w:rFonts w:hint="default"/>
                <w:color w:val="auto"/>
                <w:lang w:val="en-US" w:eastAsia="zh-CN"/>
              </w:rPr>
            </w:pPr>
            <w:r>
              <w:rPr>
                <w:rFonts w:hint="eastAsia"/>
                <w:color w:val="auto"/>
                <w:lang w:val="en-US" w:eastAsia="zh-CN"/>
              </w:rPr>
              <w:t>工业园区仅剩国投罗钾公司一家生产企业，国投罗钾公司建有生活污水集中处理站。经与建设单位核实，本项目运营过程中生活污水不在本项目厂区内产生，依托国投罗钾公司厂区现有污水处理站进行处理，出水水质达到《城镇污水处理厂污染物排放标准》（GB 18918-2002）一级A标准后回用于生产系统，不外排。</w:t>
            </w:r>
          </w:p>
          <w:p>
            <w:pPr>
              <w:pStyle w:val="54"/>
              <w:bidi w:val="0"/>
              <w:rPr>
                <w:rFonts w:hint="eastAsia"/>
                <w:color w:val="auto"/>
                <w:lang w:val="en-US" w:eastAsia="zh-CN"/>
              </w:rPr>
            </w:pPr>
            <w:r>
              <w:rPr>
                <w:rFonts w:hint="eastAsia"/>
                <w:color w:val="auto"/>
                <w:lang w:val="en-US" w:eastAsia="zh-CN"/>
              </w:rPr>
              <w:t>3、“入园项目必须确保厂界噪声达标，对各种工业噪声源分别采用隔声、吸声和消声等措施，必要时设置隔声带，以降低其源强，减少对周围环境的影响，各项目在总图布置上应充分考虑高噪声设备的影响，将其布置在远离厂界处，以保证厂界噪声达标。”</w:t>
            </w:r>
          </w:p>
          <w:p>
            <w:pPr>
              <w:pStyle w:val="54"/>
              <w:bidi w:val="0"/>
              <w:rPr>
                <w:rFonts w:hint="eastAsia"/>
                <w:color w:val="auto"/>
                <w:lang w:val="en-US" w:eastAsia="zh-CN"/>
              </w:rPr>
            </w:pPr>
            <w:r>
              <w:rPr>
                <w:rFonts w:hint="eastAsia"/>
                <w:color w:val="auto"/>
                <w:lang w:val="en-US" w:eastAsia="zh-CN"/>
              </w:rPr>
              <w:t>本项目设备选型时优先选用低噪声设备、建筑隔声、基础减振等措施，降低噪声的影响。项目厂界噪声昼间和夜间均可满足《工业企业厂界环境噪声排放标准》（GB 12348-2008）中的3类标准。</w:t>
            </w:r>
          </w:p>
          <w:p>
            <w:pPr>
              <w:pStyle w:val="54"/>
              <w:bidi w:val="0"/>
              <w:rPr>
                <w:rFonts w:hint="eastAsia"/>
                <w:color w:val="auto"/>
                <w:lang w:val="en-US" w:eastAsia="zh-CN"/>
              </w:rPr>
            </w:pPr>
            <w:r>
              <w:rPr>
                <w:rFonts w:hint="eastAsia"/>
                <w:color w:val="auto"/>
                <w:lang w:val="en-US" w:eastAsia="zh-CN"/>
              </w:rPr>
              <w:t>4、“固体废物进行分类、集中收集、固废处理执行‘减量化、资源化、无害化’原则。通过固体废物申报登记，强化对固废产生源的管理，一般工业废渣临时堆放场所及危险废物的临时贮存，必须满足《一般工业废物储存、处置场污染控制标准》、《危险废物贮存污染控制标准》的要求。”</w:t>
            </w:r>
          </w:p>
          <w:p>
            <w:pPr>
              <w:pStyle w:val="54"/>
              <w:bidi w:val="0"/>
              <w:rPr>
                <w:rFonts w:hint="eastAsia"/>
                <w:color w:val="auto"/>
                <w:lang w:val="en-US" w:eastAsia="zh-CN"/>
              </w:rPr>
            </w:pPr>
            <w:r>
              <w:rPr>
                <w:rFonts w:hint="eastAsia"/>
                <w:color w:val="auto"/>
                <w:lang w:val="en-US" w:eastAsia="zh-CN"/>
              </w:rPr>
              <w:t>“工业园区生活垃圾及时收集、清运至垃圾填埋场实施卫生填埋。生活垃圾的管理及处置应按国际《城市环境卫生设施设置标准》有关标准规定，设置垃圾收集点和转运站，配置垃圾运输车辆，做到及时收集、清运。”</w:t>
            </w:r>
          </w:p>
          <w:p>
            <w:pPr>
              <w:pStyle w:val="54"/>
              <w:bidi w:val="0"/>
              <w:rPr>
                <w:rFonts w:hint="eastAsia"/>
                <w:color w:val="auto"/>
                <w:lang w:val="en-US" w:eastAsia="zh-CN"/>
              </w:rPr>
            </w:pPr>
            <w:r>
              <w:rPr>
                <w:rFonts w:hint="eastAsia"/>
                <w:color w:val="auto"/>
                <w:lang w:val="en-US" w:eastAsia="zh-CN"/>
              </w:rPr>
              <w:t>本项目投料除尘器收集的颗粒物通过螺旋输送器送入料斗进入生产工序；超微粉碎机除尘器收集的颗粒物进入封闭式刮板机，输送至包装料仓；包装除尘器收集的颗粒物定期转入料仓重复使用；生活垃圾设垃圾箱，国投罗钾公司在园区东南侧建设有垃圾填埋场，通过垃圾清运车定期运输至垃圾填埋场填埋；危险废物为设备润滑过程中产生的废润滑油，依托国投罗钾现有危废贮存库储存，定期委托有资质的第三方进行运输和处置。</w:t>
            </w:r>
          </w:p>
          <w:p>
            <w:pPr>
              <w:pStyle w:val="54"/>
              <w:bidi w:val="0"/>
              <w:rPr>
                <w:rFonts w:hint="eastAsia"/>
                <w:color w:val="auto"/>
                <w:lang w:val="en-US" w:eastAsia="zh-CN"/>
              </w:rPr>
            </w:pPr>
            <w:r>
              <w:rPr>
                <w:rFonts w:hint="eastAsia"/>
                <w:color w:val="auto"/>
                <w:lang w:val="en-US" w:eastAsia="zh-CN"/>
              </w:rPr>
              <w:t>综上所述，本项目符合《罗布泊盐化工工业园区总体规划环境影响跟踪评价报告书》的相关要求。</w:t>
            </w:r>
          </w:p>
          <w:p>
            <w:pPr>
              <w:pStyle w:val="54"/>
              <w:bidi w:val="0"/>
              <w:rPr>
                <w:rFonts w:hint="eastAsia"/>
                <w:color w:val="auto"/>
                <w:lang w:val="en-US" w:eastAsia="zh-CN"/>
              </w:rPr>
            </w:pPr>
            <w:r>
              <w:rPr>
                <w:rFonts w:hint="eastAsia"/>
                <w:b/>
                <w:bCs/>
                <w:color w:val="auto"/>
                <w:lang w:val="en-US" w:eastAsia="zh-CN"/>
              </w:rPr>
              <w:t>四、与《关于罗布泊盐化工工业园区总体规划环境影响跟踪评价报告书专家论证意见的函》的符合性分析</w:t>
            </w:r>
          </w:p>
          <w:p>
            <w:pPr>
              <w:pStyle w:val="54"/>
              <w:bidi w:val="0"/>
              <w:rPr>
                <w:rFonts w:hint="eastAsia"/>
                <w:color w:val="auto"/>
                <w:lang w:val="en-US" w:eastAsia="zh-CN"/>
              </w:rPr>
            </w:pPr>
            <w:r>
              <w:rPr>
                <w:rFonts w:hint="eastAsia"/>
                <w:color w:val="auto"/>
                <w:lang w:val="en-US" w:eastAsia="zh-CN"/>
              </w:rPr>
              <w:t>1、“严守生态保护红线，坚守环境质量底线、资源利用上线。根据规划区域及周边环境质量现状和目标，确定区域环境容量。采取有效措施削减污染物排放量，确保实现区域环境质量改善目标。”</w:t>
            </w:r>
          </w:p>
          <w:p>
            <w:pPr>
              <w:pStyle w:val="54"/>
              <w:bidi w:val="0"/>
              <w:rPr>
                <w:rFonts w:hint="default"/>
                <w:color w:val="auto"/>
                <w:lang w:val="en-US" w:eastAsia="zh-CN"/>
              </w:rPr>
            </w:pPr>
            <w:r>
              <w:rPr>
                <w:rFonts w:hint="eastAsia"/>
                <w:color w:val="auto"/>
                <w:lang w:val="en-US" w:eastAsia="zh-CN"/>
              </w:rPr>
              <w:t>本项目位于罗布泊盐化工工业园区，本项目建设区不涉及自然保护区、饮用水源保护区、风景名胜区和其他生态环境敏感区域，不涉及生态保护红线。项目所在区域环境空气质量属于二类功能区，声环境属于3类。根据环境质量现状监测数据，项目所在区域环境空气现状均满足相应环境功能区划要求。本项目施工期环境影响随施工期结束而消失，不会改变区域环境功能等级，运营期废气、废水及固废均可达标排放或合理处置，对区域环境质量影响较小。因此，本项目不会突破环境质量底线要求。</w:t>
            </w:r>
          </w:p>
          <w:p>
            <w:pPr>
              <w:pStyle w:val="54"/>
              <w:bidi w:val="0"/>
              <w:rPr>
                <w:rFonts w:hint="eastAsia"/>
                <w:color w:val="auto"/>
                <w:lang w:val="en-US" w:eastAsia="zh-CN"/>
              </w:rPr>
            </w:pPr>
            <w:r>
              <w:rPr>
                <w:rFonts w:hint="eastAsia"/>
                <w:color w:val="auto"/>
                <w:lang w:val="en-US" w:eastAsia="zh-CN"/>
              </w:rPr>
              <w:t>2、“目前园区可使用吸污车定期将综合配套服务区产生的污水抽吸至国投罗钾公司生活污水处理设施中进行处理，应于2019年底前对污水处理设施完成提标改造，确保出水达到《城镇污水处理厂污染物排放标准》（GB 18918-2002）一级A标准后综合利用于绿化、日常洒水等。加强污水处理设施的维护管理工作，确保污水处理设施正常运行。”</w:t>
            </w:r>
          </w:p>
          <w:p>
            <w:pPr>
              <w:pStyle w:val="54"/>
              <w:bidi w:val="0"/>
              <w:rPr>
                <w:rFonts w:hint="eastAsia"/>
                <w:color w:val="auto"/>
                <w:lang w:val="en-US" w:eastAsia="zh-CN"/>
              </w:rPr>
            </w:pPr>
            <w:r>
              <w:rPr>
                <w:rFonts w:hint="eastAsia"/>
                <w:color w:val="auto"/>
                <w:lang w:val="en-US" w:eastAsia="zh-CN"/>
              </w:rPr>
              <w:t>本项目运营过程中生活污水不在本项目厂区内产生，依托国投罗钾公司厂区现有污水处理站进行处理，出水水质达到《城镇污水处理厂污染物排放标准》（GB 18918-2002）一级A标准后回用于生产系统，不外排。</w:t>
            </w:r>
          </w:p>
          <w:p>
            <w:pPr>
              <w:pStyle w:val="54"/>
              <w:bidi w:val="0"/>
              <w:rPr>
                <w:rFonts w:hint="default" w:ascii="Times New Roman" w:hAnsi="Times New Roman" w:eastAsia="宋体" w:cs="Times New Roman"/>
                <w:color w:val="auto"/>
                <w:kern w:val="0"/>
                <w:szCs w:val="24"/>
              </w:rPr>
            </w:pPr>
            <w:r>
              <w:rPr>
                <w:rFonts w:hint="eastAsia"/>
                <w:color w:val="auto"/>
                <w:lang w:val="en-US" w:eastAsia="zh-CN"/>
              </w:rPr>
              <w:t>综上所述，本项目符合《关于罗布泊盐化工工业园区总体规划环境影响跟踪评价报告书专家论证意见的函》</w:t>
            </w:r>
            <w:r>
              <w:rPr>
                <w:rFonts w:hint="eastAsia"/>
                <w:color w:val="auto"/>
                <w:lang w:eastAsia="zh-CN"/>
              </w:rPr>
              <w:t>（</w:t>
            </w:r>
            <w:r>
              <w:rPr>
                <w:rFonts w:hint="eastAsia"/>
                <w:color w:val="auto"/>
                <w:lang w:val="en-US" w:eastAsia="zh-CN"/>
              </w:rPr>
              <w:t>新</w:t>
            </w:r>
            <w:r>
              <w:rPr>
                <w:rFonts w:hint="eastAsia"/>
                <w:color w:val="auto"/>
                <w:lang w:eastAsia="zh-CN"/>
              </w:rPr>
              <w:t>环</w:t>
            </w:r>
            <w:r>
              <w:rPr>
                <w:rFonts w:hint="eastAsia"/>
                <w:color w:val="auto"/>
                <w:lang w:val="en-US" w:eastAsia="zh-CN"/>
              </w:rPr>
              <w:t>环评函</w:t>
            </w:r>
            <w:r>
              <w:rPr>
                <w:rFonts w:hint="eastAsia"/>
                <w:color w:val="auto"/>
                <w:lang w:eastAsia="zh-CN"/>
              </w:rPr>
              <w:t>〔20</w:t>
            </w:r>
            <w:r>
              <w:rPr>
                <w:rFonts w:hint="eastAsia"/>
                <w:color w:val="auto"/>
                <w:lang w:val="en-US" w:eastAsia="zh-CN"/>
              </w:rPr>
              <w:t>19</w:t>
            </w:r>
            <w:r>
              <w:rPr>
                <w:rFonts w:hint="eastAsia"/>
                <w:color w:val="auto"/>
                <w:lang w:eastAsia="zh-CN"/>
              </w:rPr>
              <w:t>〕</w:t>
            </w:r>
            <w:r>
              <w:rPr>
                <w:rFonts w:hint="eastAsia"/>
                <w:color w:val="auto"/>
                <w:lang w:val="en-US" w:eastAsia="zh-CN"/>
              </w:rPr>
              <w:t>471</w:t>
            </w:r>
            <w:r>
              <w:rPr>
                <w:rFonts w:hint="eastAsia"/>
                <w:color w:val="auto"/>
                <w:lang w:eastAsia="zh-CN"/>
              </w:rPr>
              <w:t>号）</w:t>
            </w:r>
            <w:r>
              <w:rPr>
                <w:rFonts w:hint="eastAsia"/>
                <w:color w:val="auto"/>
                <w:lang w:val="en-US" w:eastAsia="zh-CN"/>
              </w:rPr>
              <w:t>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82"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其他符合性分析</w:t>
            </w:r>
          </w:p>
        </w:tc>
        <w:tc>
          <w:tcPr>
            <w:tcW w:w="6488" w:type="dxa"/>
            <w:gridSpan w:val="3"/>
            <w:noWrap w:val="0"/>
            <w:vAlign w:val="center"/>
          </w:tcPr>
          <w:p>
            <w:pPr>
              <w:pStyle w:val="54"/>
              <w:bidi w:val="0"/>
              <w:rPr>
                <w:rFonts w:hint="eastAsia"/>
                <w:color w:val="auto"/>
                <w:lang w:val="en-US" w:eastAsia="zh-CN"/>
              </w:rPr>
            </w:pPr>
            <w:r>
              <w:rPr>
                <w:rFonts w:hint="eastAsia"/>
                <w:b/>
                <w:bCs/>
                <w:color w:val="auto"/>
                <w:lang w:val="en-US" w:eastAsia="zh-CN"/>
              </w:rPr>
              <w:t>一、与产业政策的符合性分析</w:t>
            </w:r>
          </w:p>
          <w:p>
            <w:pPr>
              <w:pStyle w:val="54"/>
              <w:bidi w:val="0"/>
              <w:rPr>
                <w:rFonts w:hint="eastAsia" w:ascii="Times New Roman" w:hAnsi="Times New Roman" w:eastAsia="宋体" w:cs="Times New Roman"/>
                <w:color w:val="auto"/>
                <w:kern w:val="0"/>
                <w:szCs w:val="24"/>
                <w:lang w:val="en-US" w:eastAsia="zh-CN"/>
              </w:rPr>
            </w:pPr>
            <w:r>
              <w:rPr>
                <w:rFonts w:hint="eastAsia"/>
                <w:color w:val="auto"/>
                <w:lang w:val="en-US" w:eastAsia="zh-CN"/>
              </w:rPr>
              <w:t>本项目所属行业类别为《国民经济行业分类（GB/T4754-2017）》（2019年修订版）中C2624复混肥料制造。根据《产业结构调整指导目录（2024年本）》，本项目不属于鼓励类、限制类、淘汰类，视为“允许类”。因此，本项目建设符合国家产业政策要求。</w:t>
            </w:r>
          </w:p>
          <w:p>
            <w:pPr>
              <w:pStyle w:val="54"/>
              <w:bidi w:val="0"/>
              <w:rPr>
                <w:rFonts w:hint="default"/>
                <w:color w:val="auto"/>
                <w:lang w:val="en-US" w:eastAsia="zh-CN"/>
              </w:rPr>
            </w:pPr>
            <w:r>
              <w:rPr>
                <w:rFonts w:hint="eastAsia"/>
                <w:b/>
                <w:bCs/>
                <w:color w:val="auto"/>
                <w:lang w:val="en-US" w:eastAsia="zh-CN"/>
              </w:rPr>
              <w:t>二、与《关于以改善环境质量为核心加强环境影响评价管理的通知》（环环评〔2016〕150号）的符合性分析</w:t>
            </w:r>
          </w:p>
          <w:p>
            <w:pPr>
              <w:pStyle w:val="54"/>
              <w:bidi w:val="0"/>
              <w:rPr>
                <w:rFonts w:hint="default"/>
                <w:color w:val="auto"/>
                <w:lang w:val="en-US" w:eastAsia="zh-CN"/>
              </w:rPr>
            </w:pPr>
            <w:r>
              <w:rPr>
                <w:rFonts w:hint="default"/>
                <w:color w:val="auto"/>
                <w:lang w:val="en-US" w:eastAsia="zh-CN"/>
              </w:rPr>
              <w:t>1、生态保护红线</w:t>
            </w:r>
          </w:p>
          <w:p>
            <w:pPr>
              <w:pStyle w:val="54"/>
              <w:bidi w:val="0"/>
              <w:rPr>
                <w:rFonts w:hint="default"/>
                <w:color w:val="auto"/>
                <w:lang w:val="en-US" w:eastAsia="zh-CN"/>
              </w:rPr>
            </w:pPr>
            <w:r>
              <w:rPr>
                <w:rFonts w:hint="default"/>
                <w:color w:val="auto"/>
                <w:lang w:val="en-US" w:eastAsia="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pStyle w:val="54"/>
              <w:bidi w:val="0"/>
              <w:rPr>
                <w:rFonts w:hint="default"/>
                <w:color w:val="auto"/>
                <w:lang w:val="en-US" w:eastAsia="zh-CN"/>
              </w:rPr>
            </w:pPr>
            <w:r>
              <w:rPr>
                <w:rFonts w:hint="eastAsia"/>
                <w:color w:val="auto"/>
                <w:lang w:val="en-US" w:eastAsia="zh-CN"/>
              </w:rPr>
              <w:t>本项目位于</w:t>
            </w:r>
            <w:r>
              <w:rPr>
                <w:rFonts w:hint="eastAsia" w:cs="Times New Roman"/>
                <w:color w:val="auto"/>
                <w:sz w:val="24"/>
                <w:szCs w:val="24"/>
                <w:highlight w:val="none"/>
                <w:lang w:val="en-US" w:eastAsia="zh-CN"/>
              </w:rPr>
              <w:t>新疆巴音郭楞蒙古自治州若羌县罗布泊盐湖罗中生产基地</w:t>
            </w:r>
            <w:r>
              <w:rPr>
                <w:rFonts w:hint="default"/>
                <w:color w:val="auto"/>
                <w:lang w:val="en-US" w:eastAsia="zh-CN"/>
              </w:rPr>
              <w:t>，</w:t>
            </w:r>
            <w:r>
              <w:rPr>
                <w:rFonts w:hint="eastAsia"/>
                <w:color w:val="auto"/>
                <w:lang w:val="en-US" w:eastAsia="zh-CN"/>
              </w:rPr>
              <w:t>建设区</w:t>
            </w:r>
            <w:r>
              <w:rPr>
                <w:rFonts w:hint="default"/>
                <w:color w:val="auto"/>
                <w:lang w:val="en-US" w:eastAsia="zh-CN"/>
              </w:rPr>
              <w:t>不涉及自然保护区、饮用水源保护区、风景名胜区和其他生态环境敏感区域，不涉及生态保护红线</w:t>
            </w:r>
            <w:r>
              <w:rPr>
                <w:rFonts w:hint="eastAsia"/>
                <w:color w:val="auto"/>
                <w:lang w:val="en-US" w:eastAsia="zh-CN"/>
              </w:rPr>
              <w:t>。</w:t>
            </w:r>
            <w:r>
              <w:rPr>
                <w:rFonts w:hint="default"/>
                <w:color w:val="auto"/>
                <w:lang w:val="en-US" w:eastAsia="zh-CN"/>
              </w:rPr>
              <w:t>因此，本项目</w:t>
            </w:r>
            <w:r>
              <w:rPr>
                <w:rFonts w:hint="eastAsia"/>
                <w:color w:val="auto"/>
                <w:lang w:val="en-US" w:eastAsia="zh-CN"/>
              </w:rPr>
              <w:t>不违背</w:t>
            </w:r>
            <w:r>
              <w:rPr>
                <w:rFonts w:hint="default"/>
                <w:color w:val="auto"/>
                <w:lang w:val="en-US" w:eastAsia="zh-CN"/>
              </w:rPr>
              <w:t>生态保护红线区域防护要求。</w:t>
            </w:r>
          </w:p>
          <w:p>
            <w:pPr>
              <w:pStyle w:val="54"/>
              <w:bidi w:val="0"/>
              <w:rPr>
                <w:rFonts w:hint="default"/>
                <w:color w:val="auto"/>
                <w:lang w:val="en-US" w:eastAsia="zh-CN"/>
              </w:rPr>
            </w:pPr>
            <w:r>
              <w:rPr>
                <w:rFonts w:hint="default"/>
                <w:color w:val="auto"/>
                <w:lang w:val="en-US" w:eastAsia="zh-CN"/>
              </w:rPr>
              <w:t>2、环境质量底线</w:t>
            </w:r>
          </w:p>
          <w:p>
            <w:pPr>
              <w:pStyle w:val="54"/>
              <w:bidi w:val="0"/>
              <w:rPr>
                <w:rFonts w:hint="default"/>
                <w:color w:val="auto"/>
                <w:lang w:val="en-US" w:eastAsia="zh-CN"/>
              </w:rPr>
            </w:pPr>
            <w:r>
              <w:rPr>
                <w:rFonts w:hint="default"/>
                <w:color w:val="auto"/>
                <w:lang w:val="en-US" w:eastAsia="zh-CN"/>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pStyle w:val="54"/>
              <w:bidi w:val="0"/>
              <w:rPr>
                <w:rFonts w:hint="default"/>
                <w:color w:val="auto"/>
                <w:lang w:val="en-US" w:eastAsia="zh-CN"/>
              </w:rPr>
            </w:pPr>
            <w:r>
              <w:rPr>
                <w:rFonts w:hint="eastAsia"/>
                <w:color w:val="auto"/>
                <w:lang w:val="en-US" w:eastAsia="zh-CN"/>
              </w:rPr>
              <w:t>项目所在区域环境空气质量属于二类功能区，声环境属于3类。根据引用巴音郭楞蒙古自治州2024年的例行监测数据，项目所在区域环境空气质量为不达标区，主要体现在</w:t>
            </w:r>
            <w:r>
              <w:rPr>
                <w:rFonts w:hint="default"/>
                <w:color w:val="auto"/>
                <w:lang w:val="en-US" w:eastAsia="zh-CN"/>
              </w:rPr>
              <w:t>PM</w:t>
            </w:r>
            <w:r>
              <w:rPr>
                <w:rFonts w:hint="default"/>
                <w:color w:val="auto"/>
                <w:vertAlign w:val="subscript"/>
                <w:lang w:val="en-US" w:eastAsia="zh-CN"/>
              </w:rPr>
              <w:t>10</w:t>
            </w:r>
            <w:r>
              <w:rPr>
                <w:rFonts w:hint="default"/>
                <w:color w:val="auto"/>
              </w:rPr>
              <w:t>年评价指标</w:t>
            </w:r>
            <w:r>
              <w:rPr>
                <w:rFonts w:hint="eastAsia"/>
                <w:color w:val="auto"/>
                <w:lang w:val="en-US" w:eastAsia="zh-CN"/>
              </w:rPr>
              <w:t>不</w:t>
            </w:r>
            <w:r>
              <w:rPr>
                <w:rFonts w:hint="default"/>
                <w:color w:val="auto"/>
                <w:lang w:val="en-US" w:eastAsia="zh-CN"/>
              </w:rPr>
              <w:t>满足《环境空气质量标准》（GB</w:t>
            </w:r>
            <w:r>
              <w:rPr>
                <w:rFonts w:hint="eastAsia"/>
                <w:color w:val="auto"/>
                <w:lang w:val="en-US" w:eastAsia="zh-CN"/>
              </w:rPr>
              <w:t xml:space="preserve"> </w:t>
            </w:r>
            <w:r>
              <w:rPr>
                <w:rFonts w:hint="default"/>
                <w:color w:val="auto"/>
                <w:lang w:val="en-US" w:eastAsia="zh-CN"/>
              </w:rPr>
              <w:t>3095-2012）二级标准限值要求</w:t>
            </w:r>
            <w:r>
              <w:rPr>
                <w:rFonts w:hint="eastAsia"/>
                <w:color w:val="auto"/>
                <w:lang w:val="en-US" w:eastAsia="zh-CN"/>
              </w:rPr>
              <w:t>，分析原因为当地风沙干旱气候引起的。本项目施工期环境影响随施工期结束而消失，不会改变区域环境功能等级，且本项目运营期对周边环境影响较小。</w:t>
            </w:r>
            <w:r>
              <w:rPr>
                <w:rFonts w:hint="default"/>
                <w:color w:val="auto"/>
                <w:lang w:val="en-US" w:eastAsia="zh-CN"/>
              </w:rPr>
              <w:t>因此，本项目</w:t>
            </w:r>
            <w:r>
              <w:rPr>
                <w:rFonts w:hint="eastAsia"/>
                <w:color w:val="auto"/>
                <w:lang w:val="en-US" w:eastAsia="zh-CN"/>
              </w:rPr>
              <w:t>不会突破</w:t>
            </w:r>
            <w:r>
              <w:rPr>
                <w:rFonts w:hint="default"/>
                <w:color w:val="auto"/>
                <w:lang w:val="en-US" w:eastAsia="zh-CN"/>
              </w:rPr>
              <w:t>环境质量底线要求。</w:t>
            </w:r>
          </w:p>
          <w:p>
            <w:pPr>
              <w:pStyle w:val="54"/>
              <w:bidi w:val="0"/>
              <w:rPr>
                <w:rFonts w:hint="default"/>
                <w:color w:val="auto"/>
                <w:lang w:val="en-US" w:eastAsia="zh-CN"/>
              </w:rPr>
            </w:pPr>
            <w:r>
              <w:rPr>
                <w:rFonts w:hint="default"/>
                <w:color w:val="auto"/>
                <w:lang w:val="en-US" w:eastAsia="zh-CN"/>
              </w:rPr>
              <w:t>3、资源利用上线</w:t>
            </w:r>
          </w:p>
          <w:p>
            <w:pPr>
              <w:pStyle w:val="54"/>
              <w:bidi w:val="0"/>
              <w:rPr>
                <w:rFonts w:hint="default"/>
                <w:color w:val="auto"/>
                <w:lang w:val="en-US" w:eastAsia="zh-CN"/>
              </w:rPr>
            </w:pPr>
            <w:r>
              <w:rPr>
                <w:rFonts w:hint="default"/>
                <w:color w:val="auto"/>
                <w:lang w:val="en-US" w:eastAsia="zh-CN"/>
              </w:rPr>
              <w:t>资源是环境的载体，资源利用上线是各地区能源、水、土地等资源消耗不得突破的</w:t>
            </w:r>
            <w:r>
              <w:rPr>
                <w:rFonts w:hint="eastAsia"/>
                <w:color w:val="auto"/>
                <w:lang w:val="en-US" w:eastAsia="zh-CN"/>
              </w:rPr>
              <w:t>“</w:t>
            </w:r>
            <w:r>
              <w:rPr>
                <w:rFonts w:hint="default"/>
                <w:color w:val="auto"/>
                <w:lang w:val="en-US" w:eastAsia="zh-CN"/>
              </w:rPr>
              <w:t>天花板</w:t>
            </w:r>
            <w:r>
              <w:rPr>
                <w:rFonts w:hint="eastAsia"/>
                <w:color w:val="auto"/>
                <w:lang w:val="en-US" w:eastAsia="zh-CN"/>
              </w:rPr>
              <w:t>”</w:t>
            </w:r>
            <w:r>
              <w:rPr>
                <w:rFonts w:hint="default"/>
                <w:color w:val="auto"/>
                <w:lang w:val="en-US" w:eastAsia="zh-CN"/>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pStyle w:val="54"/>
              <w:bidi w:val="0"/>
              <w:rPr>
                <w:rFonts w:hint="default"/>
                <w:color w:val="auto"/>
                <w:lang w:val="en-US" w:eastAsia="zh-CN"/>
              </w:rPr>
            </w:pPr>
            <w:r>
              <w:rPr>
                <w:rFonts w:hint="default"/>
                <w:color w:val="auto"/>
                <w:lang w:val="en-US" w:eastAsia="zh-CN"/>
              </w:rPr>
              <w:t>本项目运营期消耗少量的电，不会突破区域的资源利用上线，</w:t>
            </w:r>
            <w:r>
              <w:rPr>
                <w:rFonts w:hint="eastAsia"/>
                <w:color w:val="auto"/>
                <w:lang w:val="en-US" w:eastAsia="zh-CN"/>
              </w:rPr>
              <w:t>因此</w:t>
            </w:r>
            <w:r>
              <w:rPr>
                <w:rFonts w:hint="default"/>
                <w:color w:val="auto"/>
                <w:lang w:val="en-US" w:eastAsia="zh-CN"/>
              </w:rPr>
              <w:t>本项目的建设符合资源利用上线要求。</w:t>
            </w:r>
          </w:p>
          <w:p>
            <w:pPr>
              <w:pStyle w:val="54"/>
              <w:bidi w:val="0"/>
              <w:rPr>
                <w:rFonts w:hint="default"/>
                <w:color w:val="auto"/>
                <w:lang w:val="en-US" w:eastAsia="zh-CN"/>
              </w:rPr>
            </w:pPr>
            <w:r>
              <w:rPr>
                <w:rFonts w:hint="default"/>
                <w:color w:val="auto"/>
                <w:lang w:val="en-US" w:eastAsia="zh-CN"/>
              </w:rPr>
              <w:t>4、生态环境准入清单</w:t>
            </w:r>
          </w:p>
          <w:p>
            <w:pPr>
              <w:pStyle w:val="54"/>
              <w:bidi w:val="0"/>
              <w:rPr>
                <w:rFonts w:hint="eastAsia" w:ascii="Times New Roman" w:hAnsi="Times New Roman" w:eastAsia="宋体" w:cs="Times New Roman"/>
                <w:color w:val="auto"/>
                <w:kern w:val="0"/>
                <w:szCs w:val="24"/>
                <w:lang w:val="en-US" w:eastAsia="zh-CN"/>
              </w:rPr>
            </w:pPr>
            <w:r>
              <w:rPr>
                <w:rFonts w:hint="eastAsia"/>
                <w:color w:val="auto"/>
                <w:lang w:val="en-US" w:eastAsia="zh-CN"/>
              </w:rPr>
              <w:t>根据《关于印发巴音郭楞蒙古自治州“三线一单”生态环境分区管控动态更新成果（2023年）的通知》（巴政办发〔2024〕32号），本项目所在区域位于若羌县重点管控单元——若羌罗布泊盐化工业园区，编号ZH65282420001，项目符合巴音郭楞蒙古自治州生态环境准入清单（重点管控单元）相关准入要求。</w:t>
            </w:r>
          </w:p>
          <w:p>
            <w:pPr>
              <w:pStyle w:val="54"/>
              <w:bidi w:val="0"/>
              <w:rPr>
                <w:rFonts w:hint="eastAsia"/>
                <w:color w:val="auto"/>
                <w:lang w:val="en-US" w:eastAsia="zh-CN"/>
              </w:rPr>
            </w:pPr>
            <w:r>
              <w:rPr>
                <w:rFonts w:hint="eastAsia"/>
                <w:b/>
                <w:bCs/>
                <w:color w:val="auto"/>
                <w:lang w:val="en-US" w:eastAsia="zh-CN"/>
              </w:rPr>
              <w:t>三、与《关于印发巴音郭楞蒙古自治州“三线一单”生态环境分区管控动态更新成果（2023年）的通知》（巴政办发〔2024〕32号）的符合性分析</w:t>
            </w:r>
          </w:p>
          <w:p>
            <w:pPr>
              <w:pStyle w:val="54"/>
              <w:bidi w:val="0"/>
              <w:rPr>
                <w:rFonts w:hint="eastAsia" w:ascii="Times New Roman" w:hAnsi="Times New Roman" w:eastAsia="宋体" w:cs="Times New Roman"/>
                <w:color w:val="auto"/>
                <w:kern w:val="0"/>
                <w:szCs w:val="24"/>
                <w:lang w:val="en-US" w:eastAsia="zh-CN"/>
              </w:rPr>
            </w:pPr>
            <w:r>
              <w:rPr>
                <w:rFonts w:hint="eastAsia"/>
                <w:color w:val="auto"/>
                <w:lang w:val="en-US" w:eastAsia="zh-CN"/>
              </w:rPr>
              <w:t>根据2024年12月巴音郭楞蒙古自治州人民政府发布的《关于印发巴音郭楞蒙古自治州“三线一单”生态环境分区管控动态更新成果（2023年）的通知》（巴政办发〔2024〕32号），本项目所在区域位于若羌县重点管控单元——若羌罗布泊盐化工业园区，编号ZH65282420001，本项目符合性分析如下：</w:t>
            </w:r>
          </w:p>
          <w:p>
            <w:pPr>
              <w:pStyle w:val="26"/>
              <w:bidi w:val="0"/>
              <w:rPr>
                <w:rFonts w:hint="eastAsia" w:ascii="Times New Roman" w:hAnsi="Times New Roman" w:eastAsia="宋体" w:cs="Times New Roman"/>
                <w:color w:val="auto"/>
                <w:kern w:val="0"/>
                <w:szCs w:val="24"/>
                <w:lang w:val="en-US" w:eastAsia="zh-CN"/>
              </w:rPr>
            </w:pPr>
            <w:r>
              <w:rPr>
                <w:rFonts w:hint="eastAsia"/>
                <w:color w:val="auto"/>
                <w:lang w:val="en-US" w:eastAsia="zh-CN"/>
              </w:rPr>
              <w:t>表1-1  本项目与巴音郭楞蒙古自治州生态环境分区管控动态更新成果的符合性分析</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554"/>
              <w:gridCol w:w="1939"/>
              <w:gridCol w:w="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5" w:type="pct"/>
                  <w:gridSpan w:val="2"/>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管控要求</w:t>
                  </w:r>
                </w:p>
              </w:tc>
              <w:tc>
                <w:tcPr>
                  <w:tcW w:w="1551"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本项目情况</w:t>
                  </w:r>
                </w:p>
              </w:tc>
              <w:tc>
                <w:tcPr>
                  <w:tcW w:w="563"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2"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空间布局约束</w:t>
                  </w:r>
                </w:p>
              </w:tc>
              <w:tc>
                <w:tcPr>
                  <w:tcW w:w="204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要严格产业园区项目的准入标准，严格禁止引进高耗能、高污染产业。要严格实行产业园区项目环境影响评价和节能评估审查制度，加强园区废水的集中治理和固体废物的有效处置，严格执行环境影响评价制度和“三同时”制度，从源头控制污染排放和生态破坏。</w:t>
                  </w:r>
                </w:p>
              </w:tc>
              <w:tc>
                <w:tcPr>
                  <w:tcW w:w="155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本项目不属于高耗能、高污染行业。本项目运营过程中生活污水不在本项目厂区内产生，依托国投罗钾公司厂区现有污水处理站进行处理，出水水质达到《城镇污水处理厂污染物排放标准》（GB 18918-2002）一级A标准后回用于生产系统，不外排；产生的固废均可合理处置。</w:t>
                  </w:r>
                </w:p>
              </w:tc>
              <w:tc>
                <w:tcPr>
                  <w:tcW w:w="563"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2"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污染物排放管控</w:t>
                  </w:r>
                </w:p>
              </w:tc>
              <w:tc>
                <w:tcPr>
                  <w:tcW w:w="2042"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1.向大气排放污染物的企业事业单位和其他生产经营者应当履行大气污染防治的法定义务，执行大气污染物排放标准，遵守大气污染物排放总量控制要求。</w:t>
                  </w:r>
                </w:p>
                <w:p>
                  <w:pPr>
                    <w:pStyle w:val="27"/>
                    <w:bidi w:val="0"/>
                    <w:rPr>
                      <w:rFonts w:hint="eastAsia"/>
                      <w:color w:val="auto"/>
                      <w:lang w:val="en-US" w:eastAsia="zh-CN"/>
                    </w:rPr>
                  </w:pPr>
                  <w:r>
                    <w:rPr>
                      <w:rFonts w:hint="eastAsia"/>
                      <w:color w:val="auto"/>
                      <w:lang w:val="en-US" w:eastAsia="zh-CN"/>
                    </w:rPr>
                    <w:t>2.强化项目工业污水包括循环排污水、化水处理用废水、锅炉酸洗水、含油污水、输煤系统降尘冲洗水、除灰渣水的处理与循环利用。园区内硫酸钾厂、试验厂产生的生产废水全部综合利用。</w:t>
                  </w:r>
                </w:p>
                <w:p>
                  <w:pPr>
                    <w:pStyle w:val="27"/>
                    <w:bidi w:val="0"/>
                    <w:rPr>
                      <w:rFonts w:hint="default"/>
                      <w:color w:val="auto"/>
                      <w:lang w:val="en-US" w:eastAsia="zh-CN"/>
                    </w:rPr>
                  </w:pPr>
                  <w:r>
                    <w:rPr>
                      <w:rFonts w:hint="eastAsia"/>
                      <w:color w:val="auto"/>
                      <w:lang w:val="en-US" w:eastAsia="zh-CN"/>
                    </w:rPr>
                    <w:t>3.工业开发建设及运营生产活动中必须尽量减少对土壤的扰动，并采取必要的补救措施。各种机动车辆应走原有便道，禁止随意开路，破坏土壤结构；道路保证维护并在起尘的地段洒水防尘。</w:t>
                  </w:r>
                </w:p>
              </w:tc>
              <w:tc>
                <w:tcPr>
                  <w:tcW w:w="155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本项目投料工段在投料口处设计了三面封闭的投料斗，投料斗顶部设计有集气罩，侧面有吸尘管，集气罩吸尘管连接到高效脉冲布袋除尘器对产生的粉尘进行处理后通过1根DA001高度为15m的排气筒排放；磨粉工段产生的粉尘经6台高效脉冲布袋除尘器除尘后通过1根DA002高度为15m的排气筒排放；包装工段以每两台包装机共用一个除尘装置，在包装机易泄露粉尘的位置设计多个吸尘口，1#和2#包装机产生的粉尘通过收集经高效脉冲布袋除尘器处理后通过1根DA003高度为15m的排气筒排放；3#、4#、5#和6#包装机产生的粉尘通过收集经高效脉冲布袋除尘器处理后通过1根DA004高度为15m的排气筒排放。污染物可满足《大气污染物综合排放标准》（GB 16297-1996）中排放限值要求；本项目运营过程中生活污水不在本项目厂区内产生，依托国投罗钾公司厂区现有污水处理站进行处理，出水水质达到《城镇污水处理厂污染物排放标准》（GB 18918-2002）一级A标准后回用于生产系统，不外排；项目建设期及运营期各种机动车辆应走原有便道，禁止随意开路，破坏土壤结构；道路保证维护并在起尘的地段洒水防尘。</w:t>
                  </w:r>
                </w:p>
              </w:tc>
              <w:tc>
                <w:tcPr>
                  <w:tcW w:w="563"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2"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环境风险防控</w:t>
                  </w:r>
                </w:p>
              </w:tc>
              <w:tc>
                <w:tcPr>
                  <w:tcW w:w="204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热电站烟气脱硝过程中产生的废催化剂（SCR）属于危险废物，应由供应单位进行回收，后续应按照《危险废物污染防治技术政策》要求，遵循危险废物的减量化、资源化和无害化原则处置，在处置时应注意危险废物收集、运输、转移和暂存整个过程中的防护、防渗。</w:t>
                  </w:r>
                </w:p>
              </w:tc>
              <w:tc>
                <w:tcPr>
                  <w:tcW w:w="155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本项目不涉及。</w:t>
                  </w:r>
                </w:p>
              </w:tc>
              <w:tc>
                <w:tcPr>
                  <w:tcW w:w="563"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2"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资源利用效率</w:t>
                  </w:r>
                </w:p>
              </w:tc>
              <w:tc>
                <w:tcPr>
                  <w:tcW w:w="204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在钾肥项目实施过程中，加强废物综合利用，特别是老卤的开发利用工作，使矿产资源得到最有效地利用。</w:t>
                  </w:r>
                </w:p>
              </w:tc>
              <w:tc>
                <w:tcPr>
                  <w:tcW w:w="155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本项目不涉及。</w:t>
                  </w:r>
                </w:p>
              </w:tc>
              <w:tc>
                <w:tcPr>
                  <w:tcW w:w="563"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w:t>
                  </w:r>
                </w:p>
              </w:tc>
            </w:tr>
          </w:tbl>
          <w:p>
            <w:pPr>
              <w:pStyle w:val="54"/>
              <w:bidi w:val="0"/>
              <w:rPr>
                <w:rFonts w:hint="default" w:cs="Times New Roman"/>
                <w:b w:val="0"/>
                <w:bCs w:val="0"/>
                <w:color w:val="auto"/>
                <w:kern w:val="0"/>
                <w:szCs w:val="24"/>
                <w:lang w:val="en-US" w:eastAsia="zh-CN"/>
              </w:rPr>
            </w:pPr>
            <w:r>
              <w:rPr>
                <w:rFonts w:hint="eastAsia"/>
                <w:color w:val="auto"/>
                <w:lang w:val="en-US" w:eastAsia="zh-CN"/>
              </w:rPr>
              <w:t>综上所述，本项目符合《关于印发巴音郭楞蒙古自治州“三线一单”生态环境分区管控动态更新成果（2023年）的通知》（巴政办发〔2024〕32号）中相关要求。</w:t>
            </w:r>
          </w:p>
          <w:p>
            <w:pPr>
              <w:pStyle w:val="54"/>
              <w:bidi w:val="0"/>
              <w:rPr>
                <w:rFonts w:hint="default"/>
                <w:color w:val="auto"/>
                <w:lang w:val="en-US" w:eastAsia="zh-CN"/>
              </w:rPr>
            </w:pPr>
            <w:r>
              <w:rPr>
                <w:rFonts w:hint="eastAsia"/>
                <w:b/>
                <w:bCs/>
                <w:color w:val="auto"/>
                <w:lang w:val="en-US" w:eastAsia="zh-CN"/>
              </w:rPr>
              <w:t>四、与《新疆维吾尔自治区环境保护条例》的符合性分析</w:t>
            </w:r>
          </w:p>
          <w:p>
            <w:pPr>
              <w:pStyle w:val="54"/>
              <w:bidi w:val="0"/>
              <w:rPr>
                <w:rFonts w:hint="eastAsia"/>
                <w:color w:val="auto"/>
                <w:lang w:val="en-US" w:eastAsia="zh-CN"/>
              </w:rPr>
            </w:pPr>
            <w:r>
              <w:rPr>
                <w:rFonts w:hint="eastAsia"/>
                <w:color w:val="auto"/>
                <w:lang w:val="en-US" w:eastAsia="zh-CN"/>
              </w:rPr>
              <w:t>根据《新疆维吾尔自治区环境保护条例》的规定：</w:t>
            </w:r>
          </w:p>
          <w:p>
            <w:pPr>
              <w:pStyle w:val="54"/>
              <w:bidi w:val="0"/>
              <w:rPr>
                <w:rFonts w:hint="eastAsia"/>
                <w:color w:val="auto"/>
                <w:lang w:val="en-US" w:eastAsia="zh-CN"/>
              </w:rPr>
            </w:pPr>
            <w:r>
              <w:rPr>
                <w:rFonts w:hint="eastAsia"/>
                <w:color w:val="auto"/>
                <w:lang w:val="en-US" w:eastAsia="zh-CN"/>
              </w:rPr>
              <w:t>1、“第二十一条建设对环境有影响的项目，应当依法进行环境影响评价。建设单位应当在开工建设前向有审批权的环境保护主管部门报批建设项目环境影响评价报告书、报告表。未依法进行环境影响评价的建设项目，不得开工建设。”</w:t>
            </w:r>
          </w:p>
          <w:p>
            <w:pPr>
              <w:pStyle w:val="54"/>
              <w:bidi w:val="0"/>
              <w:rPr>
                <w:rFonts w:hint="eastAsia"/>
                <w:color w:val="auto"/>
                <w:lang w:val="en-US" w:eastAsia="zh-CN"/>
              </w:rPr>
            </w:pPr>
            <w:r>
              <w:rPr>
                <w:rFonts w:hint="eastAsia"/>
                <w:color w:val="auto"/>
                <w:lang w:val="en-US" w:eastAsia="zh-CN"/>
              </w:rPr>
              <w:t>国投新疆锂业有限公司委托我司乌鲁木齐恒达蓝天环保科技有限公司对“国投新疆锂业有限公司年产15万吨速溶型硫酸钾项目”进行环境影响评价工作。依据《建设项目环境影响评价分类管理名录》（2021年版）（生态环境部部令第16号），本项目属于“二十三、化学原料和化学制品制造业26——45肥料制造262——其他”为报告表。符合第二十一条相关规定。</w:t>
            </w:r>
          </w:p>
          <w:p>
            <w:pPr>
              <w:pStyle w:val="54"/>
              <w:bidi w:val="0"/>
              <w:rPr>
                <w:rFonts w:hint="eastAsia"/>
                <w:color w:val="auto"/>
                <w:lang w:val="en-US" w:eastAsia="zh-CN"/>
              </w:rPr>
            </w:pPr>
            <w:r>
              <w:rPr>
                <w:rFonts w:hint="eastAsia"/>
                <w:color w:val="auto"/>
                <w:lang w:val="en-US" w:eastAsia="zh-CN"/>
              </w:rPr>
              <w:t>2、“第四十三条排放污染物的企业事业单位和其他生产经营者应当依法取得排污许可证。排放污染物应当符合国家或者自治区规定的污染物排放标准和重点污染物总量控制指标。”</w:t>
            </w:r>
          </w:p>
          <w:p>
            <w:pPr>
              <w:pStyle w:val="54"/>
              <w:bidi w:val="0"/>
              <w:rPr>
                <w:rFonts w:hint="eastAsia"/>
                <w:color w:val="auto"/>
                <w:lang w:val="en-US" w:eastAsia="zh-CN"/>
              </w:rPr>
            </w:pPr>
            <w:r>
              <w:rPr>
                <w:rFonts w:hint="eastAsia"/>
                <w:color w:val="auto"/>
                <w:lang w:val="en-US" w:eastAsia="zh-CN"/>
              </w:rPr>
              <w:t>本环评要求本项目应在获得环评审批文件后，按照国家环境保护相关法律法规以及排污许可证申请与核发技术规范要求申请排污许可证。企业应当在启动生产设施或者发生实际排污之前在全国排污许可证管理信息平台填报排污登记表，登记基本信息、污染物排放去向、执行的污染物排放标准以及采取的污染防治措施等信息。符合第四十三条相关规定。</w:t>
            </w:r>
          </w:p>
          <w:p>
            <w:pPr>
              <w:pStyle w:val="54"/>
              <w:bidi w:val="0"/>
              <w:rPr>
                <w:rFonts w:hint="eastAsia"/>
                <w:color w:val="auto"/>
                <w:lang w:val="en-US" w:eastAsia="zh-CN"/>
              </w:rPr>
            </w:pPr>
            <w:r>
              <w:rPr>
                <w:rFonts w:hint="eastAsia"/>
                <w:color w:val="auto"/>
                <w:lang w:val="en-US" w:eastAsia="zh-CN"/>
              </w:rPr>
              <w:t>综上所述，本项目符合《新疆维吾尔自治区环境保护条例》的规定。</w:t>
            </w:r>
          </w:p>
          <w:p>
            <w:pPr>
              <w:pStyle w:val="54"/>
              <w:bidi w:val="0"/>
              <w:rPr>
                <w:rFonts w:hint="eastAsia"/>
                <w:color w:val="auto"/>
                <w:lang w:val="en-US" w:eastAsia="zh-CN"/>
              </w:rPr>
            </w:pPr>
            <w:r>
              <w:rPr>
                <w:rFonts w:hint="eastAsia"/>
                <w:b/>
                <w:bCs/>
                <w:color w:val="auto"/>
                <w:lang w:val="en-US" w:eastAsia="zh-CN"/>
              </w:rPr>
              <w:t>五、与《自治州大气污染防治三年攻坚行动方案（2023-2025年）》的通知的符合性分析</w:t>
            </w:r>
          </w:p>
          <w:p>
            <w:pPr>
              <w:pStyle w:val="54"/>
              <w:bidi w:val="0"/>
              <w:rPr>
                <w:rFonts w:hint="eastAsia"/>
                <w:color w:val="auto"/>
                <w:lang w:val="en-US" w:eastAsia="zh-CN"/>
              </w:rPr>
            </w:pPr>
            <w:r>
              <w:rPr>
                <w:rFonts w:hint="eastAsia"/>
                <w:color w:val="auto"/>
                <w:lang w:val="en-US" w:eastAsia="zh-CN"/>
              </w:rPr>
              <w:t>根据《自治州大气污染防治三年攻坚行动方案（2023-2025年）》的规定：</w:t>
            </w:r>
          </w:p>
          <w:p>
            <w:pPr>
              <w:pStyle w:val="54"/>
              <w:bidi w:val="0"/>
              <w:rPr>
                <w:rFonts w:hint="eastAsia"/>
                <w:color w:val="auto"/>
                <w:lang w:val="en-US" w:eastAsia="zh-CN"/>
              </w:rPr>
            </w:pPr>
            <w:r>
              <w:rPr>
                <w:rFonts w:hint="eastAsia"/>
                <w:color w:val="auto"/>
                <w:lang w:val="en-US" w:eastAsia="zh-CN"/>
              </w:rPr>
              <w:t>1、“严把项目准入关。坚决遏制高耗能、高排放、低水平项目盲目发展，严把高耗能高排放项目准入关口，依法依规淘汰落后产能和化解过剩产能。严禁新增水泥熟料、平板玻璃等产能。”</w:t>
            </w:r>
          </w:p>
          <w:p>
            <w:pPr>
              <w:pStyle w:val="54"/>
              <w:bidi w:val="0"/>
              <w:rPr>
                <w:rFonts w:hint="default"/>
                <w:color w:val="auto"/>
                <w:lang w:val="en-US" w:eastAsia="zh-CN"/>
              </w:rPr>
            </w:pPr>
            <w:r>
              <w:rPr>
                <w:rFonts w:hint="eastAsia"/>
                <w:color w:val="auto"/>
                <w:lang w:val="en-US" w:eastAsia="zh-CN"/>
              </w:rPr>
              <w:t>本项目为复混肥料制造，不属于高耗能、高排放、低水平项目。</w:t>
            </w:r>
          </w:p>
          <w:p>
            <w:pPr>
              <w:pStyle w:val="54"/>
              <w:bidi w:val="0"/>
              <w:rPr>
                <w:rFonts w:hint="default"/>
                <w:color w:val="auto"/>
                <w:lang w:val="en-US" w:eastAsia="zh-CN"/>
              </w:rPr>
            </w:pPr>
            <w:r>
              <w:rPr>
                <w:rFonts w:hint="eastAsia"/>
                <w:color w:val="auto"/>
                <w:lang w:val="en-US" w:eastAsia="zh-CN"/>
              </w:rPr>
              <w:t>2、“加强施工扬尘精细化管控。严格落实施工工地扬尘管控责任，制定施工扬尘污染防治实施方案，在工地公示具体防治措施及负责人信息。全面推行绿色施工，严格执行‘六个百分之百’，推进安装视频监控设施。重点区域道路、水务等线性工程实行分段施工。加强施工扬尘监管执法，对问题严重的依法依规实施联合惩戒。”</w:t>
            </w:r>
          </w:p>
          <w:p>
            <w:pPr>
              <w:pStyle w:val="54"/>
              <w:bidi w:val="0"/>
              <w:rPr>
                <w:rFonts w:hint="default"/>
                <w:color w:val="auto"/>
                <w:lang w:val="en-US" w:eastAsia="zh-CN"/>
              </w:rPr>
            </w:pPr>
            <w:r>
              <w:rPr>
                <w:rFonts w:hint="eastAsia"/>
                <w:color w:val="auto"/>
                <w:lang w:val="en-US" w:eastAsia="zh-CN"/>
              </w:rPr>
              <w:t>本环评要求建设单位在施工期制定施工扬尘污染防治实施方案，并在工地公示具体防治措施及负责人信息。通过对施工用地边界设置施工围挡；土石方及散装物料装卸应尽可能降低落差、轻装慢卸，并在背风面进行，车辆应覆盖篷布，慢速行驶；施工场地、施工道路每天洒水4~5次，并及时清扫道路，碾压或覆盖裸露地表；易起尘物料应尽可能避免露天堆放，若露天堆放应加以覆盖；合理安排施工设备工作时间，并使用清洁燃油，减少施工设备废气的影响等措施可有效降低施工工地扬尘对大气环境的影响。</w:t>
            </w:r>
          </w:p>
          <w:p>
            <w:pPr>
              <w:pStyle w:val="54"/>
              <w:bidi w:val="0"/>
              <w:rPr>
                <w:rFonts w:hint="eastAsia"/>
                <w:color w:val="auto"/>
                <w:lang w:val="en-US" w:eastAsia="zh-CN"/>
              </w:rPr>
            </w:pPr>
            <w:r>
              <w:rPr>
                <w:rFonts w:hint="eastAsia"/>
                <w:color w:val="auto"/>
                <w:lang w:val="en-US" w:eastAsia="zh-CN"/>
              </w:rPr>
              <w:t>综上所述，本项目符合《自治州大气污染防治三年攻坚行动方案（2023-2025年）》的规定。</w:t>
            </w:r>
          </w:p>
          <w:p>
            <w:pPr>
              <w:pStyle w:val="54"/>
              <w:bidi w:val="0"/>
              <w:rPr>
                <w:rFonts w:hint="eastAsia" w:eastAsia="宋体"/>
                <w:color w:val="auto"/>
                <w:lang w:val="en-US" w:eastAsia="zh-CN"/>
              </w:rPr>
            </w:pPr>
            <w:r>
              <w:rPr>
                <w:rFonts w:hint="eastAsia"/>
                <w:b/>
                <w:bCs/>
                <w:color w:val="auto"/>
                <w:lang w:val="en-US" w:eastAsia="zh-CN"/>
              </w:rPr>
              <w:t>六、与《空气质量持续改善行动计划》的符合性分析</w:t>
            </w:r>
          </w:p>
          <w:p>
            <w:pPr>
              <w:pStyle w:val="54"/>
              <w:bidi w:val="0"/>
              <w:rPr>
                <w:rFonts w:hint="default" w:eastAsia="宋体"/>
                <w:color w:val="auto"/>
                <w:lang w:val="en-US" w:eastAsia="zh-CN"/>
              </w:rPr>
            </w:pPr>
            <w:r>
              <w:rPr>
                <w:rFonts w:hint="eastAsia"/>
                <w:color w:val="auto"/>
                <w:lang w:val="en-US" w:eastAsia="zh-CN"/>
              </w:rPr>
              <w:t>根据国务院关于印发《空气质量持续改善行动计划》的通知（国发〔2023〕24号）：</w:t>
            </w:r>
          </w:p>
          <w:p>
            <w:pPr>
              <w:pStyle w:val="54"/>
              <w:bidi w:val="0"/>
              <w:rPr>
                <w:rFonts w:hint="eastAsia" w:eastAsia="宋体"/>
                <w:color w:val="auto"/>
                <w:lang w:val="en-US" w:eastAsia="zh-CN"/>
              </w:rPr>
            </w:pPr>
            <w:r>
              <w:rPr>
                <w:rFonts w:hint="eastAsia"/>
                <w:color w:val="auto"/>
                <w:lang w:val="en-US" w:eastAsia="zh-CN"/>
              </w:rPr>
              <w:t>1、“（四）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pPr>
              <w:pStyle w:val="54"/>
              <w:bidi w:val="0"/>
              <w:rPr>
                <w:rFonts w:hint="default" w:eastAsia="宋体"/>
                <w:color w:val="auto"/>
                <w:lang w:val="en-US" w:eastAsia="zh-CN"/>
              </w:rPr>
            </w:pPr>
            <w:r>
              <w:rPr>
                <w:rFonts w:hint="eastAsia"/>
                <w:color w:val="auto"/>
              </w:rPr>
              <w:t>本项目为复混肥料制造，不属于高耗能、高排放、低水平项目。本项目为新建项目，经分析本项目符合《产业结构调整指导目录（2024年本）》、《关于印发巴音郭楞蒙古自治州“三线一单”生态环境分区管控动态更新成果（2023年）的通知》（巴政办发〔2024〕32号）和《罗布泊盐化工工业园区总体规划环境影响跟踪评价报告书》的相关要求</w:t>
            </w:r>
            <w:r>
              <w:rPr>
                <w:rFonts w:hint="eastAsia"/>
                <w:color w:val="auto"/>
                <w:lang w:eastAsia="zh-CN"/>
              </w:rPr>
              <w:t>，</w:t>
            </w:r>
            <w:r>
              <w:rPr>
                <w:rFonts w:hint="eastAsia"/>
                <w:color w:val="auto"/>
                <w:lang w:val="en-US" w:eastAsia="zh-CN"/>
              </w:rPr>
              <w:t>本项目不涉及产能置换的项目。</w:t>
            </w:r>
          </w:p>
          <w:p>
            <w:pPr>
              <w:pStyle w:val="54"/>
              <w:bidi w:val="0"/>
              <w:rPr>
                <w:rFonts w:hint="eastAsia" w:eastAsia="宋体"/>
                <w:color w:val="auto"/>
                <w:lang w:val="en-US" w:eastAsia="zh-CN"/>
              </w:rPr>
            </w:pPr>
            <w:r>
              <w:rPr>
                <w:rFonts w:hint="eastAsia"/>
                <w:color w:val="auto"/>
                <w:lang w:val="en-US" w:eastAsia="zh-CN"/>
              </w:rPr>
              <w:t>2、“（五）加快退出重点行业落后产能。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p>
            <w:pPr>
              <w:pStyle w:val="54"/>
              <w:bidi w:val="0"/>
              <w:rPr>
                <w:color w:val="auto"/>
              </w:rPr>
            </w:pPr>
            <w:r>
              <w:rPr>
                <w:rFonts w:hint="eastAsia"/>
                <w:color w:val="auto"/>
              </w:rPr>
              <w:t>本项目所属行业类别为《国民经济行业分类（GB/T4754-2017）》（2019年修订版）中C2624复混肥料制造。根据《产业结构调整指导目录（2024年本）》，本项目不属于鼓励类、限制类、淘汰类，视为“允许类”</w:t>
            </w:r>
            <w:r>
              <w:rPr>
                <w:rFonts w:hint="eastAsia"/>
                <w:color w:val="auto"/>
                <w:lang w:eastAsia="zh-CN"/>
              </w:rPr>
              <w:t>，</w:t>
            </w:r>
            <w:r>
              <w:rPr>
                <w:rFonts w:hint="eastAsia"/>
                <w:color w:val="auto"/>
                <w:lang w:val="en-US" w:eastAsia="zh-CN"/>
              </w:rPr>
              <w:t>不涉及使用淘汰类的工艺和生产装置</w:t>
            </w:r>
            <w:r>
              <w:rPr>
                <w:rFonts w:hint="eastAsia"/>
                <w:color w:val="auto"/>
              </w:rPr>
              <w:t>。</w:t>
            </w:r>
          </w:p>
          <w:p>
            <w:pPr>
              <w:pStyle w:val="54"/>
              <w:bidi w:val="0"/>
              <w:rPr>
                <w:rFonts w:hint="eastAsia" w:eastAsia="宋体"/>
                <w:color w:val="auto"/>
                <w:lang w:val="en-US" w:eastAsia="zh-CN"/>
              </w:rPr>
            </w:pPr>
            <w:r>
              <w:rPr>
                <w:rFonts w:hint="eastAsia"/>
                <w:color w:val="auto"/>
                <w:lang w:val="en-US" w:eastAsia="zh-CN"/>
              </w:rPr>
              <w:t>3、“（十八）深化扬尘污染综合治理。鼓励经济发达地区5000平方米及以上建筑工地安装视频监控并接入当地监管平台；重点区域道路、水务等长距离线性工程实行分段施工。将防治扬尘污染费用纳入工程造价。到2025年，装配式建筑占新建建筑面积比例达30%；地级及以上城市建成区道路机械化清扫率达80%左右，县城达70%左右。对城市公共裸地进行排查建档并采取防尘措施。城市大型煤炭、矿石等干散货码头物料堆场基本完成抑尘设施建设和物料输送系统封闭改造。”</w:t>
            </w:r>
          </w:p>
          <w:p>
            <w:pPr>
              <w:pStyle w:val="54"/>
              <w:bidi w:val="0"/>
              <w:rPr>
                <w:color w:val="auto"/>
              </w:rPr>
            </w:pPr>
            <w:r>
              <w:rPr>
                <w:rFonts w:hint="eastAsia"/>
                <w:color w:val="auto"/>
                <w:lang w:val="en-US" w:eastAsia="zh-CN"/>
              </w:rPr>
              <w:t>本环评要求建设单位在施工期通过对施工用地边界设置施工围挡；土石方及散装物料装卸应尽可能降低落差、轻装慢卸，并在背风面进行，车辆应覆盖篷布，慢速行驶；施工场地、施工道路每天洒水4~5次，并及时清扫道路，碾压或覆盖裸露地表；易起尘物料应尽可能避免露天堆放，若露天堆放应加以覆盖；合理安排施工设备工作时间，并使用清洁燃油，减少施工设备废气的影响等措施降低施工工地扬尘对大气环境的影响。本项目占地面积为1698.6m</w:t>
            </w:r>
            <w:r>
              <w:rPr>
                <w:rFonts w:hint="eastAsia"/>
                <w:color w:val="auto"/>
                <w:vertAlign w:val="superscript"/>
                <w:lang w:val="en-US" w:eastAsia="zh-CN"/>
              </w:rPr>
              <w:t>2</w:t>
            </w:r>
            <w:r>
              <w:rPr>
                <w:rFonts w:hint="eastAsia"/>
                <w:color w:val="auto"/>
                <w:lang w:val="en-US" w:eastAsia="zh-CN"/>
              </w:rPr>
              <w:t>，小于3000m</w:t>
            </w:r>
            <w:r>
              <w:rPr>
                <w:rFonts w:hint="eastAsia"/>
                <w:color w:val="auto"/>
                <w:vertAlign w:val="superscript"/>
                <w:lang w:val="en-US" w:eastAsia="zh-CN"/>
              </w:rPr>
              <w:t>2</w:t>
            </w:r>
            <w:r>
              <w:rPr>
                <w:rFonts w:hint="eastAsia"/>
                <w:color w:val="auto"/>
                <w:vertAlign w:val="baseline"/>
                <w:lang w:val="en-US" w:eastAsia="zh-CN"/>
              </w:rPr>
              <w:t>，因此</w:t>
            </w:r>
            <w:r>
              <w:rPr>
                <w:rFonts w:hint="eastAsia"/>
                <w:color w:val="auto"/>
                <w:lang w:val="en-US" w:eastAsia="zh-CN"/>
              </w:rPr>
              <w:t>不需安装视频监控并接入当地监管平台。</w:t>
            </w:r>
          </w:p>
          <w:p>
            <w:pPr>
              <w:pStyle w:val="54"/>
              <w:bidi w:val="0"/>
              <w:rPr>
                <w:color w:val="auto"/>
              </w:rPr>
            </w:pPr>
            <w:r>
              <w:rPr>
                <w:rFonts w:hint="eastAsia"/>
                <w:color w:val="auto"/>
              </w:rPr>
              <w:t>综上所述，本项目符合《空气质量持续改善行动计划》的规定。</w:t>
            </w:r>
          </w:p>
          <w:p>
            <w:pPr>
              <w:pStyle w:val="54"/>
              <w:bidi w:val="0"/>
              <w:rPr>
                <w:rFonts w:hint="eastAsia"/>
                <w:color w:val="auto"/>
                <w:lang w:val="en-US" w:eastAsia="zh-CN"/>
              </w:rPr>
            </w:pPr>
            <w:r>
              <w:rPr>
                <w:rFonts w:hint="eastAsia"/>
                <w:b/>
                <w:bCs/>
                <w:color w:val="auto"/>
                <w:lang w:val="en-US" w:eastAsia="zh-CN"/>
              </w:rPr>
              <w:t>七、与《新疆维吾尔自治区2025年空气质量持续改善行动实施方案》的符合性分析</w:t>
            </w:r>
          </w:p>
          <w:p>
            <w:pPr>
              <w:pStyle w:val="54"/>
              <w:bidi w:val="0"/>
              <w:rPr>
                <w:rFonts w:hint="eastAsia"/>
                <w:color w:val="auto"/>
                <w:lang w:val="en-US" w:eastAsia="zh-CN"/>
              </w:rPr>
            </w:pPr>
            <w:r>
              <w:rPr>
                <w:rFonts w:hint="eastAsia"/>
                <w:color w:val="auto"/>
                <w:lang w:val="en-US" w:eastAsia="zh-CN"/>
              </w:rPr>
              <w:t>根据新疆维吾尔自治区人民政府办公厅 新疆生产建设兵团办公厅关于印发《新疆维吾尔自治区2025年空气质量持续改善行动实施方案》的通知（新政办发〔2024〕58号）：</w:t>
            </w:r>
          </w:p>
          <w:p>
            <w:pPr>
              <w:pStyle w:val="54"/>
              <w:bidi w:val="0"/>
              <w:rPr>
                <w:rFonts w:hint="default"/>
                <w:color w:val="auto"/>
                <w:lang w:val="en-US" w:eastAsia="zh-CN"/>
              </w:rPr>
            </w:pPr>
            <w:r>
              <w:rPr>
                <w:rFonts w:hint="eastAsia"/>
                <w:color w:val="auto"/>
                <w:lang w:val="en-US" w:eastAsia="zh-CN"/>
              </w:rPr>
              <w:t>1、“（一）坚决遏制高耗能、高排放、低水平项目盲目上马。新改扩建项目严格落实国家和自治区产业规划、产业政策、生态环境分区管控方案、规划环评、项目环评、节能审查、产能置换、重点污染物总量控制、污染物排放区域削减、碳排放达峰目标等相关要求，原则上采用清洁运输方式，达到能效标杆水平、环保绩效A级水平。涉及产能置换的项目，被置换产能及设备关停后，新建项目方可投产。”</w:t>
            </w:r>
          </w:p>
          <w:p>
            <w:pPr>
              <w:pStyle w:val="54"/>
              <w:bidi w:val="0"/>
              <w:rPr>
                <w:rFonts w:hint="default"/>
                <w:color w:val="auto"/>
                <w:lang w:val="en-US" w:eastAsia="zh-CN"/>
              </w:rPr>
            </w:pPr>
            <w:r>
              <w:rPr>
                <w:rFonts w:hint="eastAsia"/>
                <w:color w:val="auto"/>
                <w:lang w:val="en-US" w:eastAsia="zh-CN"/>
              </w:rPr>
              <w:t>本项目为复混肥料制造，不属于高耗能、高排放、低水平项目。本项目为新建项目，经分析本项目符合《产业结构调整指导目录（2024年本）》、《关于印发巴音郭楞蒙古自治州“三线一单”生态环境分区管控动态更新成果（2023年）的通知》（巴政办发〔2024〕32号）和《罗布泊盐化工工业园区总体规划环境影响跟踪评价报告书》的相关要求。</w:t>
            </w:r>
          </w:p>
          <w:p>
            <w:pPr>
              <w:pStyle w:val="54"/>
              <w:bidi w:val="0"/>
              <w:rPr>
                <w:rFonts w:hint="default"/>
                <w:color w:val="auto"/>
                <w:lang w:val="en-US" w:eastAsia="zh-CN"/>
              </w:rPr>
            </w:pPr>
            <w:r>
              <w:rPr>
                <w:rFonts w:hint="eastAsia"/>
                <w:color w:val="auto"/>
                <w:lang w:val="en-US" w:eastAsia="zh-CN"/>
              </w:rPr>
              <w:t>2、“（十三）持续强化扬尘污染综合管控。施工场地严格落实“六个百分百”要求。扬尘污染防治费用纳入工程造价，3000m</w:t>
            </w:r>
            <w:r>
              <w:rPr>
                <w:rFonts w:hint="eastAsia"/>
                <w:color w:val="auto"/>
                <w:vertAlign w:val="superscript"/>
                <w:lang w:val="en-US" w:eastAsia="zh-CN"/>
              </w:rPr>
              <w:t>2</w:t>
            </w:r>
            <w:r>
              <w:rPr>
                <w:rFonts w:hint="eastAsia"/>
                <w:color w:val="auto"/>
                <w:lang w:val="en-US" w:eastAsia="zh-CN"/>
              </w:rPr>
              <w:t>及以上建筑工地安装视频监控并接入当地监管平台。道路、水务等长距离线性工程实行分段施工。城市建成区主次干道机械化清扫率达到80%。加强城市及周边公共裸地、物料堆场等易产尘区域抑尘管理。到2025年，装配式建筑占新建建筑面积比例达到30%。”</w:t>
            </w:r>
          </w:p>
          <w:p>
            <w:pPr>
              <w:pStyle w:val="54"/>
              <w:bidi w:val="0"/>
              <w:rPr>
                <w:rFonts w:hint="default"/>
                <w:color w:val="auto"/>
                <w:lang w:val="en-US" w:eastAsia="zh-CN"/>
              </w:rPr>
            </w:pPr>
            <w:r>
              <w:rPr>
                <w:rFonts w:hint="eastAsia"/>
                <w:color w:val="auto"/>
                <w:lang w:val="en-US" w:eastAsia="zh-CN"/>
              </w:rPr>
              <w:t>本环评要求建设单位在施工期通过对施工用地边界设置施工围挡；土石方及散装物料装卸应尽可能降低落差、轻装慢卸，并在背风面进行，车辆应覆盖篷布，慢速行驶；施工场地、施工道路每天洒水4~5次，并及时清扫道路，碾压或覆盖裸露地表；易起尘物料应尽可能避免露天堆放，若露天堆放应加以覆盖；合理安排施工设备工作时间，并使用清洁燃油，减少施工设备废气的影响等措施降低施工工地扬尘对大气环境的影响。本项目占地面积为1698.6m</w:t>
            </w:r>
            <w:r>
              <w:rPr>
                <w:rFonts w:hint="eastAsia"/>
                <w:color w:val="auto"/>
                <w:vertAlign w:val="superscript"/>
                <w:lang w:val="en-US" w:eastAsia="zh-CN"/>
              </w:rPr>
              <w:t>2</w:t>
            </w:r>
            <w:r>
              <w:rPr>
                <w:rFonts w:hint="eastAsia"/>
                <w:color w:val="auto"/>
                <w:lang w:val="en-US" w:eastAsia="zh-CN"/>
              </w:rPr>
              <w:t>，小于3000m</w:t>
            </w:r>
            <w:r>
              <w:rPr>
                <w:rFonts w:hint="eastAsia"/>
                <w:color w:val="auto"/>
                <w:vertAlign w:val="superscript"/>
                <w:lang w:val="en-US" w:eastAsia="zh-CN"/>
              </w:rPr>
              <w:t>2</w:t>
            </w:r>
            <w:r>
              <w:rPr>
                <w:rFonts w:hint="eastAsia"/>
                <w:color w:val="auto"/>
                <w:vertAlign w:val="baseline"/>
                <w:lang w:val="en-US" w:eastAsia="zh-CN"/>
              </w:rPr>
              <w:t>，因此</w:t>
            </w:r>
            <w:r>
              <w:rPr>
                <w:rFonts w:hint="eastAsia"/>
                <w:color w:val="auto"/>
                <w:lang w:val="en-US" w:eastAsia="zh-CN"/>
              </w:rPr>
              <w:t>不需安装视频监控并接入当地监管平台。</w:t>
            </w:r>
          </w:p>
          <w:p>
            <w:pPr>
              <w:pStyle w:val="54"/>
              <w:bidi w:val="0"/>
              <w:rPr>
                <w:rFonts w:hint="eastAsia"/>
                <w:color w:val="auto"/>
                <w:lang w:val="en-US" w:eastAsia="zh-CN"/>
              </w:rPr>
            </w:pPr>
            <w:r>
              <w:rPr>
                <w:rFonts w:hint="eastAsia"/>
                <w:color w:val="auto"/>
                <w:lang w:val="en-US" w:eastAsia="zh-CN"/>
              </w:rPr>
              <w:t>综上所述，本项目符合《新疆维吾尔自治区2025年空气质量持续改善行动实施方案》的规定。</w:t>
            </w:r>
          </w:p>
          <w:p>
            <w:pPr>
              <w:pStyle w:val="54"/>
              <w:bidi w:val="0"/>
              <w:rPr>
                <w:rFonts w:hint="eastAsia"/>
                <w:color w:val="auto"/>
                <w:lang w:val="en-US" w:eastAsia="zh-CN"/>
              </w:rPr>
            </w:pPr>
            <w:r>
              <w:rPr>
                <w:rFonts w:hint="eastAsia"/>
                <w:b/>
                <w:bCs/>
                <w:color w:val="auto"/>
                <w:lang w:val="en-US" w:eastAsia="zh-CN"/>
              </w:rPr>
              <w:t>八、与《环境空气细颗粒物污染综合防治技术政策》的符合性分析</w:t>
            </w:r>
          </w:p>
          <w:p>
            <w:pPr>
              <w:pStyle w:val="54"/>
              <w:bidi w:val="0"/>
              <w:rPr>
                <w:rFonts w:hint="eastAsia"/>
                <w:color w:val="auto"/>
                <w:lang w:val="en-US" w:eastAsia="zh-CN"/>
              </w:rPr>
            </w:pPr>
            <w:r>
              <w:rPr>
                <w:rFonts w:hint="eastAsia"/>
                <w:color w:val="auto"/>
                <w:lang w:val="en-US" w:eastAsia="zh-CN"/>
              </w:rPr>
              <w:t>根据《环境空气细颗粒物污染综合防治技术政策》的规定：</w:t>
            </w:r>
          </w:p>
          <w:p>
            <w:pPr>
              <w:pStyle w:val="54"/>
              <w:bidi w:val="0"/>
              <w:rPr>
                <w:rFonts w:hint="default"/>
                <w:color w:val="auto"/>
                <w:lang w:val="en-US" w:eastAsia="zh-CN"/>
              </w:rPr>
            </w:pPr>
            <w:r>
              <w:rPr>
                <w:rFonts w:hint="eastAsia"/>
                <w:color w:val="auto"/>
                <w:lang w:val="en-US" w:eastAsia="zh-CN"/>
              </w:rPr>
              <w:t>1、“（十一）应加强对各类污染源的监管，确保污染治理设施稳定运行，切实落实企业环保责任。鼓励采用低能耗、低污染的生产工艺，提高各个行业的清洁生产水平，降低污染物产生量。”</w:t>
            </w:r>
          </w:p>
          <w:p>
            <w:pPr>
              <w:pStyle w:val="54"/>
              <w:bidi w:val="0"/>
              <w:rPr>
                <w:rFonts w:hint="eastAsia"/>
                <w:color w:val="auto"/>
                <w:lang w:val="en-US" w:eastAsia="zh-CN"/>
              </w:rPr>
            </w:pPr>
            <w:r>
              <w:rPr>
                <w:rFonts w:hint="eastAsia"/>
                <w:color w:val="auto"/>
                <w:lang w:val="en-US" w:eastAsia="zh-CN"/>
              </w:rPr>
              <w:t>本项目投料工段在投料口处设计了三面封闭的投料斗，投料斗顶部设计有集气罩，侧面有吸尘管，集气罩吸尘管连接到高效脉冲布袋除尘器对产生的粉尘进行处理后通过1根DA001高度为15m的排气筒排放；磨粉工段产生的粉尘经6台高效脉冲布袋除尘器除尘后通过1根DA002高度为15m的排气筒排放；包装工段以每两台包装机共用一个除尘装置，在包装机易泄露粉尘的位置设计多个吸尘口，1#和2#包装机产生的粉尘通过收集经高效脉冲布袋除尘器处理后通过1根DA003高度为15m的排气筒排放；3#、4#、5#和6#包装机产生的粉尘通过收集经高效脉冲布袋除尘器处理后通过1根DA004高度为15m的排气筒排放。污染物可满足《大气污染物综合排放标准》（GB 16297-1996）中排放限值要求。</w:t>
            </w:r>
          </w:p>
          <w:p>
            <w:pPr>
              <w:pStyle w:val="54"/>
              <w:bidi w:val="0"/>
              <w:rPr>
                <w:rFonts w:hint="default"/>
                <w:color w:val="auto"/>
                <w:lang w:val="en-US" w:eastAsia="zh-CN"/>
              </w:rPr>
            </w:pPr>
            <w:r>
              <w:rPr>
                <w:rFonts w:hint="eastAsia"/>
                <w:color w:val="auto"/>
                <w:lang w:val="en-US" w:eastAsia="zh-CN"/>
              </w:rPr>
              <w:t>2、“有组织排放颗粒物（烟、粉尘）污染防治技术，包括袋式除尘、湿式电除尘技术、电袋复合除尘技术。”</w:t>
            </w:r>
          </w:p>
          <w:p>
            <w:pPr>
              <w:pStyle w:val="54"/>
              <w:bidi w:val="0"/>
              <w:rPr>
                <w:rFonts w:hint="default"/>
                <w:color w:val="auto"/>
                <w:lang w:val="en-US" w:eastAsia="zh-CN"/>
              </w:rPr>
            </w:pPr>
            <w:r>
              <w:rPr>
                <w:rFonts w:hint="eastAsia"/>
                <w:color w:val="auto"/>
                <w:lang w:val="en-US" w:eastAsia="zh-CN"/>
              </w:rPr>
              <w:t>本项目有组织颗粒物采取高效脉冲布袋除尘器进行处理后达标排放。</w:t>
            </w:r>
          </w:p>
          <w:p>
            <w:pPr>
              <w:pStyle w:val="54"/>
              <w:bidi w:val="0"/>
              <w:rPr>
                <w:rFonts w:hint="eastAsia"/>
                <w:color w:val="auto"/>
                <w:lang w:val="en-US" w:eastAsia="zh-CN"/>
              </w:rPr>
            </w:pPr>
            <w:r>
              <w:rPr>
                <w:rFonts w:hint="eastAsia"/>
                <w:color w:val="auto"/>
                <w:lang w:val="en-US" w:eastAsia="zh-CN"/>
              </w:rPr>
              <w:t>综上所述，本项目符合《环境空气细颗粒物污染综合防治技术政策》的规定。</w:t>
            </w:r>
          </w:p>
          <w:p>
            <w:pPr>
              <w:pStyle w:val="54"/>
              <w:bidi w:val="0"/>
              <w:rPr>
                <w:rFonts w:hint="default"/>
                <w:color w:val="auto"/>
                <w:lang w:val="en-US" w:eastAsia="zh-CN"/>
              </w:rPr>
            </w:pPr>
            <w:r>
              <w:rPr>
                <w:rFonts w:hint="eastAsia"/>
                <w:b/>
                <w:bCs/>
                <w:color w:val="auto"/>
                <w:lang w:val="en-US" w:eastAsia="zh-CN"/>
              </w:rPr>
              <w:t>九、选址的符合性分析</w:t>
            </w:r>
          </w:p>
          <w:p>
            <w:pPr>
              <w:pStyle w:val="54"/>
              <w:bidi w:val="0"/>
              <w:rPr>
                <w:rFonts w:hint="eastAsia"/>
                <w:color w:val="auto"/>
                <w:lang w:val="en-US" w:eastAsia="zh-CN"/>
              </w:rPr>
            </w:pPr>
            <w:r>
              <w:rPr>
                <w:rFonts w:hint="eastAsia"/>
                <w:color w:val="auto"/>
                <w:lang w:val="en-US" w:eastAsia="zh-CN"/>
              </w:rPr>
              <w:t>本项目位于</w:t>
            </w:r>
            <w:r>
              <w:rPr>
                <w:rFonts w:hint="eastAsia" w:cs="Times New Roman"/>
                <w:color w:val="auto"/>
                <w:sz w:val="24"/>
                <w:szCs w:val="24"/>
                <w:highlight w:val="none"/>
                <w:lang w:val="en-US" w:eastAsia="zh-CN"/>
              </w:rPr>
              <w:t>新疆巴音郭楞蒙古自治州若羌县罗布泊盐湖罗中生产基地</w:t>
            </w:r>
            <w:r>
              <w:rPr>
                <w:rFonts w:hint="eastAsia"/>
                <w:color w:val="auto"/>
                <w:lang w:val="en-US" w:eastAsia="zh-CN"/>
              </w:rPr>
              <w:t>，罗布泊盐湖位于新疆维吾尔自治区巴音郭楞蒙古自治州境内，行政区划属若羌县罗布泊镇管辖。其东北距哈密市383km，西距库尔勒542km，东距敦煌市470km。硫酸钾速溶肥工程东北距规划的罗布泊镇约1.5公里，哈罗若公路北侧。</w:t>
            </w:r>
          </w:p>
          <w:p>
            <w:pPr>
              <w:pStyle w:val="54"/>
              <w:bidi w:val="0"/>
              <w:rPr>
                <w:rFonts w:hint="eastAsia"/>
                <w:color w:val="auto"/>
                <w:lang w:val="en-US" w:eastAsia="zh-CN"/>
              </w:rPr>
            </w:pPr>
            <w:r>
              <w:rPr>
                <w:rFonts w:hint="eastAsia"/>
                <w:color w:val="auto"/>
                <w:lang w:val="en-US" w:eastAsia="zh-CN"/>
              </w:rPr>
              <w:t>哈罗公路从碳酸锂生产装置东南侧约1.5km处经过，碳酸锂产品通过硫酸钾厂成品运输道路和罗钾试验厂西侧主干道一路向南可接至哈罗公路。哈罗公路继续朝东北约410km可至哈密市；哈罗公路朝西南延伸段则为罗若公路，约330km可至若羌县。</w:t>
            </w:r>
          </w:p>
          <w:p>
            <w:pPr>
              <w:pStyle w:val="54"/>
              <w:bidi w:val="0"/>
              <w:rPr>
                <w:rFonts w:hint="eastAsia"/>
                <w:color w:val="auto"/>
                <w:lang w:val="en-US" w:eastAsia="zh-CN"/>
              </w:rPr>
            </w:pPr>
            <w:r>
              <w:rPr>
                <w:rFonts w:hint="eastAsia"/>
                <w:color w:val="auto"/>
                <w:lang w:val="en-US" w:eastAsia="zh-CN"/>
              </w:rPr>
              <w:t>根据厂址选址原则，经实地考察并经比较，项目建在</w:t>
            </w:r>
            <w:r>
              <w:rPr>
                <w:rFonts w:hint="eastAsia" w:cs="Times New Roman"/>
                <w:color w:val="auto"/>
                <w:sz w:val="24"/>
                <w:szCs w:val="24"/>
                <w:highlight w:val="none"/>
                <w:lang w:val="en-US" w:eastAsia="zh-CN"/>
              </w:rPr>
              <w:t>新疆巴音郭楞蒙古自治州若羌县罗布泊盐湖罗中生产基地</w:t>
            </w:r>
            <w:r>
              <w:rPr>
                <w:rFonts w:hint="eastAsia"/>
                <w:color w:val="auto"/>
                <w:lang w:val="en-US" w:eastAsia="zh-CN"/>
              </w:rPr>
              <w:t>，土地利用性质为工业用地。所处地理位置优越，与上下游关联联系紧密。厂区周围无居住区，安全区域大，有利于生产厂房的安全，现有道路设施完善。</w:t>
            </w:r>
          </w:p>
          <w:p>
            <w:pPr>
              <w:pStyle w:val="54"/>
              <w:bidi w:val="0"/>
              <w:rPr>
                <w:rFonts w:hint="eastAsia"/>
                <w:color w:val="auto"/>
                <w:lang w:val="en-US" w:eastAsia="zh-CN"/>
              </w:rPr>
            </w:pPr>
            <w:r>
              <w:rPr>
                <w:rFonts w:hint="default"/>
                <w:color w:val="auto"/>
                <w:lang w:val="en-US" w:eastAsia="zh-CN"/>
              </w:rPr>
              <w:t>本项目</w:t>
            </w:r>
            <w:r>
              <w:rPr>
                <w:rFonts w:hint="eastAsia"/>
                <w:color w:val="auto"/>
                <w:lang w:val="en-US" w:eastAsia="zh-CN"/>
              </w:rPr>
              <w:t>选址</w:t>
            </w:r>
            <w:r>
              <w:rPr>
                <w:rFonts w:hint="default"/>
                <w:color w:val="auto"/>
                <w:lang w:val="en-US" w:eastAsia="zh-CN"/>
              </w:rPr>
              <w:t>符合《关于印发巴音郭楞蒙古自治州“三线一单”生态环境分区管控动态更新成果（2023年）的通知》（巴政办发〔2024〕32号）的相关管控要求</w:t>
            </w:r>
            <w:r>
              <w:rPr>
                <w:rFonts w:hint="eastAsia"/>
                <w:color w:val="auto"/>
                <w:lang w:val="en-US" w:eastAsia="zh-CN"/>
              </w:rPr>
              <w:t>，</w:t>
            </w:r>
            <w:r>
              <w:rPr>
                <w:rFonts w:hint="default"/>
                <w:color w:val="auto"/>
                <w:lang w:val="en-US" w:eastAsia="zh-CN"/>
              </w:rPr>
              <w:t>综上所述，</w:t>
            </w:r>
            <w:r>
              <w:rPr>
                <w:rFonts w:hint="eastAsia"/>
                <w:color w:val="auto"/>
                <w:lang w:val="en-US" w:eastAsia="zh-CN"/>
              </w:rPr>
              <w:t>本项目选址符合相关要求，</w:t>
            </w:r>
            <w:r>
              <w:rPr>
                <w:rFonts w:hint="default"/>
                <w:color w:val="auto"/>
                <w:lang w:val="en-US" w:eastAsia="zh-CN"/>
              </w:rPr>
              <w:t>可满足本项目的建设及运营需求</w:t>
            </w:r>
            <w:r>
              <w:rPr>
                <w:rFonts w:hint="eastAsia"/>
                <w:color w:val="auto"/>
                <w:lang w:val="en-US" w:eastAsia="zh-CN"/>
              </w:rPr>
              <w:t>。</w:t>
            </w:r>
          </w:p>
          <w:p>
            <w:pPr>
              <w:pStyle w:val="54"/>
              <w:bidi w:val="0"/>
              <w:rPr>
                <w:rFonts w:hint="default"/>
                <w:color w:val="auto"/>
                <w:lang w:val="en-US" w:eastAsia="zh-CN"/>
              </w:rPr>
            </w:pPr>
            <w:r>
              <w:rPr>
                <w:rFonts w:hint="eastAsia"/>
                <w:b/>
                <w:bCs/>
                <w:color w:val="auto"/>
                <w:lang w:val="en-US" w:eastAsia="zh-CN"/>
              </w:rPr>
              <w:t>十、总平面布置的合理性分析</w:t>
            </w:r>
          </w:p>
          <w:p>
            <w:pPr>
              <w:pStyle w:val="54"/>
              <w:bidi w:val="0"/>
              <w:rPr>
                <w:rFonts w:hint="eastAsia"/>
                <w:color w:val="auto"/>
                <w:lang w:val="en-US" w:eastAsia="zh-CN"/>
              </w:rPr>
            </w:pPr>
            <w:r>
              <w:rPr>
                <w:rFonts w:hint="eastAsia"/>
                <w:color w:val="auto"/>
                <w:lang w:val="en-US" w:eastAsia="zh-CN"/>
              </w:rPr>
              <w:t>本项目位于罗布泊盐湖罗中生产基地，当地主导风向为东北风，厂区内无环境敏感保护目标。</w:t>
            </w:r>
          </w:p>
          <w:p>
            <w:pPr>
              <w:pStyle w:val="54"/>
              <w:bidi w:val="0"/>
              <w:rPr>
                <w:rFonts w:hint="eastAsia"/>
                <w:color w:val="auto"/>
                <w:lang w:val="en-US" w:eastAsia="zh-CN"/>
              </w:rPr>
            </w:pPr>
            <w:r>
              <w:rPr>
                <w:rFonts w:hint="eastAsia"/>
                <w:color w:val="auto"/>
                <w:lang w:val="en-US" w:eastAsia="zh-CN"/>
              </w:rPr>
              <w:t>本项目总平面布置明确功能分区，可分为生产区、辅助生产区。</w:t>
            </w:r>
          </w:p>
          <w:p>
            <w:pPr>
              <w:pStyle w:val="54"/>
              <w:bidi w:val="0"/>
              <w:rPr>
                <w:rFonts w:hint="eastAsia"/>
                <w:color w:val="auto"/>
                <w:lang w:val="en-US" w:eastAsia="zh-CN"/>
              </w:rPr>
            </w:pPr>
            <w:r>
              <w:rPr>
                <w:rFonts w:hint="eastAsia"/>
                <w:color w:val="auto"/>
                <w:lang w:val="en-US" w:eastAsia="zh-CN"/>
              </w:rPr>
              <w:t>（1）生产区：一座生产厂房，厂房内北面为包装车间，东侧为机柜间，西南侧为粉碎机间。</w:t>
            </w:r>
          </w:p>
          <w:p>
            <w:pPr>
              <w:pStyle w:val="54"/>
              <w:bidi w:val="0"/>
              <w:rPr>
                <w:rFonts w:hint="eastAsia"/>
                <w:color w:val="auto"/>
                <w:lang w:val="en-US" w:eastAsia="zh-CN"/>
              </w:rPr>
            </w:pPr>
            <w:r>
              <w:rPr>
                <w:rFonts w:hint="eastAsia"/>
                <w:color w:val="auto"/>
                <w:lang w:val="en-US" w:eastAsia="zh-CN"/>
              </w:rPr>
              <w:t>（2）辅助生产区：在厂房北侧设置一座变配电间，厂房南侧设置一间控制室，包装车间东侧设置休息间。</w:t>
            </w:r>
          </w:p>
          <w:p>
            <w:pPr>
              <w:pStyle w:val="54"/>
              <w:bidi w:val="0"/>
              <w:rPr>
                <w:rFonts w:hint="eastAsia"/>
                <w:color w:val="auto"/>
                <w:lang w:val="en-US" w:eastAsia="zh-CN"/>
              </w:rPr>
            </w:pPr>
            <w:r>
              <w:rPr>
                <w:rFonts w:hint="eastAsia"/>
                <w:color w:val="auto"/>
                <w:lang w:val="en-US" w:eastAsia="zh-CN"/>
              </w:rPr>
              <w:t>本项目主要生产设备包括磨粉机、包装机、码垛机，公用工程设备为除尘器，以上设备均布置在单层厂房内。工艺衔接流畅，物料流向合理。</w:t>
            </w: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rPr>
                <w:rFonts w:hint="eastAsia"/>
                <w:color w:val="auto"/>
                <w:lang w:val="en-US" w:eastAsia="zh-CN"/>
              </w:rPr>
            </w:pPr>
          </w:p>
          <w:p>
            <w:pPr>
              <w:pStyle w:val="54"/>
              <w:bidi w:val="0"/>
              <w:ind w:left="0" w:leftChars="0" w:firstLine="0" w:firstLineChars="0"/>
              <w:rPr>
                <w:rFonts w:hint="eastAsia"/>
                <w:color w:val="auto"/>
                <w:lang w:val="en-US" w:eastAsia="zh-CN"/>
              </w:rPr>
            </w:pPr>
          </w:p>
          <w:p>
            <w:pPr>
              <w:pStyle w:val="54"/>
              <w:bidi w:val="0"/>
              <w:rPr>
                <w:rFonts w:hint="eastAsia"/>
                <w:color w:val="auto"/>
                <w:lang w:val="en-US" w:eastAsia="zh-CN"/>
              </w:rPr>
            </w:pPr>
          </w:p>
        </w:tc>
      </w:tr>
    </w:tbl>
    <w:p>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6"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建设内容</w:t>
            </w:r>
          </w:p>
        </w:tc>
        <w:tc>
          <w:tcPr>
            <w:tcW w:w="7798" w:type="dxa"/>
            <w:noWrap w:val="0"/>
            <w:vAlign w:val="top"/>
          </w:tcPr>
          <w:p>
            <w:pPr>
              <w:pStyle w:val="54"/>
              <w:bidi w:val="0"/>
              <w:rPr>
                <w:rFonts w:hint="eastAsia"/>
                <w:color w:val="auto"/>
                <w:lang w:val="en-US" w:eastAsia="zh-CN"/>
              </w:rPr>
            </w:pPr>
            <w:r>
              <w:rPr>
                <w:rFonts w:hint="eastAsia"/>
                <w:b/>
                <w:bCs/>
                <w:color w:val="auto"/>
                <w:lang w:val="en-US" w:eastAsia="zh-CN"/>
              </w:rPr>
              <w:t>一、建设项目的背景</w:t>
            </w:r>
          </w:p>
          <w:p>
            <w:pPr>
              <w:pStyle w:val="54"/>
              <w:bidi w:val="0"/>
              <w:rPr>
                <w:rFonts w:hint="eastAsia"/>
                <w:color w:val="auto"/>
                <w:lang w:val="en-US" w:eastAsia="zh-CN"/>
              </w:rPr>
            </w:pPr>
            <w:r>
              <w:rPr>
                <w:rFonts w:hint="eastAsia"/>
                <w:color w:val="auto"/>
                <w:lang w:val="en-US" w:eastAsia="zh-CN"/>
              </w:rPr>
              <w:t>水溶肥是与水肥一体化相配套，经水溶解或稀释，用于灌溉施肥、叶面施肥、无土栽培、浸种蘸根等，水溶性在95%以上的液体或固体肥料。水溶肥主要由氮、磷、钾等单质肥按一定配方配制而成，其特点是养分浓度高、组分全溶解，不会造成滴灌带微孔的阻塞。同时根据各地不同的土壤类型以及不同作物的需肥规律科学配制，此外还可掺进中微量元素、氨基酸、腐植酸、增效剂等物质，使其具有多种用途。水溶肥总养分含量一般高达40~60%，而且含有氮、磷、钾、钙，镁、硫、铁、硼等多种营养元素，氮肥利用率达58~65%，磷肥利用率达22~28%，较常规灌溉施肥的氮、磷肥利用率提高20~25个百分点和5~10个百分点，节省氮肥30%左右，节省磷肥10%左右，节水50%以上。水溶肥能够达到稳定农作物的产量，改善农产品品质，提高种植效益的效果，深受种植者欢迎。水溶肥作为一种与节水灌溉农业、立体高效栽培、高产优质栽培技术相配套产生的一类新型肥料，与喷滴灌相结合，实现水肥一体化，既能节约水资源，又能提高肥料利用率，促进种植者增收节支、保护环境，是肥料未来发展的重要方向之一。</w:t>
            </w:r>
          </w:p>
          <w:p>
            <w:pPr>
              <w:pStyle w:val="54"/>
              <w:bidi w:val="0"/>
              <w:rPr>
                <w:rFonts w:hint="default"/>
                <w:color w:val="auto"/>
                <w:lang w:val="en-US" w:eastAsia="zh-CN"/>
              </w:rPr>
            </w:pPr>
            <w:r>
              <w:rPr>
                <w:rFonts w:hint="eastAsia"/>
                <w:color w:val="auto"/>
                <w:lang w:val="en-US" w:eastAsia="zh-CN"/>
              </w:rPr>
              <w:t>国</w:t>
            </w:r>
            <w:r>
              <w:rPr>
                <w:rFonts w:hint="default"/>
                <w:color w:val="auto"/>
                <w:lang w:val="en-US" w:eastAsia="zh-CN"/>
              </w:rPr>
              <w:t>投新疆锂业有限公司成立于2014年10月28日，股东为国投新疆罗布泊钾盐有限责任公司（以下简称国投罗钾），出资比例100%，为国投罗钾的全资子公司。</w:t>
            </w:r>
            <w:r>
              <w:rPr>
                <w:rFonts w:hint="eastAsia"/>
                <w:color w:val="auto"/>
                <w:lang w:val="en-US" w:eastAsia="zh-CN"/>
              </w:rPr>
              <w:t>国</w:t>
            </w:r>
            <w:r>
              <w:rPr>
                <w:rFonts w:hint="default"/>
                <w:color w:val="auto"/>
                <w:lang w:val="en-US" w:eastAsia="zh-CN"/>
              </w:rPr>
              <w:t>投新疆罗布泊钾盐有限责任公司（以下简称</w:t>
            </w:r>
            <w:r>
              <w:rPr>
                <w:rFonts w:hint="eastAsia"/>
                <w:color w:val="auto"/>
                <w:lang w:val="en-US" w:eastAsia="zh-CN"/>
              </w:rPr>
              <w:t>“</w:t>
            </w:r>
            <w:r>
              <w:rPr>
                <w:rFonts w:hint="default"/>
                <w:color w:val="auto"/>
                <w:lang w:val="en-US" w:eastAsia="zh-CN"/>
              </w:rPr>
              <w:t>国投罗钾</w:t>
            </w:r>
            <w:r>
              <w:rPr>
                <w:rFonts w:hint="eastAsia"/>
                <w:color w:val="auto"/>
                <w:lang w:val="en-US" w:eastAsia="zh-CN"/>
              </w:rPr>
              <w:t>”</w:t>
            </w:r>
            <w:r>
              <w:rPr>
                <w:rFonts w:hint="default"/>
                <w:color w:val="auto"/>
                <w:lang w:val="en-US" w:eastAsia="zh-CN"/>
              </w:rPr>
              <w:t>）成立于2000年9月，2004年成为国家开发投资公司的控股企业，国投罗钾现有资产总额69亿元，以开发罗布泊天然卤水资源制取硫酸钾为主业。</w:t>
            </w:r>
          </w:p>
          <w:p>
            <w:pPr>
              <w:pStyle w:val="54"/>
              <w:bidi w:val="0"/>
              <w:rPr>
                <w:rFonts w:hint="eastAsia"/>
                <w:color w:val="auto"/>
                <w:lang w:val="en-US" w:eastAsia="zh-CN"/>
              </w:rPr>
            </w:pPr>
            <w:r>
              <w:rPr>
                <w:rFonts w:hint="eastAsia"/>
                <w:color w:val="auto"/>
                <w:lang w:val="en-US" w:eastAsia="zh-CN"/>
              </w:rPr>
              <w:t>国</w:t>
            </w:r>
            <w:r>
              <w:rPr>
                <w:rFonts w:hint="default"/>
                <w:color w:val="auto"/>
                <w:lang w:val="en-US" w:eastAsia="zh-CN"/>
              </w:rPr>
              <w:t>投新疆锂业有限公司</w:t>
            </w:r>
            <w:r>
              <w:rPr>
                <w:rFonts w:hint="eastAsia"/>
                <w:color w:val="auto"/>
                <w:lang w:val="en-US" w:eastAsia="zh-CN"/>
              </w:rPr>
              <w:t>拟投资2500万元在罗布泊盐湖罗中生产基地建设一条速溶型硫酸钾系列产品生产线项目，建设完成后，达到600吨/天（15万吨/年）速溶型硫酸钾系列产品生产能力。</w:t>
            </w:r>
          </w:p>
          <w:p>
            <w:pPr>
              <w:pStyle w:val="54"/>
              <w:bidi w:val="0"/>
              <w:rPr>
                <w:rFonts w:hint="default"/>
                <w:color w:val="auto"/>
                <w:lang w:val="en-US" w:eastAsia="zh-CN"/>
              </w:rPr>
            </w:pPr>
            <w:r>
              <w:rPr>
                <w:rFonts w:hint="eastAsia"/>
                <w:b/>
                <w:bCs/>
                <w:color w:val="auto"/>
                <w:lang w:val="en-US" w:eastAsia="zh-CN"/>
              </w:rPr>
              <w:t>二、建设项目的概况及建设内容</w:t>
            </w:r>
          </w:p>
          <w:p>
            <w:pPr>
              <w:pStyle w:val="54"/>
              <w:bidi w:val="0"/>
              <w:rPr>
                <w:rFonts w:hint="default"/>
                <w:color w:val="auto"/>
                <w:lang w:val="en-US" w:eastAsia="zh-CN"/>
              </w:rPr>
            </w:pPr>
            <w:r>
              <w:rPr>
                <w:rFonts w:hint="eastAsia"/>
                <w:color w:val="auto"/>
                <w:lang w:val="en-US" w:eastAsia="zh-CN"/>
              </w:rPr>
              <w:t>1、项目名称：国投新疆锂业有限公司年产15万吨速溶型硫酸钾项目</w:t>
            </w:r>
          </w:p>
          <w:p>
            <w:pPr>
              <w:pStyle w:val="54"/>
              <w:bidi w:val="0"/>
              <w:rPr>
                <w:rFonts w:hint="eastAsia"/>
                <w:color w:val="auto"/>
                <w:lang w:val="en-US" w:eastAsia="zh-CN"/>
              </w:rPr>
            </w:pPr>
            <w:r>
              <w:rPr>
                <w:rFonts w:hint="default"/>
                <w:color w:val="auto"/>
                <w:lang w:val="en-US" w:eastAsia="zh-CN"/>
              </w:rPr>
              <w:t>2、</w:t>
            </w:r>
            <w:r>
              <w:rPr>
                <w:rFonts w:hint="eastAsia"/>
                <w:color w:val="auto"/>
                <w:lang w:val="en-US" w:eastAsia="zh-CN"/>
              </w:rPr>
              <w:t>项目建设单位：国投新疆锂业有限公司</w:t>
            </w:r>
          </w:p>
          <w:p>
            <w:pPr>
              <w:pStyle w:val="54"/>
              <w:bidi w:val="0"/>
              <w:rPr>
                <w:rFonts w:hint="default"/>
                <w:color w:val="auto"/>
                <w:lang w:val="en-US" w:eastAsia="zh-CN"/>
              </w:rPr>
            </w:pPr>
            <w:r>
              <w:rPr>
                <w:rFonts w:hint="eastAsia"/>
                <w:color w:val="auto"/>
                <w:lang w:val="en-US" w:eastAsia="zh-CN"/>
              </w:rPr>
              <w:t>3、项目建设性质：新建</w:t>
            </w:r>
          </w:p>
          <w:p>
            <w:pPr>
              <w:pStyle w:val="54"/>
              <w:bidi w:val="0"/>
              <w:rPr>
                <w:rFonts w:hint="default"/>
                <w:color w:val="auto"/>
                <w:lang w:val="en-US" w:eastAsia="zh-CN"/>
              </w:rPr>
            </w:pPr>
            <w:r>
              <w:rPr>
                <w:rFonts w:hint="eastAsia"/>
                <w:color w:val="auto"/>
                <w:lang w:val="en-US" w:eastAsia="zh-CN"/>
              </w:rPr>
              <w:t>4</w:t>
            </w:r>
            <w:r>
              <w:rPr>
                <w:rFonts w:hint="default"/>
                <w:color w:val="auto"/>
                <w:lang w:val="en-US" w:eastAsia="zh-CN"/>
              </w:rPr>
              <w:t>、</w:t>
            </w:r>
            <w:r>
              <w:rPr>
                <w:rFonts w:hint="eastAsia"/>
                <w:color w:val="auto"/>
                <w:lang w:val="en-US" w:eastAsia="zh-CN"/>
              </w:rPr>
              <w:t>项目建设地点：</w:t>
            </w:r>
            <w:r>
              <w:rPr>
                <w:rFonts w:hint="eastAsia" w:cs="Times New Roman"/>
                <w:color w:val="auto"/>
                <w:sz w:val="24"/>
                <w:szCs w:val="24"/>
                <w:highlight w:val="none"/>
                <w:lang w:val="en-US" w:eastAsia="zh-CN"/>
              </w:rPr>
              <w:t>新疆巴音郭楞蒙古自治州若羌县罗布泊盐湖罗中生产基地</w:t>
            </w:r>
          </w:p>
          <w:p>
            <w:pPr>
              <w:pStyle w:val="54"/>
              <w:bidi w:val="0"/>
              <w:rPr>
                <w:rFonts w:hint="eastAsia"/>
                <w:color w:val="auto"/>
                <w:lang w:val="en-US" w:eastAsia="zh-CN"/>
              </w:rPr>
            </w:pPr>
            <w:r>
              <w:rPr>
                <w:rFonts w:hint="eastAsia"/>
                <w:color w:val="auto"/>
                <w:lang w:val="en-US" w:eastAsia="zh-CN"/>
              </w:rPr>
              <w:t>5</w:t>
            </w:r>
            <w:r>
              <w:rPr>
                <w:rFonts w:hint="default"/>
                <w:color w:val="auto"/>
                <w:lang w:val="en-US" w:eastAsia="zh-CN"/>
              </w:rPr>
              <w:t>、</w:t>
            </w:r>
            <w:r>
              <w:rPr>
                <w:rFonts w:hint="eastAsia"/>
                <w:color w:val="auto"/>
                <w:lang w:val="en-US" w:eastAsia="zh-CN"/>
              </w:rPr>
              <w:t>项目建设内容：</w:t>
            </w:r>
          </w:p>
          <w:p>
            <w:pPr>
              <w:pStyle w:val="54"/>
              <w:bidi w:val="0"/>
              <w:rPr>
                <w:rFonts w:hint="default" w:ascii="Times New Roman" w:hAnsi="Times New Roman" w:eastAsia="宋体" w:cs="Times New Roman"/>
                <w:color w:val="auto"/>
                <w:szCs w:val="24"/>
                <w:lang w:val="en-US" w:eastAsia="zh-CN"/>
              </w:rPr>
            </w:pPr>
            <w:r>
              <w:rPr>
                <w:rFonts w:hint="eastAsia"/>
                <w:color w:val="auto"/>
                <w:lang w:val="en-US" w:eastAsia="zh-CN"/>
              </w:rPr>
              <w:t>国</w:t>
            </w:r>
            <w:r>
              <w:rPr>
                <w:rFonts w:hint="default"/>
                <w:color w:val="auto"/>
                <w:lang w:val="en-US" w:eastAsia="zh-CN"/>
              </w:rPr>
              <w:t>投新疆锂业有限公司</w:t>
            </w:r>
            <w:r>
              <w:rPr>
                <w:rFonts w:hint="eastAsia"/>
                <w:color w:val="auto"/>
                <w:lang w:val="en-US" w:eastAsia="zh-CN"/>
              </w:rPr>
              <w:t>拟投资2500万元在罗布泊盐湖罗中生产基地建设一条速溶型硫酸钾系列产品生产线项目，建设完成后，达到600吨/天（15万吨/年）速溶型硫酸钾系列产品生产能力。</w:t>
            </w:r>
            <w:r>
              <w:rPr>
                <w:rFonts w:hint="default"/>
                <w:color w:val="auto"/>
                <w:lang w:val="en-US" w:eastAsia="zh-CN"/>
              </w:rPr>
              <w:t>主要工程内容见表</w:t>
            </w:r>
            <w:r>
              <w:rPr>
                <w:rFonts w:hint="eastAsia"/>
                <w:color w:val="auto"/>
                <w:lang w:val="en-US" w:eastAsia="zh-CN"/>
              </w:rPr>
              <w:t>2-1</w:t>
            </w:r>
            <w:r>
              <w:rPr>
                <w:rFonts w:hint="default"/>
                <w:color w:val="auto"/>
                <w:lang w:val="en-US" w:eastAsia="zh-CN"/>
              </w:rPr>
              <w:t>。</w:t>
            </w:r>
          </w:p>
          <w:p>
            <w:pPr>
              <w:pStyle w:val="26"/>
              <w:bidi w:val="0"/>
              <w:rPr>
                <w:rFonts w:hint="eastAsia" w:ascii="宋体" w:hAnsi="宋体" w:eastAsia="宋体" w:cs="宋体"/>
                <w:b/>
                <w:bCs/>
                <w:color w:val="auto"/>
                <w:szCs w:val="21"/>
                <w:lang w:val="en-US" w:eastAsia="zh-CN"/>
              </w:rPr>
            </w:pPr>
            <w:r>
              <w:rPr>
                <w:rFonts w:hint="default"/>
                <w:color w:val="auto"/>
                <w:lang w:val="en-US" w:eastAsia="zh-CN"/>
              </w:rPr>
              <w:t xml:space="preserve">表2-1 </w:t>
            </w:r>
            <w:r>
              <w:rPr>
                <w:rFonts w:hint="eastAsia"/>
                <w:color w:val="auto"/>
                <w:lang w:val="en-US" w:eastAsia="zh-CN"/>
              </w:rPr>
              <w:t xml:space="preserve"> 项目组成一览表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13"/>
              <w:gridCol w:w="4737"/>
              <w:gridCol w:w="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41" w:type="pct"/>
                  <w:gridSpan w:val="2"/>
                  <w:tcBorders>
                    <w:tl2br w:val="nil"/>
                    <w:tr2bl w:val="nil"/>
                  </w:tcBorders>
                  <w:vAlign w:val="center"/>
                </w:tcPr>
                <w:p>
                  <w:pPr>
                    <w:pStyle w:val="27"/>
                    <w:bidi w:val="0"/>
                    <w:rPr>
                      <w:rFonts w:hint="eastAsia"/>
                      <w:color w:val="auto"/>
                      <w:lang w:val="en-US" w:eastAsia="zh-CN"/>
                    </w:rPr>
                  </w:pPr>
                  <w:r>
                    <w:rPr>
                      <w:rFonts w:hint="eastAsia"/>
                      <w:color w:val="auto"/>
                      <w:lang w:val="en-US" w:eastAsia="zh-CN"/>
                    </w:rPr>
                    <w:t>项目组成</w:t>
                  </w:r>
                </w:p>
              </w:tc>
              <w:tc>
                <w:tcPr>
                  <w:tcW w:w="31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建设内容</w:t>
                  </w:r>
                </w:p>
              </w:tc>
              <w:tc>
                <w:tcPr>
                  <w:tcW w:w="421"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主体工程</w:t>
                  </w: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主生产厂房</w:t>
                  </w:r>
                </w:p>
              </w:tc>
              <w:tc>
                <w:tcPr>
                  <w:tcW w:w="3137" w:type="pct"/>
                  <w:tcBorders>
                    <w:tl2br w:val="nil"/>
                    <w:tr2bl w:val="nil"/>
                  </w:tcBorders>
                  <w:vAlign w:val="center"/>
                </w:tcPr>
                <w:p>
                  <w:pPr>
                    <w:pStyle w:val="27"/>
                    <w:bidi w:val="0"/>
                    <w:rPr>
                      <w:rFonts w:hint="default" w:eastAsia="宋体"/>
                      <w:color w:val="auto"/>
                      <w:lang w:val="en-US" w:eastAsia="zh-CN"/>
                    </w:rPr>
                  </w:pPr>
                  <w:r>
                    <w:rPr>
                      <w:rFonts w:hint="default" w:ascii="Times New Roman" w:hAnsi="Times New Roman" w:cs="Times New Roman"/>
                      <w:color w:val="auto"/>
                      <w:lang w:val="en-US" w:eastAsia="zh-CN"/>
                    </w:rPr>
                    <w:t>厂房尺寸</w:t>
                  </w:r>
                  <w:r>
                    <w:rPr>
                      <w:rFonts w:hint="eastAsia" w:cs="Times New Roman"/>
                      <w:color w:val="auto"/>
                      <w:lang w:val="en-US" w:eastAsia="zh-CN"/>
                    </w:rPr>
                    <w:t>为</w:t>
                  </w:r>
                  <w:r>
                    <w:rPr>
                      <w:rFonts w:hint="default" w:ascii="Times New Roman" w:hAnsi="Times New Roman" w:cs="Times New Roman"/>
                      <w:color w:val="auto"/>
                      <w:lang w:val="en-US" w:eastAsia="zh-CN"/>
                    </w:rPr>
                    <w:t>24×65m，</w:t>
                  </w:r>
                  <w:r>
                    <w:rPr>
                      <w:rFonts w:hint="eastAsia" w:ascii="Times New Roman" w:hAnsi="Times New Roman" w:cs="Times New Roman"/>
                      <w:color w:val="auto"/>
                      <w:lang w:val="en-US" w:eastAsia="zh-CN"/>
                    </w:rPr>
                    <w:t>包含包装间、机柜间</w:t>
                  </w:r>
                  <w:r>
                    <w:rPr>
                      <w:rFonts w:hint="eastAsia"/>
                      <w:color w:val="auto"/>
                      <w:lang w:eastAsia="zh-CN"/>
                    </w:rPr>
                    <w:t>。</w:t>
                  </w:r>
                  <w:r>
                    <w:rPr>
                      <w:rFonts w:hint="eastAsia"/>
                      <w:color w:val="auto"/>
                      <w:lang w:val="en-US" w:eastAsia="zh-CN"/>
                    </w:rPr>
                    <w:t>粉碎机区域做一密闭房间（粉碎机间），用于隔绝粉尘。北侧包装车间建筑面积120m</w:t>
                  </w:r>
                  <w:r>
                    <w:rPr>
                      <w:rFonts w:hint="eastAsia"/>
                      <w:color w:val="auto"/>
                      <w:vertAlign w:val="superscript"/>
                      <w:lang w:val="en-US" w:eastAsia="zh-CN"/>
                    </w:rPr>
                    <w:t>2</w:t>
                  </w:r>
                  <w:r>
                    <w:rPr>
                      <w:rFonts w:hint="eastAsia"/>
                      <w:color w:val="auto"/>
                      <w:lang w:val="en-US" w:eastAsia="zh-CN"/>
                    </w:rPr>
                    <w:t>，厂房内部机柜间建筑面积24m</w:t>
                  </w:r>
                  <w:r>
                    <w:rPr>
                      <w:rFonts w:hint="eastAsia"/>
                      <w:color w:val="auto"/>
                      <w:vertAlign w:val="superscript"/>
                      <w:lang w:val="en-US" w:eastAsia="zh-CN"/>
                    </w:rPr>
                    <w:t>2</w:t>
                  </w:r>
                  <w:r>
                    <w:rPr>
                      <w:rFonts w:hint="eastAsia"/>
                      <w:color w:val="auto"/>
                      <w:lang w:val="en-US" w:eastAsia="zh-CN"/>
                    </w:rPr>
                    <w:t>，隔离粉碎机间建筑面积360m</w:t>
                  </w:r>
                  <w:r>
                    <w:rPr>
                      <w:rFonts w:hint="eastAsia"/>
                      <w:color w:val="auto"/>
                      <w:vertAlign w:val="superscript"/>
                      <w:lang w:val="en-US" w:eastAsia="zh-CN"/>
                    </w:rPr>
                    <w:t>2</w:t>
                  </w:r>
                  <w:r>
                    <w:rPr>
                      <w:rFonts w:hint="eastAsia"/>
                      <w:color w:val="auto"/>
                      <w:lang w:val="en-US" w:eastAsia="zh-CN"/>
                    </w:rPr>
                    <w:t>。</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pct"/>
                  <w:vMerge w:val="restart"/>
                  <w:tcBorders>
                    <w:tl2br w:val="nil"/>
                    <w:tr2bl w:val="nil"/>
                  </w:tcBorders>
                  <w:vAlign w:val="center"/>
                </w:tcPr>
                <w:p>
                  <w:pPr>
                    <w:pStyle w:val="27"/>
                    <w:bidi w:val="0"/>
                    <w:rPr>
                      <w:rFonts w:hint="eastAsia"/>
                      <w:color w:val="auto"/>
                      <w:lang w:val="en-US" w:eastAsia="zh-CN"/>
                    </w:rPr>
                  </w:pPr>
                  <w:r>
                    <w:rPr>
                      <w:rFonts w:hint="eastAsia"/>
                      <w:color w:val="auto"/>
                      <w:lang w:val="en-US" w:eastAsia="zh-CN"/>
                    </w:rPr>
                    <w:t>辅助工程</w:t>
                  </w: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控制室</w:t>
                  </w:r>
                </w:p>
              </w:tc>
              <w:tc>
                <w:tcPr>
                  <w:tcW w:w="3137" w:type="pct"/>
                  <w:tcBorders>
                    <w:tl2br w:val="nil"/>
                    <w:tr2bl w:val="nil"/>
                  </w:tcBorders>
                  <w:vAlign w:val="center"/>
                </w:tcPr>
                <w:p>
                  <w:pPr>
                    <w:pStyle w:val="27"/>
                    <w:bidi w:val="0"/>
                    <w:rPr>
                      <w:rFonts w:hint="default" w:eastAsia="宋体"/>
                      <w:color w:val="auto"/>
                      <w:lang w:val="en-US" w:eastAsia="zh-CN"/>
                    </w:rPr>
                  </w:pPr>
                  <w:r>
                    <w:rPr>
                      <w:rFonts w:hint="eastAsia"/>
                      <w:color w:val="auto"/>
                      <w:lang w:val="en-US" w:eastAsia="zh-CN"/>
                    </w:rPr>
                    <w:t>砌体结构，控制室总建筑面积68.6m</w:t>
                  </w:r>
                  <w:r>
                    <w:rPr>
                      <w:rFonts w:hint="eastAsia"/>
                      <w:color w:val="auto"/>
                      <w:vertAlign w:val="superscript"/>
                      <w:lang w:val="en-US" w:eastAsia="zh-CN"/>
                    </w:rPr>
                    <w:t>2</w:t>
                  </w:r>
                  <w:r>
                    <w:rPr>
                      <w:rFonts w:hint="eastAsia"/>
                      <w:color w:val="auto"/>
                      <w:lang w:val="en-US" w:eastAsia="zh-CN"/>
                    </w:rPr>
                    <w:t>，建筑高度3.60m。</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pct"/>
                  <w:vMerge w:val="continue"/>
                  <w:tcBorders>
                    <w:tl2br w:val="nil"/>
                    <w:tr2bl w:val="nil"/>
                  </w:tcBorders>
                  <w:vAlign w:val="center"/>
                </w:tcPr>
                <w:p>
                  <w:pPr>
                    <w:pStyle w:val="27"/>
                    <w:bidi w:val="0"/>
                    <w:rPr>
                      <w:rFonts w:hint="eastAsia"/>
                      <w:color w:val="auto"/>
                      <w:lang w:val="en-US" w:eastAsia="zh-CN"/>
                    </w:rPr>
                  </w:pP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变配电室</w:t>
                  </w:r>
                </w:p>
              </w:tc>
              <w:tc>
                <w:tcPr>
                  <w:tcW w:w="3137" w:type="pct"/>
                  <w:tcBorders>
                    <w:tl2br w:val="nil"/>
                    <w:tr2bl w:val="nil"/>
                  </w:tcBorders>
                  <w:vAlign w:val="center"/>
                </w:tcPr>
                <w:p>
                  <w:pPr>
                    <w:pStyle w:val="27"/>
                    <w:bidi w:val="0"/>
                    <w:rPr>
                      <w:rFonts w:hint="default"/>
                      <w:color w:val="auto"/>
                    </w:rPr>
                  </w:pPr>
                  <w:r>
                    <w:rPr>
                      <w:rFonts w:hint="eastAsia"/>
                      <w:color w:val="auto"/>
                      <w:lang w:val="en-US" w:eastAsia="zh-CN"/>
                    </w:rPr>
                    <w:t>钢结构，变配电室总建筑面积70m</w:t>
                  </w:r>
                  <w:r>
                    <w:rPr>
                      <w:rFonts w:hint="eastAsia"/>
                      <w:color w:val="auto"/>
                      <w:vertAlign w:val="superscript"/>
                      <w:lang w:val="en-US" w:eastAsia="zh-CN"/>
                    </w:rPr>
                    <w:t>2</w:t>
                  </w:r>
                  <w:r>
                    <w:rPr>
                      <w:rFonts w:hint="eastAsia"/>
                      <w:color w:val="auto"/>
                      <w:lang w:val="en-US" w:eastAsia="zh-CN"/>
                    </w:rPr>
                    <w:t>，建筑高度4.80m。</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pct"/>
                  <w:vMerge w:val="continue"/>
                  <w:tcBorders>
                    <w:tl2br w:val="nil"/>
                    <w:tr2bl w:val="nil"/>
                  </w:tcBorders>
                  <w:vAlign w:val="center"/>
                </w:tcPr>
                <w:p>
                  <w:pPr>
                    <w:pStyle w:val="27"/>
                    <w:bidi w:val="0"/>
                    <w:rPr>
                      <w:rFonts w:hint="eastAsia"/>
                      <w:color w:val="auto"/>
                      <w:lang w:val="en-US" w:eastAsia="zh-CN"/>
                    </w:rPr>
                  </w:pP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休息室</w:t>
                  </w:r>
                </w:p>
              </w:tc>
              <w:tc>
                <w:tcPr>
                  <w:tcW w:w="31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位于主厂房东北角，尺寸</w:t>
                  </w:r>
                  <w:r>
                    <w:rPr>
                      <w:rFonts w:hint="default" w:ascii="Times New Roman" w:hAnsi="Times New Roman" w:cs="Times New Roman"/>
                      <w:color w:val="auto"/>
                      <w:lang w:val="en-US" w:eastAsia="zh-CN"/>
                    </w:rPr>
                    <w:t>3.7×6m</w:t>
                  </w:r>
                  <w:r>
                    <w:rPr>
                      <w:rFonts w:hint="eastAsia"/>
                      <w:color w:val="auto"/>
                      <w:lang w:val="en-US" w:eastAsia="zh-CN"/>
                    </w:rPr>
                    <w:t>，用于人员日常办公和休息。</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储运工程</w:t>
                  </w: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原料储存</w:t>
                  </w:r>
                </w:p>
              </w:tc>
              <w:tc>
                <w:tcPr>
                  <w:tcW w:w="3137" w:type="pct"/>
                  <w:tcBorders>
                    <w:tl2br w:val="nil"/>
                    <w:tr2bl w:val="nil"/>
                  </w:tcBorders>
                  <w:vAlign w:val="center"/>
                </w:tcPr>
                <w:p>
                  <w:pPr>
                    <w:pStyle w:val="27"/>
                    <w:bidi w:val="0"/>
                    <w:rPr>
                      <w:rFonts w:hint="default" w:eastAsia="宋体"/>
                      <w:color w:val="auto"/>
                      <w:lang w:val="en-US" w:eastAsia="zh-CN"/>
                    </w:rPr>
                  </w:pPr>
                  <w:r>
                    <w:rPr>
                      <w:rFonts w:hint="eastAsia"/>
                      <w:color w:val="auto"/>
                      <w:lang w:val="en-US" w:eastAsia="zh-CN"/>
                    </w:rPr>
                    <w:t>原料硫酸钾从国投罗钾15万吨散料库直接购买，距离本项目约150m，由翻斗车进行运输。辅料用汽车从购入方运至国投罗钾硫酸钾厂总库暂存。</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pct"/>
                  <w:vMerge w:val="continue"/>
                  <w:tcBorders>
                    <w:tl2br w:val="nil"/>
                    <w:tr2bl w:val="nil"/>
                  </w:tcBorders>
                  <w:vAlign w:val="center"/>
                </w:tcPr>
                <w:p>
                  <w:pPr>
                    <w:pStyle w:val="27"/>
                    <w:bidi w:val="0"/>
                    <w:rPr>
                      <w:rFonts w:hint="eastAsia"/>
                      <w:color w:val="auto"/>
                      <w:lang w:val="en-US" w:eastAsia="zh-CN"/>
                    </w:rPr>
                  </w:pP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产品储存</w:t>
                  </w:r>
                </w:p>
              </w:tc>
              <w:tc>
                <w:tcPr>
                  <w:tcW w:w="3137" w:type="pct"/>
                  <w:tcBorders>
                    <w:tl2br w:val="nil"/>
                    <w:tr2bl w:val="nil"/>
                  </w:tcBorders>
                  <w:vAlign w:val="center"/>
                </w:tcPr>
                <w:p>
                  <w:pPr>
                    <w:pStyle w:val="27"/>
                    <w:bidi w:val="0"/>
                    <w:rPr>
                      <w:rFonts w:hint="default" w:eastAsia="宋体"/>
                      <w:color w:val="auto"/>
                      <w:lang w:val="en-US" w:eastAsia="zh-CN"/>
                    </w:rPr>
                  </w:pPr>
                  <w:r>
                    <w:rPr>
                      <w:rFonts w:hint="eastAsia"/>
                      <w:color w:val="auto"/>
                      <w:lang w:val="en-US" w:eastAsia="zh-CN"/>
                    </w:rPr>
                    <w:t>经打包后暂存于厂房外空地，即产即运。</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pct"/>
                  <w:vMerge w:val="restart"/>
                  <w:tcBorders>
                    <w:tl2br w:val="nil"/>
                    <w:tr2bl w:val="nil"/>
                  </w:tcBorders>
                  <w:vAlign w:val="center"/>
                </w:tcPr>
                <w:p>
                  <w:pPr>
                    <w:pStyle w:val="27"/>
                    <w:bidi w:val="0"/>
                    <w:rPr>
                      <w:rFonts w:hint="eastAsia"/>
                      <w:color w:val="auto"/>
                      <w:lang w:val="en-US" w:eastAsia="zh-CN"/>
                    </w:rPr>
                  </w:pPr>
                  <w:r>
                    <w:rPr>
                      <w:rFonts w:hint="eastAsia"/>
                      <w:color w:val="auto"/>
                      <w:lang w:val="en-US" w:eastAsia="zh-CN"/>
                    </w:rPr>
                    <w:t>环保工程</w:t>
                  </w: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废气</w:t>
                  </w:r>
                </w:p>
              </w:tc>
              <w:tc>
                <w:tcPr>
                  <w:tcW w:w="3137" w:type="pct"/>
                  <w:tcBorders>
                    <w:tl2br w:val="nil"/>
                    <w:tr2bl w:val="nil"/>
                  </w:tcBorders>
                  <w:vAlign w:val="center"/>
                </w:tcPr>
                <w:p>
                  <w:pPr>
                    <w:pStyle w:val="27"/>
                    <w:bidi w:val="0"/>
                    <w:rPr>
                      <w:rFonts w:hint="default"/>
                      <w:color w:val="auto"/>
                    </w:rPr>
                  </w:pPr>
                  <w:r>
                    <w:rPr>
                      <w:rFonts w:hint="default"/>
                      <w:color w:val="auto"/>
                    </w:rPr>
                    <w:t>投料工段在投料口处设计了三面封闭的投料斗，投料斗顶部设计有集气罩，侧面有吸尘管，集气罩吸尘管连接到高效脉冲布袋除尘器对产生的粉尘进行处理后通过1根DA001高度为15m的排气筒排放；磨粉工段产生的粉尘经6台高效脉冲布袋除尘器除尘后通过1根DA002高度为15m的排气筒排放；包装工段以每两台包装机共用一个除尘装置，在包装机易泄露粉尘的位置设计多个吸尘口，1#和2#包装机产生的粉尘通过收集经高效脉冲布袋除尘器处理后通过1根DA003高度为15m的排气筒排放；3#、4#、5#和6#包装机产生的粉尘通过收集经高效脉冲布袋除尘器处理后通过1根DA004高度为15m的排气筒排放。污染物可满足《大气污染物综合排放标准》（GB 16297-1996）中排放限值要求。</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pct"/>
                  <w:vMerge w:val="continue"/>
                  <w:tcBorders>
                    <w:tl2br w:val="nil"/>
                    <w:tr2bl w:val="nil"/>
                  </w:tcBorders>
                  <w:vAlign w:val="center"/>
                </w:tcPr>
                <w:p>
                  <w:pPr>
                    <w:pStyle w:val="27"/>
                    <w:bidi w:val="0"/>
                    <w:rPr>
                      <w:rFonts w:hint="default"/>
                      <w:color w:val="auto"/>
                    </w:rPr>
                  </w:pP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废水</w:t>
                  </w:r>
                </w:p>
              </w:tc>
              <w:tc>
                <w:tcPr>
                  <w:tcW w:w="31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本项目运营过程中生活污水不在本项目厂区内产生，依托国投罗钾公司厂区现有污水处理站进行处理，出水水质达到《城镇污水处理厂污染物排放标准》（GB 18918-2002）一级A标准后回用于生产系统，不外排。</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vMerge w:val="continue"/>
                  <w:tcBorders>
                    <w:tl2br w:val="nil"/>
                    <w:tr2bl w:val="nil"/>
                  </w:tcBorders>
                  <w:vAlign w:val="center"/>
                </w:tcPr>
                <w:p>
                  <w:pPr>
                    <w:pStyle w:val="27"/>
                    <w:bidi w:val="0"/>
                    <w:rPr>
                      <w:rFonts w:hint="default"/>
                      <w:color w:val="auto"/>
                    </w:rPr>
                  </w:pPr>
                </w:p>
              </w:tc>
              <w:tc>
                <w:tcPr>
                  <w:tcW w:w="73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固体废物</w:t>
                  </w:r>
                </w:p>
              </w:tc>
              <w:tc>
                <w:tcPr>
                  <w:tcW w:w="3137" w:type="pct"/>
                  <w:tcBorders>
                    <w:tl2br w:val="nil"/>
                    <w:tr2bl w:val="nil"/>
                  </w:tcBorders>
                  <w:vAlign w:val="center"/>
                </w:tcPr>
                <w:p>
                  <w:pPr>
                    <w:pStyle w:val="27"/>
                    <w:bidi w:val="0"/>
                    <w:rPr>
                      <w:rFonts w:hint="eastAsia" w:eastAsia="宋体"/>
                      <w:color w:val="auto"/>
                      <w:lang w:val="en-US" w:eastAsia="zh-CN"/>
                    </w:rPr>
                  </w:pPr>
                  <w:r>
                    <w:rPr>
                      <w:rFonts w:hint="default" w:ascii="Times New Roman" w:hAnsi="Times New Roman" w:eastAsia="宋体" w:cs="Times New Roman"/>
                      <w:color w:val="auto"/>
                      <w:sz w:val="21"/>
                      <w:szCs w:val="21"/>
                      <w:vertAlign w:val="baseline"/>
                      <w:lang w:val="en-US" w:eastAsia="zh-CN"/>
                    </w:rPr>
                    <w:t>本项目投料除尘器收集的颗粒物通过螺旋输送器送入料斗进入生产工序；超微粉碎机除尘器收集的颗粒物进入封闭式刮板机，输送至包装料仓；包装除尘器收集的颗粒物定期转入料仓重复使用；生活垃圾设垃圾箱，拉运至当地生活垃圾填埋场进行处理。</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vMerge w:val="continue"/>
                  <w:tcBorders>
                    <w:tl2br w:val="nil"/>
                    <w:tr2bl w:val="nil"/>
                  </w:tcBorders>
                  <w:vAlign w:val="center"/>
                </w:tcPr>
                <w:p>
                  <w:pPr>
                    <w:pStyle w:val="27"/>
                    <w:bidi w:val="0"/>
                    <w:rPr>
                      <w:rFonts w:hint="default"/>
                      <w:color w:val="auto"/>
                    </w:rPr>
                  </w:pP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危险废物</w:t>
                  </w:r>
                </w:p>
              </w:tc>
              <w:tc>
                <w:tcPr>
                  <w:tcW w:w="31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本项目危险废物为设备润滑过程中产生的废润滑油，依托国投罗钾现有危废贮存库储存，面积约378m</w:t>
                  </w:r>
                  <w:r>
                    <w:rPr>
                      <w:rFonts w:hint="eastAsia"/>
                      <w:color w:val="auto"/>
                      <w:vertAlign w:val="superscript"/>
                      <w:lang w:val="en-US" w:eastAsia="zh-CN"/>
                    </w:rPr>
                    <w:t>2</w:t>
                  </w:r>
                  <w:r>
                    <w:rPr>
                      <w:rFonts w:hint="eastAsia"/>
                      <w:color w:val="auto"/>
                      <w:lang w:val="en-US" w:eastAsia="zh-CN"/>
                    </w:rPr>
                    <w:t>，定期委托有资质的第三方进行运输和处置。</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pct"/>
                  <w:vMerge w:val="restart"/>
                  <w:tcBorders>
                    <w:tl2br w:val="nil"/>
                    <w:tr2bl w:val="nil"/>
                  </w:tcBorders>
                  <w:vAlign w:val="center"/>
                </w:tcPr>
                <w:p>
                  <w:pPr>
                    <w:pStyle w:val="27"/>
                    <w:bidi w:val="0"/>
                    <w:rPr>
                      <w:rFonts w:hint="eastAsia"/>
                      <w:color w:val="auto"/>
                      <w:lang w:val="en-US" w:eastAsia="zh-CN"/>
                    </w:rPr>
                  </w:pPr>
                  <w:r>
                    <w:rPr>
                      <w:rFonts w:hint="eastAsia"/>
                      <w:color w:val="auto"/>
                      <w:lang w:val="en-US" w:eastAsia="zh-CN"/>
                    </w:rPr>
                    <w:t>公用工程</w:t>
                  </w:r>
                </w:p>
              </w:tc>
              <w:tc>
                <w:tcPr>
                  <w:tcW w:w="73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供电</w:t>
                  </w:r>
                </w:p>
              </w:tc>
              <w:tc>
                <w:tcPr>
                  <w:tcW w:w="31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自</w:t>
                  </w:r>
                  <w:r>
                    <w:rPr>
                      <w:rFonts w:hint="default"/>
                      <w:color w:val="auto"/>
                    </w:rPr>
                    <w:t>硫酸钾厂结晶离心配电室至机动车间配电室设置2路10kV电源，埋地敷设；机动车间配电室增加1台10kV高压开关柜。机动车间配电室至本项目10/0.4kV配电室设置1路10kV电源。</w:t>
                  </w:r>
                </w:p>
              </w:tc>
              <w:tc>
                <w:tcPr>
                  <w:tcW w:w="421" w:type="pct"/>
                  <w:tcBorders>
                    <w:tl2br w:val="nil"/>
                    <w:tr2bl w:val="nil"/>
                  </w:tcBorders>
                  <w:vAlign w:val="center"/>
                </w:tcPr>
                <w:p>
                  <w:pPr>
                    <w:pStyle w:val="27"/>
                    <w:bidi w:val="0"/>
                    <w:rPr>
                      <w:rFonts w:hint="default" w:eastAsia="宋体"/>
                      <w:color w:val="auto"/>
                      <w:lang w:val="en-US" w:eastAsia="zh-CN"/>
                    </w:rPr>
                  </w:pPr>
                  <w:r>
                    <w:rPr>
                      <w:rFonts w:hint="eastAsia"/>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pct"/>
                  <w:vMerge w:val="continue"/>
                  <w:tcBorders>
                    <w:tl2br w:val="nil"/>
                    <w:tr2bl w:val="nil"/>
                  </w:tcBorders>
                  <w:vAlign w:val="center"/>
                </w:tcPr>
                <w:p>
                  <w:pPr>
                    <w:pStyle w:val="27"/>
                    <w:bidi w:val="0"/>
                    <w:rPr>
                      <w:rFonts w:hint="default"/>
                      <w:color w:val="auto"/>
                    </w:rPr>
                  </w:pPr>
                </w:p>
              </w:tc>
              <w:tc>
                <w:tcPr>
                  <w:tcW w:w="73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供热</w:t>
                  </w:r>
                </w:p>
              </w:tc>
              <w:tc>
                <w:tcPr>
                  <w:tcW w:w="313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控制室</w:t>
                  </w:r>
                  <w:r>
                    <w:rPr>
                      <w:rFonts w:hint="default"/>
                      <w:color w:val="auto"/>
                    </w:rPr>
                    <w:t>采用空调取暖</w:t>
                  </w:r>
                  <w:r>
                    <w:rPr>
                      <w:rFonts w:hint="eastAsia"/>
                      <w:color w:val="auto"/>
                      <w:lang w:eastAsia="zh-CN"/>
                    </w:rPr>
                    <w:t>。</w:t>
                  </w:r>
                </w:p>
              </w:tc>
              <w:tc>
                <w:tcPr>
                  <w:tcW w:w="42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新建</w:t>
                  </w:r>
                </w:p>
              </w:tc>
            </w:tr>
          </w:tbl>
          <w:p>
            <w:pPr>
              <w:pStyle w:val="54"/>
              <w:bidi w:val="0"/>
              <w:rPr>
                <w:rFonts w:hint="default"/>
                <w:color w:val="auto"/>
                <w:lang w:val="en-US" w:eastAsia="zh-CN"/>
              </w:rPr>
            </w:pPr>
            <w:r>
              <w:rPr>
                <w:rFonts w:hint="default"/>
                <w:color w:val="auto"/>
                <w:lang w:val="en-US" w:eastAsia="zh-CN"/>
              </w:rPr>
              <w:t>5、</w:t>
            </w:r>
            <w:r>
              <w:rPr>
                <w:rFonts w:hint="eastAsia"/>
                <w:color w:val="auto"/>
                <w:lang w:val="en-US" w:eastAsia="zh-CN"/>
              </w:rPr>
              <w:t>项目投资构成：</w:t>
            </w:r>
          </w:p>
          <w:p>
            <w:pPr>
              <w:pStyle w:val="54"/>
              <w:bidi w:val="0"/>
              <w:rPr>
                <w:rFonts w:hint="default" w:ascii="Times New Roman" w:hAnsi="Times New Roman" w:cs="Times New Roman"/>
                <w:bCs/>
                <w:color w:val="auto"/>
                <w:szCs w:val="24"/>
                <w:lang w:val="en-US" w:eastAsia="zh-CN"/>
              </w:rPr>
            </w:pPr>
            <w:r>
              <w:rPr>
                <w:rFonts w:hint="eastAsia"/>
                <w:color w:val="auto"/>
                <w:lang w:val="en-US" w:eastAsia="zh-CN"/>
              </w:rPr>
              <w:t>本项目</w:t>
            </w:r>
            <w:r>
              <w:rPr>
                <w:rFonts w:hint="default"/>
                <w:color w:val="auto"/>
                <w:lang w:val="en-US" w:eastAsia="zh-CN"/>
              </w:rPr>
              <w:t>总投资</w:t>
            </w:r>
            <w:r>
              <w:rPr>
                <w:rFonts w:hint="eastAsia"/>
                <w:color w:val="auto"/>
                <w:lang w:val="en-US" w:eastAsia="zh-CN"/>
              </w:rPr>
              <w:t>2500</w:t>
            </w:r>
            <w:r>
              <w:rPr>
                <w:rFonts w:hint="default"/>
                <w:color w:val="auto"/>
                <w:lang w:val="en-US" w:eastAsia="zh-CN"/>
              </w:rPr>
              <w:t>万元，环保投资</w:t>
            </w:r>
            <w:r>
              <w:rPr>
                <w:rFonts w:hint="eastAsia"/>
                <w:color w:val="auto"/>
                <w:lang w:val="en-US" w:eastAsia="zh-CN"/>
              </w:rPr>
              <w:t>46</w:t>
            </w:r>
            <w:r>
              <w:rPr>
                <w:rFonts w:hint="default"/>
                <w:color w:val="auto"/>
                <w:lang w:val="en-US" w:eastAsia="zh-CN"/>
              </w:rPr>
              <w:t>万元，占总投资</w:t>
            </w:r>
            <w:r>
              <w:rPr>
                <w:rFonts w:hint="eastAsia"/>
                <w:color w:val="auto"/>
                <w:lang w:val="en-US" w:eastAsia="zh-CN"/>
              </w:rPr>
              <w:t>1.84</w:t>
            </w:r>
            <w:r>
              <w:rPr>
                <w:rFonts w:hint="default"/>
                <w:color w:val="auto"/>
                <w:lang w:val="en-US" w:eastAsia="zh-CN"/>
              </w:rPr>
              <w:t>%，工程环境保护投资概算见表2-2。</w:t>
            </w:r>
          </w:p>
          <w:p>
            <w:pPr>
              <w:pStyle w:val="26"/>
              <w:bidi w:val="0"/>
              <w:rPr>
                <w:rFonts w:hint="default" w:ascii="Times New Roman" w:hAnsi="Times New Roman" w:eastAsia="宋体" w:cs="Times New Roman"/>
                <w:b w:val="0"/>
                <w:bCs/>
                <w:snapToGrid w:val="0"/>
                <w:color w:val="auto"/>
                <w:szCs w:val="21"/>
              </w:rPr>
            </w:pPr>
            <w:r>
              <w:rPr>
                <w:rFonts w:hint="default"/>
                <w:color w:val="auto"/>
              </w:rPr>
              <w:t>表</w:t>
            </w:r>
            <w:r>
              <w:rPr>
                <w:rFonts w:hint="eastAsia"/>
                <w:color w:val="auto"/>
                <w:lang w:val="en-US" w:eastAsia="zh-CN"/>
              </w:rPr>
              <w:t xml:space="preserve">2-2  </w:t>
            </w:r>
            <w:r>
              <w:rPr>
                <w:rFonts w:hint="default"/>
                <w:color w:val="auto"/>
              </w:rPr>
              <w:t>环保投资列表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01"/>
              <w:gridCol w:w="4927"/>
              <w:gridCol w:w="1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994"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工程名称</w:t>
                  </w:r>
                </w:p>
              </w:tc>
              <w:tc>
                <w:tcPr>
                  <w:tcW w:w="326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具体设施项目</w:t>
                  </w:r>
                </w:p>
              </w:tc>
              <w:tc>
                <w:tcPr>
                  <w:tcW w:w="744"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投资金额（万元）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废气处理工程</w:t>
                  </w:r>
                </w:p>
              </w:tc>
              <w:tc>
                <w:tcPr>
                  <w:tcW w:w="3261" w:type="pct"/>
                  <w:tcBorders>
                    <w:tl2br w:val="nil"/>
                    <w:tr2bl w:val="nil"/>
                  </w:tcBorders>
                  <w:noWrap w:val="0"/>
                  <w:vAlign w:val="center"/>
                </w:tcPr>
                <w:p>
                  <w:pPr>
                    <w:pStyle w:val="27"/>
                    <w:bidi w:val="0"/>
                    <w:rPr>
                      <w:rFonts w:hint="eastAsia" w:eastAsia="宋体"/>
                      <w:color w:val="auto"/>
                      <w:lang w:val="en-US" w:eastAsia="zh-CN"/>
                    </w:rPr>
                  </w:pPr>
                  <w:r>
                    <w:rPr>
                      <w:rFonts w:hint="default"/>
                      <w:color w:val="auto"/>
                    </w:rPr>
                    <w:t>本项目投料工段在投料口处设计了三面封闭的投料斗，投料斗顶部设计有集气罩，侧面有吸尘管，集气罩吸尘管连接到高效脉冲布袋除尘器对产生的粉尘进行处理后通过1根DA001高度为15m的排气筒排放；磨粉工段产生的粉尘经6台高效脉冲布袋除尘器除尘后通过1根DA002高度为15m的排气筒排放；包装工段以每两台包装机共用一个除尘装置，在包装机易泄露粉尘的位置设计多个吸尘口，1#和2#包装机产生的粉尘通过收集经高效脉冲布袋除尘器处理后通过1根DA003高度为15m的排气筒排放；3#、4#、5#和6#包装机产生的粉尘通过收集经高效脉冲布袋除尘器处理后通过1根DA004高度为15m的排气筒排放。</w:t>
                  </w:r>
                </w:p>
              </w:tc>
              <w:tc>
                <w:tcPr>
                  <w:tcW w:w="74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 w:hRule="atLeast"/>
                <w:jc w:val="center"/>
              </w:trPr>
              <w:tc>
                <w:tcPr>
                  <w:tcW w:w="99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噪声治理工程</w:t>
                  </w:r>
                </w:p>
              </w:tc>
              <w:tc>
                <w:tcPr>
                  <w:tcW w:w="326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消声器、隔振减震设施</w:t>
                  </w:r>
                </w:p>
              </w:tc>
              <w:tc>
                <w:tcPr>
                  <w:tcW w:w="74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 w:hRule="atLeast"/>
                <w:jc w:val="center"/>
              </w:trPr>
              <w:tc>
                <w:tcPr>
                  <w:tcW w:w="4255" w:type="pct"/>
                  <w:gridSpan w:val="2"/>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生产区防渗、标识牌等</w:t>
                  </w:r>
                </w:p>
              </w:tc>
              <w:tc>
                <w:tcPr>
                  <w:tcW w:w="74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 w:hRule="atLeast"/>
                <w:jc w:val="center"/>
              </w:trPr>
              <w:tc>
                <w:tcPr>
                  <w:tcW w:w="4255" w:type="pct"/>
                  <w:gridSpan w:val="2"/>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合计</w:t>
                  </w:r>
                </w:p>
              </w:tc>
              <w:tc>
                <w:tcPr>
                  <w:tcW w:w="74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46</w:t>
                  </w:r>
                </w:p>
              </w:tc>
            </w:tr>
          </w:tbl>
          <w:p>
            <w:pPr>
              <w:pStyle w:val="54"/>
              <w:bidi w:val="0"/>
              <w:rPr>
                <w:rFonts w:hint="default" w:ascii="Times New Roman" w:hAnsi="Times New Roman" w:cs="Times New Roman"/>
                <w:bCs/>
                <w:color w:val="auto"/>
                <w:szCs w:val="24"/>
                <w:lang w:val="en-US" w:eastAsia="zh-CN"/>
              </w:rPr>
            </w:pPr>
            <w:r>
              <w:rPr>
                <w:rFonts w:hint="eastAsia"/>
                <w:color w:val="auto"/>
                <w:lang w:val="en-US" w:eastAsia="zh-CN"/>
              </w:rPr>
              <w:t>6、项目建设工期：3个月。</w:t>
            </w:r>
          </w:p>
          <w:p>
            <w:pPr>
              <w:pStyle w:val="54"/>
              <w:bidi w:val="0"/>
              <w:rPr>
                <w:rFonts w:hint="default"/>
                <w:color w:val="auto"/>
                <w:lang w:val="en-US" w:eastAsia="zh-CN"/>
              </w:rPr>
            </w:pPr>
            <w:r>
              <w:rPr>
                <w:rFonts w:hint="eastAsia"/>
                <w:b/>
                <w:bCs/>
                <w:color w:val="auto"/>
                <w:lang w:val="en-US" w:eastAsia="zh-CN"/>
              </w:rPr>
              <w:t>三、主要生产设备</w:t>
            </w:r>
          </w:p>
          <w:p>
            <w:pPr>
              <w:pStyle w:val="54"/>
              <w:bidi w:val="0"/>
              <w:rPr>
                <w:rFonts w:hint="default"/>
                <w:color w:val="auto"/>
                <w:lang w:val="en-US" w:eastAsia="zh-CN"/>
              </w:rPr>
            </w:pPr>
            <w:r>
              <w:rPr>
                <w:rFonts w:hint="default"/>
                <w:color w:val="auto"/>
                <w:lang w:val="en-US" w:eastAsia="zh-CN"/>
              </w:rPr>
              <w:t>项目主要</w:t>
            </w:r>
            <w:r>
              <w:rPr>
                <w:rFonts w:hint="eastAsia"/>
                <w:color w:val="auto"/>
                <w:lang w:val="en-US" w:eastAsia="zh-CN"/>
              </w:rPr>
              <w:t>工艺</w:t>
            </w:r>
            <w:r>
              <w:rPr>
                <w:rFonts w:hint="default"/>
                <w:color w:val="auto"/>
                <w:lang w:val="en-US" w:eastAsia="zh-CN"/>
              </w:rPr>
              <w:t>设备明细详情见下表</w:t>
            </w:r>
            <w:r>
              <w:rPr>
                <w:rFonts w:hint="eastAsia"/>
                <w:color w:val="auto"/>
                <w:lang w:val="en-US" w:eastAsia="zh-CN"/>
              </w:rPr>
              <w:t>2-3</w:t>
            </w:r>
            <w:r>
              <w:rPr>
                <w:rFonts w:hint="default"/>
                <w:color w:val="auto"/>
                <w:lang w:val="en-US" w:eastAsia="zh-CN"/>
              </w:rPr>
              <w:t>。</w:t>
            </w:r>
          </w:p>
          <w:p>
            <w:pPr>
              <w:pStyle w:val="54"/>
              <w:bidi w:val="0"/>
              <w:rPr>
                <w:rFonts w:hint="default"/>
                <w:color w:val="auto"/>
                <w:lang w:val="en-US" w:eastAsia="zh-CN"/>
              </w:rPr>
            </w:pPr>
          </w:p>
          <w:p>
            <w:pPr>
              <w:pStyle w:val="26"/>
              <w:bidi w:val="0"/>
              <w:rPr>
                <w:rFonts w:hint="default" w:ascii="Times New Roman" w:hAnsi="Times New Roman" w:eastAsia="宋体" w:cs="Times New Roman"/>
                <w:b/>
                <w:bCs/>
                <w:color w:val="auto"/>
                <w:szCs w:val="21"/>
                <w:lang w:val="en-US" w:eastAsia="zh-CN"/>
              </w:rPr>
            </w:pPr>
            <w:r>
              <w:rPr>
                <w:rFonts w:hint="default"/>
                <w:color w:val="auto"/>
                <w:lang w:val="en-US" w:eastAsia="zh-CN"/>
              </w:rPr>
              <w:t>表</w:t>
            </w:r>
            <w:r>
              <w:rPr>
                <w:rFonts w:hint="eastAsia"/>
                <w:color w:val="auto"/>
                <w:lang w:val="en-US" w:eastAsia="zh-CN"/>
              </w:rPr>
              <w:t>2-3</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设备一览表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4"/>
              <w:gridCol w:w="1952"/>
              <w:gridCol w:w="2892"/>
              <w:gridCol w:w="790"/>
              <w:gridCol w:w="1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rPr>
                  </w:pPr>
                  <w:r>
                    <w:rPr>
                      <w:rFonts w:hint="default"/>
                      <w:color w:val="auto"/>
                      <w:lang w:val="en-US" w:eastAsia="zh-CN"/>
                    </w:rPr>
                    <w:t>序号</w:t>
                  </w:r>
                </w:p>
              </w:tc>
              <w:tc>
                <w:tcPr>
                  <w:tcW w:w="1292" w:type="pct"/>
                  <w:tcBorders>
                    <w:tl2br w:val="nil"/>
                    <w:tr2bl w:val="nil"/>
                  </w:tcBorders>
                  <w:shd w:val="clear" w:color="auto" w:fill="auto"/>
                  <w:vAlign w:val="center"/>
                </w:tcPr>
                <w:p>
                  <w:pPr>
                    <w:pStyle w:val="27"/>
                    <w:bidi w:val="0"/>
                    <w:rPr>
                      <w:rFonts w:hint="default"/>
                      <w:color w:val="auto"/>
                    </w:rPr>
                  </w:pPr>
                  <w:r>
                    <w:rPr>
                      <w:rFonts w:hint="default"/>
                      <w:color w:val="auto"/>
                      <w:lang w:val="en-US" w:eastAsia="zh-CN"/>
                    </w:rPr>
                    <w:t>设备名称</w:t>
                  </w:r>
                </w:p>
              </w:tc>
              <w:tc>
                <w:tcPr>
                  <w:tcW w:w="1914" w:type="pct"/>
                  <w:tcBorders>
                    <w:tl2br w:val="nil"/>
                    <w:tr2bl w:val="nil"/>
                  </w:tcBorders>
                  <w:shd w:val="clear" w:color="auto" w:fill="auto"/>
                  <w:vAlign w:val="center"/>
                </w:tcPr>
                <w:p>
                  <w:pPr>
                    <w:pStyle w:val="27"/>
                    <w:bidi w:val="0"/>
                    <w:rPr>
                      <w:rFonts w:hint="default"/>
                      <w:color w:val="auto"/>
                    </w:rPr>
                  </w:pPr>
                  <w:r>
                    <w:rPr>
                      <w:rFonts w:hint="default"/>
                      <w:color w:val="auto"/>
                      <w:lang w:val="en-US" w:eastAsia="zh-CN"/>
                    </w:rPr>
                    <w:t>型号/参数</w:t>
                  </w:r>
                </w:p>
              </w:tc>
              <w:tc>
                <w:tcPr>
                  <w:tcW w:w="523" w:type="pct"/>
                  <w:tcBorders>
                    <w:tl2br w:val="nil"/>
                    <w:tr2bl w:val="nil"/>
                  </w:tcBorders>
                  <w:shd w:val="clear" w:color="auto" w:fill="auto"/>
                  <w:vAlign w:val="center"/>
                </w:tcPr>
                <w:p>
                  <w:pPr>
                    <w:pStyle w:val="27"/>
                    <w:bidi w:val="0"/>
                    <w:rPr>
                      <w:rFonts w:hint="default"/>
                      <w:color w:val="auto"/>
                    </w:rPr>
                  </w:pPr>
                  <w:r>
                    <w:rPr>
                      <w:rFonts w:hint="eastAsia"/>
                      <w:color w:val="auto"/>
                      <w:lang w:val="en-US" w:eastAsia="zh-CN"/>
                    </w:rPr>
                    <w:t>单位</w:t>
                  </w:r>
                </w:p>
              </w:tc>
              <w:tc>
                <w:tcPr>
                  <w:tcW w:w="788" w:type="pct"/>
                  <w:tcBorders>
                    <w:tl2br w:val="nil"/>
                    <w:tr2bl w:val="nil"/>
                  </w:tcBorders>
                  <w:shd w:val="clear" w:color="auto" w:fill="auto"/>
                  <w:vAlign w:val="center"/>
                </w:tcPr>
                <w:p>
                  <w:pPr>
                    <w:pStyle w:val="27"/>
                    <w:bidi w:val="0"/>
                    <w:rPr>
                      <w:rFonts w:hint="default"/>
                      <w:color w:val="auto"/>
                      <w:lang w:val="en-US"/>
                    </w:rPr>
                  </w:pPr>
                  <w:r>
                    <w:rPr>
                      <w:rFonts w:hint="eastAsia"/>
                      <w:color w:val="auto"/>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1-1</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投料斗</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1-2</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投料斗电动调节阀门</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1-3</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1#刮板机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碳钢，单台功率7.5kW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1-4</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1#斗提机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碳钢，63/28型，11M，单台功率15kW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1-5</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气动三通</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1-6</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储料仓</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1-7</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储料仓电动调节阀门</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1-8</w:t>
                  </w:r>
                </w:p>
              </w:tc>
              <w:tc>
                <w:tcPr>
                  <w:tcW w:w="1952" w:type="dxa"/>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脉冲除尘器</w:t>
                  </w:r>
                </w:p>
              </w:tc>
              <w:tc>
                <w:tcPr>
                  <w:tcW w:w="2892" w:type="dxa"/>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304不锈钢</w:t>
                  </w:r>
                </w:p>
              </w:tc>
              <w:tc>
                <w:tcPr>
                  <w:tcW w:w="790" w:type="dxa"/>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1191" w:type="dxa"/>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2-1</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2#刮板机</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碳钢，单台功率18.5kW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2-2</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气动闸门</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2-3</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称重仓</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2-4</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气动闸门</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2-5</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称重缓冲仓</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304不锈钢，单台功率1.1kW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2-6</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辅料称重仓</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2-7</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超微粉碎主机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304不锈钢，JYNU75-90型，主机动力90kW，分级动力7.5kW，喂料动力1.5kW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2-8</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旋风分离器</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304不锈钢，55型</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2-9</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关风机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304不锈钢，8L，单台功率1.5kW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2-10</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脉冲除尘器</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304不锈钢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2-11</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关风机</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304不锈钢，8L，单台功率1.5kW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vMerge w:val="restar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2-12</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高压风机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碳钢，9-12 7.4A，单台功率30kW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vMerge w:val="continue"/>
                  <w:tcBorders>
                    <w:tl2br w:val="nil"/>
                    <w:tr2bl w:val="nil"/>
                  </w:tcBorders>
                  <w:shd w:val="clear" w:color="auto" w:fill="auto"/>
                  <w:vAlign w:val="center"/>
                </w:tcPr>
                <w:p>
                  <w:pPr>
                    <w:pStyle w:val="27"/>
                    <w:bidi w:val="0"/>
                    <w:rPr>
                      <w:rFonts w:hint="default"/>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高压风机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碳钢，9-12 7.4A，单台功率37kW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3#刮板机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碳钢，单台功率11kW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3-2</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2#斗提机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碳钢，单台功率11kW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3-3</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4#刮板机</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碳钢，单台功率15kW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3-4</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5#刮板机</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碳钢，单台功率7.5kW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3-5</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气动闸门</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3-6</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包装缓冲仓</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3-7</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双工位抽气全自动包装机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接触物料304不锈钢，其余碳钢，SW-ABF-400，单台功率35kW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卸料器</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304不锈钢，DN300，单台功率3kW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3-8</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自动折边缝包机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3-9</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封口输送机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3-10</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倒袋输送机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碳钢，RH3000，单台功率0.75kW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3-11</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过渡输送机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碳钢，SW-GD-650，单台功率0.75kW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eastAsia"/>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爬坡输送机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碳钢，SW-PP-650，单台功率0.75kW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eastAsia"/>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拐弯输送机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碳钢，R=1420，单台功率1.1kW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eastAsia"/>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缓冲输送机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碳钢，SW-HC-650，单台功率0.75kW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3-12</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复检秤</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碳钢，C401A-60K，单台功率0.75kW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3-13</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剔除机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碳钢，TC-800，单台功率0.55kW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3-14</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振袋输送机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碳钢，ZD-2000，单台功率0.75kW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3-15</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整袋压平输送机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碳钢，RV-3000，单台功率1.85kW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3-16</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抓取轨道</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碳钢，CR3000，单台功率0.75kW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3-17</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码垛位</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碳钢，单台功率2.2kW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3-18</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码垛机械手本体</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碳钢，KR240，单台功率15kW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机械抓手</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304不锈钢，SW-ZS800</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机械手底座</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3-19</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垛盘输送机（成品）</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碳钢，MOTP-3000，单台功率2.2kW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3-20</w:t>
                  </w: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托盘库</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碳钢，TPC-1400</w:t>
                  </w:r>
                </w:p>
              </w:tc>
              <w:tc>
                <w:tcPr>
                  <w:tcW w:w="523" w:type="pct"/>
                  <w:tcBorders>
                    <w:tl2br w:val="nil"/>
                    <w:tr2bl w:val="nil"/>
                  </w:tcBorders>
                  <w:shd w:val="clear" w:color="auto" w:fill="auto"/>
                  <w:vAlign w:val="center"/>
                </w:tcPr>
                <w:p>
                  <w:pPr>
                    <w:pStyle w:val="27"/>
                    <w:bidi w:val="0"/>
                    <w:rPr>
                      <w:rFonts w:hint="eastAsia"/>
                      <w:color w:val="auto"/>
                      <w:lang w:val="en-US" w:eastAsia="zh-CN"/>
                    </w:rPr>
                  </w:pP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空托盘输送机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碳钢，MTP-6000，单台功率0.75kW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顶升输送机</w:t>
                  </w:r>
                </w:p>
              </w:tc>
              <w:tc>
                <w:tcPr>
                  <w:tcW w:w="1914"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碳钢，MTP-DS，单台功率1.1kW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p>
              </w:tc>
              <w:tc>
                <w:tcPr>
                  <w:tcW w:w="1292"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空托托辊输送机</w:t>
                  </w:r>
                </w:p>
              </w:tc>
              <w:tc>
                <w:tcPr>
                  <w:tcW w:w="1914"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碳钢，单台功率1.1kW</w:t>
                  </w:r>
                </w:p>
              </w:tc>
              <w:tc>
                <w:tcPr>
                  <w:tcW w:w="523" w:type="pct"/>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788" w:type="pct"/>
                  <w:tcBorders>
                    <w:tl2br w:val="nil"/>
                    <w:tr2bl w:val="nil"/>
                  </w:tcBorders>
                  <w:shd w:val="clear" w:color="auto" w:fill="auto"/>
                  <w:vAlign w:val="center"/>
                </w:tcPr>
                <w:p>
                  <w:pPr>
                    <w:pStyle w:val="27"/>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lang w:val="en-US" w:eastAsia="zh-CN"/>
                    </w:rPr>
                  </w:pPr>
                  <w:r>
                    <w:rPr>
                      <w:rFonts w:hint="eastAsia"/>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0" w:type="pct"/>
                  <w:tcBorders>
                    <w:tl2br w:val="nil"/>
                    <w:tr2bl w:val="nil"/>
                  </w:tcBorders>
                  <w:shd w:val="clear" w:color="auto" w:fill="auto"/>
                  <w:vAlign w:val="center"/>
                </w:tcPr>
                <w:p>
                  <w:pPr>
                    <w:pStyle w:val="27"/>
                    <w:bidi w:val="0"/>
                    <w:rPr>
                      <w:rFonts w:hint="default"/>
                      <w:color w:val="auto"/>
                      <w:lang w:val="en-US" w:eastAsia="zh-CN"/>
                    </w:rPr>
                  </w:pPr>
                  <w:r>
                    <w:rPr>
                      <w:rFonts w:hint="eastAsia"/>
                      <w:color w:val="auto"/>
                      <w:lang w:val="en-US" w:eastAsia="zh-CN"/>
                    </w:rPr>
                    <w:t>3-21</w:t>
                  </w:r>
                </w:p>
              </w:tc>
              <w:tc>
                <w:tcPr>
                  <w:tcW w:w="1952" w:type="dxa"/>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脉冲除尘器</w:t>
                  </w:r>
                </w:p>
              </w:tc>
              <w:tc>
                <w:tcPr>
                  <w:tcW w:w="2892" w:type="dxa"/>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304不锈钢</w:t>
                  </w:r>
                </w:p>
              </w:tc>
              <w:tc>
                <w:tcPr>
                  <w:tcW w:w="790" w:type="dxa"/>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台</w:t>
                  </w:r>
                </w:p>
              </w:tc>
              <w:tc>
                <w:tcPr>
                  <w:tcW w:w="1191" w:type="dxa"/>
                  <w:tcBorders>
                    <w:tl2br w:val="nil"/>
                    <w:tr2bl w:val="nil"/>
                  </w:tcBorders>
                  <w:shd w:val="clear" w:color="auto" w:fill="auto"/>
                  <w:vAlign w:val="center"/>
                </w:tcPr>
                <w:p>
                  <w:pPr>
                    <w:pStyle w:val="27"/>
                    <w:bidi w:val="0"/>
                    <w:rPr>
                      <w:rFonts w:hint="eastAsia"/>
                      <w:color w:val="auto"/>
                      <w:lang w:val="en-US" w:eastAsia="zh-CN"/>
                    </w:rPr>
                  </w:pPr>
                  <w:r>
                    <w:rPr>
                      <w:rFonts w:hint="eastAsia"/>
                      <w:color w:val="auto"/>
                      <w:lang w:val="en-US" w:eastAsia="zh-CN"/>
                    </w:rPr>
                    <w:t>3</w:t>
                  </w:r>
                </w:p>
              </w:tc>
            </w:tr>
          </w:tbl>
          <w:p>
            <w:pPr>
              <w:pStyle w:val="54"/>
              <w:bidi w:val="0"/>
              <w:rPr>
                <w:rFonts w:hint="default" w:ascii="Times New Roman" w:hAnsi="Times New Roman" w:cs="Times New Roman"/>
                <w:bCs/>
                <w:color w:val="auto"/>
                <w:szCs w:val="24"/>
                <w:lang w:val="en-US" w:eastAsia="zh-CN"/>
              </w:rPr>
            </w:pPr>
            <w:r>
              <w:rPr>
                <w:rFonts w:hint="eastAsia"/>
                <w:b/>
                <w:bCs/>
                <w:color w:val="auto"/>
                <w:lang w:val="en-US" w:eastAsia="zh-CN"/>
              </w:rPr>
              <w:t>四、原辅材料</w:t>
            </w:r>
          </w:p>
          <w:p>
            <w:pPr>
              <w:pStyle w:val="54"/>
              <w:bidi w:val="0"/>
              <w:rPr>
                <w:rFonts w:hint="default"/>
                <w:color w:val="auto"/>
                <w:lang w:val="en-US" w:eastAsia="zh-CN"/>
              </w:rPr>
            </w:pPr>
            <w:r>
              <w:rPr>
                <w:rFonts w:hint="eastAsia"/>
                <w:color w:val="auto"/>
                <w:lang w:val="en-US" w:eastAsia="zh-CN"/>
              </w:rPr>
              <w:t>1、原辅材料消耗情况</w:t>
            </w:r>
          </w:p>
          <w:p>
            <w:pPr>
              <w:pStyle w:val="54"/>
              <w:bidi w:val="0"/>
              <w:rPr>
                <w:rFonts w:hint="default" w:ascii="Times New Roman" w:hAnsi="Times New Roman" w:cs="Times New Roman"/>
                <w:bCs/>
                <w:color w:val="auto"/>
                <w:szCs w:val="24"/>
                <w:lang w:val="en-US" w:eastAsia="zh-CN"/>
              </w:rPr>
            </w:pPr>
            <w:r>
              <w:rPr>
                <w:rFonts w:hint="eastAsia"/>
                <w:color w:val="auto"/>
                <w:lang w:val="en-US" w:eastAsia="zh-CN"/>
              </w:rPr>
              <w:t>本</w:t>
            </w:r>
            <w:r>
              <w:rPr>
                <w:rFonts w:hint="default"/>
                <w:color w:val="auto"/>
                <w:lang w:val="en-US" w:eastAsia="zh-CN"/>
              </w:rPr>
              <w:t>项目原辅材料消耗情况见表</w:t>
            </w:r>
            <w:r>
              <w:rPr>
                <w:rFonts w:hint="eastAsia"/>
                <w:color w:val="auto"/>
                <w:lang w:val="en-US" w:eastAsia="zh-CN"/>
              </w:rPr>
              <w:t>2-4。</w:t>
            </w:r>
          </w:p>
          <w:p>
            <w:pPr>
              <w:pStyle w:val="26"/>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 xml:space="preserve">2-4 </w:t>
            </w:r>
            <w:r>
              <w:rPr>
                <w:rFonts w:hint="default"/>
                <w:color w:val="auto"/>
                <w:lang w:val="en-US" w:eastAsia="zh-CN"/>
              </w:rPr>
              <w:t xml:space="preserve"> 主要原辅材料</w:t>
            </w:r>
            <w:r>
              <w:rPr>
                <w:rFonts w:hint="eastAsia"/>
                <w:color w:val="auto"/>
                <w:lang w:val="en-US" w:eastAsia="zh-CN"/>
              </w:rPr>
              <w:t>及能源消耗</w:t>
            </w:r>
            <w:r>
              <w:rPr>
                <w:rFonts w:hint="default"/>
                <w:color w:val="auto"/>
                <w:lang w:val="en-US" w:eastAsia="zh-CN"/>
              </w:rPr>
              <w:t>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6"/>
              <w:gridCol w:w="1422"/>
              <w:gridCol w:w="1408"/>
              <w:gridCol w:w="1170"/>
              <w:gridCol w:w="1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序号</w:t>
                  </w:r>
                </w:p>
              </w:tc>
              <w:tc>
                <w:tcPr>
                  <w:tcW w:w="71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名称</w:t>
                  </w:r>
                </w:p>
              </w:tc>
              <w:tc>
                <w:tcPr>
                  <w:tcW w:w="94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消耗量</w:t>
                  </w:r>
                </w:p>
              </w:tc>
              <w:tc>
                <w:tcPr>
                  <w:tcW w:w="93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来源</w:t>
                  </w:r>
                </w:p>
              </w:tc>
              <w:tc>
                <w:tcPr>
                  <w:tcW w:w="77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运输方式</w:t>
                  </w:r>
                </w:p>
              </w:tc>
              <w:tc>
                <w:tcPr>
                  <w:tcW w:w="1308"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储存方式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w:t>
                  </w:r>
                </w:p>
              </w:tc>
              <w:tc>
                <w:tcPr>
                  <w:tcW w:w="71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硫酸钾</w:t>
                  </w:r>
                </w:p>
              </w:tc>
              <w:tc>
                <w:tcPr>
                  <w:tcW w:w="94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150000t/a</w:t>
                  </w:r>
                </w:p>
              </w:tc>
              <w:tc>
                <w:tcPr>
                  <w:tcW w:w="932"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国投罗钾硫酸钾厂</w:t>
                  </w:r>
                </w:p>
              </w:tc>
              <w:tc>
                <w:tcPr>
                  <w:tcW w:w="77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翻斗车</w:t>
                  </w:r>
                </w:p>
              </w:tc>
              <w:tc>
                <w:tcPr>
                  <w:tcW w:w="1308"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直接进入投料斗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w:t>
                  </w:r>
                </w:p>
              </w:tc>
              <w:tc>
                <w:tcPr>
                  <w:tcW w:w="71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黄腐酸</w:t>
                  </w:r>
                </w:p>
              </w:tc>
              <w:tc>
                <w:tcPr>
                  <w:tcW w:w="94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130t/a</w:t>
                  </w:r>
                </w:p>
              </w:tc>
              <w:tc>
                <w:tcPr>
                  <w:tcW w:w="93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外购</w:t>
                  </w:r>
                </w:p>
              </w:tc>
              <w:tc>
                <w:tcPr>
                  <w:tcW w:w="774"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汽车</w:t>
                  </w:r>
                </w:p>
              </w:tc>
              <w:tc>
                <w:tcPr>
                  <w:tcW w:w="1308"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依托</w:t>
                  </w:r>
                  <w:r>
                    <w:rPr>
                      <w:rFonts w:hint="default"/>
                      <w:color w:val="auto"/>
                      <w:lang w:val="en-US" w:eastAsia="zh-CN"/>
                    </w:rPr>
                    <w:t>国投罗钾硫酸钾厂</w:t>
                  </w:r>
                  <w:r>
                    <w:rPr>
                      <w:rFonts w:hint="eastAsia"/>
                      <w:color w:val="auto"/>
                      <w:lang w:val="en-US" w:eastAsia="zh-CN"/>
                    </w:rPr>
                    <w:t>综合仓库储存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3</w:t>
                  </w:r>
                </w:p>
              </w:tc>
              <w:tc>
                <w:tcPr>
                  <w:tcW w:w="71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聚谷氨酸</w:t>
                  </w:r>
                </w:p>
              </w:tc>
              <w:tc>
                <w:tcPr>
                  <w:tcW w:w="94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40t/a</w:t>
                  </w:r>
                </w:p>
              </w:tc>
              <w:tc>
                <w:tcPr>
                  <w:tcW w:w="932"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外购</w:t>
                  </w:r>
                </w:p>
              </w:tc>
              <w:tc>
                <w:tcPr>
                  <w:tcW w:w="774"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汽车</w:t>
                  </w:r>
                </w:p>
              </w:tc>
              <w:tc>
                <w:tcPr>
                  <w:tcW w:w="1308" w:type="pct"/>
                  <w:vMerge w:val="continue"/>
                  <w:tcBorders>
                    <w:tl2br w:val="nil"/>
                    <w:tr2bl w:val="nil"/>
                  </w:tcBorders>
                  <w:noWrap w:val="0"/>
                  <w:vAlign w:val="center"/>
                </w:tcPr>
                <w:p>
                  <w:pPr>
                    <w:pStyle w:val="27"/>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4</w:t>
                  </w:r>
                </w:p>
              </w:tc>
              <w:tc>
                <w:tcPr>
                  <w:tcW w:w="71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硼酸</w:t>
                  </w:r>
                </w:p>
              </w:tc>
              <w:tc>
                <w:tcPr>
                  <w:tcW w:w="94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20t/a</w:t>
                  </w:r>
                </w:p>
              </w:tc>
              <w:tc>
                <w:tcPr>
                  <w:tcW w:w="932"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外购</w:t>
                  </w:r>
                </w:p>
              </w:tc>
              <w:tc>
                <w:tcPr>
                  <w:tcW w:w="77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汽车</w:t>
                  </w:r>
                </w:p>
              </w:tc>
              <w:tc>
                <w:tcPr>
                  <w:tcW w:w="1308" w:type="pct"/>
                  <w:vMerge w:val="continue"/>
                  <w:tcBorders>
                    <w:tl2br w:val="nil"/>
                    <w:tr2bl w:val="nil"/>
                  </w:tcBorders>
                  <w:noWrap w:val="0"/>
                  <w:vAlign w:val="center"/>
                </w:tcPr>
                <w:p>
                  <w:pPr>
                    <w:pStyle w:val="27"/>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5</w:t>
                  </w:r>
                </w:p>
              </w:tc>
              <w:tc>
                <w:tcPr>
                  <w:tcW w:w="71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电</w:t>
                  </w:r>
                </w:p>
              </w:tc>
              <w:tc>
                <w:tcPr>
                  <w:tcW w:w="94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246.77万kW·h/a</w:t>
                  </w:r>
                </w:p>
              </w:tc>
              <w:tc>
                <w:tcPr>
                  <w:tcW w:w="93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w:t>
                  </w:r>
                </w:p>
              </w:tc>
              <w:tc>
                <w:tcPr>
                  <w:tcW w:w="774"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w:t>
                  </w:r>
                </w:p>
              </w:tc>
              <w:tc>
                <w:tcPr>
                  <w:tcW w:w="1308"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w:t>
                  </w:r>
                </w:p>
              </w:tc>
            </w:tr>
          </w:tbl>
          <w:p>
            <w:pPr>
              <w:pStyle w:val="54"/>
              <w:bidi w:val="0"/>
              <w:rPr>
                <w:rFonts w:hint="eastAsia"/>
                <w:color w:val="auto"/>
                <w:lang w:val="en-US" w:eastAsia="zh-CN"/>
              </w:rPr>
            </w:pPr>
            <w:r>
              <w:rPr>
                <w:rFonts w:hint="eastAsia"/>
                <w:color w:val="auto"/>
                <w:lang w:val="en-US" w:eastAsia="zh-CN"/>
              </w:rPr>
              <w:t>本项目原料硫酸钾从国投罗钾15万吨散料库直接购买，距离本项目约150m，由翻斗车进行运输。辅料用汽车从购入方运至国投罗钾硫酸钾厂总库暂存，黄腐酸钾存放面积100m</w:t>
            </w:r>
            <w:r>
              <w:rPr>
                <w:rFonts w:hint="eastAsia"/>
                <w:color w:val="auto"/>
                <w:vertAlign w:val="superscript"/>
                <w:lang w:val="en-US" w:eastAsia="zh-CN"/>
              </w:rPr>
              <w:t>2</w:t>
            </w:r>
            <w:r>
              <w:rPr>
                <w:rFonts w:hint="eastAsia"/>
                <w:color w:val="auto"/>
                <w:lang w:val="en-US" w:eastAsia="zh-CN"/>
              </w:rPr>
              <w:t>，聚谷氨酸存放面积80m</w:t>
            </w:r>
            <w:r>
              <w:rPr>
                <w:rFonts w:hint="eastAsia"/>
                <w:color w:val="auto"/>
                <w:vertAlign w:val="superscript"/>
                <w:lang w:val="en-US" w:eastAsia="zh-CN"/>
              </w:rPr>
              <w:t>2</w:t>
            </w:r>
            <w:r>
              <w:rPr>
                <w:rFonts w:hint="eastAsia"/>
                <w:color w:val="auto"/>
                <w:lang w:val="en-US" w:eastAsia="zh-CN"/>
              </w:rPr>
              <w:t>，硼酸存放面积60m</w:t>
            </w:r>
            <w:r>
              <w:rPr>
                <w:rFonts w:hint="eastAsia"/>
                <w:color w:val="auto"/>
                <w:vertAlign w:val="superscript"/>
                <w:lang w:val="en-US" w:eastAsia="zh-CN"/>
              </w:rPr>
              <w:t>2</w:t>
            </w:r>
            <w:r>
              <w:rPr>
                <w:rFonts w:hint="eastAsia"/>
                <w:color w:val="auto"/>
                <w:lang w:val="en-US" w:eastAsia="zh-CN"/>
              </w:rPr>
              <w:t>，国投罗钾硫酸钾厂总库采取露天库进行存放，采用篷布铺盖遮阳。产品经打包后暂存于厂房外空地，即产即运。</w:t>
            </w:r>
          </w:p>
          <w:p>
            <w:pPr>
              <w:pStyle w:val="54"/>
              <w:bidi w:val="0"/>
              <w:rPr>
                <w:rFonts w:hint="default"/>
                <w:color w:val="auto"/>
                <w:lang w:val="en-US" w:eastAsia="zh-CN"/>
              </w:rPr>
            </w:pPr>
            <w:r>
              <w:rPr>
                <w:rFonts w:hint="eastAsia"/>
                <w:color w:val="auto"/>
                <w:lang w:val="en-US" w:eastAsia="zh-CN"/>
              </w:rPr>
              <w:t>2、原辅材料技术规格</w:t>
            </w:r>
          </w:p>
          <w:p>
            <w:pPr>
              <w:pStyle w:val="54"/>
              <w:bidi w:val="0"/>
              <w:rPr>
                <w:rFonts w:hint="default"/>
                <w:color w:val="auto"/>
                <w:lang w:val="en-US" w:eastAsia="zh-CN"/>
              </w:rPr>
            </w:pPr>
            <w:r>
              <w:rPr>
                <w:rFonts w:hint="eastAsia"/>
                <w:color w:val="auto"/>
                <w:lang w:val="en-US" w:eastAsia="zh-CN"/>
              </w:rPr>
              <w:t>（1）硫酸钾</w:t>
            </w:r>
          </w:p>
          <w:p>
            <w:pPr>
              <w:pStyle w:val="54"/>
              <w:bidi w:val="0"/>
              <w:rPr>
                <w:rFonts w:hint="eastAsia"/>
                <w:color w:val="auto"/>
                <w:lang w:val="en-US" w:eastAsia="zh-CN"/>
              </w:rPr>
            </w:pPr>
            <w:r>
              <w:rPr>
                <w:rFonts w:hint="eastAsia"/>
                <w:color w:val="auto"/>
                <w:lang w:val="en-US" w:eastAsia="zh-CN"/>
              </w:rPr>
              <w:t>根据建设单位提供资料，本项目速溶肥生产原料为国投罗钾硫酸钾厂生产的硫酸钾粉料，硫酸钾粉料的生产是以罗北凹地矿区的液体钾盐矿为原料，经开采、盐田滩晒、采收后加工成粗钾和软钾，再经结晶反应生成硫酸钾，经离心，烘干，成为硫酸钾粉料。目前已建成的硫酸钾生产装置生产的产品质量符合国标GB/T 20406，同时符合企标QGTLJ 103.10-2025，其中K</w:t>
            </w:r>
            <w:r>
              <w:rPr>
                <w:rFonts w:hint="eastAsia"/>
                <w:color w:val="auto"/>
                <w:vertAlign w:val="subscript"/>
                <w:lang w:val="en-US" w:eastAsia="zh-CN"/>
              </w:rPr>
              <w:t>2</w:t>
            </w:r>
            <w:r>
              <w:rPr>
                <w:rFonts w:hint="eastAsia"/>
                <w:color w:val="auto"/>
                <w:lang w:val="en-US" w:eastAsia="zh-CN"/>
              </w:rPr>
              <w:t>O含量≥52%，超过国标要求；生产规模设计为150万吨/年，年供应量稳定。</w:t>
            </w:r>
          </w:p>
          <w:p>
            <w:pPr>
              <w:pStyle w:val="54"/>
              <w:bidi w:val="0"/>
              <w:rPr>
                <w:rFonts w:hint="eastAsia"/>
                <w:color w:val="auto"/>
                <w:lang w:val="en-US" w:eastAsia="zh-CN"/>
              </w:rPr>
            </w:pPr>
            <w:r>
              <w:rPr>
                <w:rFonts w:hint="eastAsia"/>
                <w:color w:val="auto"/>
                <w:lang w:val="en-US" w:eastAsia="zh-CN"/>
              </w:rPr>
              <w:t>硫酸钾原料执行标准《农业用硫酸钾》（GB/T 20406-2017）。</w:t>
            </w:r>
          </w:p>
          <w:p>
            <w:pPr>
              <w:pStyle w:val="26"/>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2-5</w:t>
            </w:r>
            <w:r>
              <w:rPr>
                <w:rFonts w:hint="default"/>
                <w:color w:val="auto"/>
                <w:lang w:val="en-US" w:eastAsia="zh-CN"/>
              </w:rPr>
              <w:t xml:space="preserve"> </w:t>
            </w:r>
            <w:r>
              <w:rPr>
                <w:rFonts w:hint="eastAsia"/>
                <w:color w:val="auto"/>
                <w:lang w:val="en-US" w:eastAsia="zh-CN"/>
              </w:rPr>
              <w:t xml:space="preserve"> 硫酸钾质量规格</w:t>
            </w:r>
          </w:p>
          <w:tbl>
            <w:tblPr>
              <w:tblStyle w:val="2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23"/>
              <w:gridCol w:w="2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项目</w:t>
                  </w:r>
                </w:p>
              </w:tc>
              <w:tc>
                <w:tcPr>
                  <w:tcW w:w="1607"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优等品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2" w:type="pct"/>
                  <w:tcBorders>
                    <w:tl2br w:val="nil"/>
                    <w:tr2bl w:val="nil"/>
                  </w:tcBorders>
                  <w:noWrap w:val="0"/>
                  <w:vAlign w:val="center"/>
                </w:tcPr>
                <w:p>
                  <w:pPr>
                    <w:pStyle w:val="27"/>
                    <w:bidi w:val="0"/>
                    <w:rPr>
                      <w:rFonts w:hint="default"/>
                      <w:color w:val="auto"/>
                      <w:lang w:val="en-US" w:eastAsia="zh-CN"/>
                    </w:rPr>
                  </w:pPr>
                  <w:r>
                    <w:rPr>
                      <w:rFonts w:hint="default" w:ascii="Times New Roman" w:hAnsi="Times New Roman" w:cs="Times New Roman"/>
                      <w:color w:val="auto"/>
                      <w:lang w:val="en-US" w:eastAsia="zh-CN"/>
                    </w:rPr>
                    <w:t>氧化钾的质量分数</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w:t>
                  </w:r>
                </w:p>
              </w:tc>
              <w:tc>
                <w:tcPr>
                  <w:tcW w:w="1607"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 xml:space="preserve">硫的质量分数/% </w:t>
                  </w:r>
                  <w:r>
                    <w:rPr>
                      <w:rFonts w:hint="default" w:ascii="Times New Roman" w:hAnsi="Times New Roman" w:cs="Times New Roman"/>
                      <w:color w:val="auto"/>
                      <w:lang w:val="en-US" w:eastAsia="zh-CN"/>
                    </w:rPr>
                    <w:t>≥</w:t>
                  </w:r>
                </w:p>
              </w:tc>
              <w:tc>
                <w:tcPr>
                  <w:tcW w:w="1607"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 xml:space="preserve">氯离子的质量分数/% </w:t>
                  </w:r>
                  <w:r>
                    <w:rPr>
                      <w:rFonts w:hint="default" w:ascii="Times New Roman" w:hAnsi="Times New Roman" w:cs="Times New Roman"/>
                      <w:color w:val="auto"/>
                      <w:lang w:val="en-US" w:eastAsia="zh-CN"/>
                    </w:rPr>
                    <w:t>≥</w:t>
                  </w:r>
                </w:p>
              </w:tc>
              <w:tc>
                <w:tcPr>
                  <w:tcW w:w="1607"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 xml:space="preserve">水分的质量分数/% </w:t>
                  </w:r>
                  <w:r>
                    <w:rPr>
                      <w:rFonts w:hint="default" w:ascii="Times New Roman" w:hAnsi="Times New Roman" w:cs="Times New Roman"/>
                      <w:color w:val="auto"/>
                      <w:lang w:val="en-US" w:eastAsia="zh-CN"/>
                    </w:rPr>
                    <w:t>≥</w:t>
                  </w:r>
                </w:p>
              </w:tc>
              <w:tc>
                <w:tcPr>
                  <w:tcW w:w="1607"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游离酸（以H</w:t>
                  </w:r>
                  <w:r>
                    <w:rPr>
                      <w:rFonts w:hint="eastAsia"/>
                      <w:color w:val="auto"/>
                      <w:vertAlign w:val="subscript"/>
                      <w:lang w:val="en-US" w:eastAsia="zh-CN"/>
                    </w:rPr>
                    <w:t>2</w:t>
                  </w:r>
                  <w:r>
                    <w:rPr>
                      <w:rFonts w:hint="eastAsia"/>
                      <w:color w:val="auto"/>
                      <w:lang w:val="en-US" w:eastAsia="zh-CN"/>
                    </w:rPr>
                    <w:t>SO</w:t>
                  </w:r>
                  <w:r>
                    <w:rPr>
                      <w:rFonts w:hint="eastAsia"/>
                      <w:color w:val="auto"/>
                      <w:vertAlign w:val="subscript"/>
                      <w:lang w:val="en-US" w:eastAsia="zh-CN"/>
                    </w:rPr>
                    <w:t>4</w:t>
                  </w:r>
                  <w:r>
                    <w:rPr>
                      <w:rFonts w:hint="eastAsia"/>
                      <w:color w:val="auto"/>
                      <w:lang w:val="en-US" w:eastAsia="zh-CN"/>
                    </w:rPr>
                    <w:t xml:space="preserve">计）的质量分数/% </w:t>
                  </w:r>
                  <w:r>
                    <w:rPr>
                      <w:rFonts w:hint="default" w:ascii="Times New Roman" w:hAnsi="Times New Roman" w:cs="Times New Roman"/>
                      <w:color w:val="auto"/>
                      <w:lang w:val="en-US" w:eastAsia="zh-CN"/>
                    </w:rPr>
                    <w:t>≥</w:t>
                  </w:r>
                </w:p>
              </w:tc>
              <w:tc>
                <w:tcPr>
                  <w:tcW w:w="1607"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2"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 xml:space="preserve">粒度（粒径1.00mm~4.75mm或3.35mm~5.60mm）/% </w:t>
                  </w:r>
                  <w:r>
                    <w:rPr>
                      <w:rFonts w:hint="default" w:ascii="Times New Roman" w:hAnsi="Times New Roman" w:cs="Times New Roman"/>
                      <w:color w:val="auto"/>
                      <w:lang w:val="en-US" w:eastAsia="zh-CN"/>
                    </w:rPr>
                    <w:t>≥</w:t>
                  </w:r>
                </w:p>
              </w:tc>
              <w:tc>
                <w:tcPr>
                  <w:tcW w:w="1607"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90</w:t>
                  </w:r>
                </w:p>
              </w:tc>
            </w:tr>
          </w:tbl>
          <w:p>
            <w:pPr>
              <w:pStyle w:val="26"/>
              <w:bidi w:val="0"/>
              <w:rPr>
                <w:rFonts w:hint="default"/>
                <w:color w:val="auto"/>
                <w:lang w:val="en-US" w:eastAsia="zh-CN"/>
              </w:rPr>
            </w:pPr>
            <w:r>
              <w:rPr>
                <w:rFonts w:hint="eastAsia"/>
                <w:color w:val="auto"/>
                <w:lang w:val="en-US" w:eastAsia="zh-CN"/>
              </w:rPr>
              <w:t>表2-6  硫酸钾理化性质一览表</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888"/>
              <w:gridCol w:w="1888"/>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中文名</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硫酸钾</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英文名</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potassium sulfate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CAS号</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7778-80-5</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分子量</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174.259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分子式</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K</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4</w:t>
                  </w:r>
                  <w:r>
                    <w:rPr>
                      <w:rFonts w:hint="eastAsia"/>
                      <w:color w:val="auto"/>
                      <w:lang w:val="en-US" w:eastAsia="zh-CN"/>
                    </w:rPr>
                    <w:t>S</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密度（g/cm</w:t>
                  </w:r>
                  <w:r>
                    <w:rPr>
                      <w:rFonts w:hint="eastAsia"/>
                      <w:color w:val="auto"/>
                      <w:vertAlign w:val="superscript"/>
                      <w:lang w:val="en-US" w:eastAsia="zh-CN"/>
                    </w:rPr>
                    <w:t>3</w:t>
                  </w:r>
                  <w:r>
                    <w:rPr>
                      <w:rFonts w:hint="eastAsia"/>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沸点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1689</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熔点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1069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闪点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1689</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外观性状</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白色结晶粉末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储存条件</w:t>
                  </w:r>
                </w:p>
              </w:tc>
              <w:tc>
                <w:tcPr>
                  <w:tcW w:w="3750" w:type="pct"/>
                  <w:gridSpan w:val="3"/>
                  <w:tcBorders>
                    <w:tl2br w:val="nil"/>
                    <w:tr2bl w:val="nil"/>
                  </w:tcBorders>
                  <w:vAlign w:val="center"/>
                </w:tcPr>
                <w:p>
                  <w:pPr>
                    <w:pStyle w:val="27"/>
                    <w:bidi w:val="0"/>
                    <w:jc w:val="left"/>
                    <w:rPr>
                      <w:rFonts w:hint="eastAsia"/>
                      <w:color w:val="auto"/>
                      <w:lang w:val="en-US" w:eastAsia="zh-CN"/>
                    </w:rPr>
                  </w:pPr>
                  <w:r>
                    <w:rPr>
                      <w:rFonts w:hint="eastAsia"/>
                      <w:color w:val="auto"/>
                      <w:lang w:val="en-US" w:eastAsia="zh-CN"/>
                    </w:rPr>
                    <w:t>1.应贮存在通风、干燥的库房中。</w:t>
                  </w:r>
                </w:p>
                <w:p>
                  <w:pPr>
                    <w:pStyle w:val="27"/>
                    <w:bidi w:val="0"/>
                    <w:jc w:val="left"/>
                    <w:rPr>
                      <w:rFonts w:hint="eastAsia"/>
                      <w:color w:val="auto"/>
                      <w:lang w:val="en-US" w:eastAsia="zh-CN"/>
                    </w:rPr>
                  </w:pPr>
                  <w:r>
                    <w:rPr>
                      <w:rFonts w:hint="eastAsia"/>
                      <w:color w:val="auto"/>
                      <w:lang w:val="en-US" w:eastAsia="zh-CN"/>
                    </w:rPr>
                    <w:t>2.包装密封、避免受潮，运输时防止雨淋溶化流失。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稳定性</w:t>
                  </w:r>
                </w:p>
              </w:tc>
              <w:tc>
                <w:tcPr>
                  <w:tcW w:w="3750" w:type="pct"/>
                  <w:gridSpan w:val="3"/>
                  <w:tcBorders>
                    <w:tl2br w:val="nil"/>
                    <w:tr2bl w:val="nil"/>
                  </w:tcBorders>
                  <w:vAlign w:val="center"/>
                </w:tcPr>
                <w:p>
                  <w:pPr>
                    <w:pStyle w:val="27"/>
                    <w:bidi w:val="0"/>
                    <w:jc w:val="left"/>
                    <w:rPr>
                      <w:rFonts w:hint="eastAsia"/>
                      <w:color w:val="auto"/>
                      <w:lang w:val="en-US" w:eastAsia="zh-CN"/>
                    </w:rPr>
                  </w:pPr>
                  <w:r>
                    <w:rPr>
                      <w:rFonts w:hint="eastAsia"/>
                      <w:color w:val="auto"/>
                      <w:lang w:val="en-US" w:eastAsia="zh-CN"/>
                    </w:rPr>
                    <w:t>质重而坚硬。无气味。溶于水（25</w:t>
                  </w:r>
                  <w:r>
                    <w:rPr>
                      <w:rFonts w:hint="default" w:ascii="Times New Roman" w:hAnsi="Times New Roman" w:cs="Times New Roman"/>
                      <w:color w:val="auto"/>
                      <w:lang w:val="en-US" w:eastAsia="zh-CN"/>
                    </w:rPr>
                    <w:t>℃时12</w:t>
                  </w:r>
                  <w:r>
                    <w:rPr>
                      <w:rFonts w:hint="eastAsia"/>
                      <w:color w:val="auto"/>
                      <w:lang w:val="en-US" w:eastAsia="zh-CN"/>
                    </w:rPr>
                    <w:t>g/100ml水，10</w:t>
                  </w:r>
                  <w:r>
                    <w:rPr>
                      <w:rFonts w:hint="default" w:ascii="Times New Roman" w:hAnsi="Times New Roman" w:cs="Times New Roman"/>
                      <w:color w:val="auto"/>
                      <w:lang w:val="en-US" w:eastAsia="zh-CN"/>
                    </w:rPr>
                    <w:t>0℃时</w:t>
                  </w:r>
                  <w:r>
                    <w:rPr>
                      <w:rFonts w:hint="eastAsia"/>
                      <w:color w:val="auto"/>
                      <w:lang w:val="en-US" w:eastAsia="zh-CN"/>
                    </w:rPr>
                    <w:t>24.1g/100ml水），不溶于醇、丙酮和二硫化碳。具有苦咸味。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急救措施</w:t>
                  </w:r>
                </w:p>
              </w:tc>
              <w:tc>
                <w:tcPr>
                  <w:tcW w:w="3750" w:type="pct"/>
                  <w:gridSpan w:val="3"/>
                  <w:tcBorders>
                    <w:tl2br w:val="nil"/>
                    <w:tr2bl w:val="nil"/>
                  </w:tcBorders>
                  <w:vAlign w:val="center"/>
                </w:tcPr>
                <w:p>
                  <w:pPr>
                    <w:pStyle w:val="27"/>
                    <w:bidi w:val="0"/>
                    <w:jc w:val="left"/>
                    <w:rPr>
                      <w:rFonts w:hint="eastAsia"/>
                      <w:color w:val="auto"/>
                      <w:lang w:val="en-US" w:eastAsia="zh-CN"/>
                    </w:rPr>
                  </w:pPr>
                  <w:r>
                    <w:rPr>
                      <w:rFonts w:hint="eastAsia"/>
                      <w:color w:val="auto"/>
                      <w:lang w:val="en-US" w:eastAsia="zh-CN"/>
                    </w:rPr>
                    <w:t>吸入：如果吸入,请将患者移到新鲜空气处。如果停止了呼吸，给于人工呼吸。</w:t>
                  </w:r>
                </w:p>
                <w:p>
                  <w:pPr>
                    <w:pStyle w:val="27"/>
                    <w:bidi w:val="0"/>
                    <w:jc w:val="left"/>
                    <w:rPr>
                      <w:rFonts w:hint="eastAsia"/>
                      <w:color w:val="auto"/>
                      <w:lang w:val="en-US" w:eastAsia="zh-CN"/>
                    </w:rPr>
                  </w:pPr>
                  <w:r>
                    <w:rPr>
                      <w:rFonts w:hint="eastAsia"/>
                      <w:color w:val="auto"/>
                      <w:lang w:val="en-US" w:eastAsia="zh-CN"/>
                    </w:rPr>
                    <w:t>皮肤接触：用肥皂和大量的水冲洗。</w:t>
                  </w:r>
                </w:p>
                <w:p>
                  <w:pPr>
                    <w:pStyle w:val="27"/>
                    <w:bidi w:val="0"/>
                    <w:jc w:val="left"/>
                    <w:rPr>
                      <w:rFonts w:hint="eastAsia"/>
                      <w:color w:val="auto"/>
                      <w:lang w:val="en-US" w:eastAsia="zh-CN"/>
                    </w:rPr>
                  </w:pPr>
                  <w:r>
                    <w:rPr>
                      <w:rFonts w:hint="eastAsia"/>
                      <w:color w:val="auto"/>
                      <w:lang w:val="en-US" w:eastAsia="zh-CN"/>
                    </w:rPr>
                    <w:t>眼睛接触：用水冲洗眼睛作为预防措施。</w:t>
                  </w:r>
                </w:p>
                <w:p>
                  <w:pPr>
                    <w:pStyle w:val="27"/>
                    <w:bidi w:val="0"/>
                    <w:jc w:val="left"/>
                    <w:rPr>
                      <w:rFonts w:hint="eastAsia"/>
                      <w:color w:val="auto"/>
                      <w:lang w:val="en-US" w:eastAsia="zh-CN"/>
                    </w:rPr>
                  </w:pPr>
                  <w:r>
                    <w:rPr>
                      <w:rFonts w:hint="eastAsia"/>
                      <w:color w:val="auto"/>
                      <w:lang w:val="en-US" w:eastAsia="zh-CN"/>
                    </w:rPr>
                    <w:t>食入：切勿给失去知觉者从嘴里喂食任何东西。用水漱口。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毒理性</w:t>
                  </w:r>
                </w:p>
              </w:tc>
              <w:tc>
                <w:tcPr>
                  <w:tcW w:w="3750" w:type="pct"/>
                  <w:gridSpan w:val="3"/>
                  <w:tcBorders>
                    <w:tl2br w:val="nil"/>
                    <w:tr2bl w:val="nil"/>
                  </w:tcBorders>
                  <w:vAlign w:val="center"/>
                </w:tcPr>
                <w:p>
                  <w:pPr>
                    <w:pStyle w:val="27"/>
                    <w:bidi w:val="0"/>
                    <w:jc w:val="left"/>
                    <w:rPr>
                      <w:rFonts w:hint="eastAsia"/>
                      <w:color w:val="auto"/>
                      <w:lang w:val="en-US" w:eastAsia="zh-CN"/>
                    </w:rPr>
                  </w:pPr>
                  <w:r>
                    <w:rPr>
                      <w:rFonts w:hint="eastAsia"/>
                      <w:color w:val="auto"/>
                      <w:lang w:val="en-US" w:eastAsia="zh-CN"/>
                    </w:rPr>
                    <w:t>LD50：4000mg/Kg（大鼠经口）；4720mg/Kg（兔经皮）。LC50：9400mg/m</w:t>
                  </w:r>
                  <w:r>
                    <w:rPr>
                      <w:rFonts w:hint="eastAsia"/>
                      <w:color w:val="auto"/>
                      <w:vertAlign w:val="superscript"/>
                      <w:lang w:val="en-US" w:eastAsia="zh-CN"/>
                    </w:rPr>
                    <w:t>3</w:t>
                  </w:r>
                  <w:r>
                    <w:rPr>
                      <w:rFonts w:hint="eastAsia"/>
                      <w:color w:val="auto"/>
                      <w:lang w:val="en-US" w:eastAsia="zh-CN"/>
                    </w:rPr>
                    <w:t>，2小时（小鼠吸入）。</w:t>
                  </w:r>
                </w:p>
              </w:tc>
            </w:tr>
          </w:tbl>
          <w:p>
            <w:pPr>
              <w:pStyle w:val="54"/>
              <w:bidi w:val="0"/>
              <w:rPr>
                <w:rFonts w:hint="default"/>
                <w:color w:val="auto"/>
                <w:lang w:val="en-US" w:eastAsia="zh-CN"/>
              </w:rPr>
            </w:pPr>
            <w:r>
              <w:rPr>
                <w:rFonts w:hint="eastAsia"/>
                <w:color w:val="auto"/>
                <w:lang w:val="en-US" w:eastAsia="zh-CN"/>
              </w:rPr>
              <w:t>（2）聚谷氨酸</w:t>
            </w:r>
          </w:p>
          <w:p>
            <w:pPr>
              <w:pStyle w:val="54"/>
              <w:bidi w:val="0"/>
              <w:rPr>
                <w:rFonts w:hint="eastAsia"/>
                <w:color w:val="auto"/>
                <w:lang w:val="en-US" w:eastAsia="zh-CN"/>
              </w:rPr>
            </w:pPr>
            <w:r>
              <w:rPr>
                <w:rFonts w:hint="eastAsia"/>
                <w:color w:val="auto"/>
                <w:lang w:val="en-US" w:eastAsia="zh-CN"/>
              </w:rPr>
              <w:t>聚谷氨酸引用标准NY/T 3039-2016。</w:t>
            </w:r>
          </w:p>
          <w:p>
            <w:pPr>
              <w:pStyle w:val="26"/>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 xml:space="preserve">2-7 </w:t>
            </w:r>
            <w:r>
              <w:rPr>
                <w:rFonts w:hint="default"/>
                <w:color w:val="auto"/>
                <w:lang w:val="en-US" w:eastAsia="zh-CN"/>
              </w:rPr>
              <w:t xml:space="preserve"> </w:t>
            </w:r>
            <w:r>
              <w:rPr>
                <w:rFonts w:hint="eastAsia"/>
                <w:color w:val="auto"/>
                <w:lang w:val="en-US" w:eastAsia="zh-CN"/>
              </w:rPr>
              <w:t>聚谷氨酸质量规格</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888"/>
              <w:gridCol w:w="1888"/>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物料名称</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聚谷氨酸</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数量</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吨</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40</w:t>
                  </w:r>
                </w:p>
              </w:tc>
              <w:tc>
                <w:tcPr>
                  <w:tcW w:w="1250" w:type="pct"/>
                  <w:tcBorders>
                    <w:tl2br w:val="nil"/>
                    <w:tr2bl w:val="nil"/>
                  </w:tcBorders>
                  <w:noWrap w:val="0"/>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聚谷氨酸</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NY/T 3039-2016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水不溶物</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ascii="Times New Roman" w:hAnsi="Times New Roman" w:cs="Times New Roman"/>
                      <w:color w:val="auto"/>
                      <w:lang w:val="en-US" w:eastAsia="zh-CN"/>
                    </w:rPr>
                    <w:t>≤1.0%</w:t>
                  </w:r>
                </w:p>
              </w:tc>
              <w:tc>
                <w:tcPr>
                  <w:tcW w:w="1250" w:type="pct"/>
                  <w:tcBorders>
                    <w:tl2br w:val="nil"/>
                    <w:tr2bl w:val="nil"/>
                  </w:tcBorders>
                  <w:noWrap w:val="0"/>
                  <w:vAlign w:val="center"/>
                </w:tcPr>
                <w:p>
                  <w:pPr>
                    <w:pStyle w:val="27"/>
                    <w:bidi w:val="0"/>
                    <w:rPr>
                      <w:rFonts w:hint="eastAsia"/>
                      <w:color w:val="auto"/>
                      <w:lang w:val="en-US" w:eastAsia="zh-CN"/>
                    </w:rPr>
                  </w:pPr>
                </w:p>
              </w:tc>
            </w:tr>
          </w:tbl>
          <w:p>
            <w:pPr>
              <w:pStyle w:val="26"/>
              <w:bidi w:val="0"/>
              <w:rPr>
                <w:rFonts w:hint="default"/>
                <w:color w:val="auto"/>
                <w:lang w:val="en-US" w:eastAsia="zh-CN"/>
              </w:rPr>
            </w:pPr>
            <w:r>
              <w:rPr>
                <w:rFonts w:hint="eastAsia"/>
                <w:color w:val="auto"/>
                <w:lang w:val="en-US" w:eastAsia="zh-CN"/>
              </w:rPr>
              <w:t>表2-8  聚谷氨酸理化性质一览表</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888"/>
              <w:gridCol w:w="1888"/>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中文名</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聚谷氨酸</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英文名</w:t>
                  </w:r>
                </w:p>
              </w:tc>
              <w:tc>
                <w:tcPr>
                  <w:tcW w:w="1250" w:type="pct"/>
                  <w:tcBorders>
                    <w:tl2br w:val="nil"/>
                    <w:tr2bl w:val="nil"/>
                  </w:tcBorders>
                </w:tcPr>
                <w:p>
                  <w:pPr>
                    <w:pStyle w:val="27"/>
                    <w:bidi w:val="0"/>
                    <w:rPr>
                      <w:rFonts w:hint="eastAsia"/>
                      <w:color w:val="auto"/>
                      <w:lang w:val="en-US" w:eastAsia="zh-CN"/>
                    </w:rPr>
                  </w:pPr>
                  <w:r>
                    <w:rPr>
                      <w:rFonts w:hint="eastAsia"/>
                      <w:color w:val="auto"/>
                      <w:lang w:val="en-US" w:eastAsia="zh-CN"/>
                    </w:rPr>
                    <w:t>polyglutamic acid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CAS号</w:t>
                  </w:r>
                </w:p>
              </w:tc>
              <w:tc>
                <w:tcPr>
                  <w:tcW w:w="1250" w:type="pct"/>
                  <w:tcBorders>
                    <w:tl2br w:val="nil"/>
                    <w:tr2bl w:val="nil"/>
                  </w:tcBorders>
                </w:tcPr>
                <w:p>
                  <w:pPr>
                    <w:pStyle w:val="27"/>
                    <w:bidi w:val="0"/>
                    <w:rPr>
                      <w:rFonts w:hint="eastAsia"/>
                      <w:color w:val="auto"/>
                      <w:lang w:val="en-US" w:eastAsia="zh-CN"/>
                    </w:rPr>
                  </w:pPr>
                  <w:r>
                    <w:rPr>
                      <w:rFonts w:hint="eastAsia"/>
                      <w:color w:val="auto"/>
                      <w:lang w:val="en-US" w:eastAsia="zh-CN"/>
                    </w:rPr>
                    <w:t>84960-48-5</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分子量</w:t>
                  </w:r>
                </w:p>
              </w:tc>
              <w:tc>
                <w:tcPr>
                  <w:tcW w:w="1250" w:type="pct"/>
                  <w:tcBorders>
                    <w:tl2br w:val="nil"/>
                    <w:tr2bl w:val="nil"/>
                  </w:tcBorders>
                </w:tcPr>
                <w:p>
                  <w:pPr>
                    <w:pStyle w:val="27"/>
                    <w:bidi w:val="0"/>
                    <w:rPr>
                      <w:rFonts w:hint="eastAsia"/>
                      <w:color w:val="auto"/>
                      <w:lang w:val="en-US" w:eastAsia="zh-CN"/>
                    </w:rPr>
                  </w:pPr>
                  <w:r>
                    <w:rPr>
                      <w:rFonts w:hint="eastAsia"/>
                      <w:color w:val="auto"/>
                      <w:lang w:val="en-US" w:eastAsia="zh-CN"/>
                    </w:rPr>
                    <w:t>387.342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分子式</w:t>
                  </w:r>
                </w:p>
              </w:tc>
              <w:tc>
                <w:tcPr>
                  <w:tcW w:w="1250" w:type="pct"/>
                  <w:tcBorders>
                    <w:tl2br w:val="nil"/>
                    <w:tr2bl w:val="nil"/>
                  </w:tcBorders>
                </w:tcPr>
                <w:p>
                  <w:pPr>
                    <w:pStyle w:val="27"/>
                    <w:bidi w:val="0"/>
                    <w:rPr>
                      <w:rFonts w:hint="eastAsia"/>
                      <w:color w:val="auto"/>
                      <w:lang w:val="en-US" w:eastAsia="zh-CN"/>
                    </w:rPr>
                  </w:pPr>
                  <w:r>
                    <w:rPr>
                      <w:rFonts w:hint="eastAsia"/>
                      <w:color w:val="auto"/>
                      <w:lang w:val="en-US" w:eastAsia="zh-CN"/>
                    </w:rPr>
                    <w:t>C</w:t>
                  </w:r>
                  <w:r>
                    <w:rPr>
                      <w:rFonts w:hint="eastAsia"/>
                      <w:color w:val="auto"/>
                      <w:vertAlign w:val="subscript"/>
                      <w:lang w:val="en-US" w:eastAsia="zh-CN"/>
                    </w:rPr>
                    <w:t>15</w:t>
                  </w:r>
                  <w:r>
                    <w:rPr>
                      <w:rFonts w:hint="eastAsia"/>
                      <w:color w:val="auto"/>
                      <w:lang w:val="en-US" w:eastAsia="zh-CN"/>
                    </w:rPr>
                    <w:t>H</w:t>
                  </w:r>
                  <w:r>
                    <w:rPr>
                      <w:rFonts w:hint="eastAsia"/>
                      <w:color w:val="auto"/>
                      <w:vertAlign w:val="subscript"/>
                      <w:lang w:val="en-US" w:eastAsia="zh-CN"/>
                    </w:rPr>
                    <w:t>21</w:t>
                  </w:r>
                  <w:r>
                    <w:rPr>
                      <w:rFonts w:hint="eastAsia"/>
                      <w:color w:val="auto"/>
                      <w:lang w:val="en-US" w:eastAsia="zh-CN"/>
                    </w:rPr>
                    <w:t>N</w:t>
                  </w:r>
                  <w:r>
                    <w:rPr>
                      <w:rFonts w:hint="eastAsia"/>
                      <w:color w:val="auto"/>
                      <w:vertAlign w:val="subscript"/>
                      <w:lang w:val="en-US" w:eastAsia="zh-CN"/>
                    </w:rPr>
                    <w:t>3</w:t>
                  </w:r>
                  <w:r>
                    <w:rPr>
                      <w:rFonts w:hint="eastAsia"/>
                      <w:color w:val="auto"/>
                      <w:lang w:val="en-US" w:eastAsia="zh-CN"/>
                    </w:rPr>
                    <w:t>O</w:t>
                  </w:r>
                  <w:r>
                    <w:rPr>
                      <w:rFonts w:hint="eastAsia"/>
                      <w:color w:val="auto"/>
                      <w:vertAlign w:val="subscript"/>
                      <w:lang w:val="en-US" w:eastAsia="zh-CN"/>
                    </w:rPr>
                    <w:t>9</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密度（g/cm</w:t>
                  </w:r>
                  <w:r>
                    <w:rPr>
                      <w:rFonts w:hint="eastAsia"/>
                      <w:color w:val="auto"/>
                      <w:vertAlign w:val="superscript"/>
                      <w:lang w:val="en-US" w:eastAsia="zh-CN"/>
                    </w:rPr>
                    <w:t>3</w:t>
                  </w:r>
                  <w:r>
                    <w:rPr>
                      <w:rFonts w:hint="eastAsia"/>
                      <w:color w:val="auto"/>
                      <w:lang w:val="en-US" w:eastAsia="zh-CN"/>
                    </w:rPr>
                    <w:t>）</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1.409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沸点</w:t>
                  </w:r>
                  <w:r>
                    <w:rPr>
                      <w:rFonts w:hint="default" w:ascii="Times New Roman" w:hAnsi="Times New Roman" w:cs="Times New Roman"/>
                      <w:color w:val="auto"/>
                      <w:lang w:val="en-US" w:eastAsia="zh-CN"/>
                    </w:rPr>
                    <w:t>（℃）</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333.8</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熔点</w:t>
                  </w:r>
                  <w:r>
                    <w:rPr>
                      <w:rFonts w:hint="default" w:ascii="Times New Roman" w:hAnsi="Times New Roman" w:cs="Times New Roman"/>
                      <w:color w:val="auto"/>
                      <w:lang w:val="en-US" w:eastAsia="zh-CN"/>
                    </w:rPr>
                    <w:t>（℃）</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闪点</w:t>
                  </w:r>
                  <w:r>
                    <w:rPr>
                      <w:rFonts w:hint="default" w:ascii="Times New Roman" w:hAnsi="Times New Roman" w:cs="Times New Roman"/>
                      <w:color w:val="auto"/>
                      <w:lang w:val="en-US" w:eastAsia="zh-CN"/>
                    </w:rPr>
                    <w:t>（℃）</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155.7</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外观性状</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白色粉末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毒理性</w:t>
                  </w:r>
                </w:p>
              </w:tc>
              <w:tc>
                <w:tcPr>
                  <w:tcW w:w="3750" w:type="pct"/>
                  <w:gridSpan w:val="3"/>
                  <w:tcBorders>
                    <w:tl2br w:val="nil"/>
                    <w:tr2bl w:val="nil"/>
                  </w:tcBorders>
                </w:tcPr>
                <w:p>
                  <w:pPr>
                    <w:pStyle w:val="27"/>
                    <w:bidi w:val="0"/>
                    <w:jc w:val="left"/>
                    <w:rPr>
                      <w:rFonts w:hint="eastAsia"/>
                      <w:color w:val="auto"/>
                      <w:lang w:val="en-US" w:eastAsia="zh-CN"/>
                    </w:rPr>
                  </w:pPr>
                  <w:r>
                    <w:rPr>
                      <w:rFonts w:hint="eastAsia"/>
                      <w:color w:val="auto"/>
                      <w:lang w:val="en-US" w:eastAsia="zh-CN"/>
                    </w:rPr>
                    <w:t>对人体和环境无毒可生物降解，生态友好型。</w:t>
                  </w:r>
                </w:p>
              </w:tc>
            </w:tr>
          </w:tbl>
          <w:p>
            <w:pPr>
              <w:pStyle w:val="54"/>
              <w:bidi w:val="0"/>
              <w:rPr>
                <w:rFonts w:hint="default"/>
                <w:color w:val="auto"/>
                <w:lang w:val="en-US" w:eastAsia="zh-CN"/>
              </w:rPr>
            </w:pPr>
            <w:r>
              <w:rPr>
                <w:rFonts w:hint="eastAsia"/>
                <w:color w:val="auto"/>
                <w:lang w:val="en-US" w:eastAsia="zh-CN"/>
              </w:rPr>
              <w:t>（3）硼酸</w:t>
            </w:r>
          </w:p>
          <w:p>
            <w:pPr>
              <w:pStyle w:val="54"/>
              <w:bidi w:val="0"/>
              <w:rPr>
                <w:rFonts w:hint="eastAsia"/>
                <w:color w:val="auto"/>
                <w:lang w:val="en-US" w:eastAsia="zh-CN"/>
              </w:rPr>
            </w:pPr>
            <w:r>
              <w:rPr>
                <w:rFonts w:hint="eastAsia"/>
                <w:color w:val="auto"/>
                <w:lang w:val="en-US" w:eastAsia="zh-CN"/>
              </w:rPr>
              <w:t>硼酸引用标准GB/T 538-2018。</w:t>
            </w:r>
          </w:p>
          <w:p>
            <w:pPr>
              <w:pStyle w:val="26"/>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 xml:space="preserve">2-9 </w:t>
            </w:r>
            <w:r>
              <w:rPr>
                <w:rFonts w:hint="default"/>
                <w:color w:val="auto"/>
                <w:lang w:val="en-US" w:eastAsia="zh-CN"/>
              </w:rPr>
              <w:t xml:space="preserve"> </w:t>
            </w:r>
            <w:r>
              <w:rPr>
                <w:rFonts w:hint="eastAsia"/>
                <w:color w:val="auto"/>
                <w:lang w:val="en-US" w:eastAsia="zh-CN"/>
              </w:rPr>
              <w:t>硼酸质量规格</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888"/>
              <w:gridCol w:w="1888"/>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物料名称</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硼酸</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数量</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吨</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20</w:t>
                  </w:r>
                </w:p>
              </w:tc>
              <w:tc>
                <w:tcPr>
                  <w:tcW w:w="1250" w:type="pct"/>
                  <w:tcBorders>
                    <w:tl2br w:val="nil"/>
                    <w:tr2bl w:val="nil"/>
                  </w:tcBorders>
                  <w:noWrap w:val="0"/>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氧化硼</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56.1%</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GB/T 538-2018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水不溶物</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0.01</w:t>
                  </w:r>
                  <w:r>
                    <w:rPr>
                      <w:rFonts w:hint="default" w:ascii="Times New Roman" w:hAnsi="Times New Roman" w:cs="Times New Roman"/>
                      <w:color w:val="auto"/>
                      <w:lang w:val="en-US" w:eastAsia="zh-CN"/>
                    </w:rPr>
                    <w:t>%</w:t>
                  </w:r>
                </w:p>
              </w:tc>
              <w:tc>
                <w:tcPr>
                  <w:tcW w:w="1250" w:type="pct"/>
                  <w:tcBorders>
                    <w:tl2br w:val="nil"/>
                    <w:tr2bl w:val="nil"/>
                  </w:tcBorders>
                  <w:noWrap w:val="0"/>
                  <w:vAlign w:val="center"/>
                </w:tcPr>
                <w:p>
                  <w:pPr>
                    <w:pStyle w:val="27"/>
                    <w:bidi w:val="0"/>
                    <w:rPr>
                      <w:rFonts w:hint="eastAsia"/>
                      <w:color w:val="auto"/>
                      <w:lang w:val="en-US" w:eastAsia="zh-CN"/>
                    </w:rPr>
                  </w:pPr>
                </w:p>
              </w:tc>
            </w:tr>
          </w:tbl>
          <w:p>
            <w:pPr>
              <w:pStyle w:val="26"/>
              <w:bidi w:val="0"/>
              <w:rPr>
                <w:rFonts w:hint="default"/>
                <w:color w:val="auto"/>
                <w:lang w:val="en-US" w:eastAsia="zh-CN"/>
              </w:rPr>
            </w:pPr>
            <w:r>
              <w:rPr>
                <w:rFonts w:hint="eastAsia"/>
                <w:color w:val="auto"/>
                <w:lang w:val="en-US" w:eastAsia="zh-CN"/>
              </w:rPr>
              <w:t>表2-10  硼酸理化性质一览表</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888"/>
              <w:gridCol w:w="1888"/>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中文名</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硼酸</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英文名</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Orthoboric acid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CAS号</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10043-35-3</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分子量</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61.833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分子式</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H</w:t>
                  </w:r>
                  <w:r>
                    <w:rPr>
                      <w:rFonts w:hint="eastAsia"/>
                      <w:color w:val="auto"/>
                      <w:vertAlign w:val="subscript"/>
                      <w:lang w:val="en-US" w:eastAsia="zh-CN"/>
                    </w:rPr>
                    <w:t>3</w:t>
                  </w:r>
                  <w:r>
                    <w:rPr>
                      <w:rFonts w:hint="eastAsia"/>
                      <w:color w:val="auto"/>
                      <w:lang w:val="en-US" w:eastAsia="zh-CN"/>
                    </w:rPr>
                    <w:t>BO</w:t>
                  </w:r>
                  <w:r>
                    <w:rPr>
                      <w:rFonts w:hint="eastAsia"/>
                      <w:color w:val="auto"/>
                      <w:vertAlign w:val="subscript"/>
                      <w:lang w:val="en-US" w:eastAsia="zh-CN"/>
                    </w:rPr>
                    <w:t>3</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密度（g/cm</w:t>
                  </w:r>
                  <w:r>
                    <w:rPr>
                      <w:rFonts w:hint="eastAsia"/>
                      <w:color w:val="auto"/>
                      <w:vertAlign w:val="superscript"/>
                      <w:lang w:val="en-US" w:eastAsia="zh-CN"/>
                    </w:rPr>
                    <w:t>3</w:t>
                  </w:r>
                  <w:r>
                    <w:rPr>
                      <w:rFonts w:hint="eastAsia"/>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沸点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219</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熔点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闪点</w:t>
                  </w:r>
                  <w:r>
                    <w:rPr>
                      <w:rFonts w:hint="default" w:ascii="Times New Roman" w:hAnsi="Times New Roman" w:cs="Times New Roman"/>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w:t>
                  </w:r>
                </w:p>
              </w:tc>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外观性状</w:t>
                  </w:r>
                </w:p>
              </w:tc>
              <w:tc>
                <w:tcPr>
                  <w:tcW w:w="12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无色或白色无臭结晶固体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储存条件</w:t>
                  </w:r>
                </w:p>
              </w:tc>
              <w:tc>
                <w:tcPr>
                  <w:tcW w:w="3750" w:type="pct"/>
                  <w:gridSpan w:val="3"/>
                  <w:tcBorders>
                    <w:tl2br w:val="nil"/>
                    <w:tr2bl w:val="nil"/>
                  </w:tcBorders>
                  <w:vAlign w:val="center"/>
                </w:tcPr>
                <w:p>
                  <w:pPr>
                    <w:pStyle w:val="27"/>
                    <w:bidi w:val="0"/>
                    <w:jc w:val="left"/>
                    <w:rPr>
                      <w:rFonts w:hint="eastAsia"/>
                      <w:color w:val="auto"/>
                      <w:lang w:val="en-US" w:eastAsia="zh-CN"/>
                    </w:rPr>
                  </w:pPr>
                  <w:r>
                    <w:rPr>
                      <w:rFonts w:hint="eastAsia"/>
                      <w:color w:val="auto"/>
                      <w:lang w:val="en-US" w:eastAsia="zh-CN"/>
                    </w:rPr>
                    <w:t>1.贮存于干燥、清洁、阴凉、通风的库房。远离火种、热源。应与碱类、钾分开存放，切忌混贮。</w:t>
                  </w:r>
                </w:p>
                <w:p>
                  <w:pPr>
                    <w:pStyle w:val="27"/>
                    <w:bidi w:val="0"/>
                    <w:jc w:val="left"/>
                    <w:rPr>
                      <w:rFonts w:hint="eastAsia"/>
                      <w:color w:val="auto"/>
                      <w:lang w:val="en-US" w:eastAsia="zh-CN"/>
                    </w:rPr>
                  </w:pPr>
                  <w:r>
                    <w:rPr>
                      <w:rFonts w:hint="eastAsia"/>
                      <w:color w:val="auto"/>
                      <w:lang w:val="en-US" w:eastAsia="zh-CN"/>
                    </w:rPr>
                    <w:t>2.不要与有毒物品共贮混运。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稳定性</w:t>
                  </w:r>
                </w:p>
              </w:tc>
              <w:tc>
                <w:tcPr>
                  <w:tcW w:w="3750" w:type="pct"/>
                  <w:gridSpan w:val="3"/>
                  <w:tcBorders>
                    <w:tl2br w:val="nil"/>
                    <w:tr2bl w:val="nil"/>
                  </w:tcBorders>
                  <w:vAlign w:val="center"/>
                </w:tcPr>
                <w:p>
                  <w:pPr>
                    <w:pStyle w:val="27"/>
                    <w:bidi w:val="0"/>
                    <w:jc w:val="left"/>
                    <w:rPr>
                      <w:rFonts w:hint="eastAsia"/>
                      <w:color w:val="auto"/>
                      <w:lang w:val="en-US" w:eastAsia="zh-CN"/>
                    </w:rPr>
                  </w:pPr>
                  <w:r>
                    <w:rPr>
                      <w:rFonts w:hint="eastAsia"/>
                      <w:color w:val="auto"/>
                      <w:lang w:val="en-US" w:eastAsia="zh-CN"/>
                    </w:rPr>
                    <w:t>1.实际上是氧化硼的水合物，为白色粉末状结晶或三斜轴面的鳞片状带光泽结晶。有滑腻手感，无臭味。无气味。味微酸苦后带甜。与皮肤接触有滑腻感。露置空气中无变化。能随水蒸气挥发。加热至10</w:t>
                  </w: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w:t>
                  </w:r>
                  <w:r>
                    <w:rPr>
                      <w:rFonts w:hint="eastAsia"/>
                      <w:color w:val="auto"/>
                      <w:lang w:val="en-US" w:eastAsia="zh-CN"/>
                    </w:rPr>
                    <w:t>105</w:t>
                  </w:r>
                  <w:r>
                    <w:rPr>
                      <w:rFonts w:hint="default" w:ascii="Times New Roman" w:hAnsi="Times New Roman" w:cs="Times New Roman"/>
                      <w:color w:val="auto"/>
                      <w:lang w:val="en-US" w:eastAsia="zh-CN"/>
                    </w:rPr>
                    <w:t>℃</w:t>
                  </w:r>
                  <w:r>
                    <w:rPr>
                      <w:rFonts w:hint="eastAsia"/>
                      <w:color w:val="auto"/>
                      <w:lang w:val="en-US" w:eastAsia="zh-CN"/>
                    </w:rPr>
                    <w:t>时失去一分子水而形成偏硼酸，于104~160</w:t>
                  </w:r>
                  <w:r>
                    <w:rPr>
                      <w:rFonts w:hint="default" w:ascii="Times New Roman" w:hAnsi="Times New Roman" w:cs="Times New Roman"/>
                      <w:color w:val="auto"/>
                      <w:lang w:val="en-US" w:eastAsia="zh-CN"/>
                    </w:rPr>
                    <w:t>℃</w:t>
                  </w:r>
                  <w:r>
                    <w:rPr>
                      <w:rFonts w:hint="eastAsia"/>
                      <w:color w:val="auto"/>
                      <w:lang w:val="en-US" w:eastAsia="zh-CN"/>
                    </w:rPr>
                    <w:t>时长时间加热转变为焦硼酸，更高温度则形成无水物。0.1mol/L水溶液的pH为5.1。</w:t>
                  </w:r>
                </w:p>
                <w:p>
                  <w:pPr>
                    <w:pStyle w:val="27"/>
                    <w:bidi w:val="0"/>
                    <w:jc w:val="left"/>
                    <w:rPr>
                      <w:rFonts w:hint="eastAsia"/>
                      <w:color w:val="auto"/>
                      <w:lang w:val="en-US" w:eastAsia="zh-CN"/>
                    </w:rPr>
                  </w:pPr>
                  <w:r>
                    <w:rPr>
                      <w:rFonts w:hint="eastAsia"/>
                      <w:color w:val="auto"/>
                      <w:lang w:val="en-US" w:eastAsia="zh-CN"/>
                    </w:rPr>
                    <w:t>2.在水中的溶解度随温度升高而增大，并能随水蒸气挥发，在无机酸中的溶解度要比在水中的溶解度小。加热至70~100</w:t>
                  </w:r>
                  <w:r>
                    <w:rPr>
                      <w:rFonts w:hint="default" w:ascii="Times New Roman" w:hAnsi="Times New Roman" w:cs="Times New Roman"/>
                      <w:color w:val="auto"/>
                      <w:lang w:val="en-US" w:eastAsia="zh-CN"/>
                    </w:rPr>
                    <w:t>℃</w:t>
                  </w:r>
                  <w:r>
                    <w:rPr>
                      <w:rFonts w:hint="eastAsia"/>
                      <w:color w:val="auto"/>
                      <w:lang w:val="en-US" w:eastAsia="zh-CN"/>
                    </w:rPr>
                    <w:t>时逐渐脱水生成偏硼酸，150~160</w:t>
                  </w:r>
                  <w:r>
                    <w:rPr>
                      <w:rFonts w:hint="default" w:ascii="Times New Roman" w:hAnsi="Times New Roman" w:cs="Times New Roman"/>
                      <w:color w:val="auto"/>
                      <w:lang w:val="en-US" w:eastAsia="zh-CN"/>
                    </w:rPr>
                    <w:t>℃</w:t>
                  </w:r>
                  <w:r>
                    <w:rPr>
                      <w:rFonts w:hint="eastAsia"/>
                      <w:color w:val="auto"/>
                      <w:lang w:val="en-US" w:eastAsia="zh-CN"/>
                    </w:rPr>
                    <w:t>时生成焦硼酸，300</w:t>
                  </w:r>
                  <w:r>
                    <w:rPr>
                      <w:rFonts w:hint="default" w:ascii="Times New Roman" w:hAnsi="Times New Roman" w:cs="Times New Roman"/>
                      <w:color w:val="auto"/>
                      <w:lang w:val="en-US" w:eastAsia="zh-CN"/>
                    </w:rPr>
                    <w:t>℃</w:t>
                  </w:r>
                  <w:r>
                    <w:rPr>
                      <w:rFonts w:hint="eastAsia"/>
                      <w:color w:val="auto"/>
                      <w:lang w:val="en-US" w:eastAsia="zh-CN"/>
                    </w:rPr>
                    <w:t>时生成硼酸酐（B</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3</w:t>
                  </w: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急救措施</w:t>
                  </w:r>
                </w:p>
              </w:tc>
              <w:tc>
                <w:tcPr>
                  <w:tcW w:w="3750" w:type="pct"/>
                  <w:gridSpan w:val="3"/>
                  <w:tcBorders>
                    <w:tl2br w:val="nil"/>
                    <w:tr2bl w:val="nil"/>
                  </w:tcBorders>
                  <w:vAlign w:val="center"/>
                </w:tcPr>
                <w:p>
                  <w:pPr>
                    <w:pStyle w:val="27"/>
                    <w:bidi w:val="0"/>
                    <w:jc w:val="left"/>
                    <w:rPr>
                      <w:rFonts w:hint="eastAsia"/>
                      <w:color w:val="auto"/>
                      <w:lang w:val="en-US" w:eastAsia="zh-CN"/>
                    </w:rPr>
                  </w:pPr>
                  <w:r>
                    <w:rPr>
                      <w:rFonts w:hint="eastAsia"/>
                      <w:color w:val="auto"/>
                      <w:lang w:val="en-US" w:eastAsia="zh-CN"/>
                    </w:rPr>
                    <w:t>皮肤接触：脱去污染的衣着，用大量流动清水冲洗。就医。</w:t>
                  </w:r>
                </w:p>
                <w:p>
                  <w:pPr>
                    <w:pStyle w:val="27"/>
                    <w:bidi w:val="0"/>
                    <w:jc w:val="left"/>
                    <w:rPr>
                      <w:rFonts w:hint="eastAsia"/>
                      <w:color w:val="auto"/>
                      <w:lang w:val="en-US" w:eastAsia="zh-CN"/>
                    </w:rPr>
                  </w:pPr>
                  <w:r>
                    <w:rPr>
                      <w:rFonts w:hint="eastAsia"/>
                      <w:color w:val="auto"/>
                      <w:lang w:val="en-US" w:eastAsia="zh-CN"/>
                    </w:rPr>
                    <w:t>眼睛接触：提起眼睑，用流动清水或生理盐水冲洗。就医。</w:t>
                  </w:r>
                </w:p>
                <w:p>
                  <w:pPr>
                    <w:pStyle w:val="27"/>
                    <w:bidi w:val="0"/>
                    <w:jc w:val="left"/>
                    <w:rPr>
                      <w:rFonts w:hint="eastAsia"/>
                      <w:color w:val="auto"/>
                      <w:lang w:val="en-US" w:eastAsia="zh-CN"/>
                    </w:rPr>
                  </w:pPr>
                  <w:r>
                    <w:rPr>
                      <w:rFonts w:hint="eastAsia"/>
                      <w:color w:val="auto"/>
                      <w:lang w:val="en-US" w:eastAsia="zh-CN"/>
                    </w:rPr>
                    <w:t>吸入：脱离现场至空气新鲜处。如呼吸困难，给输氧。就医。</w:t>
                  </w:r>
                </w:p>
                <w:p>
                  <w:pPr>
                    <w:pStyle w:val="27"/>
                    <w:bidi w:val="0"/>
                    <w:jc w:val="left"/>
                    <w:rPr>
                      <w:rFonts w:hint="eastAsia"/>
                      <w:color w:val="auto"/>
                      <w:lang w:val="en-US" w:eastAsia="zh-CN"/>
                    </w:rPr>
                  </w:pPr>
                  <w:r>
                    <w:rPr>
                      <w:rFonts w:hint="eastAsia"/>
                      <w:color w:val="auto"/>
                      <w:lang w:val="en-US" w:eastAsia="zh-CN"/>
                    </w:rPr>
                    <w:t>食入：饮足量温水，催吐。洗胃，导泄。就医。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毒理性</w:t>
                  </w:r>
                </w:p>
              </w:tc>
              <w:tc>
                <w:tcPr>
                  <w:tcW w:w="3750" w:type="pct"/>
                  <w:gridSpan w:val="3"/>
                  <w:tcBorders>
                    <w:tl2br w:val="nil"/>
                    <w:tr2bl w:val="nil"/>
                  </w:tcBorders>
                  <w:vAlign w:val="center"/>
                </w:tcPr>
                <w:p>
                  <w:pPr>
                    <w:pStyle w:val="27"/>
                    <w:bidi w:val="0"/>
                    <w:jc w:val="left"/>
                    <w:rPr>
                      <w:rFonts w:hint="eastAsia"/>
                      <w:color w:val="auto"/>
                      <w:lang w:val="en-US" w:eastAsia="zh-CN"/>
                    </w:rPr>
                  </w:pPr>
                  <w:r>
                    <w:rPr>
                      <w:rFonts w:hint="eastAsia"/>
                      <w:color w:val="auto"/>
                      <w:lang w:val="en-US" w:eastAsia="zh-CN"/>
                    </w:rPr>
                    <w:t>大鼠经口LD50：5.14g/kg。人经皮：15mg/3天，出现间歇染毒，中度刺激。硼酸可引起皮肤刺激、结膜炎、支气管炎。</w:t>
                  </w:r>
                </w:p>
              </w:tc>
            </w:tr>
          </w:tbl>
          <w:p>
            <w:pPr>
              <w:pStyle w:val="54"/>
              <w:bidi w:val="0"/>
              <w:rPr>
                <w:rFonts w:hint="eastAsia"/>
                <w:color w:val="auto"/>
                <w:lang w:val="en-US" w:eastAsia="zh-CN"/>
              </w:rPr>
            </w:pPr>
            <w:r>
              <w:rPr>
                <w:rFonts w:hint="eastAsia"/>
                <w:color w:val="auto"/>
                <w:lang w:val="en-US" w:eastAsia="zh-CN"/>
              </w:rPr>
              <w:t>（4）黄腐酸</w:t>
            </w:r>
          </w:p>
          <w:p>
            <w:pPr>
              <w:pStyle w:val="54"/>
              <w:bidi w:val="0"/>
              <w:rPr>
                <w:rFonts w:hint="default"/>
                <w:color w:val="auto"/>
                <w:lang w:val="en-US" w:eastAsia="zh-CN"/>
              </w:rPr>
            </w:pPr>
            <w:r>
              <w:rPr>
                <w:rFonts w:hint="eastAsia"/>
                <w:color w:val="auto"/>
                <w:lang w:val="en-US" w:eastAsia="zh-CN"/>
              </w:rPr>
              <w:t>黄腐酸引用标准HG/T 5334、NY/T 1971、GB/T 33804、NY/T 1973、HG/T 3278和GB/T 18877。</w:t>
            </w:r>
          </w:p>
          <w:p>
            <w:pPr>
              <w:pStyle w:val="26"/>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 xml:space="preserve">2-11 </w:t>
            </w:r>
            <w:r>
              <w:rPr>
                <w:rFonts w:hint="default"/>
                <w:color w:val="auto"/>
                <w:lang w:val="en-US" w:eastAsia="zh-CN"/>
              </w:rPr>
              <w:t xml:space="preserve"> </w:t>
            </w:r>
            <w:r>
              <w:rPr>
                <w:rFonts w:hint="eastAsia"/>
                <w:color w:val="auto"/>
                <w:lang w:val="en-US" w:eastAsia="zh-CN"/>
              </w:rPr>
              <w:t>黄腐酸质量规格</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888"/>
              <w:gridCol w:w="1888"/>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物料名称</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黄腐酸钾</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数量</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吨</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130</w:t>
                  </w:r>
                </w:p>
              </w:tc>
              <w:tc>
                <w:tcPr>
                  <w:tcW w:w="1250" w:type="pct"/>
                  <w:tcBorders>
                    <w:tl2br w:val="nil"/>
                    <w:tr2bl w:val="nil"/>
                  </w:tcBorders>
                  <w:noWrap w:val="0"/>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技术指标</w:t>
                  </w: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黄腐酸</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HG/T 5334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腐植酸</w:t>
                  </w:r>
                </w:p>
              </w:tc>
              <w:tc>
                <w:tcPr>
                  <w:tcW w:w="1250" w:type="pct"/>
                  <w:tcBorders>
                    <w:tl2br w:val="nil"/>
                    <w:tr2bl w:val="nil"/>
                  </w:tcBorders>
                  <w:noWrap w:val="0"/>
                  <w:vAlign w:val="center"/>
                </w:tcPr>
                <w:p>
                  <w:pPr>
                    <w:pStyle w:val="27"/>
                    <w:bidi w:val="0"/>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55</w:t>
                  </w:r>
                  <w:r>
                    <w:rPr>
                      <w:rFonts w:hint="default" w:ascii="Times New Roman" w:hAnsi="Times New Roman" w:cs="Times New Roman"/>
                      <w:color w:val="auto"/>
                      <w:lang w:val="en-US" w:eastAsia="zh-CN"/>
                    </w:rPr>
                    <w:t>%</w:t>
                  </w:r>
                </w:p>
              </w:tc>
              <w:tc>
                <w:tcPr>
                  <w:tcW w:w="125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NY/T 1971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氯化钾</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12%</w:t>
                  </w:r>
                </w:p>
              </w:tc>
              <w:tc>
                <w:tcPr>
                  <w:tcW w:w="125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GB/T 33804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水不溶物</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0.2%</w:t>
                  </w:r>
                </w:p>
              </w:tc>
              <w:tc>
                <w:tcPr>
                  <w:tcW w:w="125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NY/T 1973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水份</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c>
                <w:tcPr>
                  <w:tcW w:w="125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HG/T 3278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有机质</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60%</w:t>
                  </w:r>
                </w:p>
              </w:tc>
              <w:tc>
                <w:tcPr>
                  <w:tcW w:w="125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GB/T 18877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氯离子</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0.09%</w:t>
                  </w:r>
                </w:p>
              </w:tc>
              <w:tc>
                <w:tcPr>
                  <w:tcW w:w="125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电位滴定法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pH</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eastAsia" w:cs="Times New Roman"/>
                      <w:color w:val="auto"/>
                      <w:lang w:val="en-US" w:eastAsia="zh-CN"/>
                    </w:rPr>
                    <w:t>7~10</w:t>
                  </w:r>
                </w:p>
              </w:tc>
              <w:tc>
                <w:tcPr>
                  <w:tcW w:w="1250" w:type="pct"/>
                  <w:tcBorders>
                    <w:tl2br w:val="nil"/>
                    <w:tr2bl w:val="nil"/>
                  </w:tcBorders>
                  <w:noWrap w:val="0"/>
                  <w:vAlign w:val="center"/>
                </w:tcPr>
                <w:p>
                  <w:pPr>
                    <w:pStyle w:val="27"/>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40目筛余物</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c>
                <w:tcPr>
                  <w:tcW w:w="1250" w:type="pct"/>
                  <w:tcBorders>
                    <w:tl2br w:val="nil"/>
                    <w:tr2bl w:val="nil"/>
                  </w:tcBorders>
                  <w:noWrap w:val="0"/>
                  <w:vAlign w:val="center"/>
                </w:tcPr>
                <w:p>
                  <w:pPr>
                    <w:pStyle w:val="27"/>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外观</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eastAsia" w:cs="Times New Roman"/>
                      <w:color w:val="auto"/>
                      <w:lang w:val="en-US" w:eastAsia="zh-CN"/>
                    </w:rPr>
                    <w:t>黑色微颗粒</w:t>
                  </w:r>
                </w:p>
              </w:tc>
              <w:tc>
                <w:tcPr>
                  <w:tcW w:w="1250" w:type="pct"/>
                  <w:tcBorders>
                    <w:tl2br w:val="nil"/>
                    <w:tr2bl w:val="nil"/>
                  </w:tcBorders>
                  <w:noWrap w:val="0"/>
                  <w:vAlign w:val="center"/>
                </w:tcPr>
                <w:p>
                  <w:pPr>
                    <w:pStyle w:val="27"/>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pStyle w:val="27"/>
                    <w:bidi w:val="0"/>
                    <w:rPr>
                      <w:rFonts w:hint="default"/>
                      <w:color w:val="auto"/>
                      <w:lang w:val="en-US" w:eastAsia="zh-CN"/>
                    </w:rPr>
                  </w:pPr>
                </w:p>
              </w:tc>
              <w:tc>
                <w:tcPr>
                  <w:tcW w:w="1250"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抗硬水</w:t>
                  </w:r>
                </w:p>
              </w:tc>
              <w:tc>
                <w:tcPr>
                  <w:tcW w:w="1250" w:type="pct"/>
                  <w:tcBorders>
                    <w:tl2br w:val="nil"/>
                    <w:tr2bl w:val="nil"/>
                  </w:tcBorders>
                  <w:noWrap w:val="0"/>
                  <w:vAlign w:val="center"/>
                </w:tcPr>
                <w:p>
                  <w:pPr>
                    <w:pStyle w:val="2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30DH°</w:t>
                  </w:r>
                </w:p>
              </w:tc>
              <w:tc>
                <w:tcPr>
                  <w:tcW w:w="1250" w:type="pct"/>
                  <w:tcBorders>
                    <w:tl2br w:val="nil"/>
                    <w:tr2bl w:val="nil"/>
                  </w:tcBorders>
                  <w:noWrap w:val="0"/>
                  <w:vAlign w:val="center"/>
                </w:tcPr>
                <w:p>
                  <w:pPr>
                    <w:pStyle w:val="27"/>
                    <w:bidi w:val="0"/>
                    <w:rPr>
                      <w:rFonts w:hint="eastAsia"/>
                      <w:color w:val="auto"/>
                      <w:lang w:val="en-US" w:eastAsia="zh-CN"/>
                    </w:rPr>
                  </w:pPr>
                </w:p>
              </w:tc>
            </w:tr>
          </w:tbl>
          <w:p>
            <w:pPr>
              <w:pStyle w:val="26"/>
              <w:bidi w:val="0"/>
              <w:rPr>
                <w:rFonts w:hint="default"/>
                <w:color w:val="auto"/>
                <w:lang w:val="en-US" w:eastAsia="zh-CN"/>
              </w:rPr>
            </w:pPr>
            <w:r>
              <w:rPr>
                <w:rFonts w:hint="eastAsia"/>
                <w:color w:val="auto"/>
                <w:lang w:val="en-US" w:eastAsia="zh-CN"/>
              </w:rPr>
              <w:t>表2-12  黄腐酸理化性质一览表</w:t>
            </w:r>
          </w:p>
          <w:tbl>
            <w:tblPr>
              <w:tblStyle w:val="20"/>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1888"/>
              <w:gridCol w:w="1888"/>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中文名</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黄腐酸</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英文名</w:t>
                  </w:r>
                </w:p>
              </w:tc>
              <w:tc>
                <w:tcPr>
                  <w:tcW w:w="1250" w:type="pct"/>
                  <w:tcBorders>
                    <w:tl2br w:val="nil"/>
                    <w:tr2bl w:val="nil"/>
                  </w:tcBorders>
                </w:tcPr>
                <w:p>
                  <w:pPr>
                    <w:pStyle w:val="27"/>
                    <w:bidi w:val="0"/>
                    <w:rPr>
                      <w:rFonts w:hint="eastAsia"/>
                      <w:color w:val="auto"/>
                      <w:lang w:val="en-US" w:eastAsia="zh-CN"/>
                    </w:rPr>
                  </w:pPr>
                  <w:r>
                    <w:rPr>
                      <w:rFonts w:hint="eastAsia"/>
                      <w:color w:val="auto"/>
                      <w:lang w:val="en-US" w:eastAsia="zh-CN"/>
                    </w:rPr>
                    <w:t>Fulvic Acid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CAS号</w:t>
                  </w:r>
                </w:p>
              </w:tc>
              <w:tc>
                <w:tcPr>
                  <w:tcW w:w="1250" w:type="pct"/>
                  <w:tcBorders>
                    <w:tl2br w:val="nil"/>
                    <w:tr2bl w:val="nil"/>
                  </w:tcBorders>
                </w:tcPr>
                <w:p>
                  <w:pPr>
                    <w:pStyle w:val="27"/>
                    <w:bidi w:val="0"/>
                    <w:rPr>
                      <w:rFonts w:hint="eastAsia"/>
                      <w:color w:val="auto"/>
                      <w:lang w:val="en-US" w:eastAsia="zh-CN"/>
                    </w:rPr>
                  </w:pPr>
                  <w:r>
                    <w:rPr>
                      <w:rFonts w:hint="eastAsia"/>
                      <w:color w:val="auto"/>
                      <w:lang w:val="en-US" w:eastAsia="zh-CN"/>
                    </w:rPr>
                    <w:t>479-66-3</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分子量</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308.240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分子式</w:t>
                  </w:r>
                </w:p>
              </w:tc>
              <w:tc>
                <w:tcPr>
                  <w:tcW w:w="1250" w:type="pct"/>
                  <w:tcBorders>
                    <w:tl2br w:val="nil"/>
                    <w:tr2bl w:val="nil"/>
                  </w:tcBorders>
                </w:tcPr>
                <w:p>
                  <w:pPr>
                    <w:pStyle w:val="27"/>
                    <w:bidi w:val="0"/>
                    <w:rPr>
                      <w:rFonts w:hint="eastAsia"/>
                      <w:color w:val="auto"/>
                      <w:lang w:val="en-US" w:eastAsia="zh-CN"/>
                    </w:rPr>
                  </w:pPr>
                  <w:r>
                    <w:rPr>
                      <w:rFonts w:hint="eastAsia"/>
                      <w:color w:val="auto"/>
                      <w:lang w:val="en-US" w:eastAsia="zh-CN"/>
                    </w:rPr>
                    <w:t>C</w:t>
                  </w:r>
                  <w:r>
                    <w:rPr>
                      <w:rFonts w:hint="eastAsia"/>
                      <w:color w:val="auto"/>
                      <w:vertAlign w:val="subscript"/>
                      <w:lang w:val="en-US" w:eastAsia="zh-CN"/>
                    </w:rPr>
                    <w:t>14</w:t>
                  </w:r>
                  <w:r>
                    <w:rPr>
                      <w:rFonts w:hint="eastAsia"/>
                      <w:color w:val="auto"/>
                      <w:lang w:val="en-US" w:eastAsia="zh-CN"/>
                    </w:rPr>
                    <w:t>H</w:t>
                  </w:r>
                  <w:r>
                    <w:rPr>
                      <w:rFonts w:hint="eastAsia"/>
                      <w:color w:val="auto"/>
                      <w:vertAlign w:val="subscript"/>
                      <w:lang w:val="en-US" w:eastAsia="zh-CN"/>
                    </w:rPr>
                    <w:t>12</w:t>
                  </w:r>
                  <w:r>
                    <w:rPr>
                      <w:rFonts w:hint="eastAsia"/>
                      <w:color w:val="auto"/>
                      <w:lang w:val="en-US" w:eastAsia="zh-CN"/>
                    </w:rPr>
                    <w:t>O</w:t>
                  </w:r>
                  <w:r>
                    <w:rPr>
                      <w:rFonts w:hint="eastAsia"/>
                      <w:color w:val="auto"/>
                      <w:vertAlign w:val="subscript"/>
                      <w:lang w:val="en-US" w:eastAsia="zh-CN"/>
                    </w:rPr>
                    <w:t>8</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密度（g/cm</w:t>
                  </w:r>
                  <w:r>
                    <w:rPr>
                      <w:rFonts w:hint="eastAsia"/>
                      <w:color w:val="auto"/>
                      <w:vertAlign w:val="superscript"/>
                      <w:lang w:val="en-US" w:eastAsia="zh-CN"/>
                    </w:rPr>
                    <w:t>3</w:t>
                  </w:r>
                  <w:r>
                    <w:rPr>
                      <w:rFonts w:hint="eastAsia"/>
                      <w:color w:val="auto"/>
                      <w:lang w:val="en-US" w:eastAsia="zh-CN"/>
                    </w:rPr>
                    <w:t>）</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沸点</w:t>
                  </w:r>
                  <w:r>
                    <w:rPr>
                      <w:rFonts w:hint="default" w:ascii="Times New Roman" w:hAnsi="Times New Roman" w:cs="Times New Roman"/>
                      <w:color w:val="auto"/>
                      <w:lang w:val="en-US" w:eastAsia="zh-CN"/>
                    </w:rPr>
                    <w:t>（℃）</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661</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熔点</w:t>
                  </w:r>
                  <w:r>
                    <w:rPr>
                      <w:rFonts w:hint="default" w:ascii="Times New Roman" w:hAnsi="Times New Roman" w:cs="Times New Roman"/>
                      <w:color w:val="auto"/>
                      <w:lang w:val="en-US" w:eastAsia="zh-CN"/>
                    </w:rPr>
                    <w:t>（℃）</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247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闪点</w:t>
                  </w:r>
                  <w:r>
                    <w:rPr>
                      <w:rFonts w:hint="default" w:ascii="Times New Roman" w:hAnsi="Times New Roman" w:cs="Times New Roman"/>
                      <w:color w:val="auto"/>
                      <w:lang w:val="en-US" w:eastAsia="zh-CN"/>
                    </w:rPr>
                    <w:t>（℃）</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255.1</w:t>
                  </w:r>
                </w:p>
              </w:tc>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外观性状</w:t>
                  </w:r>
                </w:p>
              </w:tc>
              <w:tc>
                <w:tcPr>
                  <w:tcW w:w="1250" w:type="pct"/>
                  <w:tcBorders>
                    <w:tl2br w:val="nil"/>
                    <w:tr2bl w:val="nil"/>
                  </w:tcBorders>
                </w:tcPr>
                <w:p>
                  <w:pPr>
                    <w:pStyle w:val="27"/>
                    <w:bidi w:val="0"/>
                    <w:rPr>
                      <w:rFonts w:hint="eastAsia"/>
                      <w:color w:val="auto"/>
                      <w:lang w:val="en-US" w:eastAsia="zh-CN"/>
                    </w:rPr>
                  </w:pPr>
                  <w:r>
                    <w:rPr>
                      <w:rFonts w:hint="eastAsia"/>
                      <w:color w:val="auto"/>
                      <w:lang w:val="en-US" w:eastAsia="zh-CN"/>
                    </w:rPr>
                    <w:t>黄色结晶固体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储存条件</w:t>
                  </w:r>
                </w:p>
              </w:tc>
              <w:tc>
                <w:tcPr>
                  <w:tcW w:w="3750" w:type="pct"/>
                  <w:gridSpan w:val="3"/>
                  <w:tcBorders>
                    <w:tl2br w:val="nil"/>
                    <w:tr2bl w:val="nil"/>
                  </w:tcBorders>
                </w:tcPr>
                <w:p>
                  <w:pPr>
                    <w:pStyle w:val="27"/>
                    <w:bidi w:val="0"/>
                    <w:jc w:val="left"/>
                    <w:rPr>
                      <w:rFonts w:hint="eastAsia"/>
                      <w:color w:val="auto"/>
                      <w:lang w:val="en-US" w:eastAsia="zh-CN"/>
                    </w:rPr>
                  </w:pPr>
                  <w:r>
                    <w:rPr>
                      <w:rFonts w:hint="eastAsia"/>
                      <w:color w:val="auto"/>
                      <w:lang w:val="en-US" w:eastAsia="zh-CN"/>
                    </w:rPr>
                    <w:t>室温，干燥，密封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稳定性</w:t>
                  </w:r>
                </w:p>
              </w:tc>
              <w:tc>
                <w:tcPr>
                  <w:tcW w:w="3750" w:type="pct"/>
                  <w:gridSpan w:val="3"/>
                  <w:tcBorders>
                    <w:tl2br w:val="nil"/>
                    <w:tr2bl w:val="nil"/>
                  </w:tcBorders>
                </w:tcPr>
                <w:p>
                  <w:pPr>
                    <w:pStyle w:val="27"/>
                    <w:bidi w:val="0"/>
                    <w:jc w:val="left"/>
                    <w:rPr>
                      <w:rFonts w:hint="eastAsia"/>
                      <w:color w:val="auto"/>
                      <w:lang w:val="en-US" w:eastAsia="zh-CN"/>
                    </w:rPr>
                  </w:pPr>
                  <w:r>
                    <w:rPr>
                      <w:rFonts w:hint="eastAsia"/>
                      <w:color w:val="auto"/>
                      <w:lang w:val="en-US" w:eastAsia="zh-CN"/>
                    </w:rPr>
                    <w:t>质重而坚硬。无气味。溶于水（25</w:t>
                  </w:r>
                  <w:r>
                    <w:rPr>
                      <w:rFonts w:hint="default" w:ascii="Times New Roman" w:hAnsi="Times New Roman" w:cs="Times New Roman"/>
                      <w:color w:val="auto"/>
                      <w:lang w:val="en-US" w:eastAsia="zh-CN"/>
                    </w:rPr>
                    <w:t>℃</w:t>
                  </w:r>
                  <w:r>
                    <w:rPr>
                      <w:rFonts w:hint="eastAsia"/>
                      <w:color w:val="auto"/>
                      <w:lang w:val="en-US" w:eastAsia="zh-CN"/>
                    </w:rPr>
                    <w:t>时12g/100ml水，100</w:t>
                  </w:r>
                  <w:r>
                    <w:rPr>
                      <w:rFonts w:hint="default" w:ascii="Times New Roman" w:hAnsi="Times New Roman" w:cs="Times New Roman"/>
                      <w:color w:val="auto"/>
                      <w:lang w:val="en-US" w:eastAsia="zh-CN"/>
                    </w:rPr>
                    <w:t>℃</w:t>
                  </w:r>
                  <w:r>
                    <w:rPr>
                      <w:rFonts w:hint="eastAsia"/>
                      <w:color w:val="auto"/>
                      <w:lang w:val="en-US" w:eastAsia="zh-CN"/>
                    </w:rPr>
                    <w:t>时24.1g/100ml水），不溶于醇、丙酮和二硫化碳。具有苦咸味。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急救措施</w:t>
                  </w:r>
                </w:p>
              </w:tc>
              <w:tc>
                <w:tcPr>
                  <w:tcW w:w="3750" w:type="pct"/>
                  <w:gridSpan w:val="3"/>
                  <w:tcBorders>
                    <w:tl2br w:val="nil"/>
                    <w:tr2bl w:val="nil"/>
                  </w:tcBorders>
                </w:tcPr>
                <w:p>
                  <w:pPr>
                    <w:pStyle w:val="27"/>
                    <w:bidi w:val="0"/>
                    <w:jc w:val="left"/>
                    <w:rPr>
                      <w:rFonts w:hint="eastAsia"/>
                      <w:color w:val="auto"/>
                      <w:lang w:val="en-US" w:eastAsia="zh-CN"/>
                    </w:rPr>
                  </w:pPr>
                  <w:r>
                    <w:rPr>
                      <w:rFonts w:hint="eastAsia"/>
                      <w:color w:val="auto"/>
                      <w:lang w:val="en-US" w:eastAsia="zh-CN"/>
                    </w:rPr>
                    <w:t>吸入：如果吸入，请将患者移到新鲜空气处。如果停止了呼吸，给于人工呼吸。</w:t>
                  </w:r>
                </w:p>
                <w:p>
                  <w:pPr>
                    <w:pStyle w:val="27"/>
                    <w:bidi w:val="0"/>
                    <w:jc w:val="left"/>
                    <w:rPr>
                      <w:rFonts w:hint="eastAsia"/>
                      <w:color w:val="auto"/>
                      <w:lang w:val="en-US" w:eastAsia="zh-CN"/>
                    </w:rPr>
                  </w:pPr>
                  <w:r>
                    <w:rPr>
                      <w:rFonts w:hint="eastAsia"/>
                      <w:color w:val="auto"/>
                      <w:lang w:val="en-US" w:eastAsia="zh-CN"/>
                    </w:rPr>
                    <w:t>皮肤接触：用肥皂和大量的水冲洗。</w:t>
                  </w:r>
                </w:p>
                <w:p>
                  <w:pPr>
                    <w:pStyle w:val="27"/>
                    <w:bidi w:val="0"/>
                    <w:jc w:val="left"/>
                    <w:rPr>
                      <w:rFonts w:hint="eastAsia"/>
                      <w:color w:val="auto"/>
                      <w:lang w:val="en-US" w:eastAsia="zh-CN"/>
                    </w:rPr>
                  </w:pPr>
                  <w:r>
                    <w:rPr>
                      <w:rFonts w:hint="eastAsia"/>
                      <w:color w:val="auto"/>
                      <w:lang w:val="en-US" w:eastAsia="zh-CN"/>
                    </w:rPr>
                    <w:t>眼睛接触：用水冲洗眼睛作为预防措施。</w:t>
                  </w:r>
                </w:p>
                <w:p>
                  <w:pPr>
                    <w:pStyle w:val="27"/>
                    <w:bidi w:val="0"/>
                    <w:jc w:val="left"/>
                    <w:rPr>
                      <w:rFonts w:hint="eastAsia"/>
                      <w:color w:val="auto"/>
                      <w:lang w:val="en-US" w:eastAsia="zh-CN"/>
                    </w:rPr>
                  </w:pPr>
                  <w:r>
                    <w:rPr>
                      <w:rFonts w:hint="eastAsia"/>
                      <w:color w:val="auto"/>
                      <w:lang w:val="en-US" w:eastAsia="zh-CN"/>
                    </w:rPr>
                    <w:t>食入：切勿给失去知觉者从嘴里喂食任何东西。用水漱口。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tcPr>
                <w:p>
                  <w:pPr>
                    <w:pStyle w:val="27"/>
                    <w:bidi w:val="0"/>
                    <w:rPr>
                      <w:rFonts w:hint="default"/>
                      <w:color w:val="auto"/>
                      <w:lang w:val="en-US" w:eastAsia="zh-CN"/>
                    </w:rPr>
                  </w:pPr>
                  <w:r>
                    <w:rPr>
                      <w:rFonts w:hint="eastAsia"/>
                      <w:color w:val="auto"/>
                      <w:lang w:val="en-US" w:eastAsia="zh-CN"/>
                    </w:rPr>
                    <w:t>毒理性</w:t>
                  </w:r>
                </w:p>
              </w:tc>
              <w:tc>
                <w:tcPr>
                  <w:tcW w:w="3750" w:type="pct"/>
                  <w:gridSpan w:val="3"/>
                  <w:tcBorders>
                    <w:tl2br w:val="nil"/>
                    <w:tr2bl w:val="nil"/>
                  </w:tcBorders>
                </w:tcPr>
                <w:p>
                  <w:pPr>
                    <w:pStyle w:val="27"/>
                    <w:bidi w:val="0"/>
                    <w:jc w:val="left"/>
                    <w:rPr>
                      <w:rFonts w:hint="eastAsia"/>
                      <w:color w:val="auto"/>
                      <w:lang w:val="en-US" w:eastAsia="zh-CN"/>
                    </w:rPr>
                  </w:pPr>
                  <w:r>
                    <w:rPr>
                      <w:rFonts w:hint="eastAsia"/>
                      <w:color w:val="auto"/>
                      <w:lang w:val="en-US" w:eastAsia="zh-CN"/>
                    </w:rPr>
                    <w:t>LD50：4000mg/kg（大鼠经口）；4720mg/kg（兔经皮）。LC50：9400mg/m</w:t>
                  </w:r>
                  <w:r>
                    <w:rPr>
                      <w:rFonts w:hint="eastAsia"/>
                      <w:color w:val="auto"/>
                      <w:vertAlign w:val="superscript"/>
                      <w:lang w:val="en-US" w:eastAsia="zh-CN"/>
                    </w:rPr>
                    <w:t>3</w:t>
                  </w:r>
                  <w:r>
                    <w:rPr>
                      <w:rFonts w:hint="eastAsia"/>
                      <w:color w:val="auto"/>
                      <w:lang w:val="en-US" w:eastAsia="zh-CN"/>
                    </w:rPr>
                    <w:t>，2小时（小鼠吸入）</w:t>
                  </w:r>
                </w:p>
              </w:tc>
            </w:tr>
          </w:tbl>
          <w:p>
            <w:pPr>
              <w:pStyle w:val="54"/>
              <w:bidi w:val="0"/>
              <w:rPr>
                <w:rFonts w:hint="eastAsia"/>
                <w:b/>
                <w:bCs/>
                <w:color w:val="auto"/>
                <w:lang w:val="en-US" w:eastAsia="zh-CN"/>
              </w:rPr>
            </w:pPr>
          </w:p>
          <w:p>
            <w:pPr>
              <w:pStyle w:val="54"/>
              <w:bidi w:val="0"/>
              <w:rPr>
                <w:rFonts w:hint="default"/>
                <w:color w:val="auto"/>
                <w:lang w:val="en-US" w:eastAsia="zh-CN"/>
              </w:rPr>
            </w:pPr>
            <w:r>
              <w:rPr>
                <w:rFonts w:hint="eastAsia"/>
                <w:b/>
                <w:bCs/>
                <w:color w:val="auto"/>
                <w:lang w:val="en-US" w:eastAsia="zh-CN"/>
              </w:rPr>
              <w:t>五、产品方案</w:t>
            </w:r>
          </w:p>
          <w:p>
            <w:pPr>
              <w:pStyle w:val="54"/>
              <w:bidi w:val="0"/>
              <w:rPr>
                <w:rFonts w:hint="default"/>
                <w:color w:val="auto"/>
                <w:lang w:val="en-US" w:eastAsia="zh-CN"/>
              </w:rPr>
            </w:pPr>
            <w:r>
              <w:rPr>
                <w:rFonts w:hint="eastAsia"/>
                <w:color w:val="auto"/>
                <w:lang w:val="en-US" w:eastAsia="zh-CN"/>
              </w:rPr>
              <w:t>1、产品方案</w:t>
            </w:r>
          </w:p>
          <w:p>
            <w:pPr>
              <w:pStyle w:val="54"/>
              <w:bidi w:val="0"/>
              <w:rPr>
                <w:rFonts w:hint="default" w:cs="Times New Roman"/>
                <w:bCs/>
                <w:color w:val="auto"/>
                <w:szCs w:val="24"/>
                <w:lang w:val="en-US" w:eastAsia="zh-CN"/>
              </w:rPr>
            </w:pPr>
            <w:r>
              <w:rPr>
                <w:rFonts w:hint="eastAsia"/>
                <w:color w:val="auto"/>
                <w:lang w:val="en-US" w:eastAsia="zh-CN"/>
              </w:rPr>
              <w:t>根据订单要求，本项目可生产速溶型硫酸钾、黄腐酸型硫酸钾及聚谷氨酸型硫酸钾，合计产能为15万吨/年。本项目产品方案见表2-13。</w:t>
            </w:r>
          </w:p>
          <w:p>
            <w:pPr>
              <w:pStyle w:val="26"/>
              <w:bidi w:val="0"/>
              <w:rPr>
                <w:rFonts w:hint="default" w:ascii="Times New Roman" w:hAnsi="Times New Roman" w:eastAsia="宋体" w:cs="Times New Roman"/>
                <w:color w:val="auto"/>
                <w:szCs w:val="24"/>
                <w:lang w:val="en-US" w:eastAsia="zh-CN"/>
              </w:rPr>
            </w:pPr>
            <w:r>
              <w:rPr>
                <w:rFonts w:hint="default"/>
                <w:color w:val="auto"/>
                <w:lang w:val="en-US" w:eastAsia="zh-CN"/>
              </w:rPr>
              <w:t>表</w:t>
            </w:r>
            <w:r>
              <w:rPr>
                <w:rFonts w:hint="eastAsia"/>
                <w:color w:val="auto"/>
                <w:lang w:val="en-US" w:eastAsia="zh-CN"/>
              </w:rPr>
              <w:t>2-13</w:t>
            </w:r>
            <w:r>
              <w:rPr>
                <w:rFonts w:hint="default"/>
                <w:color w:val="auto"/>
                <w:lang w:val="en-US" w:eastAsia="zh-CN"/>
              </w:rPr>
              <w:t xml:space="preserve"> </w:t>
            </w:r>
            <w:r>
              <w:rPr>
                <w:rFonts w:hint="eastAsia"/>
                <w:color w:val="auto"/>
                <w:lang w:val="en-US" w:eastAsia="zh-CN"/>
              </w:rPr>
              <w:t xml:space="preserve"> 产品方案</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4"/>
              <w:gridCol w:w="2514"/>
              <w:gridCol w:w="2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序号</w:t>
                  </w:r>
                </w:p>
              </w:tc>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产品名称</w:t>
                  </w:r>
                </w:p>
              </w:tc>
              <w:tc>
                <w:tcPr>
                  <w:tcW w:w="166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产量（t/a）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w:t>
                  </w:r>
                </w:p>
              </w:tc>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速溶型硫酸钾</w:t>
                  </w:r>
                </w:p>
              </w:tc>
              <w:tc>
                <w:tcPr>
                  <w:tcW w:w="166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127500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w:t>
                  </w:r>
                </w:p>
              </w:tc>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黄腐酸型硫酸钾</w:t>
                  </w:r>
                </w:p>
              </w:tc>
              <w:tc>
                <w:tcPr>
                  <w:tcW w:w="166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14850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3</w:t>
                  </w:r>
                </w:p>
              </w:tc>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聚谷氨酸型硫酸钾</w:t>
                  </w:r>
                </w:p>
              </w:tc>
              <w:tc>
                <w:tcPr>
                  <w:tcW w:w="166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7650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合计</w:t>
                  </w:r>
                </w:p>
              </w:tc>
              <w:tc>
                <w:tcPr>
                  <w:tcW w:w="1665" w:type="pct"/>
                  <w:tcBorders>
                    <w:tl2br w:val="nil"/>
                    <w:tr2bl w:val="nil"/>
                  </w:tcBorders>
                  <w:noWrap w:val="0"/>
                  <w:vAlign w:val="center"/>
                </w:tcPr>
                <w:p>
                  <w:pPr>
                    <w:pStyle w:val="27"/>
                    <w:bidi w:val="0"/>
                    <w:rPr>
                      <w:rFonts w:hint="eastAsia"/>
                      <w:color w:val="auto"/>
                      <w:lang w:val="en-US" w:eastAsia="zh-CN"/>
                    </w:rPr>
                  </w:pPr>
                </w:p>
              </w:tc>
              <w:tc>
                <w:tcPr>
                  <w:tcW w:w="166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150000</w:t>
                  </w:r>
                </w:p>
              </w:tc>
            </w:tr>
          </w:tbl>
          <w:p>
            <w:pPr>
              <w:pStyle w:val="54"/>
              <w:bidi w:val="0"/>
              <w:rPr>
                <w:rFonts w:hint="eastAsia" w:cs="Times New Roman"/>
                <w:bCs/>
                <w:color w:val="auto"/>
                <w:szCs w:val="24"/>
                <w:lang w:val="en-US" w:eastAsia="zh-CN"/>
              </w:rPr>
            </w:pPr>
            <w:r>
              <w:rPr>
                <w:rFonts w:hint="eastAsia"/>
                <w:color w:val="auto"/>
                <w:lang w:val="en-US" w:eastAsia="zh-CN"/>
              </w:rPr>
              <w:t>2、产品规格</w:t>
            </w:r>
          </w:p>
          <w:p>
            <w:pPr>
              <w:pStyle w:val="54"/>
              <w:bidi w:val="0"/>
              <w:rPr>
                <w:rFonts w:hint="eastAsia"/>
                <w:color w:val="auto"/>
                <w:lang w:val="en-US" w:eastAsia="zh-CN"/>
              </w:rPr>
            </w:pPr>
            <w:r>
              <w:rPr>
                <w:rFonts w:hint="eastAsia"/>
                <w:color w:val="auto"/>
                <w:lang w:val="en-US" w:eastAsia="zh-CN"/>
              </w:rPr>
              <w:t>（1）速溶型硫酸钾</w:t>
            </w:r>
          </w:p>
          <w:p>
            <w:pPr>
              <w:pStyle w:val="54"/>
              <w:bidi w:val="0"/>
              <w:rPr>
                <w:rFonts w:hint="default"/>
                <w:color w:val="auto"/>
                <w:lang w:val="en-US" w:eastAsia="zh-CN"/>
              </w:rPr>
            </w:pPr>
            <w:r>
              <w:rPr>
                <w:rFonts w:hint="eastAsia"/>
                <w:color w:val="auto"/>
                <w:lang w:val="en-US" w:eastAsia="zh-CN"/>
              </w:rPr>
              <w:t>速溶型硫酸钾25kg/包，K</w:t>
            </w:r>
            <w:r>
              <w:rPr>
                <w:rFonts w:hint="eastAsia"/>
                <w:color w:val="auto"/>
                <w:vertAlign w:val="subscript"/>
                <w:lang w:val="en-US" w:eastAsia="zh-CN"/>
              </w:rPr>
              <w:t>2</w:t>
            </w:r>
            <w:r>
              <w:rPr>
                <w:rFonts w:hint="eastAsia"/>
                <w:color w:val="auto"/>
                <w:lang w:val="en-US" w:eastAsia="zh-CN"/>
              </w:rPr>
              <w:t>O≥52%，粒径：-100目~+300目。</w:t>
            </w:r>
          </w:p>
          <w:p>
            <w:pPr>
              <w:pStyle w:val="54"/>
              <w:bidi w:val="0"/>
              <w:rPr>
                <w:rFonts w:hint="eastAsia"/>
                <w:color w:val="auto"/>
                <w:lang w:val="en-US" w:eastAsia="zh-CN"/>
              </w:rPr>
            </w:pPr>
            <w:r>
              <w:rPr>
                <w:rFonts w:hint="eastAsia"/>
                <w:color w:val="auto"/>
                <w:lang w:val="en-US" w:eastAsia="zh-CN"/>
              </w:rPr>
              <w:t>（2）黄腐酸型硫酸钾</w:t>
            </w:r>
          </w:p>
          <w:p>
            <w:pPr>
              <w:pStyle w:val="54"/>
              <w:bidi w:val="0"/>
              <w:rPr>
                <w:rFonts w:hint="default" w:cs="Times New Roman"/>
                <w:bCs/>
                <w:color w:val="auto"/>
                <w:szCs w:val="24"/>
                <w:lang w:val="en-US" w:eastAsia="zh-CN"/>
              </w:rPr>
            </w:pPr>
            <w:r>
              <w:rPr>
                <w:rFonts w:hint="eastAsia"/>
                <w:color w:val="auto"/>
                <w:lang w:val="en-US" w:eastAsia="zh-CN"/>
              </w:rPr>
              <w:t>黄腐酸型硫酸钾引用标准QGTLJ 103.14-2025。</w:t>
            </w:r>
          </w:p>
          <w:p>
            <w:pPr>
              <w:pStyle w:val="26"/>
              <w:bidi w:val="0"/>
              <w:rPr>
                <w:rFonts w:hint="default" w:cs="Times New Roman"/>
                <w:bCs/>
                <w:color w:val="auto"/>
                <w:szCs w:val="24"/>
                <w:lang w:val="en-US" w:eastAsia="zh-CN"/>
              </w:rPr>
            </w:pPr>
            <w:r>
              <w:rPr>
                <w:rFonts w:hint="eastAsia"/>
                <w:color w:val="auto"/>
                <w:lang w:val="en-US" w:eastAsia="zh-CN"/>
              </w:rPr>
              <w:t>表2-14  黄腐酸型硫酸钾技术指标</w:t>
            </w:r>
          </w:p>
          <w:tbl>
            <w:tblPr>
              <w:tblStyle w:val="20"/>
              <w:tblW w:w="500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776"/>
              <w:gridCol w:w="3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项目</w:t>
                  </w:r>
                </w:p>
              </w:tc>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粉末结晶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default" w:cs="Times New Roman"/>
                      <w:color w:val="auto"/>
                      <w:lang w:val="en-US" w:eastAsia="zh-CN"/>
                    </w:rPr>
                    <w:t>水溶性氧化钾的质量分数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黄</w:t>
                  </w:r>
                  <w:r>
                    <w:rPr>
                      <w:rFonts w:hint="default" w:cs="Times New Roman"/>
                      <w:color w:val="auto"/>
                      <w:lang w:val="en-US" w:eastAsia="zh-CN"/>
                    </w:rPr>
                    <w:t>腐酸的质量分数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硫</w:t>
                  </w:r>
                  <w:r>
                    <w:rPr>
                      <w:rFonts w:hint="default" w:cs="Times New Roman"/>
                      <w:color w:val="auto"/>
                      <w:lang w:val="en-US" w:eastAsia="zh-CN"/>
                    </w:rPr>
                    <w:t>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氯</w:t>
                  </w:r>
                  <w:r>
                    <w:rPr>
                      <w:rFonts w:hint="default" w:cs="Times New Roman"/>
                      <w:color w:val="auto"/>
                      <w:lang w:val="en-US" w:eastAsia="zh-CN"/>
                    </w:rPr>
                    <w:t>离子的质量分数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水</w:t>
                  </w:r>
                  <w:r>
                    <w:rPr>
                      <w:rFonts w:hint="default" w:cs="Times New Roman"/>
                      <w:color w:val="auto"/>
                      <w:lang w:val="en-US" w:eastAsia="zh-CN"/>
                    </w:rPr>
                    <w:t>不溶物的质量分数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水</w:t>
                  </w:r>
                  <w:r>
                    <w:rPr>
                      <w:rFonts w:hint="default" w:cs="Times New Roman"/>
                      <w:color w:val="auto"/>
                      <w:lang w:val="en-US" w:eastAsia="zh-CN"/>
                    </w:rPr>
                    <w:t>分的质量分数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游</w:t>
                  </w:r>
                  <w:r>
                    <w:rPr>
                      <w:rFonts w:hint="default" w:cs="Times New Roman"/>
                      <w:color w:val="auto"/>
                      <w:lang w:val="en-US" w:eastAsia="zh-CN"/>
                    </w:rPr>
                    <w:t>离酸（以H</w:t>
                  </w:r>
                  <w:r>
                    <w:rPr>
                      <w:rFonts w:hint="eastAsia" w:cs="Times New Roman"/>
                      <w:color w:val="auto"/>
                      <w:vertAlign w:val="subscript"/>
                      <w:lang w:val="en-US" w:eastAsia="zh-CN"/>
                    </w:rPr>
                    <w:t>2</w:t>
                  </w:r>
                  <w:r>
                    <w:rPr>
                      <w:rFonts w:hint="default" w:cs="Times New Roman"/>
                      <w:color w:val="auto"/>
                      <w:lang w:val="en-US" w:eastAsia="zh-CN"/>
                    </w:rPr>
                    <w:t>SO</w:t>
                  </w:r>
                  <w:r>
                    <w:rPr>
                      <w:rFonts w:hint="eastAsia" w:cs="Times New Roman"/>
                      <w:color w:val="auto"/>
                      <w:vertAlign w:val="subscript"/>
                      <w:lang w:val="en-US" w:eastAsia="zh-CN"/>
                    </w:rPr>
                    <w:t>4</w:t>
                  </w:r>
                  <w:r>
                    <w:rPr>
                      <w:rFonts w:hint="default" w:cs="Times New Roman"/>
                      <w:color w:val="auto"/>
                      <w:lang w:val="en-US" w:eastAsia="zh-CN"/>
                    </w:rPr>
                    <w:t>计）的质量分数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pH值</w:t>
                  </w:r>
                </w:p>
              </w:tc>
              <w:tc>
                <w:tcPr>
                  <w:tcW w:w="250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3.0~9.0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总砷/（mg/kg）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总镉/（mg/kg）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总铅/（mg/kg）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总铬/（mg/kg）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总汞/（mg/kg）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总镍/（mg/kg）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总铊/（mg/kg）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2.5</w:t>
                  </w:r>
                </w:p>
              </w:tc>
            </w:tr>
          </w:tbl>
          <w:p>
            <w:pPr>
              <w:pStyle w:val="54"/>
              <w:bidi w:val="0"/>
              <w:rPr>
                <w:rFonts w:hint="eastAsia"/>
                <w:color w:val="auto"/>
                <w:lang w:val="en-US" w:eastAsia="zh-CN"/>
              </w:rPr>
            </w:pPr>
            <w:r>
              <w:rPr>
                <w:rFonts w:hint="eastAsia"/>
                <w:color w:val="auto"/>
                <w:lang w:val="en-US" w:eastAsia="zh-CN"/>
              </w:rPr>
              <w:t>（3）聚谷氨酸型硫酸钾</w:t>
            </w:r>
          </w:p>
          <w:p>
            <w:pPr>
              <w:pStyle w:val="54"/>
              <w:bidi w:val="0"/>
              <w:rPr>
                <w:rFonts w:hint="eastAsia"/>
                <w:color w:val="auto"/>
                <w:lang w:val="en-US" w:eastAsia="zh-CN"/>
              </w:rPr>
            </w:pPr>
            <w:r>
              <w:rPr>
                <w:rFonts w:hint="eastAsia"/>
                <w:color w:val="auto"/>
                <w:lang w:val="en-US" w:eastAsia="zh-CN"/>
              </w:rPr>
              <w:t>聚谷氨酸型硫酸钾引用标准QGTLJ 103.20-2025。</w:t>
            </w:r>
          </w:p>
          <w:p>
            <w:pPr>
              <w:pStyle w:val="26"/>
              <w:bidi w:val="0"/>
              <w:rPr>
                <w:rFonts w:hint="default" w:cs="Times New Roman"/>
                <w:bCs/>
                <w:color w:val="auto"/>
                <w:szCs w:val="24"/>
                <w:lang w:val="en-US" w:eastAsia="zh-CN"/>
              </w:rPr>
            </w:pPr>
            <w:r>
              <w:rPr>
                <w:rFonts w:hint="eastAsia"/>
                <w:color w:val="auto"/>
                <w:lang w:val="en-US" w:eastAsia="zh-CN"/>
              </w:rPr>
              <w:t>表2-15  聚谷氨酸型硫酸钾技术指标</w:t>
            </w:r>
          </w:p>
          <w:tbl>
            <w:tblPr>
              <w:tblStyle w:val="20"/>
              <w:tblW w:w="500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776"/>
              <w:gridCol w:w="3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项目</w:t>
                  </w:r>
                </w:p>
              </w:tc>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粉末结晶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default" w:cs="Times New Roman"/>
                      <w:color w:val="auto"/>
                      <w:lang w:val="en-US" w:eastAsia="zh-CN"/>
                    </w:rPr>
                    <w:t>水溶性氧化钾的质量分数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硫</w:t>
                  </w:r>
                  <w:r>
                    <w:rPr>
                      <w:rFonts w:hint="default" w:cs="Times New Roman"/>
                      <w:color w:val="auto"/>
                      <w:lang w:val="en-US" w:eastAsia="zh-CN"/>
                    </w:rPr>
                    <w:t>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聚谷氨酸</w:t>
                  </w:r>
                  <w:r>
                    <w:rPr>
                      <w:rFonts w:hint="default" w:cs="Times New Roman"/>
                      <w:color w:val="auto"/>
                      <w:lang w:val="en-US" w:eastAsia="zh-CN"/>
                    </w:rPr>
                    <w:t>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氯</w:t>
                  </w:r>
                  <w:r>
                    <w:rPr>
                      <w:rFonts w:hint="default" w:cs="Times New Roman"/>
                      <w:color w:val="auto"/>
                      <w:lang w:val="en-US" w:eastAsia="zh-CN"/>
                    </w:rPr>
                    <w:t>离子的质量分数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eastAsia" w:cs="Times New Roman"/>
                      <w:color w:val="auto"/>
                      <w:lang w:val="en-US" w:eastAsia="zh-CN"/>
                    </w:rPr>
                  </w:pPr>
                  <w:r>
                    <w:rPr>
                      <w:rFonts w:hint="eastAsia" w:cs="Times New Roman"/>
                      <w:color w:val="auto"/>
                      <w:lang w:val="en-US" w:eastAsia="zh-CN"/>
                    </w:rPr>
                    <w:t>硼</w:t>
                  </w:r>
                  <w:r>
                    <w:rPr>
                      <w:rFonts w:hint="default" w:cs="Times New Roman"/>
                      <w:color w:val="auto"/>
                      <w:lang w:val="en-US" w:eastAsia="zh-CN"/>
                    </w:rPr>
                    <w:t>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水</w:t>
                  </w:r>
                  <w:r>
                    <w:rPr>
                      <w:rFonts w:hint="default" w:cs="Times New Roman"/>
                      <w:color w:val="auto"/>
                      <w:lang w:val="en-US" w:eastAsia="zh-CN"/>
                    </w:rPr>
                    <w:t>不溶物的质量分数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水</w:t>
                  </w:r>
                  <w:r>
                    <w:rPr>
                      <w:rFonts w:hint="default" w:cs="Times New Roman"/>
                      <w:color w:val="auto"/>
                      <w:lang w:val="en-US" w:eastAsia="zh-CN"/>
                    </w:rPr>
                    <w:t>分的质量分数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游</w:t>
                  </w:r>
                  <w:r>
                    <w:rPr>
                      <w:rFonts w:hint="default" w:cs="Times New Roman"/>
                      <w:color w:val="auto"/>
                      <w:lang w:val="en-US" w:eastAsia="zh-CN"/>
                    </w:rPr>
                    <w:t>离酸（以H</w:t>
                  </w:r>
                  <w:r>
                    <w:rPr>
                      <w:rFonts w:hint="eastAsia" w:cs="Times New Roman"/>
                      <w:color w:val="auto"/>
                      <w:vertAlign w:val="subscript"/>
                      <w:lang w:val="en-US" w:eastAsia="zh-CN"/>
                    </w:rPr>
                    <w:t>2</w:t>
                  </w:r>
                  <w:r>
                    <w:rPr>
                      <w:rFonts w:hint="default" w:cs="Times New Roman"/>
                      <w:color w:val="auto"/>
                      <w:lang w:val="en-US" w:eastAsia="zh-CN"/>
                    </w:rPr>
                    <w:t>SO</w:t>
                  </w:r>
                  <w:r>
                    <w:rPr>
                      <w:rFonts w:hint="eastAsia" w:cs="Times New Roman"/>
                      <w:color w:val="auto"/>
                      <w:vertAlign w:val="subscript"/>
                      <w:lang w:val="en-US" w:eastAsia="zh-CN"/>
                    </w:rPr>
                    <w:t>4</w:t>
                  </w:r>
                  <w:r>
                    <w:rPr>
                      <w:rFonts w:hint="default" w:cs="Times New Roman"/>
                      <w:color w:val="auto"/>
                      <w:lang w:val="en-US" w:eastAsia="zh-CN"/>
                    </w:rPr>
                    <w:t>计）的质量分数</w:t>
                  </w:r>
                  <w:r>
                    <w:rPr>
                      <w:rFonts w:hint="eastAsia" w:cs="Times New Roman"/>
                      <w:color w:val="auto"/>
                      <w:lang w:val="en-US" w:eastAsia="zh-CN"/>
                    </w:rPr>
                    <w:t>/</w:t>
                  </w:r>
                  <w:r>
                    <w:rPr>
                      <w:rFonts w:hint="default" w:cs="Times New Roman"/>
                      <w:color w:val="auto"/>
                      <w:lang w:val="en-US" w:eastAsia="zh-CN"/>
                    </w:rPr>
                    <w:t>%</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pH值</w:t>
                  </w:r>
                </w:p>
              </w:tc>
              <w:tc>
                <w:tcPr>
                  <w:tcW w:w="250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6.0~9.0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总砷/（mg/kg）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总镉/（mg/kg）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总铅/（mg/kg）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总铬/（mg/kg）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总汞/（mg/kg）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总镍/（mg/kg）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pStyle w:val="27"/>
                    <w:bidi w:val="0"/>
                    <w:jc w:val="center"/>
                    <w:rPr>
                      <w:rFonts w:hint="default" w:cs="Times New Roman"/>
                      <w:color w:val="auto"/>
                      <w:lang w:val="en-US" w:eastAsia="zh-CN"/>
                    </w:rPr>
                  </w:pPr>
                  <w:r>
                    <w:rPr>
                      <w:rFonts w:hint="eastAsia" w:cs="Times New Roman"/>
                      <w:color w:val="auto"/>
                      <w:lang w:val="en-US" w:eastAsia="zh-CN"/>
                    </w:rPr>
                    <w:t>总铊/（mg/kg）</w:t>
                  </w:r>
                </w:p>
              </w:tc>
              <w:tc>
                <w:tcPr>
                  <w:tcW w:w="2500" w:type="pct"/>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2.5</w:t>
                  </w:r>
                </w:p>
              </w:tc>
            </w:tr>
          </w:tbl>
          <w:p>
            <w:pPr>
              <w:pStyle w:val="54"/>
              <w:bidi w:val="0"/>
              <w:rPr>
                <w:rFonts w:hint="default"/>
                <w:color w:val="auto"/>
                <w:lang w:val="en-US" w:eastAsia="zh-CN"/>
              </w:rPr>
            </w:pPr>
            <w:r>
              <w:rPr>
                <w:rFonts w:hint="eastAsia"/>
                <w:b/>
                <w:bCs/>
                <w:color w:val="auto"/>
                <w:lang w:val="en-US" w:eastAsia="zh-CN"/>
              </w:rPr>
              <w:t>六、建设项目劳动定员与工作制度</w:t>
            </w:r>
          </w:p>
          <w:p>
            <w:pPr>
              <w:pStyle w:val="54"/>
              <w:bidi w:val="0"/>
              <w:rPr>
                <w:rFonts w:hint="default" w:ascii="Times New Roman" w:hAnsi="Times New Roman" w:cs="Times New Roman"/>
                <w:bCs/>
                <w:color w:val="auto"/>
                <w:szCs w:val="24"/>
                <w:lang w:val="en-US" w:eastAsia="zh-CN"/>
              </w:rPr>
            </w:pPr>
            <w:r>
              <w:rPr>
                <w:rFonts w:hint="eastAsia"/>
                <w:color w:val="auto"/>
                <w:lang w:val="en-US" w:eastAsia="zh-CN"/>
              </w:rPr>
              <w:t>本项目按岗位实际需要配置人员，估算本项目需劳动定员15人，其中直接生产人员12人，管理人员3人。年工作日280d，每天2班，每班12h，实行“四班两运转”工作制。</w:t>
            </w:r>
          </w:p>
          <w:p>
            <w:pPr>
              <w:pStyle w:val="54"/>
              <w:bidi w:val="0"/>
              <w:rPr>
                <w:rFonts w:hint="default"/>
                <w:color w:val="auto"/>
                <w:lang w:val="en-US" w:eastAsia="zh-CN"/>
              </w:rPr>
            </w:pPr>
            <w:r>
              <w:rPr>
                <w:rFonts w:hint="eastAsia"/>
                <w:b/>
                <w:bCs/>
                <w:color w:val="auto"/>
                <w:lang w:val="en-US" w:eastAsia="zh-CN"/>
              </w:rPr>
              <w:t>七、建设项目平面布置</w:t>
            </w:r>
          </w:p>
          <w:p>
            <w:pPr>
              <w:pStyle w:val="54"/>
              <w:bidi w:val="0"/>
              <w:rPr>
                <w:rFonts w:hint="default"/>
                <w:color w:val="auto"/>
                <w:lang w:val="en-US" w:eastAsia="zh-CN"/>
              </w:rPr>
            </w:pPr>
            <w:r>
              <w:rPr>
                <w:rFonts w:hint="eastAsia"/>
                <w:color w:val="auto"/>
                <w:lang w:val="en-US" w:eastAsia="zh-CN"/>
              </w:rPr>
              <w:t>1、本项目总平面布置原则</w:t>
            </w:r>
          </w:p>
          <w:p>
            <w:pPr>
              <w:pStyle w:val="54"/>
              <w:bidi w:val="0"/>
              <w:rPr>
                <w:rFonts w:hint="eastAsia"/>
                <w:color w:val="auto"/>
                <w:lang w:val="en-US" w:eastAsia="zh-CN"/>
              </w:rPr>
            </w:pPr>
            <w:r>
              <w:rPr>
                <w:rFonts w:hint="eastAsia"/>
                <w:color w:val="auto"/>
                <w:lang w:val="en-US" w:eastAsia="zh-CN"/>
              </w:rPr>
              <w:t>拟建场地地形平坦开阔，有足够的用地面积。根据工艺生产性质、规模、工厂组成、交通运输、环境保护以及防火、安全要求，结合自然条件，本工程的总平面布置方案符合下列原则：</w:t>
            </w:r>
          </w:p>
          <w:p>
            <w:pPr>
              <w:pStyle w:val="54"/>
              <w:bidi w:val="0"/>
              <w:rPr>
                <w:rFonts w:hint="eastAsia"/>
                <w:color w:val="auto"/>
                <w:lang w:val="en-US" w:eastAsia="zh-CN"/>
              </w:rPr>
            </w:pPr>
            <w:r>
              <w:rPr>
                <w:rFonts w:hint="eastAsia"/>
                <w:color w:val="auto"/>
                <w:lang w:val="en-US" w:eastAsia="zh-CN"/>
              </w:rPr>
              <w:t>（1）以生产装置为单位，按设备类型联合集中布置，对彼此在工艺生产上有密切联系的建、构筑物和辅助生产设施，布置在一个分区或相邻的分区内；</w:t>
            </w:r>
          </w:p>
          <w:p>
            <w:pPr>
              <w:pStyle w:val="54"/>
              <w:bidi w:val="0"/>
              <w:rPr>
                <w:rFonts w:hint="eastAsia"/>
                <w:color w:val="auto"/>
                <w:lang w:val="en-US" w:eastAsia="zh-CN"/>
              </w:rPr>
            </w:pPr>
            <w:r>
              <w:rPr>
                <w:rFonts w:hint="eastAsia"/>
                <w:color w:val="auto"/>
                <w:lang w:val="en-US" w:eastAsia="zh-CN"/>
              </w:rPr>
              <w:t>（2）合理组织工厂运输线路，减少人、货流交叉、使线路短捷，运输通畅；</w:t>
            </w:r>
          </w:p>
          <w:p>
            <w:pPr>
              <w:pStyle w:val="54"/>
              <w:bidi w:val="0"/>
              <w:rPr>
                <w:rFonts w:hint="eastAsia"/>
                <w:color w:val="auto"/>
                <w:lang w:val="en-US" w:eastAsia="zh-CN"/>
              </w:rPr>
            </w:pPr>
            <w:r>
              <w:rPr>
                <w:rFonts w:hint="eastAsia"/>
                <w:color w:val="auto"/>
                <w:lang w:val="en-US" w:eastAsia="zh-CN"/>
              </w:rPr>
              <w:t>（3）符合工艺流程，满足施工、操作及检修要求，紧凑布置，按功能分区，节约用地；</w:t>
            </w:r>
          </w:p>
          <w:p>
            <w:pPr>
              <w:pStyle w:val="54"/>
              <w:bidi w:val="0"/>
              <w:rPr>
                <w:rFonts w:hint="default"/>
                <w:color w:val="auto"/>
                <w:lang w:val="en-US" w:eastAsia="zh-CN"/>
              </w:rPr>
            </w:pPr>
            <w:r>
              <w:rPr>
                <w:rFonts w:hint="eastAsia"/>
                <w:color w:val="auto"/>
                <w:lang w:val="en-US" w:eastAsia="zh-CN"/>
              </w:rPr>
              <w:t>（4）厂前区与生产区用道路隔离，便于管理、加强厂区安全。</w:t>
            </w:r>
          </w:p>
          <w:p>
            <w:pPr>
              <w:pStyle w:val="54"/>
              <w:bidi w:val="0"/>
              <w:rPr>
                <w:rFonts w:hint="default"/>
                <w:color w:val="auto"/>
                <w:lang w:val="en-US" w:eastAsia="zh-CN"/>
              </w:rPr>
            </w:pPr>
            <w:r>
              <w:rPr>
                <w:rFonts w:hint="eastAsia"/>
                <w:color w:val="auto"/>
                <w:lang w:val="en-US" w:eastAsia="zh-CN"/>
              </w:rPr>
              <w:t>2、布置方案</w:t>
            </w:r>
          </w:p>
          <w:p>
            <w:pPr>
              <w:pStyle w:val="54"/>
              <w:bidi w:val="0"/>
              <w:rPr>
                <w:rFonts w:hint="eastAsia"/>
                <w:color w:val="auto"/>
                <w:lang w:val="en-US" w:eastAsia="zh-CN"/>
              </w:rPr>
            </w:pPr>
            <w:r>
              <w:rPr>
                <w:rFonts w:hint="eastAsia"/>
                <w:color w:val="auto"/>
                <w:lang w:val="en-US" w:eastAsia="zh-CN"/>
              </w:rPr>
              <w:t>本项目总平面布置明确功能分区，可分为生产区、辅助生产区。</w:t>
            </w:r>
          </w:p>
          <w:p>
            <w:pPr>
              <w:pStyle w:val="54"/>
              <w:bidi w:val="0"/>
              <w:rPr>
                <w:rFonts w:hint="eastAsia"/>
                <w:color w:val="auto"/>
                <w:lang w:val="en-US" w:eastAsia="zh-CN"/>
              </w:rPr>
            </w:pPr>
            <w:r>
              <w:rPr>
                <w:rFonts w:hint="eastAsia"/>
                <w:color w:val="auto"/>
                <w:lang w:val="en-US" w:eastAsia="zh-CN"/>
              </w:rPr>
              <w:t>生产区：生产厂房，厂房内北面为包装车间，东侧为机柜间，西南侧为粉碎机间。</w:t>
            </w:r>
          </w:p>
          <w:p>
            <w:pPr>
              <w:pStyle w:val="54"/>
              <w:bidi w:val="0"/>
              <w:rPr>
                <w:rFonts w:hint="eastAsia"/>
                <w:color w:val="auto"/>
                <w:lang w:val="en-US" w:eastAsia="zh-CN"/>
              </w:rPr>
            </w:pPr>
            <w:r>
              <w:rPr>
                <w:rFonts w:hint="eastAsia"/>
                <w:color w:val="auto"/>
                <w:lang w:val="en-US" w:eastAsia="zh-CN"/>
              </w:rPr>
              <w:t>辅助生产区：在厂房北侧设置一座变配电间，厂房南侧设置一间控制室，包装车间东侧设置休息间。</w:t>
            </w:r>
          </w:p>
          <w:p>
            <w:pPr>
              <w:pStyle w:val="54"/>
              <w:bidi w:val="0"/>
              <w:rPr>
                <w:rFonts w:hint="eastAsia"/>
                <w:color w:val="auto"/>
                <w:lang w:val="en-US" w:eastAsia="zh-CN"/>
              </w:rPr>
            </w:pPr>
            <w:r>
              <w:rPr>
                <w:rFonts w:hint="eastAsia"/>
                <w:color w:val="auto"/>
                <w:lang w:val="en-US" w:eastAsia="zh-CN"/>
              </w:rPr>
              <w:t>本项目主要产生噪声振动的设备包括：磨粉机、包装机、码垛机，公用工程设备为除尘器，以上设备均布置在单层厂房内。</w:t>
            </w:r>
          </w:p>
          <w:p>
            <w:pPr>
              <w:pStyle w:val="54"/>
              <w:bidi w:val="0"/>
              <w:rPr>
                <w:rFonts w:hint="default"/>
                <w:color w:val="auto"/>
                <w:lang w:val="en-US" w:eastAsia="zh-CN"/>
              </w:rPr>
            </w:pPr>
            <w:r>
              <w:rPr>
                <w:rFonts w:hint="eastAsia"/>
                <w:color w:val="auto"/>
                <w:lang w:val="en-US" w:eastAsia="zh-CN"/>
              </w:rPr>
              <w:t>3、竖向布置</w:t>
            </w:r>
          </w:p>
          <w:p>
            <w:pPr>
              <w:pStyle w:val="54"/>
              <w:bidi w:val="0"/>
              <w:rPr>
                <w:rFonts w:hint="default"/>
                <w:color w:val="auto"/>
                <w:lang w:val="en-US" w:eastAsia="zh-CN"/>
              </w:rPr>
            </w:pPr>
            <w:r>
              <w:rPr>
                <w:rFonts w:hint="eastAsia"/>
                <w:color w:val="auto"/>
                <w:lang w:val="en-US" w:eastAsia="zh-CN"/>
              </w:rPr>
              <w:t>根</w:t>
            </w:r>
            <w:r>
              <w:rPr>
                <w:rFonts w:hint="default"/>
                <w:color w:val="auto"/>
                <w:lang w:val="en-US" w:eastAsia="zh-CN"/>
              </w:rPr>
              <w:t>据地形图所示的地形特征，以及现状地形控制点标高，竖向设计中考虑尽量处理好本场地与周围道路场地的衔接关系，减少填挖方量。此场地采用平坡式布置，人流入口处的室内外高差为0.10</w:t>
            </w:r>
            <w:r>
              <w:rPr>
                <w:rFonts w:hint="eastAsia"/>
                <w:color w:val="auto"/>
                <w:lang w:val="en-US" w:eastAsia="zh-CN"/>
              </w:rPr>
              <w:t>~</w:t>
            </w:r>
            <w:r>
              <w:rPr>
                <w:rFonts w:hint="default"/>
                <w:color w:val="auto"/>
                <w:lang w:val="en-US" w:eastAsia="zh-CN"/>
              </w:rPr>
              <w:t>0.25米。</w:t>
            </w:r>
            <w:r>
              <w:rPr>
                <w:rFonts w:hint="eastAsia"/>
                <w:color w:val="auto"/>
                <w:lang w:val="en-US" w:eastAsia="zh-CN"/>
              </w:rPr>
              <w:t>场</w:t>
            </w:r>
            <w:r>
              <w:rPr>
                <w:rFonts w:hint="default"/>
                <w:color w:val="auto"/>
                <w:lang w:val="en-US" w:eastAsia="zh-CN"/>
              </w:rPr>
              <w:t>地内部道路最小纵坡为0.3%，横坡为1.0%，均采用双面坡，地面雨水由雨水口收集经雨水管系统有组织排入厂区雨水管最终排出厂外。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86"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工艺流程和产排污环节</w:t>
            </w:r>
          </w:p>
        </w:tc>
        <w:tc>
          <w:tcPr>
            <w:tcW w:w="7798" w:type="dxa"/>
            <w:noWrap w:val="0"/>
            <w:vAlign w:val="top"/>
          </w:tcPr>
          <w:p>
            <w:pPr>
              <w:adjustRightInd w:val="0"/>
              <w:snapToGrid w:val="0"/>
              <w:spacing w:line="360" w:lineRule="auto"/>
              <w:ind w:firstLine="482" w:firstLineChars="200"/>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一、施工期工艺流程和产排污环节</w:t>
            </w:r>
          </w:p>
          <w:p>
            <w:pPr>
              <w:adjustRightInd w:val="0"/>
              <w:snapToGrid w:val="0"/>
              <w:spacing w:line="360" w:lineRule="auto"/>
              <w:ind w:firstLine="480" w:firstLineChars="200"/>
              <w:rPr>
                <w:rFonts w:hint="eastAsia" w:ascii="Times New Roman" w:hAnsi="Times New Roman" w:eastAsia="宋体" w:cs="Times New Roman"/>
                <w:bCs/>
                <w:color w:val="auto"/>
                <w:sz w:val="24"/>
                <w:szCs w:val="24"/>
                <w:lang w:val="en-US" w:eastAsia="zh-CN"/>
              </w:rPr>
            </w:pPr>
            <w:r>
              <w:rPr>
                <w:rFonts w:hint="eastAsia"/>
                <w:color w:val="auto"/>
                <w:sz w:val="24"/>
                <w:lang w:val="en-US" w:eastAsia="zh-CN"/>
              </w:rPr>
              <w:t>国投新疆锂业有限公司拟投资2500万元在罗布泊盐湖罗中生产基地建设一条速溶型硫酸钾系列产品生产线项目，建设完成后，达到600吨/天（15万吨/年）速溶型硫酸钾系列产品生产能力。</w:t>
            </w:r>
          </w:p>
          <w:p>
            <w:pPr>
              <w:adjustRightInd w:val="0"/>
              <w:snapToGrid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在</w:t>
            </w:r>
            <w:r>
              <w:rPr>
                <w:color w:val="auto"/>
                <w:sz w:val="24"/>
              </w:rPr>
              <w:t>建设过程中建筑材料水泥、砂子等在装卸、运输、堆放、车辆来往、施工垃圾及清运等过程均会产生扬尘污染、机械尾气；各种施工机械设备运行时会产生噪声。</w:t>
            </w:r>
            <w:r>
              <w:rPr>
                <w:rFonts w:hint="eastAsia" w:ascii="Times New Roman" w:hAnsi="Times New Roman" w:eastAsia="宋体" w:cs="Times New Roman"/>
                <w:bCs/>
                <w:color w:val="auto"/>
                <w:sz w:val="24"/>
                <w:szCs w:val="24"/>
                <w:lang w:val="en-US" w:eastAsia="zh-CN"/>
              </w:rPr>
              <w:t>施工期主要是产生噪声、扬尘、固体废物（生活垃圾、建筑垃圾）等。</w:t>
            </w:r>
          </w:p>
          <w:p>
            <w:pPr>
              <w:adjustRightInd w:val="0"/>
              <w:snapToGrid w:val="0"/>
              <w:spacing w:line="240" w:lineRule="auto"/>
              <w:jc w:val="center"/>
              <w:rPr>
                <w:rFonts w:hint="eastAsia" w:ascii="Times New Roman" w:hAnsi="Times New Roman" w:eastAsia="宋体" w:cs="Times New Roman"/>
                <w:bCs/>
                <w:color w:val="auto"/>
                <w:sz w:val="24"/>
                <w:szCs w:val="24"/>
                <w:lang w:eastAsia="zh-CN"/>
              </w:rPr>
            </w:pPr>
            <w:r>
              <w:rPr>
                <w:rFonts w:hint="eastAsia" w:ascii="Times New Roman" w:hAnsi="Times New Roman" w:eastAsia="宋体" w:cs="Times New Roman"/>
                <w:bCs/>
                <w:color w:val="auto"/>
                <w:sz w:val="24"/>
                <w:szCs w:val="24"/>
                <w:lang w:eastAsia="zh-CN"/>
              </w:rPr>
              <w:drawing>
                <wp:inline distT="0" distB="0" distL="114300" distR="114300">
                  <wp:extent cx="3488055" cy="1590040"/>
                  <wp:effectExtent l="19050" t="19050" r="36195" b="29210"/>
                  <wp:docPr id="4" name="ECB019B1-382A-4266-B25C-5B523AA43C14-1" descr="C:/Users/Administrator/AppData/Local/Temp/wps.VbYQi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Administrator/AppData/Local/Temp/wps.VbYQipwps"/>
                          <pic:cNvPicPr>
                            <a:picLocks noChangeAspect="1"/>
                          </pic:cNvPicPr>
                        </pic:nvPicPr>
                        <pic:blipFill>
                          <a:blip r:embed="rId8"/>
                          <a:stretch>
                            <a:fillRect/>
                          </a:stretch>
                        </pic:blipFill>
                        <pic:spPr>
                          <a:xfrm>
                            <a:off x="0" y="0"/>
                            <a:ext cx="3488055" cy="1590040"/>
                          </a:xfrm>
                          <a:prstGeom prst="rect">
                            <a:avLst/>
                          </a:prstGeom>
                          <a:ln w="19050">
                            <a:solidFill>
                              <a:schemeClr val="tx1"/>
                            </a:solidFill>
                          </a:ln>
                        </pic:spPr>
                      </pic:pic>
                    </a:graphicData>
                  </a:graphic>
                </wp:inline>
              </w:drawing>
            </w:r>
          </w:p>
          <w:p>
            <w:pPr>
              <w:pStyle w:val="52"/>
              <w:bidi w:val="0"/>
              <w:rPr>
                <w:rFonts w:hint="default" w:ascii="Times New Roman" w:hAnsi="Times New Roman" w:eastAsia="宋体" w:cs="Times New Roman"/>
                <w:bCs/>
                <w:color w:val="auto"/>
                <w:szCs w:val="24"/>
                <w:lang w:val="en-US" w:eastAsia="zh-CN"/>
              </w:rPr>
            </w:pPr>
            <w:r>
              <w:rPr>
                <w:rFonts w:hint="eastAsia"/>
                <w:color w:val="auto"/>
                <w:lang w:val="en-US" w:eastAsia="zh-CN"/>
              </w:rPr>
              <w:t>图2-1  施工期工艺流程及产污环节</w:t>
            </w:r>
          </w:p>
          <w:p>
            <w:pPr>
              <w:pStyle w:val="54"/>
              <w:bidi w:val="0"/>
              <w:rPr>
                <w:rFonts w:hint="default"/>
                <w:color w:val="auto"/>
                <w:lang w:val="en-US"/>
              </w:rPr>
            </w:pPr>
            <w:r>
              <w:rPr>
                <w:rFonts w:hint="eastAsia"/>
                <w:b/>
                <w:bCs/>
                <w:color w:val="auto"/>
                <w:lang w:val="en-US" w:eastAsia="zh-CN"/>
              </w:rPr>
              <w:t>二、运营期工艺流程和产排污环节</w:t>
            </w:r>
          </w:p>
          <w:p>
            <w:pPr>
              <w:pStyle w:val="54"/>
              <w:bidi w:val="0"/>
              <w:rPr>
                <w:rFonts w:hint="default"/>
                <w:color w:val="auto"/>
                <w:lang w:val="en-US"/>
              </w:rPr>
            </w:pPr>
            <w:r>
              <w:rPr>
                <w:rFonts w:hint="default"/>
                <w:color w:val="auto"/>
                <w:lang w:val="en-US"/>
              </w:rPr>
              <w:t>本工艺装置不涉及化学反应。各装置均采用自动化程度较高的PLC控制系统，并根据工艺操作要求，工艺设备流程特点。采取控制室集中监测控制。硫酸钾原料通过投料斗，由刮板输送机输送至斗式提升机进入</w:t>
            </w:r>
            <w:r>
              <w:rPr>
                <w:rFonts w:hint="eastAsia"/>
                <w:color w:val="auto"/>
                <w:lang w:val="en-US" w:eastAsia="zh-CN"/>
              </w:rPr>
              <w:t>密闭</w:t>
            </w:r>
            <w:r>
              <w:rPr>
                <w:rFonts w:hint="default"/>
                <w:color w:val="auto"/>
                <w:lang w:val="en-US"/>
              </w:rPr>
              <w:t>储料仓，物料通过</w:t>
            </w:r>
            <w:r>
              <w:rPr>
                <w:rFonts w:hint="eastAsia"/>
                <w:color w:val="auto"/>
                <w:lang w:val="en-US" w:eastAsia="zh-CN"/>
              </w:rPr>
              <w:t>密闭</w:t>
            </w:r>
            <w:r>
              <w:rPr>
                <w:rFonts w:hint="default"/>
                <w:color w:val="auto"/>
                <w:lang w:val="en-US"/>
              </w:rPr>
              <w:t>储料仓由刮板输送机分配至各个粉碎料仓，由各磨粉机进行粉碎。辅料原料（如黄腐酸钾）由定量给料装置送入各磨粉机进行混料粉碎，粉碎后的物料通过斗式提升机和刮板输送机落入包装机，由包装机定量包装、缝包后进入输送线，输送至码垛机进行码垛。</w:t>
            </w:r>
          </w:p>
          <w:p>
            <w:pPr>
              <w:pStyle w:val="54"/>
              <w:bidi w:val="0"/>
              <w:rPr>
                <w:rFonts w:hint="default" w:ascii="Times New Roman" w:hAnsi="Times New Roman" w:eastAsia="宋体" w:cs="Times New Roman"/>
                <w:bCs/>
                <w:color w:val="auto"/>
                <w:szCs w:val="24"/>
              </w:rPr>
            </w:pPr>
            <w:r>
              <w:rPr>
                <w:rFonts w:hint="eastAsia"/>
                <w:color w:val="auto"/>
                <w:lang w:val="en-US" w:eastAsia="zh-CN"/>
              </w:rPr>
              <w:t>本项目总工艺流程及产排污环节</w:t>
            </w:r>
            <w:r>
              <w:rPr>
                <w:rFonts w:hint="default"/>
                <w:color w:val="auto"/>
              </w:rPr>
              <w:t>见图</w:t>
            </w:r>
            <w:r>
              <w:rPr>
                <w:rFonts w:hint="eastAsia"/>
                <w:color w:val="auto"/>
                <w:lang w:val="en-US" w:eastAsia="zh-CN"/>
              </w:rPr>
              <w:t>2-2</w:t>
            </w:r>
            <w:r>
              <w:rPr>
                <w:rFonts w:hint="default"/>
                <w:color w:val="auto"/>
              </w:rPr>
              <w:t>。</w:t>
            </w:r>
          </w:p>
          <w:p>
            <w:pPr>
              <w:adjustRightInd w:val="0"/>
              <w:snapToGrid w:val="0"/>
              <w:spacing w:line="240" w:lineRule="auto"/>
              <w:jc w:val="center"/>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drawing>
                <wp:inline distT="0" distB="0" distL="114300" distR="114300">
                  <wp:extent cx="4258310" cy="6164580"/>
                  <wp:effectExtent l="19050" t="19050" r="27940" b="26670"/>
                  <wp:docPr id="1" name="ECB019B1-382A-4266-B25C-5B523AA43C14-2" descr="C:/Users/Administrator/AppData/Local/Temp/wps.rwFnD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C:/Users/Administrator/AppData/Local/Temp/wps.rwFnDkwps"/>
                          <pic:cNvPicPr>
                            <a:picLocks noChangeAspect="1"/>
                          </pic:cNvPicPr>
                        </pic:nvPicPr>
                        <pic:blipFill>
                          <a:blip r:embed="rId9"/>
                          <a:stretch>
                            <a:fillRect/>
                          </a:stretch>
                        </pic:blipFill>
                        <pic:spPr>
                          <a:xfrm>
                            <a:off x="0" y="0"/>
                            <a:ext cx="4258310" cy="6164580"/>
                          </a:xfrm>
                          <a:prstGeom prst="rect">
                            <a:avLst/>
                          </a:prstGeom>
                          <a:ln w="19050">
                            <a:solidFill>
                              <a:schemeClr val="tx1"/>
                            </a:solidFill>
                          </a:ln>
                        </pic:spPr>
                      </pic:pic>
                    </a:graphicData>
                  </a:graphic>
                </wp:inline>
              </w:drawing>
            </w:r>
          </w:p>
          <w:p>
            <w:pPr>
              <w:pStyle w:val="52"/>
              <w:bidi w:val="0"/>
              <w:rPr>
                <w:rFonts w:hint="default" w:ascii="Times New Roman" w:hAnsi="Times New Roman" w:eastAsia="宋体" w:cs="Times New Roman"/>
                <w:bCs/>
                <w:color w:val="auto"/>
                <w:szCs w:val="24"/>
                <w:lang w:val="en-US"/>
              </w:rPr>
            </w:pPr>
            <w:r>
              <w:rPr>
                <w:rFonts w:hint="eastAsia"/>
                <w:color w:val="auto"/>
                <w:lang w:val="en-US" w:eastAsia="zh-CN"/>
              </w:rPr>
              <w:t>图2-2 总工艺流程及产排污环节图</w:t>
            </w:r>
          </w:p>
          <w:p>
            <w:pPr>
              <w:pStyle w:val="54"/>
              <w:bidi w:val="0"/>
              <w:rPr>
                <w:rFonts w:hint="default"/>
                <w:color w:val="auto"/>
                <w:lang w:val="en-US" w:eastAsia="zh-CN"/>
              </w:rPr>
            </w:pPr>
            <w:r>
              <w:rPr>
                <w:rFonts w:hint="eastAsia"/>
                <w:color w:val="auto"/>
                <w:lang w:val="en-US" w:eastAsia="zh-CN"/>
              </w:rPr>
              <w:t>（1）投料</w:t>
            </w:r>
          </w:p>
          <w:p>
            <w:pPr>
              <w:pStyle w:val="54"/>
              <w:bidi w:val="0"/>
              <w:rPr>
                <w:rFonts w:hint="eastAsia"/>
                <w:color w:val="auto"/>
                <w:lang w:val="en-US" w:eastAsia="zh-CN"/>
              </w:rPr>
            </w:pPr>
            <w:r>
              <w:rPr>
                <w:rFonts w:hint="eastAsia"/>
                <w:color w:val="auto"/>
                <w:lang w:val="en-US" w:eastAsia="zh-CN"/>
              </w:rPr>
              <w:t>硫酸钾原料由自卸车投料料斗1-1中，经刮板输送机1-2进入斗式提升机1-3经气动三通1-4进入储料仓1-5。刮板输送机1-2及斗式提升机1-3为投料工序及硫酸钾原料分配工序两者共用，输送设备功能切换由气动三通1-4负责转换。储料仓1-5出口装有气动闸门，投料时气动闸门为关闭状态。储料仓1-5上方装有超声波料位计可以实时显示储料仓1-5内的仓位状态。</w:t>
            </w:r>
          </w:p>
          <w:p>
            <w:pPr>
              <w:pStyle w:val="54"/>
              <w:bidi w:val="0"/>
              <w:rPr>
                <w:rFonts w:hint="eastAsia"/>
                <w:color w:val="auto"/>
                <w:lang w:val="en-US" w:eastAsia="zh-CN"/>
              </w:rPr>
            </w:pPr>
            <w:r>
              <w:rPr>
                <w:rFonts w:hint="eastAsia"/>
                <w:color w:val="auto"/>
                <w:lang w:val="en-US" w:eastAsia="zh-CN"/>
              </w:rPr>
              <w:t>投料完成后，储料仓1-5出口的气动闸门打开，物料进入刮板输送机1-2经提升机1-3经气动三通1-4进入刮板输送机2-1，由刮板输送机分配至各个粉碎料仓。</w:t>
            </w:r>
          </w:p>
          <w:p>
            <w:pPr>
              <w:pStyle w:val="54"/>
              <w:bidi w:val="0"/>
              <w:rPr>
                <w:rFonts w:hint="default"/>
                <w:color w:val="auto"/>
                <w:lang w:val="en-US" w:eastAsia="zh-CN"/>
              </w:rPr>
            </w:pPr>
            <w:r>
              <w:rPr>
                <w:rFonts w:hint="eastAsia"/>
                <w:color w:val="auto"/>
                <w:lang w:val="en-US" w:eastAsia="zh-CN"/>
              </w:rPr>
              <w:t>此工序产生G1：原料投料粉尘及机械噪声。</w:t>
            </w:r>
          </w:p>
          <w:p>
            <w:pPr>
              <w:pStyle w:val="54"/>
              <w:bidi w:val="0"/>
              <w:rPr>
                <w:rFonts w:hint="default"/>
                <w:color w:val="auto"/>
                <w:lang w:val="en-US" w:eastAsia="zh-CN"/>
              </w:rPr>
            </w:pPr>
            <w:r>
              <w:rPr>
                <w:rFonts w:hint="eastAsia"/>
                <w:color w:val="auto"/>
                <w:lang w:val="en-US" w:eastAsia="zh-CN"/>
              </w:rPr>
              <w:t>（2）磨粉</w:t>
            </w:r>
          </w:p>
          <w:p>
            <w:pPr>
              <w:pStyle w:val="54"/>
              <w:bidi w:val="0"/>
              <w:rPr>
                <w:rFonts w:hint="eastAsia"/>
                <w:color w:val="auto"/>
                <w:lang w:val="en-US" w:eastAsia="zh-CN"/>
              </w:rPr>
            </w:pPr>
            <w:r>
              <w:rPr>
                <w:rFonts w:hint="eastAsia"/>
                <w:color w:val="auto"/>
                <w:lang w:val="en-US" w:eastAsia="zh-CN"/>
              </w:rPr>
              <w:t>粉碎线进料系统由气动闸门2-2、投料称重仓2-3、气动闸门2-4、投料缓冲斗2-5组成。投料称重仓2-3上方设置有气动闸门2-3，可根据粉碎线使用选择情况控制物料分配。投料称重仓2-3设置有称重传感器，可以显示投料重量，累计粉碎重量，粉碎速度等信息。为保证来料时称重重量的准确性，来料称重时，气动闸门2-2打开，气动闸门2-4关闭，投料缓冲斗2-5缓冲的物料继续进料粉碎，待投料完成，重量稳定时，气动闸门2-2关闭，气动闸门2-4打开，物料由投料称重仓2-3落入投料缓冲斗2-5中，既保证的来料称重的准确性，又保证了粉碎生产的连续性。辅料由人工投入辅料定量给料装置2-6中。</w:t>
            </w:r>
          </w:p>
          <w:p>
            <w:pPr>
              <w:pStyle w:val="54"/>
              <w:bidi w:val="0"/>
              <w:rPr>
                <w:rFonts w:hint="eastAsia"/>
                <w:color w:val="auto"/>
                <w:lang w:val="en-US" w:eastAsia="zh-CN"/>
              </w:rPr>
            </w:pPr>
            <w:r>
              <w:rPr>
                <w:rFonts w:hint="eastAsia"/>
                <w:color w:val="auto"/>
                <w:lang w:val="en-US" w:eastAsia="zh-CN"/>
              </w:rPr>
              <w:t>物料由喂料绞龙喂入经进料口进入超微粉碎机主机2-7粉碎室内，辅料经辅料定量给料装置2-6由主机进风口进入粉碎室。物料经粉碎、分级粒度合格的物料经管道进入旋风分离器2-8，经关风机2-10落下。粉碎线的粉碎成品经刮板输送机3-1、斗式提升机3-2，再由刮板输送机3-3分配至打包料仓3-5、3-7。</w:t>
            </w:r>
          </w:p>
          <w:p>
            <w:pPr>
              <w:pStyle w:val="54"/>
              <w:bidi w:val="0"/>
              <w:rPr>
                <w:rFonts w:hint="default"/>
                <w:color w:val="auto"/>
                <w:lang w:val="en-US" w:eastAsia="zh-CN"/>
              </w:rPr>
            </w:pPr>
            <w:r>
              <w:rPr>
                <w:rFonts w:hint="eastAsia"/>
                <w:color w:val="auto"/>
                <w:lang w:val="en-US" w:eastAsia="zh-CN"/>
              </w:rPr>
              <w:t>此工序产生G2：磨粉粉尘、G4：辅料投料粉尘及机械噪声。</w:t>
            </w:r>
          </w:p>
          <w:p>
            <w:pPr>
              <w:pStyle w:val="54"/>
              <w:bidi w:val="0"/>
              <w:rPr>
                <w:rFonts w:hint="default"/>
                <w:color w:val="auto"/>
                <w:lang w:val="en-US" w:eastAsia="zh-CN"/>
              </w:rPr>
            </w:pPr>
            <w:r>
              <w:rPr>
                <w:rFonts w:hint="eastAsia"/>
                <w:color w:val="auto"/>
                <w:lang w:val="en-US" w:eastAsia="zh-CN"/>
              </w:rPr>
              <w:t>（3）打包及码垛</w:t>
            </w:r>
          </w:p>
          <w:p>
            <w:pPr>
              <w:pStyle w:val="54"/>
              <w:bidi w:val="0"/>
              <w:rPr>
                <w:rFonts w:hint="eastAsia"/>
                <w:color w:val="auto"/>
                <w:lang w:val="en-US" w:eastAsia="zh-CN"/>
              </w:rPr>
            </w:pPr>
            <w:r>
              <w:rPr>
                <w:rFonts w:hint="eastAsia"/>
                <w:color w:val="auto"/>
                <w:lang w:val="en-US" w:eastAsia="zh-CN"/>
              </w:rPr>
              <w:t>打包仓3-5、3-7中的物料落入包装机4-1、4-2，经包装机4-1、4-2定量包装、缝包后进入主干输送线4-3，经输送线振袋，重量复检，重量不合格品剔除后，输送至码垛机4-4处，由码垛机4-4进行码垛。</w:t>
            </w:r>
          </w:p>
          <w:p>
            <w:pPr>
              <w:pStyle w:val="54"/>
              <w:bidi w:val="0"/>
              <w:rPr>
                <w:rFonts w:hint="default"/>
                <w:color w:val="auto"/>
                <w:lang w:val="en-US" w:eastAsia="zh-CN"/>
              </w:rPr>
            </w:pPr>
            <w:r>
              <w:rPr>
                <w:rFonts w:hint="eastAsia"/>
                <w:color w:val="auto"/>
                <w:lang w:val="en-US" w:eastAsia="zh-CN"/>
              </w:rPr>
              <w:t>此工序产生G3：包装粉尘及机械噪声。</w:t>
            </w:r>
          </w:p>
          <w:p>
            <w:pPr>
              <w:pStyle w:val="54"/>
              <w:bidi w:val="0"/>
              <w:rPr>
                <w:rFonts w:hint="eastAsia" w:cs="Times New Roman"/>
                <w:bCs/>
                <w:color w:val="auto"/>
                <w:szCs w:val="24"/>
                <w:lang w:val="en-US" w:eastAsia="zh-CN"/>
              </w:rPr>
            </w:pPr>
            <w:r>
              <w:rPr>
                <w:rFonts w:hint="eastAsia"/>
                <w:color w:val="auto"/>
                <w:lang w:val="en-US" w:eastAsia="zh-CN"/>
              </w:rPr>
              <w:t>本项目污染物产排情况一览表见表2-16。</w:t>
            </w:r>
          </w:p>
          <w:p>
            <w:pPr>
              <w:pStyle w:val="26"/>
              <w:bidi w:val="0"/>
              <w:rPr>
                <w:rFonts w:hint="eastAsia" w:cs="Times New Roman"/>
                <w:bCs/>
                <w:color w:val="auto"/>
                <w:szCs w:val="24"/>
                <w:lang w:val="en-US" w:eastAsia="zh-CN"/>
              </w:rPr>
            </w:pPr>
            <w:r>
              <w:rPr>
                <w:rFonts w:hint="eastAsia"/>
                <w:color w:val="auto"/>
                <w:lang w:val="en-US" w:eastAsia="zh-CN"/>
              </w:rPr>
              <w:t>表2-16  本项目污染物产排情况一览表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269"/>
              <w:gridCol w:w="1625"/>
              <w:gridCol w:w="3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序号</w:t>
                  </w:r>
                </w:p>
              </w:tc>
              <w:tc>
                <w:tcPr>
                  <w:tcW w:w="84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产污环节</w:t>
                  </w:r>
                </w:p>
              </w:tc>
              <w:tc>
                <w:tcPr>
                  <w:tcW w:w="107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污染源</w:t>
                  </w:r>
                </w:p>
              </w:tc>
              <w:tc>
                <w:tcPr>
                  <w:tcW w:w="25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1</w:t>
                  </w:r>
                </w:p>
              </w:tc>
              <w:tc>
                <w:tcPr>
                  <w:tcW w:w="84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投料口</w:t>
                  </w:r>
                </w:p>
              </w:tc>
              <w:tc>
                <w:tcPr>
                  <w:tcW w:w="107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G1：原料投料粉尘</w:t>
                  </w:r>
                </w:p>
              </w:tc>
              <w:tc>
                <w:tcPr>
                  <w:tcW w:w="2550" w:type="pct"/>
                  <w:tcBorders>
                    <w:tl2br w:val="nil"/>
                    <w:tr2bl w:val="nil"/>
                  </w:tcBorders>
                  <w:vAlign w:val="center"/>
                </w:tcPr>
                <w:p>
                  <w:pPr>
                    <w:pStyle w:val="27"/>
                    <w:bidi w:val="0"/>
                    <w:jc w:val="center"/>
                    <w:rPr>
                      <w:rFonts w:hint="default"/>
                      <w:color w:val="auto"/>
                      <w:lang w:val="en-US" w:eastAsia="zh-CN"/>
                    </w:rPr>
                  </w:pPr>
                  <w:r>
                    <w:rPr>
                      <w:rFonts w:hint="default"/>
                      <w:color w:val="auto"/>
                      <w:lang w:val="en-US" w:eastAsia="zh-CN"/>
                    </w:rPr>
                    <w:t>在投料口处设计了三面封闭的投料斗，投料斗顶部设计有集气罩，侧面有吸尘管，集气罩吸尘管连接到高效脉冲布袋除尘器对产生的粉尘进行处理后通过1根DA001高度为15m的排气筒排放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2</w:t>
                  </w:r>
                </w:p>
              </w:tc>
              <w:tc>
                <w:tcPr>
                  <w:tcW w:w="84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磨粉机</w:t>
                  </w:r>
                </w:p>
              </w:tc>
              <w:tc>
                <w:tcPr>
                  <w:tcW w:w="107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G2：磨粉粉尘</w:t>
                  </w:r>
                </w:p>
              </w:tc>
              <w:tc>
                <w:tcPr>
                  <w:tcW w:w="2550" w:type="pct"/>
                  <w:tcBorders>
                    <w:tl2br w:val="nil"/>
                    <w:tr2bl w:val="nil"/>
                  </w:tcBorders>
                  <w:vAlign w:val="center"/>
                </w:tcPr>
                <w:p>
                  <w:pPr>
                    <w:pStyle w:val="27"/>
                    <w:bidi w:val="0"/>
                    <w:jc w:val="center"/>
                    <w:rPr>
                      <w:rFonts w:hint="default"/>
                      <w:color w:val="auto"/>
                      <w:lang w:val="en-US" w:eastAsia="zh-CN"/>
                    </w:rPr>
                  </w:pPr>
                  <w:r>
                    <w:rPr>
                      <w:rFonts w:hint="default"/>
                      <w:color w:val="auto"/>
                      <w:lang w:val="en-US" w:eastAsia="zh-CN"/>
                    </w:rPr>
                    <w:t>产生的粉尘经6台高效脉冲布袋除尘器除尘后通过1根DA002高度为15m的排气筒排放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3</w:t>
                  </w:r>
                </w:p>
              </w:tc>
              <w:tc>
                <w:tcPr>
                  <w:tcW w:w="84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包装机</w:t>
                  </w:r>
                </w:p>
              </w:tc>
              <w:tc>
                <w:tcPr>
                  <w:tcW w:w="107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G3：包装粉尘</w:t>
                  </w:r>
                </w:p>
              </w:tc>
              <w:tc>
                <w:tcPr>
                  <w:tcW w:w="2550"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以每两台包装机共用一个除尘装置，在包装机易泄露粉尘的位置设计多个吸尘口，1#和2#包装机产生的粉尘通过收集经高效脉冲布袋除尘器处理后通过1根DA003高度为15m的排气筒排放；3#、4#、5#和6#包装机产生的粉尘通过收集经高效脉冲布袋除尘器处理后通过1根DA004高度为15m的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4</w:t>
                  </w:r>
                </w:p>
              </w:tc>
              <w:tc>
                <w:tcPr>
                  <w:tcW w:w="84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辅料定量给料装置</w:t>
                  </w:r>
                </w:p>
              </w:tc>
              <w:tc>
                <w:tcPr>
                  <w:tcW w:w="1076"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G4：辅料投料粉尘</w:t>
                  </w:r>
                </w:p>
              </w:tc>
              <w:tc>
                <w:tcPr>
                  <w:tcW w:w="25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辅料均为颗粒状，产尘量较小，位于封闭的厂房中，以无组织粉尘逸散。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5</w:t>
                  </w:r>
                </w:p>
              </w:tc>
              <w:tc>
                <w:tcPr>
                  <w:tcW w:w="84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全生产过程</w:t>
                  </w:r>
                </w:p>
              </w:tc>
              <w:tc>
                <w:tcPr>
                  <w:tcW w:w="107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N：机械噪声</w:t>
                  </w:r>
                </w:p>
              </w:tc>
              <w:tc>
                <w:tcPr>
                  <w:tcW w:w="2550"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选用低噪声设备，采用基础减震、厂房隔声等措施</w:t>
                  </w:r>
                </w:p>
              </w:tc>
            </w:tr>
          </w:tbl>
          <w:p>
            <w:pPr>
              <w:adjustRightInd w:val="0"/>
              <w:snapToGrid w:val="0"/>
              <w:spacing w:line="360" w:lineRule="auto"/>
              <w:rPr>
                <w:rFonts w:hint="default" w:cs="Times New Roman"/>
                <w:bCs/>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1" w:hRule="atLeast"/>
          <w:jc w:val="center"/>
        </w:trPr>
        <w:tc>
          <w:tcPr>
            <w:tcW w:w="1186"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bCs/>
                <w:color w:val="auto"/>
                <w:kern w:val="2"/>
                <w:sz w:val="24"/>
                <w:szCs w:val="24"/>
              </w:rPr>
              <w:t>与项目有关的原有环境污染问题</w:t>
            </w:r>
          </w:p>
        </w:tc>
        <w:tc>
          <w:tcPr>
            <w:tcW w:w="7798" w:type="dxa"/>
            <w:noWrap w:val="0"/>
            <w:vAlign w:val="center"/>
          </w:tcPr>
          <w:p>
            <w:pPr>
              <w:pStyle w:val="54"/>
              <w:bidi w:val="0"/>
              <w:rPr>
                <w:rFonts w:hint="default" w:ascii="Times New Roman" w:hAnsi="Times New Roman" w:cs="Times New Roman"/>
                <w:bCs/>
                <w:color w:val="auto"/>
                <w:sz w:val="24"/>
                <w:szCs w:val="24"/>
                <w:lang w:val="en-US" w:eastAsia="zh-CN"/>
              </w:rPr>
            </w:pPr>
            <w:r>
              <w:rPr>
                <w:rFonts w:hint="eastAsia"/>
                <w:color w:val="auto"/>
                <w:lang w:val="en-US" w:eastAsia="zh-CN"/>
              </w:rPr>
              <w:t>本项目为新建项目，无原有环境污染问题。</w:t>
            </w:r>
          </w:p>
        </w:tc>
      </w:tr>
    </w:tbl>
    <w:p>
      <w:pPr>
        <w:pStyle w:val="17"/>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7"/>
        <w:adjustRightInd w:val="0"/>
        <w:snapToGrid w:val="0"/>
        <w:spacing w:before="0" w:beforeAutospacing="0" w:after="0" w:afterAutospacing="0" w:line="14" w:lineRule="auto"/>
        <w:jc w:val="center"/>
        <w:outlineLvl w:val="0"/>
        <w:rPr>
          <w:rFonts w:hint="eastAsia" w:ascii="黑体" w:hAnsi="黑体" w:eastAsia="黑体"/>
          <w:snapToGrid w:val="0"/>
          <w:color w:val="auto"/>
          <w:sz w:val="30"/>
          <w:szCs w:val="30"/>
        </w:r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3"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区域</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质量</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现状</w:t>
            </w:r>
          </w:p>
        </w:tc>
        <w:tc>
          <w:tcPr>
            <w:tcW w:w="8190" w:type="dxa"/>
            <w:noWrap w:val="0"/>
            <w:vAlign w:val="center"/>
          </w:tcPr>
          <w:p>
            <w:pPr>
              <w:pStyle w:val="54"/>
              <w:bidi w:val="0"/>
              <w:rPr>
                <w:rFonts w:hint="default"/>
                <w:color w:val="auto"/>
                <w:lang w:val="en-US" w:eastAsia="zh-CN"/>
              </w:rPr>
            </w:pPr>
            <w:r>
              <w:rPr>
                <w:rFonts w:hint="eastAsia"/>
                <w:b/>
                <w:bCs/>
                <w:color w:val="auto"/>
                <w:lang w:val="en-US" w:eastAsia="zh-CN"/>
              </w:rPr>
              <w:t>一、大气环境质量现状调查与评价</w:t>
            </w:r>
          </w:p>
          <w:p>
            <w:pPr>
              <w:pStyle w:val="54"/>
              <w:bidi w:val="0"/>
              <w:rPr>
                <w:rFonts w:hint="default"/>
                <w:color w:val="auto"/>
                <w:lang w:val="en-US" w:eastAsia="zh-CN"/>
              </w:rPr>
            </w:pPr>
            <w:r>
              <w:rPr>
                <w:rFonts w:hint="eastAsia"/>
                <w:color w:val="auto"/>
                <w:lang w:val="en-US" w:eastAsia="zh-CN"/>
              </w:rPr>
              <w:t>1、空气质量达标区判定</w:t>
            </w:r>
          </w:p>
          <w:p>
            <w:pPr>
              <w:pStyle w:val="54"/>
              <w:bidi w:val="0"/>
              <w:rPr>
                <w:rFonts w:hint="eastAsia"/>
                <w:color w:val="auto"/>
                <w:lang w:val="en-US" w:eastAsia="zh-CN"/>
              </w:rPr>
            </w:pPr>
            <w:r>
              <w:rPr>
                <w:rFonts w:hint="eastAsia"/>
                <w:color w:val="auto"/>
                <w:lang w:val="en-US" w:eastAsia="zh-CN"/>
              </w:rPr>
              <w:t>本项目位于</w:t>
            </w:r>
            <w:r>
              <w:rPr>
                <w:rFonts w:hint="default"/>
                <w:color w:val="auto"/>
              </w:rPr>
              <w:t>新疆巴音郭楞蒙古自治州若羌县</w:t>
            </w:r>
            <w:r>
              <w:rPr>
                <w:rFonts w:hint="eastAsia"/>
                <w:color w:val="auto"/>
                <w:lang w:val="en-US" w:eastAsia="zh-CN"/>
              </w:rPr>
              <w:t>，</w:t>
            </w:r>
            <w:r>
              <w:rPr>
                <w:rFonts w:hint="default"/>
                <w:color w:val="auto"/>
              </w:rPr>
              <w:t>根据《环境影响评价技术导则</w:t>
            </w:r>
            <w:r>
              <w:rPr>
                <w:rFonts w:hint="eastAsia"/>
                <w:color w:val="auto"/>
                <w:lang w:val="en-US" w:eastAsia="zh-CN"/>
              </w:rPr>
              <w:t xml:space="preserve"> </w:t>
            </w:r>
            <w:r>
              <w:rPr>
                <w:rFonts w:hint="default"/>
                <w:color w:val="auto"/>
              </w:rPr>
              <w:t>大气环境》（HJ2.2-2018），</w:t>
            </w:r>
            <w:r>
              <w:rPr>
                <w:rFonts w:hint="eastAsia"/>
                <w:color w:val="auto"/>
                <w:lang w:val="en-US" w:eastAsia="zh-CN"/>
              </w:rPr>
              <w:t>对于基本污染物环境质量现状数据，项目所在区域达标判定优先采用国家或地方生态环境主管部门公开发布的评价基准年环境质量公告或环境质量报告中的数据或结论。</w:t>
            </w:r>
          </w:p>
          <w:p>
            <w:pPr>
              <w:pStyle w:val="54"/>
              <w:bidi w:val="0"/>
              <w:rPr>
                <w:rFonts w:hint="default" w:ascii="Times New Roman" w:hAnsi="Times New Roman" w:cs="Times New Roman"/>
                <w:bCs/>
                <w:color w:val="auto"/>
                <w:szCs w:val="24"/>
              </w:rPr>
            </w:pPr>
            <w:r>
              <w:rPr>
                <w:rFonts w:hint="eastAsia"/>
                <w:color w:val="auto"/>
                <w:lang w:val="en-US" w:eastAsia="zh-CN"/>
              </w:rPr>
              <w:t>本次评价引用巴音郭楞蒙古自治州2024年连续1年基本污染物的监测数据进行统计分析，作为本项目环境空气现状评价基本污染物</w:t>
            </w:r>
            <w:r>
              <w:rPr>
                <w:rFonts w:hint="default"/>
                <w:color w:val="auto"/>
                <w:lang w:val="en-US" w:eastAsia="zh-CN"/>
              </w:rPr>
              <w:t>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、PM</w:t>
            </w:r>
            <w:r>
              <w:rPr>
                <w:rFonts w:hint="default"/>
                <w:color w:val="auto"/>
                <w:vertAlign w:val="subscript"/>
                <w:lang w:val="en-US" w:eastAsia="zh-CN"/>
              </w:rPr>
              <w:t>10</w:t>
            </w:r>
            <w:r>
              <w:rPr>
                <w:rFonts w:hint="default"/>
                <w:color w:val="auto"/>
                <w:lang w:val="en-US" w:eastAsia="zh-CN"/>
              </w:rPr>
              <w:t>、PM</w:t>
            </w:r>
            <w:r>
              <w:rPr>
                <w:rFonts w:hint="default"/>
                <w:color w:val="auto"/>
                <w:vertAlign w:val="subscript"/>
                <w:lang w:val="en-US" w:eastAsia="zh-CN"/>
              </w:rPr>
              <w:t>2.5</w:t>
            </w:r>
            <w:r>
              <w:rPr>
                <w:rFonts w:hint="default"/>
                <w:color w:val="auto"/>
                <w:lang w:val="en-US" w:eastAsia="zh-CN"/>
              </w:rPr>
              <w:t>、CO</w:t>
            </w:r>
            <w:r>
              <w:rPr>
                <w:rFonts w:hint="eastAsia"/>
                <w:color w:val="auto"/>
                <w:lang w:val="en-US" w:eastAsia="zh-CN"/>
              </w:rPr>
              <w:t>和</w:t>
            </w:r>
            <w:r>
              <w:rPr>
                <w:rFonts w:hint="default"/>
                <w:color w:val="auto"/>
                <w:lang w:val="en-US" w:eastAsia="zh-CN"/>
              </w:rPr>
              <w:t>O</w:t>
            </w:r>
            <w:r>
              <w:rPr>
                <w:rFonts w:hint="default"/>
                <w:color w:val="auto"/>
                <w:vertAlign w:val="subscript"/>
                <w:lang w:val="en-US" w:eastAsia="zh-CN"/>
              </w:rPr>
              <w:t>3</w:t>
            </w:r>
            <w:r>
              <w:rPr>
                <w:rFonts w:hint="eastAsia"/>
                <w:color w:val="auto"/>
                <w:lang w:val="en-US" w:eastAsia="zh-CN"/>
              </w:rPr>
              <w:t>的数据来源。</w:t>
            </w:r>
            <w:r>
              <w:rPr>
                <w:rFonts w:hint="default"/>
                <w:color w:val="auto"/>
              </w:rPr>
              <w:t>项目区环境空气质量监测及评价结果见表</w:t>
            </w:r>
            <w:r>
              <w:rPr>
                <w:rFonts w:hint="default"/>
                <w:color w:val="auto"/>
                <w:lang w:val="en-US" w:eastAsia="zh-CN"/>
              </w:rPr>
              <w:t>3-1</w:t>
            </w:r>
            <w:r>
              <w:rPr>
                <w:rFonts w:hint="default"/>
                <w:color w:val="auto"/>
              </w:rPr>
              <w:t>。</w:t>
            </w:r>
          </w:p>
          <w:p>
            <w:pPr>
              <w:pStyle w:val="26"/>
              <w:bidi w:val="0"/>
              <w:rPr>
                <w:rFonts w:hint="default" w:ascii="Times New Roman" w:hAnsi="Times New Roman" w:eastAsia="宋体" w:cs="Times New Roman"/>
                <w:b/>
                <w:bCs w:val="0"/>
                <w:i w:val="0"/>
                <w:iCs w:val="0"/>
                <w:color w:val="auto"/>
                <w:szCs w:val="21"/>
                <w:lang w:val="en-US" w:eastAsia="zh-CN"/>
              </w:rPr>
            </w:pPr>
            <w:r>
              <w:rPr>
                <w:rFonts w:hint="eastAsia"/>
                <w:color w:val="auto"/>
                <w:lang w:val="en-US" w:eastAsia="zh-CN"/>
              </w:rPr>
              <w:t>表3-1 项目所在区域环境空气质量现状评价表</w:t>
            </w:r>
          </w:p>
          <w:tbl>
            <w:tblPr>
              <w:tblStyle w:val="20"/>
              <w:tblW w:w="7974"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329"/>
              <w:gridCol w:w="1329"/>
              <w:gridCol w:w="1329"/>
              <w:gridCol w:w="1329"/>
              <w:gridCol w:w="1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污染物</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年评价指标</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现状浓度（</w:t>
                  </w:r>
                  <w:r>
                    <w:rPr>
                      <w:rFonts w:hint="default"/>
                      <w:color w:val="auto"/>
                    </w:rPr>
                    <w:t>μg/m</w:t>
                  </w:r>
                  <w:r>
                    <w:rPr>
                      <w:rFonts w:hint="default"/>
                      <w:color w:val="auto"/>
                      <w:vertAlign w:val="superscript"/>
                    </w:rPr>
                    <w:t>3</w:t>
                  </w:r>
                  <w:r>
                    <w:rPr>
                      <w:rFonts w:hint="default"/>
                      <w:color w:val="auto"/>
                      <w:lang w:val="en-US" w:eastAsia="zh-CN"/>
                    </w:rPr>
                    <w:t>）</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标准值（</w:t>
                  </w:r>
                  <w:r>
                    <w:rPr>
                      <w:rFonts w:hint="default"/>
                      <w:color w:val="auto"/>
                    </w:rPr>
                    <w:t>μg/m</w:t>
                  </w:r>
                  <w:r>
                    <w:rPr>
                      <w:rFonts w:hint="default"/>
                      <w:color w:val="auto"/>
                      <w:vertAlign w:val="superscript"/>
                    </w:rPr>
                    <w:t>3</w:t>
                  </w:r>
                  <w:r>
                    <w:rPr>
                      <w:rFonts w:hint="default"/>
                      <w:color w:val="auto"/>
                      <w:lang w:val="en-US" w:eastAsia="zh-CN"/>
                    </w:rPr>
                    <w:t>）</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占标率（%）</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SO</w:t>
                  </w:r>
                  <w:r>
                    <w:rPr>
                      <w:rFonts w:hint="default"/>
                      <w:color w:val="auto"/>
                      <w:vertAlign w:val="subscript"/>
                    </w:rPr>
                    <w:t>2</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年平均</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5</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60</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8.3</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NO</w:t>
                  </w:r>
                  <w:r>
                    <w:rPr>
                      <w:rFonts w:hint="default"/>
                      <w:color w:val="auto"/>
                      <w:vertAlign w:val="subscript"/>
                    </w:rPr>
                    <w:t>2</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年平均</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23</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40</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57.5</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PM</w:t>
                  </w:r>
                  <w:r>
                    <w:rPr>
                      <w:rFonts w:hint="default"/>
                      <w:color w:val="auto"/>
                      <w:vertAlign w:val="subscript"/>
                    </w:rPr>
                    <w:t>10</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年平均</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74</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70</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105.7</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PM</w:t>
                  </w:r>
                  <w:r>
                    <w:rPr>
                      <w:rFonts w:hint="default"/>
                      <w:color w:val="auto"/>
                      <w:vertAlign w:val="subscript"/>
                    </w:rPr>
                    <w:t>2.5</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年平均</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26</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35</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74.3</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CO</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24h平均第95百分位数</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0.9</w:t>
                  </w:r>
                  <w:r>
                    <w:rPr>
                      <w:rFonts w:hint="default"/>
                      <w:color w:val="auto"/>
                      <w:lang w:val="en-US" w:eastAsia="zh-CN"/>
                    </w:rPr>
                    <w:t>m</w:t>
                  </w:r>
                  <w:r>
                    <w:rPr>
                      <w:rFonts w:hint="default"/>
                      <w:color w:val="auto"/>
                    </w:rPr>
                    <w:t>g/m</w:t>
                  </w:r>
                  <w:r>
                    <w:rPr>
                      <w:rFonts w:hint="default"/>
                      <w:color w:val="auto"/>
                      <w:vertAlign w:val="superscript"/>
                    </w:rPr>
                    <w:t>3</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4m</w:t>
                  </w:r>
                  <w:r>
                    <w:rPr>
                      <w:rFonts w:hint="default"/>
                      <w:color w:val="auto"/>
                    </w:rPr>
                    <w:t>g/m</w:t>
                  </w:r>
                  <w:r>
                    <w:rPr>
                      <w:rFonts w:hint="default"/>
                      <w:color w:val="auto"/>
                      <w:vertAlign w:val="superscript"/>
                    </w:rPr>
                    <w:t>3</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22.5</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O</w:t>
                  </w:r>
                  <w:r>
                    <w:rPr>
                      <w:rFonts w:hint="default"/>
                      <w:color w:val="auto"/>
                      <w:vertAlign w:val="subscript"/>
                    </w:rPr>
                    <w:t>3</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rPr>
                    <w:t>日最大8h平均值的第90百分位数</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121</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160</w:t>
                  </w:r>
                </w:p>
              </w:tc>
              <w:tc>
                <w:tcPr>
                  <w:tcW w:w="1329"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75.6</w:t>
                  </w:r>
                </w:p>
              </w:tc>
              <w:tc>
                <w:tcPr>
                  <w:tcW w:w="1329" w:type="dxa"/>
                  <w:tcBorders>
                    <w:tl2br w:val="nil"/>
                    <w:tr2bl w:val="nil"/>
                  </w:tcBorders>
                  <w:noWrap w:val="0"/>
                  <w:vAlign w:val="center"/>
                </w:tcPr>
                <w:p>
                  <w:pPr>
                    <w:pStyle w:val="27"/>
                    <w:bidi w:val="0"/>
                    <w:rPr>
                      <w:rFonts w:hint="default"/>
                      <w:color w:val="auto"/>
                      <w:lang w:val="en-US" w:eastAsia="zh-CN"/>
                    </w:rPr>
                  </w:pPr>
                  <w:r>
                    <w:rPr>
                      <w:rFonts w:hint="default"/>
                      <w:color w:val="auto"/>
                      <w:lang w:val="en-US" w:eastAsia="zh-CN"/>
                    </w:rPr>
                    <w:t>达标</w:t>
                  </w:r>
                </w:p>
              </w:tc>
            </w:tr>
          </w:tbl>
          <w:p>
            <w:pPr>
              <w:pStyle w:val="54"/>
              <w:bidi w:val="0"/>
              <w:rPr>
                <w:rFonts w:hint="default"/>
                <w:color w:val="auto"/>
                <w:lang w:val="en-US" w:eastAsia="zh-CN"/>
              </w:rPr>
            </w:pPr>
            <w:r>
              <w:rPr>
                <w:rFonts w:hint="default"/>
                <w:color w:val="auto"/>
              </w:rPr>
              <w:t>由表</w:t>
            </w:r>
            <w:r>
              <w:rPr>
                <w:rFonts w:hint="eastAsia"/>
                <w:color w:val="auto"/>
                <w:lang w:val="en-US" w:eastAsia="zh-CN"/>
              </w:rPr>
              <w:t>3-1</w:t>
            </w:r>
            <w:r>
              <w:rPr>
                <w:rFonts w:hint="default"/>
                <w:color w:val="auto"/>
              </w:rPr>
              <w:t>可以看出，基本污染物</w:t>
            </w:r>
            <w:r>
              <w:rPr>
                <w:rFonts w:hint="default"/>
                <w:color w:val="auto"/>
                <w:lang w:val="en-US" w:eastAsia="zh-CN"/>
              </w:rPr>
              <w:t>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、CO、O</w:t>
            </w:r>
            <w:r>
              <w:rPr>
                <w:rFonts w:hint="default"/>
                <w:color w:val="auto"/>
                <w:vertAlign w:val="subscript"/>
                <w:lang w:val="en-US" w:eastAsia="zh-CN"/>
              </w:rPr>
              <w:t>3</w:t>
            </w:r>
            <w:r>
              <w:rPr>
                <w:rFonts w:hint="default"/>
                <w:color w:val="auto"/>
                <w:lang w:val="en-US" w:eastAsia="zh-CN"/>
              </w:rPr>
              <w:t>、PM</w:t>
            </w:r>
            <w:r>
              <w:rPr>
                <w:rFonts w:hint="default"/>
                <w:color w:val="auto"/>
                <w:vertAlign w:val="subscript"/>
                <w:lang w:val="en-US" w:eastAsia="zh-CN"/>
              </w:rPr>
              <w:t>2.5</w:t>
            </w:r>
            <w:r>
              <w:rPr>
                <w:rFonts w:hint="default"/>
                <w:color w:val="auto"/>
              </w:rPr>
              <w:t>年评价指标</w:t>
            </w:r>
            <w:r>
              <w:rPr>
                <w:rFonts w:hint="default"/>
                <w:color w:val="auto"/>
                <w:lang w:val="en-US" w:eastAsia="zh-CN"/>
              </w:rPr>
              <w:t>满足《环境空气质量标准》（GB</w:t>
            </w:r>
            <w:r>
              <w:rPr>
                <w:rFonts w:hint="eastAsia"/>
                <w:color w:val="auto"/>
                <w:lang w:val="en-US" w:eastAsia="zh-CN"/>
              </w:rPr>
              <w:t xml:space="preserve"> </w:t>
            </w:r>
            <w:r>
              <w:rPr>
                <w:rFonts w:hint="default"/>
                <w:color w:val="auto"/>
                <w:lang w:val="en-US" w:eastAsia="zh-CN"/>
              </w:rPr>
              <w:t>3095-2012）二级标准限值要求，PM</w:t>
            </w:r>
            <w:r>
              <w:rPr>
                <w:rFonts w:hint="default"/>
                <w:color w:val="auto"/>
                <w:vertAlign w:val="subscript"/>
                <w:lang w:val="en-US" w:eastAsia="zh-CN"/>
              </w:rPr>
              <w:t>10</w:t>
            </w:r>
            <w:r>
              <w:rPr>
                <w:rFonts w:hint="default"/>
                <w:color w:val="auto"/>
              </w:rPr>
              <w:t>年评价指标</w:t>
            </w:r>
            <w:r>
              <w:rPr>
                <w:rFonts w:hint="eastAsia"/>
                <w:color w:val="auto"/>
                <w:lang w:val="en-US" w:eastAsia="zh-CN"/>
              </w:rPr>
              <w:t>不</w:t>
            </w:r>
            <w:r>
              <w:rPr>
                <w:rFonts w:hint="default"/>
                <w:color w:val="auto"/>
                <w:lang w:val="en-US" w:eastAsia="zh-CN"/>
              </w:rPr>
              <w:t>满足《环境空气质量标准》（GB</w:t>
            </w:r>
            <w:r>
              <w:rPr>
                <w:rFonts w:hint="eastAsia"/>
                <w:color w:val="auto"/>
                <w:lang w:val="en-US" w:eastAsia="zh-CN"/>
              </w:rPr>
              <w:t xml:space="preserve"> </w:t>
            </w:r>
            <w:r>
              <w:rPr>
                <w:rFonts w:hint="default"/>
                <w:color w:val="auto"/>
                <w:lang w:val="en-US" w:eastAsia="zh-CN"/>
              </w:rPr>
              <w:t>3095-2012）二级标准限值要求</w:t>
            </w:r>
            <w:r>
              <w:rPr>
                <w:rFonts w:hint="eastAsia"/>
                <w:color w:val="auto"/>
                <w:lang w:val="en-US" w:eastAsia="zh-CN"/>
              </w:rPr>
              <w:t>。</w:t>
            </w:r>
            <w:r>
              <w:rPr>
                <w:rFonts w:hint="default"/>
                <w:color w:val="auto"/>
                <w:lang w:val="en-US" w:eastAsia="zh-CN"/>
              </w:rPr>
              <w:t>因此项目区域环境质量判定为</w:t>
            </w:r>
            <w:r>
              <w:rPr>
                <w:rFonts w:hint="eastAsia"/>
                <w:color w:val="auto"/>
                <w:lang w:val="en-US" w:eastAsia="zh-CN"/>
              </w:rPr>
              <w:t>不</w:t>
            </w:r>
            <w:r>
              <w:rPr>
                <w:rFonts w:hint="default"/>
                <w:color w:val="auto"/>
                <w:lang w:val="en-US" w:eastAsia="zh-CN"/>
              </w:rPr>
              <w:t>达标区。</w:t>
            </w:r>
          </w:p>
          <w:p>
            <w:pPr>
              <w:pStyle w:val="54"/>
              <w:bidi w:val="0"/>
              <w:rPr>
                <w:rFonts w:hint="default"/>
                <w:color w:val="auto"/>
                <w:lang w:val="en-US" w:eastAsia="zh-CN"/>
              </w:rPr>
            </w:pPr>
            <w:r>
              <w:rPr>
                <w:rFonts w:hint="eastAsia"/>
                <w:b w:val="0"/>
                <w:bCs w:val="0"/>
                <w:color w:val="auto"/>
                <w:lang w:val="en-US" w:eastAsia="zh-CN"/>
              </w:rPr>
              <w:t>2、特征污染物环境质量调查与评价</w:t>
            </w:r>
          </w:p>
          <w:p>
            <w:pPr>
              <w:pStyle w:val="54"/>
              <w:bidi w:val="0"/>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sz w:val="24"/>
                <w:lang w:val="en-US" w:eastAsia="zh-CN"/>
              </w:rPr>
              <w:t>监测方案</w:t>
            </w:r>
          </w:p>
          <w:p>
            <w:pPr>
              <w:pStyle w:val="54"/>
              <w:bidi w:val="0"/>
              <w:rPr>
                <w:rFonts w:hint="default"/>
                <w:color w:val="auto"/>
              </w:rPr>
            </w:pPr>
            <w:r>
              <w:rPr>
                <w:rFonts w:hint="default"/>
                <w:color w:val="auto"/>
              </w:rPr>
              <w:t>监测项目：</w:t>
            </w:r>
            <w:r>
              <w:rPr>
                <w:rFonts w:hint="eastAsia"/>
                <w:color w:val="auto"/>
                <w:lang w:val="en-US" w:eastAsia="zh-CN"/>
              </w:rPr>
              <w:t>TSP</w:t>
            </w:r>
            <w:r>
              <w:rPr>
                <w:rFonts w:hint="default"/>
                <w:color w:val="auto"/>
              </w:rPr>
              <w:t>。</w:t>
            </w:r>
          </w:p>
          <w:p>
            <w:pPr>
              <w:pStyle w:val="54"/>
              <w:bidi w:val="0"/>
              <w:rPr>
                <w:rFonts w:hint="eastAsia" w:eastAsia="宋体"/>
                <w:color w:val="auto"/>
                <w:lang w:eastAsia="zh-CN"/>
              </w:rPr>
            </w:pPr>
            <w:r>
              <w:rPr>
                <w:rFonts w:hint="default"/>
                <w:color w:val="auto"/>
              </w:rPr>
              <w:t>监测点位：经度90.851354，纬度40.471608</w:t>
            </w:r>
            <w:r>
              <w:rPr>
                <w:rFonts w:hint="eastAsia"/>
                <w:color w:val="auto"/>
                <w:lang w:eastAsia="zh-CN"/>
              </w:rPr>
              <w:t>。</w:t>
            </w:r>
          </w:p>
          <w:p>
            <w:pPr>
              <w:pStyle w:val="54"/>
              <w:bidi w:val="0"/>
              <w:rPr>
                <w:rFonts w:hint="eastAsia" w:eastAsia="宋体"/>
                <w:color w:val="auto"/>
                <w:lang w:eastAsia="zh-CN"/>
              </w:rPr>
            </w:pPr>
            <w:r>
              <w:rPr>
                <w:rFonts w:hint="default"/>
                <w:color w:val="auto"/>
              </w:rPr>
              <w:t>监测时间：2025</w:t>
            </w:r>
            <w:r>
              <w:rPr>
                <w:rFonts w:hint="eastAsia"/>
                <w:color w:val="auto"/>
                <w:lang w:val="en-US" w:eastAsia="zh-CN"/>
              </w:rPr>
              <w:t>年6月4日~6月7日</w:t>
            </w:r>
            <w:r>
              <w:rPr>
                <w:rFonts w:hint="eastAsia"/>
                <w:color w:val="auto"/>
                <w:lang w:eastAsia="zh-CN"/>
              </w:rPr>
              <w:t>。</w:t>
            </w:r>
          </w:p>
          <w:p>
            <w:pPr>
              <w:pStyle w:val="54"/>
              <w:bidi w:val="0"/>
              <w:rPr>
                <w:rFonts w:hint="default" w:eastAsia="宋体"/>
                <w:color w:val="auto"/>
                <w:lang w:val="en-US" w:eastAsia="zh-CN"/>
              </w:rPr>
            </w:pPr>
            <w:r>
              <w:rPr>
                <w:rFonts w:hint="default"/>
                <w:color w:val="auto"/>
              </w:rPr>
              <w:t>执行标准：《环境空气质量标准》（GB 3095-2012）表2环境空气污染物其他项目浓度限值中二级标准。</w:t>
            </w:r>
          </w:p>
          <w:p>
            <w:pPr>
              <w:widowControl/>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2）评价方法</w:t>
            </w:r>
          </w:p>
          <w:p>
            <w:pPr>
              <w:widowControl/>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根据项目污染源初步调查结果，计算项目排放主要污染物的最大空气浓度占标率</w:t>
            </w:r>
            <w:r>
              <w:rPr>
                <w:color w:val="auto"/>
                <w:sz w:val="24"/>
              </w:rPr>
              <w:t>P</w:t>
            </w:r>
            <w:r>
              <w:rPr>
                <w:color w:val="auto"/>
                <w:sz w:val="24"/>
                <w:vertAlign w:val="subscript"/>
              </w:rPr>
              <w:t>i</w:t>
            </w:r>
            <w:r>
              <w:rPr>
                <w:rFonts w:hint="eastAsia"/>
                <w:color w:val="auto"/>
                <w:sz w:val="24"/>
                <w:vertAlign w:val="baseline"/>
                <w:lang w:eastAsia="zh-CN"/>
              </w:rPr>
              <w:t>（</w:t>
            </w:r>
            <w:r>
              <w:rPr>
                <w:rFonts w:hint="eastAsia"/>
                <w:color w:val="auto"/>
                <w:sz w:val="24"/>
                <w:vertAlign w:val="baseline"/>
                <w:lang w:val="en-US" w:eastAsia="zh-CN"/>
              </w:rPr>
              <w:t>第i个污染物，简称“最大浓度占标率”</w:t>
            </w:r>
            <w:r>
              <w:rPr>
                <w:rFonts w:hint="eastAsia"/>
                <w:color w:val="auto"/>
                <w:sz w:val="24"/>
                <w:vertAlign w:val="baseline"/>
                <w:lang w:eastAsia="zh-CN"/>
              </w:rPr>
              <w:t>），</w:t>
            </w:r>
            <w:r>
              <w:rPr>
                <w:rFonts w:hint="eastAsia"/>
                <w:color w:val="auto"/>
                <w:sz w:val="24"/>
                <w:vertAlign w:val="baseline"/>
                <w:lang w:val="en-US" w:eastAsia="zh-CN"/>
              </w:rPr>
              <w:t>计算公式为：</w:t>
            </w:r>
          </w:p>
          <w:p>
            <w:pPr>
              <w:widowControl/>
              <w:spacing w:line="360" w:lineRule="auto"/>
              <w:jc w:val="center"/>
              <w:rPr>
                <w:color w:val="auto"/>
                <w:sz w:val="24"/>
              </w:rPr>
            </w:pPr>
            <m:oMathPara>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P</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i</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ρ</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i</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num>
                  <m:den>
                    <m:sSub>
                      <m:sSubPr>
                        <m:ctrlPr>
                          <w:rPr>
                            <w:rFonts w:hint="default" w:ascii="Cambria Math" w:hAnsi="Cambria Math"/>
                            <w:i/>
                            <w:color w:val="auto"/>
                            <w:sz w:val="24"/>
                            <w:highlight w:val="none"/>
                            <w:lang w:val="en-US" w:eastAsia="zh-CN"/>
                          </w:rPr>
                        </m:ctrlPr>
                      </m:sSubPr>
                      <m:e>
                        <m:r>
                          <m:rPr/>
                          <w:rPr>
                            <w:rFonts w:ascii="Cambria Math" w:hAnsi="Cambria Math"/>
                            <w:color w:val="auto"/>
                            <w:sz w:val="24"/>
                            <w:highlight w:val="none"/>
                            <w:lang w:val="en-US"/>
                          </w:rPr>
                          <m:t>ρ</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0i</m:t>
                        </m:r>
                        <m:ctrlPr>
                          <w:rPr>
                            <w:rFonts w:hint="default" w:ascii="Cambria Math" w:hAnsi="Cambria Math"/>
                            <w:i/>
                            <w:color w:val="auto"/>
                            <w:sz w:val="24"/>
                            <w:highlight w:val="none"/>
                            <w:lang w:val="en-US" w:eastAsia="zh-CN"/>
                          </w:rPr>
                        </m:ctrlPr>
                      </m:sub>
                    </m:sSub>
                    <m:ctrlPr>
                      <w:rPr>
                        <w:rFonts w:hint="default" w:ascii="Cambria Math" w:hAnsi="Cambria Math"/>
                        <w:i/>
                        <w:color w:val="auto"/>
                        <w:sz w:val="24"/>
                        <w:highlight w:val="none"/>
                        <w:lang w:val="en-US" w:eastAsia="zh-CN"/>
                      </w:rPr>
                    </m:ctrlPr>
                  </m:den>
                </m:f>
                <m:r>
                  <m:rPr/>
                  <w:rPr>
                    <w:rFonts w:hint="default" w:ascii="Cambria Math" w:hAnsi="Cambria Math" w:cs="Cambria Math"/>
                    <w:color w:val="auto"/>
                    <w:sz w:val="24"/>
                    <w:highlight w:val="none"/>
                    <w:lang w:val="en-US" w:eastAsia="zh-CN"/>
                  </w:rPr>
                  <m:t>×100%</m:t>
                </m:r>
              </m:oMath>
            </m:oMathPara>
          </w:p>
          <w:p>
            <w:pPr>
              <w:pStyle w:val="54"/>
              <w:bidi w:val="0"/>
              <w:rPr>
                <w:rFonts w:hint="default"/>
                <w:color w:val="auto"/>
                <w:lang w:val="en-US" w:eastAsia="zh-CN"/>
              </w:rPr>
            </w:pPr>
            <w:r>
              <w:rPr>
                <w:color w:val="auto"/>
              </w:rPr>
              <w:t>式中：P</w:t>
            </w:r>
            <w:r>
              <w:rPr>
                <w:color w:val="auto"/>
                <w:vertAlign w:val="subscript"/>
              </w:rPr>
              <w:t>i</w:t>
            </w:r>
            <w:r>
              <w:rPr>
                <w:color w:val="auto"/>
              </w:rPr>
              <w:t>—</w:t>
            </w:r>
            <w:r>
              <w:rPr>
                <w:rFonts w:hint="eastAsia"/>
                <w:color w:val="auto"/>
                <w:lang w:val="en-US" w:eastAsia="zh-CN"/>
              </w:rPr>
              <w:t>第i个污染物的最大地面空气质量浓度占标率，%；</w:t>
            </w:r>
          </w:p>
          <w:p>
            <w:pPr>
              <w:pStyle w:val="54"/>
              <w:bidi w:val="0"/>
              <w:ind w:firstLine="1200" w:firstLineChars="500"/>
              <w:rPr>
                <w:color w:val="auto"/>
              </w:rPr>
            </w:pPr>
            <w:r>
              <w:rPr>
                <w:rFonts w:hint="default"/>
                <w:color w:val="auto"/>
              </w:rPr>
              <w:t>ρ</w:t>
            </w:r>
            <w:r>
              <w:rPr>
                <w:color w:val="auto"/>
                <w:vertAlign w:val="subscript"/>
              </w:rPr>
              <w:t>i</w:t>
            </w:r>
            <w:r>
              <w:rPr>
                <w:color w:val="auto"/>
              </w:rPr>
              <w:t>—</w:t>
            </w:r>
            <w:r>
              <w:rPr>
                <w:rFonts w:hint="eastAsia"/>
                <w:color w:val="auto"/>
                <w:lang w:val="en-US" w:eastAsia="zh-CN"/>
              </w:rPr>
              <w:t>采用估算模型计算出的第i个污染物的最大1h地面空气质量浓度</w:t>
            </w:r>
            <w:r>
              <w:rPr>
                <w:color w:val="auto"/>
              </w:rPr>
              <w:t>，μg/m</w:t>
            </w:r>
            <w:r>
              <w:rPr>
                <w:color w:val="auto"/>
                <w:vertAlign w:val="superscript"/>
              </w:rPr>
              <w:t>3</w:t>
            </w:r>
            <w:r>
              <w:rPr>
                <w:color w:val="auto"/>
              </w:rPr>
              <w:t>；</w:t>
            </w:r>
          </w:p>
          <w:p>
            <w:pPr>
              <w:pStyle w:val="54"/>
              <w:bidi w:val="0"/>
              <w:ind w:firstLine="1200" w:firstLineChars="500"/>
              <w:rPr>
                <w:rFonts w:hint="default"/>
                <w:color w:val="auto"/>
                <w:lang w:val="en-US" w:eastAsia="zh-CN"/>
              </w:rPr>
            </w:pPr>
            <w:r>
              <w:rPr>
                <w:rFonts w:hint="default"/>
                <w:color w:val="auto"/>
              </w:rPr>
              <w:t>ρ</w:t>
            </w:r>
            <w:r>
              <w:rPr>
                <w:color w:val="auto"/>
                <w:vertAlign w:val="subscript"/>
              </w:rPr>
              <w:t>0i</w:t>
            </w:r>
            <w:r>
              <w:rPr>
                <w:color w:val="auto"/>
              </w:rPr>
              <w:t>—</w:t>
            </w:r>
            <w:r>
              <w:rPr>
                <w:rFonts w:hint="eastAsia"/>
                <w:color w:val="auto"/>
                <w:lang w:val="en-US" w:eastAsia="zh-CN"/>
              </w:rPr>
              <w:t>第i个污染物的环境空气质量浓度标准</w:t>
            </w:r>
            <w:r>
              <w:rPr>
                <w:color w:val="auto"/>
              </w:rPr>
              <w:t>，μg/m</w:t>
            </w:r>
            <w:r>
              <w:rPr>
                <w:color w:val="auto"/>
                <w:vertAlign w:val="superscript"/>
              </w:rPr>
              <w:t>3</w:t>
            </w:r>
            <w:r>
              <w:rPr>
                <w:color w:val="auto"/>
              </w:rPr>
              <w:t>。</w:t>
            </w:r>
          </w:p>
          <w:p>
            <w:pPr>
              <w:pStyle w:val="54"/>
              <w:bidi w:val="0"/>
              <w:rPr>
                <w:rFonts w:hint="default"/>
                <w:color w:val="auto"/>
                <w:lang w:val="en-US" w:eastAsia="zh-CN"/>
              </w:rPr>
            </w:pPr>
            <w:r>
              <w:rPr>
                <w:rFonts w:hint="eastAsia"/>
                <w:color w:val="auto"/>
                <w:lang w:val="en-US" w:eastAsia="zh-CN"/>
              </w:rPr>
              <w:t>（3）监测结果</w:t>
            </w:r>
          </w:p>
          <w:p>
            <w:pPr>
              <w:pStyle w:val="54"/>
              <w:bidi w:val="0"/>
              <w:rPr>
                <w:rFonts w:hint="default"/>
                <w:color w:val="auto"/>
                <w:lang w:val="en-US" w:eastAsia="zh-CN"/>
              </w:rPr>
            </w:pPr>
            <w:r>
              <w:rPr>
                <w:rFonts w:hint="eastAsia"/>
                <w:color w:val="auto"/>
                <w:lang w:val="en-US" w:eastAsia="zh-CN"/>
              </w:rPr>
              <w:t>本项目特征污染物</w:t>
            </w:r>
            <w:r>
              <w:rPr>
                <w:rFonts w:hint="default"/>
                <w:color w:val="auto"/>
                <w:lang w:val="en-US" w:eastAsia="zh-CN"/>
              </w:rPr>
              <w:t>监测结果统计与评价见表</w:t>
            </w:r>
            <w:r>
              <w:rPr>
                <w:rFonts w:hint="eastAsia"/>
                <w:color w:val="auto"/>
                <w:lang w:val="en-US" w:eastAsia="zh-CN"/>
              </w:rPr>
              <w:t>3-2。</w:t>
            </w:r>
          </w:p>
          <w:p>
            <w:pPr>
              <w:pStyle w:val="26"/>
              <w:bidi w:val="0"/>
              <w:rPr>
                <w:rFonts w:hint="default" w:ascii="Times New Roman" w:hAnsi="Times New Roman" w:eastAsia="黑体" w:cs="Times New Roman"/>
                <w:bCs/>
                <w:color w:val="auto"/>
                <w:szCs w:val="24"/>
              </w:rPr>
            </w:pPr>
            <w:r>
              <w:rPr>
                <w:rFonts w:hint="default"/>
                <w:color w:val="auto"/>
              </w:rPr>
              <w:t>表</w:t>
            </w:r>
            <w:r>
              <w:rPr>
                <w:rFonts w:hint="default"/>
                <w:color w:val="auto"/>
                <w:lang w:val="en-US" w:eastAsia="zh-CN"/>
              </w:rPr>
              <w:t>3-</w:t>
            </w:r>
            <w:r>
              <w:rPr>
                <w:rFonts w:hint="eastAsia"/>
                <w:color w:val="auto"/>
                <w:lang w:val="en-US" w:eastAsia="zh-CN"/>
              </w:rPr>
              <w:t xml:space="preserve">2  </w:t>
            </w:r>
            <w:r>
              <w:rPr>
                <w:rFonts w:hint="default"/>
                <w:color w:val="auto"/>
              </w:rPr>
              <w:t>特征污染物环境质量现状评价表</w:t>
            </w:r>
          </w:p>
          <w:tbl>
            <w:tblPr>
              <w:tblStyle w:val="19"/>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411"/>
              <w:gridCol w:w="1430"/>
              <w:gridCol w:w="591"/>
              <w:gridCol w:w="775"/>
              <w:gridCol w:w="1275"/>
              <w:gridCol w:w="663"/>
              <w:gridCol w:w="621"/>
              <w:gridCol w:w="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tcBorders>
                    <w:tl2br w:val="nil"/>
                    <w:tr2bl w:val="nil"/>
                  </w:tcBorders>
                  <w:noWrap w:val="0"/>
                  <w:vAlign w:val="center"/>
                </w:tcPr>
                <w:p>
                  <w:pPr>
                    <w:pStyle w:val="27"/>
                    <w:bidi w:val="0"/>
                    <w:rPr>
                      <w:rFonts w:hint="default"/>
                      <w:color w:val="auto"/>
                    </w:rPr>
                  </w:pPr>
                  <w:r>
                    <w:rPr>
                      <w:rFonts w:hint="default"/>
                      <w:color w:val="auto"/>
                    </w:rPr>
                    <w:t>监测点位</w:t>
                  </w:r>
                </w:p>
              </w:tc>
              <w:tc>
                <w:tcPr>
                  <w:tcW w:w="2987" w:type="dxa"/>
                  <w:gridSpan w:val="2"/>
                  <w:tcBorders>
                    <w:tl2br w:val="nil"/>
                    <w:tr2bl w:val="nil"/>
                  </w:tcBorders>
                  <w:noWrap w:val="0"/>
                  <w:vAlign w:val="center"/>
                </w:tcPr>
                <w:p>
                  <w:pPr>
                    <w:pStyle w:val="27"/>
                    <w:bidi w:val="0"/>
                    <w:rPr>
                      <w:rFonts w:hint="default"/>
                      <w:color w:val="auto"/>
                    </w:rPr>
                  </w:pPr>
                  <w:r>
                    <w:rPr>
                      <w:rFonts w:hint="default"/>
                      <w:color w:val="auto"/>
                    </w:rPr>
                    <w:t>监测点坐标</w:t>
                  </w:r>
                </w:p>
              </w:tc>
              <w:tc>
                <w:tcPr>
                  <w:tcW w:w="594" w:type="dxa"/>
                  <w:tcBorders>
                    <w:tl2br w:val="nil"/>
                    <w:tr2bl w:val="nil"/>
                  </w:tcBorders>
                  <w:noWrap w:val="0"/>
                  <w:vAlign w:val="center"/>
                </w:tcPr>
                <w:p>
                  <w:pPr>
                    <w:pStyle w:val="27"/>
                    <w:bidi w:val="0"/>
                    <w:rPr>
                      <w:rFonts w:hint="default"/>
                      <w:color w:val="auto"/>
                    </w:rPr>
                  </w:pPr>
                  <w:r>
                    <w:rPr>
                      <w:rFonts w:hint="default"/>
                      <w:color w:val="auto"/>
                    </w:rPr>
                    <w:t>污染物</w:t>
                  </w:r>
                </w:p>
              </w:tc>
              <w:tc>
                <w:tcPr>
                  <w:tcW w:w="775" w:type="dxa"/>
                  <w:tcBorders>
                    <w:tl2br w:val="nil"/>
                    <w:tr2bl w:val="nil"/>
                  </w:tcBorders>
                  <w:noWrap w:val="0"/>
                  <w:vAlign w:val="center"/>
                </w:tcPr>
                <w:p>
                  <w:pPr>
                    <w:pStyle w:val="27"/>
                    <w:bidi w:val="0"/>
                    <w:rPr>
                      <w:rFonts w:hint="default" w:ascii="Times New Roman" w:hAnsi="Times New Roman" w:cs="Times New Roman"/>
                      <w:color w:val="auto"/>
                    </w:rPr>
                  </w:pPr>
                  <w:r>
                    <w:rPr>
                      <w:rFonts w:hint="default" w:ascii="Times New Roman" w:hAnsi="Times New Roman" w:cs="Times New Roman"/>
                      <w:color w:val="auto"/>
                    </w:rPr>
                    <w:t>评价标准</w:t>
                  </w:r>
                  <w:r>
                    <w:rPr>
                      <w:rFonts w:hint="eastAsia" w:ascii="Times New Roman" w:hAnsi="Times New Roman" w:cs="Times New Roman"/>
                      <w:color w:val="auto"/>
                      <w:lang w:val="en-US" w:eastAsia="zh-CN"/>
                    </w:rPr>
                    <w:t>m</w:t>
                  </w:r>
                  <w:r>
                    <w:rPr>
                      <w:rFonts w:hint="default" w:ascii="Times New Roman" w:hAnsi="Times New Roman" w:cs="Times New Roman"/>
                      <w:color w:val="auto"/>
                    </w:rPr>
                    <w:t>g/m</w:t>
                  </w:r>
                  <w:r>
                    <w:rPr>
                      <w:rFonts w:hint="default" w:ascii="Times New Roman" w:hAnsi="Times New Roman" w:cs="Times New Roman"/>
                      <w:color w:val="auto"/>
                      <w:vertAlign w:val="superscript"/>
                    </w:rPr>
                    <w:t>3</w:t>
                  </w:r>
                </w:p>
              </w:tc>
              <w:tc>
                <w:tcPr>
                  <w:tcW w:w="1022" w:type="dxa"/>
                  <w:tcBorders>
                    <w:tl2br w:val="nil"/>
                    <w:tr2bl w:val="nil"/>
                  </w:tcBorders>
                  <w:noWrap w:val="0"/>
                  <w:vAlign w:val="center"/>
                </w:tcPr>
                <w:p>
                  <w:pPr>
                    <w:pStyle w:val="27"/>
                    <w:bidi w:val="0"/>
                    <w:rPr>
                      <w:rFonts w:hint="default" w:ascii="Times New Roman" w:hAnsi="Times New Roman" w:cs="Times New Roman"/>
                      <w:color w:val="auto"/>
                    </w:rPr>
                  </w:pPr>
                  <w:r>
                    <w:rPr>
                      <w:rFonts w:hint="default" w:ascii="Times New Roman" w:hAnsi="Times New Roman" w:cs="Times New Roman"/>
                      <w:color w:val="auto"/>
                    </w:rPr>
                    <w:t>监测浓度</w:t>
                  </w:r>
                  <w:r>
                    <w:rPr>
                      <w:rFonts w:hint="default" w:ascii="Times New Roman" w:hAnsi="Times New Roman" w:cs="Times New Roman"/>
                      <w:color w:val="auto"/>
                      <w:lang w:val="en-US" w:eastAsia="zh-CN"/>
                    </w:rPr>
                    <w:t>范围</w:t>
                  </w:r>
                  <w:r>
                    <w:rPr>
                      <w:rFonts w:hint="eastAsia" w:ascii="Times New Roman" w:hAnsi="Times New Roman" w:cs="Times New Roman"/>
                      <w:color w:val="auto"/>
                      <w:lang w:val="en-US" w:eastAsia="zh-CN"/>
                    </w:rPr>
                    <w:t>m</w:t>
                  </w:r>
                  <w:r>
                    <w:rPr>
                      <w:rFonts w:hint="default" w:ascii="Times New Roman" w:hAnsi="Times New Roman" w:cs="Times New Roman"/>
                      <w:color w:val="auto"/>
                    </w:rPr>
                    <w:t>g/m</w:t>
                  </w:r>
                  <w:r>
                    <w:rPr>
                      <w:rFonts w:hint="default" w:ascii="Times New Roman" w:hAnsi="Times New Roman" w:cs="Times New Roman"/>
                      <w:color w:val="auto"/>
                      <w:vertAlign w:val="superscript"/>
                    </w:rPr>
                    <w:t>3</w:t>
                  </w:r>
                </w:p>
              </w:tc>
              <w:tc>
                <w:tcPr>
                  <w:tcW w:w="677" w:type="dxa"/>
                  <w:tcBorders>
                    <w:tl2br w:val="nil"/>
                    <w:tr2bl w:val="nil"/>
                  </w:tcBorders>
                  <w:noWrap w:val="0"/>
                  <w:vAlign w:val="center"/>
                </w:tcPr>
                <w:p>
                  <w:pPr>
                    <w:pStyle w:val="27"/>
                    <w:bidi w:val="0"/>
                    <w:rPr>
                      <w:rFonts w:hint="default"/>
                      <w:color w:val="auto"/>
                    </w:rPr>
                  </w:pPr>
                  <w:r>
                    <w:rPr>
                      <w:rFonts w:hint="default"/>
                      <w:color w:val="auto"/>
                    </w:rPr>
                    <w:t>最大浓度占标率%</w:t>
                  </w:r>
                </w:p>
              </w:tc>
              <w:tc>
                <w:tcPr>
                  <w:tcW w:w="626" w:type="dxa"/>
                  <w:tcBorders>
                    <w:tl2br w:val="nil"/>
                    <w:tr2bl w:val="nil"/>
                  </w:tcBorders>
                  <w:noWrap w:val="0"/>
                  <w:vAlign w:val="center"/>
                </w:tcPr>
                <w:p>
                  <w:pPr>
                    <w:pStyle w:val="27"/>
                    <w:bidi w:val="0"/>
                    <w:rPr>
                      <w:rFonts w:hint="default"/>
                      <w:color w:val="auto"/>
                    </w:rPr>
                  </w:pPr>
                  <w:r>
                    <w:rPr>
                      <w:rFonts w:hint="default"/>
                      <w:color w:val="auto"/>
                    </w:rPr>
                    <w:t>超标率%</w:t>
                  </w:r>
                </w:p>
              </w:tc>
              <w:tc>
                <w:tcPr>
                  <w:tcW w:w="465" w:type="dxa"/>
                  <w:tcBorders>
                    <w:tl2br w:val="nil"/>
                    <w:tr2bl w:val="nil"/>
                  </w:tcBorders>
                  <w:noWrap w:val="0"/>
                  <w:vAlign w:val="center"/>
                </w:tcPr>
                <w:p>
                  <w:pPr>
                    <w:pStyle w:val="27"/>
                    <w:bidi w:val="0"/>
                    <w:rPr>
                      <w:rFonts w:hint="default"/>
                      <w:color w:val="auto"/>
                    </w:rPr>
                  </w:pPr>
                  <w:r>
                    <w:rPr>
                      <w:rFonts w:hint="default"/>
                      <w:color w:val="auto"/>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tcBorders>
                    <w:tl2br w:val="nil"/>
                    <w:tr2bl w:val="nil"/>
                  </w:tcBorders>
                  <w:noWrap w:val="0"/>
                  <w:vAlign w:val="center"/>
                </w:tcPr>
                <w:p>
                  <w:pPr>
                    <w:pStyle w:val="27"/>
                    <w:bidi w:val="0"/>
                    <w:rPr>
                      <w:rFonts w:hint="eastAsia" w:eastAsia="宋体"/>
                      <w:color w:val="auto"/>
                      <w:lang w:eastAsia="zh-CN"/>
                    </w:rPr>
                  </w:pPr>
                  <w:r>
                    <w:rPr>
                      <w:rFonts w:hint="eastAsia" w:eastAsia="宋体"/>
                      <w:color w:val="auto"/>
                      <w:lang w:eastAsia="zh-CN"/>
                    </w:rPr>
                    <w:t>项目区下风向</w:t>
                  </w:r>
                </w:p>
              </w:tc>
              <w:tc>
                <w:tcPr>
                  <w:tcW w:w="1482" w:type="dxa"/>
                  <w:tcBorders>
                    <w:tl2br w:val="nil"/>
                    <w:tr2bl w:val="nil"/>
                  </w:tcBorders>
                  <w:noWrap w:val="0"/>
                  <w:vAlign w:val="center"/>
                </w:tcPr>
                <w:p>
                  <w:pPr>
                    <w:pStyle w:val="27"/>
                    <w:bidi w:val="0"/>
                    <w:rPr>
                      <w:rFonts w:hint="default"/>
                      <w:color w:val="auto"/>
                    </w:rPr>
                  </w:pPr>
                  <w:r>
                    <w:rPr>
                      <w:rFonts w:hint="default"/>
                      <w:color w:val="auto"/>
                    </w:rPr>
                    <w:t>经度90.851354</w:t>
                  </w:r>
                </w:p>
              </w:tc>
              <w:tc>
                <w:tcPr>
                  <w:tcW w:w="1505" w:type="dxa"/>
                  <w:tcBorders>
                    <w:tl2br w:val="nil"/>
                    <w:tr2bl w:val="nil"/>
                  </w:tcBorders>
                  <w:noWrap w:val="0"/>
                  <w:vAlign w:val="center"/>
                </w:tcPr>
                <w:p>
                  <w:pPr>
                    <w:pStyle w:val="27"/>
                    <w:bidi w:val="0"/>
                    <w:rPr>
                      <w:rFonts w:hint="default"/>
                      <w:color w:val="auto"/>
                    </w:rPr>
                  </w:pPr>
                  <w:r>
                    <w:rPr>
                      <w:rFonts w:hint="default"/>
                      <w:color w:val="auto"/>
                    </w:rPr>
                    <w:t>纬度40.471608</w:t>
                  </w:r>
                </w:p>
              </w:tc>
              <w:tc>
                <w:tcPr>
                  <w:tcW w:w="594"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TSP</w:t>
                  </w:r>
                </w:p>
              </w:tc>
              <w:tc>
                <w:tcPr>
                  <w:tcW w:w="775"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0.3</w:t>
                  </w:r>
                </w:p>
              </w:tc>
              <w:tc>
                <w:tcPr>
                  <w:tcW w:w="1022"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0.209~0.231</w:t>
                  </w:r>
                </w:p>
              </w:tc>
              <w:tc>
                <w:tcPr>
                  <w:tcW w:w="677"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77</w:t>
                  </w:r>
                </w:p>
              </w:tc>
              <w:tc>
                <w:tcPr>
                  <w:tcW w:w="626"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0</w:t>
                  </w:r>
                </w:p>
              </w:tc>
              <w:tc>
                <w:tcPr>
                  <w:tcW w:w="465" w:type="dxa"/>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达标</w:t>
                  </w:r>
                </w:p>
              </w:tc>
            </w:tr>
          </w:tbl>
          <w:p>
            <w:pPr>
              <w:pStyle w:val="54"/>
              <w:bidi w:val="0"/>
              <w:rPr>
                <w:rFonts w:hint="default" w:eastAsia="宋体"/>
                <w:color w:val="auto"/>
                <w:lang w:val="en-US" w:eastAsia="zh-CN"/>
              </w:rPr>
            </w:pPr>
            <w:r>
              <w:rPr>
                <w:rFonts w:hint="default" w:ascii="Times New Roman" w:hAnsi="Times New Roman" w:eastAsia="宋体" w:cs="Times New Roman"/>
                <w:bCs/>
                <w:color w:val="auto"/>
                <w:sz w:val="24"/>
                <w:szCs w:val="24"/>
              </w:rPr>
              <w:t>由表</w:t>
            </w:r>
            <w:r>
              <w:rPr>
                <w:rFonts w:hint="default" w:ascii="Times New Roman" w:hAnsi="Times New Roman" w:eastAsia="宋体" w:cs="Times New Roman"/>
                <w:bCs/>
                <w:color w:val="auto"/>
                <w:sz w:val="24"/>
                <w:szCs w:val="24"/>
                <w:lang w:val="en-US" w:eastAsia="zh-CN"/>
              </w:rPr>
              <w:t>3-</w:t>
            </w:r>
            <w:r>
              <w:rPr>
                <w:rFonts w:hint="eastAsia" w:cs="Times New Roman"/>
                <w:bCs/>
                <w:color w:val="auto"/>
                <w:sz w:val="24"/>
                <w:szCs w:val="24"/>
                <w:lang w:val="en-US" w:eastAsia="zh-CN"/>
              </w:rPr>
              <w:t>2</w:t>
            </w:r>
            <w:r>
              <w:rPr>
                <w:rFonts w:hint="default" w:ascii="Times New Roman" w:hAnsi="Times New Roman" w:eastAsia="宋体" w:cs="Times New Roman"/>
                <w:bCs/>
                <w:color w:val="auto"/>
                <w:sz w:val="24"/>
                <w:szCs w:val="24"/>
              </w:rPr>
              <w:t>可知，</w:t>
            </w:r>
            <w:r>
              <w:rPr>
                <w:rFonts w:hint="eastAsia" w:cs="Times New Roman"/>
                <w:bCs/>
                <w:color w:val="auto"/>
                <w:sz w:val="24"/>
                <w:szCs w:val="24"/>
                <w:lang w:val="en-US" w:eastAsia="zh-CN"/>
              </w:rPr>
              <w:t>项目区</w:t>
            </w:r>
            <w:r>
              <w:rPr>
                <w:rFonts w:hint="eastAsia"/>
                <w:color w:val="auto"/>
                <w:lang w:val="en-US" w:eastAsia="zh-CN"/>
              </w:rPr>
              <w:t>特征污染物TSP监测浓度满足</w:t>
            </w:r>
            <w:r>
              <w:rPr>
                <w:rFonts w:hint="default"/>
                <w:color w:val="auto"/>
              </w:rPr>
              <w:t>《环境空气质量标准》（GB 3095-2012）表2环境空气污染物其他项目浓度限值中二级标准。</w:t>
            </w:r>
          </w:p>
          <w:p>
            <w:pPr>
              <w:pStyle w:val="54"/>
              <w:bidi w:val="0"/>
              <w:rPr>
                <w:rFonts w:hint="default"/>
                <w:color w:val="auto"/>
              </w:rPr>
            </w:pPr>
            <w:r>
              <w:rPr>
                <w:rFonts w:hint="eastAsia"/>
                <w:b/>
                <w:bCs/>
                <w:color w:val="auto"/>
                <w:lang w:val="en-US" w:eastAsia="zh-CN"/>
              </w:rPr>
              <w:t>二、</w:t>
            </w:r>
            <w:r>
              <w:rPr>
                <w:rFonts w:hint="default"/>
                <w:b/>
                <w:bCs/>
                <w:color w:val="auto"/>
              </w:rPr>
              <w:t>水环境质量现状调查与评价</w:t>
            </w:r>
          </w:p>
          <w:p>
            <w:pPr>
              <w:pStyle w:val="54"/>
              <w:bidi w:val="0"/>
              <w:rPr>
                <w:rFonts w:hint="default"/>
                <w:color w:val="auto"/>
              </w:rPr>
            </w:pPr>
            <w:r>
              <w:rPr>
                <w:rFonts w:hint="eastAsia"/>
                <w:color w:val="auto"/>
                <w:lang w:val="en-US" w:eastAsia="zh-CN"/>
              </w:rPr>
              <w:t>1、</w:t>
            </w:r>
            <w:r>
              <w:rPr>
                <w:rFonts w:hint="default"/>
                <w:color w:val="auto"/>
              </w:rPr>
              <w:t>地表水环境质量现状调查与评价</w:t>
            </w:r>
          </w:p>
          <w:p>
            <w:pPr>
              <w:pStyle w:val="54"/>
              <w:bidi w:val="0"/>
              <w:rPr>
                <w:rFonts w:hint="default"/>
                <w:color w:val="auto"/>
                <w:lang w:val="en-US" w:eastAsia="zh-CN"/>
              </w:rPr>
            </w:pPr>
            <w:r>
              <w:rPr>
                <w:rFonts w:hint="eastAsia"/>
                <w:color w:val="auto"/>
                <w:lang w:val="en-US" w:eastAsia="zh-CN"/>
              </w:rPr>
              <w:t>本项目运营过程中生活污水不在本项目厂区内产生，依托国投罗钾公司厂区现有污水处理站进行处理，本项目所在区域距离地表水较远且无水力联系。</w:t>
            </w:r>
          </w:p>
          <w:p>
            <w:pPr>
              <w:pStyle w:val="54"/>
              <w:bidi w:val="0"/>
              <w:rPr>
                <w:rFonts w:hint="default"/>
                <w:color w:val="auto"/>
              </w:rPr>
            </w:pPr>
            <w:r>
              <w:rPr>
                <w:rFonts w:hint="eastAsia"/>
                <w:color w:val="auto"/>
                <w:lang w:val="en-US" w:eastAsia="zh-CN"/>
              </w:rPr>
              <w:t>2、</w:t>
            </w:r>
            <w:r>
              <w:rPr>
                <w:rFonts w:hint="default"/>
                <w:color w:val="auto"/>
              </w:rPr>
              <w:t>地下水质量调查与评价</w:t>
            </w:r>
          </w:p>
          <w:p>
            <w:pPr>
              <w:pStyle w:val="54"/>
              <w:bidi w:val="0"/>
              <w:rPr>
                <w:rFonts w:hint="default" w:ascii="Times New Roman" w:hAnsi="Times New Roman" w:eastAsia="宋体" w:cs="Times New Roman"/>
                <w:bCs/>
                <w:color w:val="auto"/>
                <w:szCs w:val="24"/>
              </w:rPr>
            </w:pPr>
            <w:r>
              <w:rPr>
                <w:color w:val="auto"/>
              </w:rPr>
              <w:t>根据《建设项目环境影响报告表编制技术指南（污染影响类）（试行）》</w:t>
            </w:r>
            <w:r>
              <w:rPr>
                <w:rFonts w:hint="eastAsia"/>
                <w:color w:val="auto"/>
                <w:lang w:eastAsia="zh-CN"/>
              </w:rPr>
              <w:t>，原则上不开展环境质量现状调查。建设项目存在土壤、地下水环境污染途径的，应结合污染源、保护目标分布情况开展现状调查以留作背景值。本项目不存在地下水污染途径，因此</w:t>
            </w:r>
            <w:r>
              <w:rPr>
                <w:rFonts w:hint="eastAsia"/>
                <w:color w:val="auto"/>
                <w:lang w:val="en-US" w:eastAsia="zh-CN"/>
              </w:rPr>
              <w:t>不进行地下水环境质量现状评价</w:t>
            </w:r>
            <w:r>
              <w:rPr>
                <w:rFonts w:hint="default"/>
                <w:color w:val="auto"/>
                <w:lang w:val="en-US" w:eastAsia="zh-CN"/>
              </w:rPr>
              <w:t>。</w:t>
            </w:r>
          </w:p>
          <w:p>
            <w:pPr>
              <w:pStyle w:val="54"/>
              <w:bidi w:val="0"/>
              <w:rPr>
                <w:rFonts w:hint="default"/>
                <w:color w:val="auto"/>
              </w:rPr>
            </w:pPr>
            <w:r>
              <w:rPr>
                <w:rFonts w:hint="eastAsia"/>
                <w:b/>
                <w:bCs/>
                <w:color w:val="auto"/>
                <w:lang w:val="en-US" w:eastAsia="zh-CN"/>
              </w:rPr>
              <w:t>三、</w:t>
            </w:r>
            <w:r>
              <w:rPr>
                <w:rFonts w:hint="default"/>
                <w:b/>
                <w:bCs/>
                <w:color w:val="auto"/>
              </w:rPr>
              <w:t>声环境质量现状调查与评价</w:t>
            </w:r>
          </w:p>
          <w:p>
            <w:pPr>
              <w:pStyle w:val="54"/>
              <w:bidi w:val="0"/>
              <w:rPr>
                <w:color w:val="auto"/>
              </w:rPr>
            </w:pPr>
            <w:r>
              <w:rPr>
                <w:color w:val="auto"/>
              </w:rPr>
              <w:t>根据《建设项目环境影响报告表编制技术指南（污染影响类）（试行）》本项目</w:t>
            </w:r>
            <w:r>
              <w:rPr>
                <w:rFonts w:hint="eastAsia"/>
                <w:color w:val="auto"/>
                <w:lang w:val="en-US" w:eastAsia="zh-CN"/>
              </w:rPr>
              <w:t>50m范围内无环境敏感目标，</w:t>
            </w:r>
            <w:r>
              <w:rPr>
                <w:color w:val="auto"/>
              </w:rPr>
              <w:t>不开展</w:t>
            </w:r>
            <w:r>
              <w:rPr>
                <w:rFonts w:hint="eastAsia"/>
                <w:color w:val="auto"/>
                <w:lang w:val="en-US" w:eastAsia="zh-CN"/>
              </w:rPr>
              <w:t>声</w:t>
            </w:r>
            <w:r>
              <w:rPr>
                <w:color w:val="auto"/>
              </w:rPr>
              <w:t>环境质量现状调查。</w:t>
            </w:r>
          </w:p>
          <w:p>
            <w:pPr>
              <w:pStyle w:val="54"/>
              <w:bidi w:val="0"/>
              <w:rPr>
                <w:rFonts w:hint="default"/>
                <w:color w:val="auto"/>
              </w:rPr>
            </w:pPr>
            <w:r>
              <w:rPr>
                <w:rFonts w:hint="eastAsia"/>
                <w:b/>
                <w:bCs/>
                <w:color w:val="auto"/>
                <w:lang w:val="en-US" w:eastAsia="zh-CN"/>
              </w:rPr>
              <w:t>四、</w:t>
            </w:r>
            <w:r>
              <w:rPr>
                <w:rFonts w:hint="default"/>
                <w:b/>
                <w:bCs/>
                <w:color w:val="auto"/>
              </w:rPr>
              <w:t>土壤环境质量现状调查与评价</w:t>
            </w:r>
          </w:p>
          <w:p>
            <w:pPr>
              <w:pStyle w:val="54"/>
              <w:bidi w:val="0"/>
              <w:rPr>
                <w:rFonts w:hint="default"/>
                <w:color w:val="auto"/>
                <w:lang w:val="en-US" w:eastAsia="zh-CN"/>
              </w:rPr>
            </w:pPr>
            <w:r>
              <w:rPr>
                <w:color w:val="auto"/>
              </w:rPr>
              <w:t>根据《建设项目环境影响报告表编制技术指南（污染影响类）（试行）》</w:t>
            </w:r>
            <w:r>
              <w:rPr>
                <w:rFonts w:hint="eastAsia"/>
                <w:color w:val="auto"/>
                <w:lang w:eastAsia="zh-CN"/>
              </w:rPr>
              <w:t>，原则上不开展环境质量现状调查。建设项目存在土壤、地下水环境污染途径的，应结合污染源、保护目标分布情况开展现状调查以留作背景值。本项目不存在</w:t>
            </w:r>
            <w:r>
              <w:rPr>
                <w:rFonts w:hint="eastAsia"/>
                <w:color w:val="auto"/>
                <w:lang w:val="en-US" w:eastAsia="zh-CN"/>
              </w:rPr>
              <w:t>土壤</w:t>
            </w:r>
            <w:r>
              <w:rPr>
                <w:rFonts w:hint="eastAsia"/>
                <w:color w:val="auto"/>
                <w:lang w:eastAsia="zh-CN"/>
              </w:rPr>
              <w:t>污染途径，因此未进行</w:t>
            </w:r>
            <w:r>
              <w:rPr>
                <w:rFonts w:hint="eastAsia"/>
                <w:color w:val="auto"/>
                <w:lang w:val="en-US" w:eastAsia="zh-CN"/>
              </w:rPr>
              <w:t>土壤现状</w:t>
            </w:r>
            <w:r>
              <w:rPr>
                <w:rFonts w:hint="eastAsia"/>
                <w:color w:val="auto"/>
                <w:lang w:eastAsia="zh-CN"/>
              </w:rPr>
              <w:t>监测</w:t>
            </w:r>
            <w:r>
              <w:rPr>
                <w:rFonts w:hint="default"/>
                <w:color w:val="auto"/>
                <w:lang w:val="en-US" w:eastAsia="zh-CN"/>
              </w:rPr>
              <w:t>。</w:t>
            </w:r>
          </w:p>
          <w:p>
            <w:pPr>
              <w:pStyle w:val="54"/>
              <w:bidi w:val="0"/>
              <w:rPr>
                <w:rFonts w:hint="default"/>
                <w:color w:val="auto"/>
                <w:lang w:val="en-US" w:eastAsia="zh-CN"/>
              </w:rPr>
            </w:pPr>
            <w:r>
              <w:rPr>
                <w:rFonts w:hint="default"/>
                <w:b/>
                <w:bCs/>
                <w:color w:val="auto"/>
                <w:lang w:val="en-US" w:eastAsia="zh-CN"/>
              </w:rPr>
              <w:t>五、生态环境现状调查与评价</w:t>
            </w:r>
          </w:p>
          <w:p>
            <w:pPr>
              <w:pStyle w:val="54"/>
              <w:bidi w:val="0"/>
              <w:rPr>
                <w:rFonts w:hint="eastAsia" w:cs="Times New Roman"/>
                <w:color w:val="auto"/>
                <w:szCs w:val="24"/>
                <w:lang w:val="en-US" w:eastAsia="zh-CN"/>
              </w:rPr>
            </w:pPr>
            <w:r>
              <w:rPr>
                <w:rFonts w:hint="default"/>
                <w:color w:val="auto"/>
                <w:lang w:val="en-US" w:eastAsia="zh-CN"/>
              </w:rPr>
              <w:t>根据《新疆生态功能区划》，本规划所在区域位于</w:t>
            </w:r>
            <w:r>
              <w:rPr>
                <w:rFonts w:hint="eastAsia"/>
                <w:color w:val="auto"/>
                <w:lang w:val="en-US" w:eastAsia="zh-CN"/>
              </w:rPr>
              <w:t>Ⅲ天山山地温性草原、森林生态区</w:t>
            </w:r>
            <w:r>
              <w:rPr>
                <w:rFonts w:hint="default"/>
                <w:color w:val="auto"/>
                <w:lang w:val="en-US" w:eastAsia="zh-CN"/>
              </w:rPr>
              <w:t>，</w:t>
            </w:r>
            <w:r>
              <w:rPr>
                <w:rFonts w:hint="eastAsia"/>
                <w:color w:val="auto"/>
                <w:lang w:val="en-US" w:eastAsia="zh-CN"/>
              </w:rPr>
              <w:t>Ⅲ</w:t>
            </w:r>
            <w:r>
              <w:rPr>
                <w:rFonts w:hint="eastAsia"/>
                <w:color w:val="auto"/>
                <w:vertAlign w:val="subscript"/>
                <w:lang w:val="en-US" w:eastAsia="zh-CN"/>
              </w:rPr>
              <w:t>4</w:t>
            </w:r>
            <w:r>
              <w:rPr>
                <w:rFonts w:hint="eastAsia"/>
                <w:color w:val="auto"/>
                <w:lang w:val="en-US" w:eastAsia="zh-CN"/>
              </w:rPr>
              <w:t>天山南坡吐鲁番—哈密盆地戈壁荒漠、绿洲农业生态亚区</w:t>
            </w:r>
            <w:r>
              <w:rPr>
                <w:rFonts w:hint="default"/>
                <w:color w:val="auto"/>
                <w:lang w:val="en-US" w:eastAsia="zh-CN"/>
              </w:rPr>
              <w:t>，</w:t>
            </w:r>
            <w:r>
              <w:rPr>
                <w:rFonts w:hint="eastAsia"/>
                <w:color w:val="auto"/>
                <w:lang w:val="en-US" w:eastAsia="zh-CN"/>
              </w:rPr>
              <w:t>嘎顺—南湖戈壁荒漠风蚀敏感生态功能区</w:t>
            </w:r>
            <w:r>
              <w:rPr>
                <w:rFonts w:hint="default"/>
                <w:color w:val="auto"/>
                <w:lang w:val="en-US" w:eastAsia="zh-CN"/>
              </w:rPr>
              <w:t>。</w:t>
            </w:r>
            <w:r>
              <w:rPr>
                <w:rFonts w:hint="eastAsia"/>
                <w:color w:val="auto"/>
                <w:lang w:val="en-US" w:eastAsia="zh-CN"/>
              </w:rPr>
              <w:t>具体见下表3-3。</w:t>
            </w:r>
          </w:p>
          <w:p>
            <w:pPr>
              <w:pStyle w:val="26"/>
              <w:bidi w:val="0"/>
              <w:rPr>
                <w:rFonts w:hint="eastAsia" w:cs="Times New Roman"/>
                <w:b/>
                <w:bCs/>
                <w:color w:val="auto"/>
                <w:szCs w:val="21"/>
                <w:lang w:val="en-US" w:eastAsia="zh-CN"/>
              </w:rPr>
            </w:pPr>
            <w:r>
              <w:rPr>
                <w:rFonts w:hint="eastAsia"/>
                <w:color w:val="auto"/>
                <w:lang w:val="en-US" w:eastAsia="zh-CN"/>
              </w:rPr>
              <w:t>表3-3  项目所在区域生态功能区划</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734"/>
              <w:gridCol w:w="5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3"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生态功能分区单元</w:t>
                  </w:r>
                </w:p>
              </w:tc>
              <w:tc>
                <w:tcPr>
                  <w:tcW w:w="108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生态区</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天山山地温性草原、森林生态区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3" w:type="pct"/>
                  <w:vMerge w:val="continue"/>
                  <w:tcBorders>
                    <w:tl2br w:val="nil"/>
                    <w:tr2bl w:val="nil"/>
                  </w:tcBorders>
                  <w:vAlign w:val="center"/>
                </w:tcPr>
                <w:p>
                  <w:pPr>
                    <w:pStyle w:val="27"/>
                    <w:bidi w:val="0"/>
                    <w:rPr>
                      <w:rFonts w:hint="default"/>
                      <w:color w:val="auto"/>
                      <w:lang w:val="en-US" w:eastAsia="zh-CN"/>
                    </w:rPr>
                  </w:pPr>
                </w:p>
              </w:tc>
              <w:tc>
                <w:tcPr>
                  <w:tcW w:w="108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生态亚区</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天山南坡吐鲁番—哈密盆地戈壁荒漠、绿洲农业生态亚区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3" w:type="pct"/>
                  <w:vMerge w:val="continue"/>
                  <w:tcBorders>
                    <w:tl2br w:val="nil"/>
                    <w:tr2bl w:val="nil"/>
                  </w:tcBorders>
                  <w:vAlign w:val="center"/>
                </w:tcPr>
                <w:p>
                  <w:pPr>
                    <w:pStyle w:val="27"/>
                    <w:bidi w:val="0"/>
                    <w:rPr>
                      <w:rFonts w:hint="default"/>
                      <w:color w:val="auto"/>
                      <w:lang w:val="en-US" w:eastAsia="zh-CN"/>
                    </w:rPr>
                  </w:pPr>
                </w:p>
              </w:tc>
              <w:tc>
                <w:tcPr>
                  <w:tcW w:w="108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生态功能区</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嘎顺—南湖戈壁荒漠风蚀敏感生态功能区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主要生态服务功能</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荒漠化控制、生物多样性维护、矿产资源开发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主要生态环境问题</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风沙危害铁路公路、地表形态破坏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主要生态敏感因子、敏感程度</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生物多样性及其生境高度敏感，土壤侵蚀极度敏感，土地沙漠化轻度敏感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4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主要保护目标</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保护砾幕、保护野生动植物、保护铁路公路、保护戈壁泉眼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主要保护措施</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减少公路管道工程破坏地表植被、保护矿区生态、铁路公路沿线防风固沙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4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适宜发展方向</w:t>
                  </w:r>
                </w:p>
              </w:tc>
              <w:tc>
                <w:tcPr>
                  <w:tcW w:w="315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保护荒漠自然景观，维护生态平衡</w:t>
                  </w:r>
                </w:p>
              </w:tc>
            </w:tr>
          </w:tbl>
          <w:p>
            <w:pPr>
              <w:pStyle w:val="54"/>
              <w:bidi w:val="0"/>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保护</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目标</w:t>
            </w:r>
          </w:p>
        </w:tc>
        <w:tc>
          <w:tcPr>
            <w:tcW w:w="8190" w:type="dxa"/>
            <w:noWrap w:val="0"/>
            <w:vAlign w:val="center"/>
          </w:tcPr>
          <w:p>
            <w:pPr>
              <w:pStyle w:val="54"/>
              <w:bidi w:val="0"/>
              <w:rPr>
                <w:rFonts w:hint="default"/>
                <w:color w:val="auto"/>
              </w:rPr>
            </w:pPr>
            <w:r>
              <w:rPr>
                <w:rFonts w:hint="eastAsia"/>
                <w:b/>
                <w:bCs/>
                <w:color w:val="auto"/>
                <w:lang w:val="en-US" w:eastAsia="zh-CN"/>
              </w:rPr>
              <w:t>一、</w:t>
            </w:r>
            <w:r>
              <w:rPr>
                <w:rFonts w:hint="default"/>
                <w:b/>
                <w:bCs/>
                <w:color w:val="auto"/>
              </w:rPr>
              <w:t>大气环境</w:t>
            </w:r>
          </w:p>
          <w:p>
            <w:pPr>
              <w:pStyle w:val="54"/>
              <w:bidi w:val="0"/>
              <w:rPr>
                <w:rFonts w:hint="default"/>
                <w:color w:val="auto"/>
              </w:rPr>
            </w:pPr>
            <w:r>
              <w:rPr>
                <w:rFonts w:hint="default"/>
                <w:color w:val="auto"/>
              </w:rPr>
              <w:t>本项目厂界外500m范围内无自然保护区、风景名胜区、居住区、文化区和农村地区中人群较集中的区域，无环境敏感目标。</w:t>
            </w:r>
          </w:p>
          <w:p>
            <w:pPr>
              <w:pStyle w:val="54"/>
              <w:bidi w:val="0"/>
              <w:rPr>
                <w:rFonts w:hint="default"/>
                <w:color w:val="auto"/>
              </w:rPr>
            </w:pPr>
            <w:r>
              <w:rPr>
                <w:rFonts w:hint="eastAsia"/>
                <w:b/>
                <w:bCs/>
                <w:color w:val="auto"/>
                <w:lang w:val="en-US" w:eastAsia="zh-CN"/>
              </w:rPr>
              <w:t>二、</w:t>
            </w:r>
            <w:r>
              <w:rPr>
                <w:rFonts w:hint="default"/>
                <w:b/>
                <w:bCs/>
                <w:color w:val="auto"/>
              </w:rPr>
              <w:t>声环境</w:t>
            </w:r>
          </w:p>
          <w:p>
            <w:pPr>
              <w:pStyle w:val="54"/>
              <w:bidi w:val="0"/>
              <w:rPr>
                <w:rFonts w:hint="default"/>
                <w:color w:val="auto"/>
              </w:rPr>
            </w:pPr>
            <w:r>
              <w:rPr>
                <w:rFonts w:hint="default"/>
                <w:color w:val="auto"/>
              </w:rPr>
              <w:t>本项目厂界外50m范围内无医院、学校、居民区等声环境保护目标。</w:t>
            </w:r>
          </w:p>
          <w:p>
            <w:pPr>
              <w:pStyle w:val="54"/>
              <w:bidi w:val="0"/>
              <w:rPr>
                <w:rFonts w:hint="eastAsia"/>
                <w:b/>
                <w:bCs/>
                <w:color w:val="auto"/>
                <w:lang w:val="en-US" w:eastAsia="zh-CN"/>
              </w:rPr>
            </w:pPr>
          </w:p>
          <w:p>
            <w:pPr>
              <w:pStyle w:val="54"/>
              <w:bidi w:val="0"/>
              <w:rPr>
                <w:rFonts w:hint="default"/>
                <w:color w:val="auto"/>
              </w:rPr>
            </w:pPr>
            <w:r>
              <w:rPr>
                <w:rFonts w:hint="eastAsia"/>
                <w:b/>
                <w:bCs/>
                <w:color w:val="auto"/>
                <w:lang w:val="en-US" w:eastAsia="zh-CN"/>
              </w:rPr>
              <w:t>三、</w:t>
            </w:r>
            <w:r>
              <w:rPr>
                <w:rFonts w:hint="default"/>
                <w:b/>
                <w:bCs/>
                <w:color w:val="auto"/>
              </w:rPr>
              <w:t>水环境</w:t>
            </w:r>
          </w:p>
          <w:p>
            <w:pPr>
              <w:pStyle w:val="54"/>
              <w:bidi w:val="0"/>
              <w:rPr>
                <w:rFonts w:hint="default"/>
                <w:color w:val="auto"/>
              </w:rPr>
            </w:pPr>
            <w:r>
              <w:rPr>
                <w:rFonts w:hint="default"/>
                <w:color w:val="auto"/>
              </w:rPr>
              <w:t>本项目厂界外500m范围内无地下水集中式饮用水水源和热水、矿泉水、温泉等特殊地下水资源。无水环境保护目标。</w:t>
            </w:r>
          </w:p>
          <w:p>
            <w:pPr>
              <w:pStyle w:val="54"/>
              <w:bidi w:val="0"/>
              <w:rPr>
                <w:rFonts w:hint="default"/>
                <w:color w:val="auto"/>
              </w:rPr>
            </w:pPr>
            <w:r>
              <w:rPr>
                <w:rFonts w:hint="eastAsia"/>
                <w:b/>
                <w:bCs/>
                <w:color w:val="auto"/>
                <w:lang w:val="en-US" w:eastAsia="zh-CN"/>
              </w:rPr>
              <w:t>四、</w:t>
            </w:r>
            <w:r>
              <w:rPr>
                <w:rFonts w:hint="default"/>
                <w:b/>
                <w:bCs/>
                <w:color w:val="auto"/>
              </w:rPr>
              <w:t>生态环境</w:t>
            </w:r>
          </w:p>
          <w:p>
            <w:pPr>
              <w:pStyle w:val="54"/>
              <w:bidi w:val="0"/>
              <w:rPr>
                <w:rFonts w:hint="default" w:ascii="Times New Roman" w:hAnsi="Times New Roman" w:cs="Times New Roman"/>
                <w:color w:val="auto"/>
                <w:szCs w:val="24"/>
              </w:rPr>
            </w:pPr>
            <w:r>
              <w:rPr>
                <w:rFonts w:hint="default"/>
                <w:color w:val="auto"/>
              </w:rPr>
              <w:t>本项目</w:t>
            </w:r>
            <w:r>
              <w:rPr>
                <w:rFonts w:hint="eastAsia"/>
                <w:color w:val="auto"/>
                <w:lang w:eastAsia="zh-CN"/>
              </w:rPr>
              <w:t>位于新疆巴音郭楞蒙古自治州若羌县罗布泊盐湖罗中生产基地，</w:t>
            </w:r>
            <w:r>
              <w:rPr>
                <w:rFonts w:hint="eastAsia"/>
                <w:color w:val="auto"/>
                <w:lang w:val="en-US" w:eastAsia="zh-CN"/>
              </w:rPr>
              <w:t>为工业用地</w:t>
            </w:r>
            <w:r>
              <w:rPr>
                <w:rFonts w:hint="default"/>
                <w:color w:val="auto"/>
                <w:lang w:val="en-US" w:eastAsia="zh-CN"/>
              </w:rPr>
              <w:t>，</w:t>
            </w:r>
            <w:r>
              <w:rPr>
                <w:rFonts w:hint="eastAsia"/>
                <w:color w:val="auto"/>
                <w:lang w:val="en-US" w:eastAsia="zh-CN"/>
              </w:rPr>
              <w:t>用地</w:t>
            </w:r>
            <w:r>
              <w:rPr>
                <w:rFonts w:hint="default"/>
                <w:color w:val="auto"/>
              </w:rPr>
              <w:t>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污染</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物排</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放控</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制标</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准</w:t>
            </w:r>
          </w:p>
        </w:tc>
        <w:tc>
          <w:tcPr>
            <w:tcW w:w="8190" w:type="dxa"/>
            <w:noWrap w:val="0"/>
            <w:vAlign w:val="center"/>
          </w:tcPr>
          <w:p>
            <w:pPr>
              <w:pStyle w:val="54"/>
              <w:bidi w:val="0"/>
              <w:rPr>
                <w:rFonts w:hint="default"/>
                <w:color w:val="auto"/>
                <w:lang w:val="en-US" w:eastAsia="zh-CN"/>
              </w:rPr>
            </w:pPr>
            <w:r>
              <w:rPr>
                <w:rFonts w:hint="eastAsia"/>
                <w:b/>
                <w:bCs/>
                <w:color w:val="auto"/>
                <w:lang w:val="en-US" w:eastAsia="zh-CN"/>
              </w:rPr>
              <w:t>一、</w:t>
            </w:r>
            <w:r>
              <w:rPr>
                <w:rFonts w:hint="default"/>
                <w:b/>
                <w:bCs/>
                <w:color w:val="auto"/>
                <w:lang w:val="en-US" w:eastAsia="zh-CN"/>
              </w:rPr>
              <w:t>废气污染物排放标准</w:t>
            </w:r>
          </w:p>
          <w:p>
            <w:pPr>
              <w:pStyle w:val="54"/>
              <w:bidi w:val="0"/>
              <w:rPr>
                <w:rFonts w:hint="eastAsia" w:cs="Times New Roman"/>
                <w:bCs/>
                <w:color w:val="auto"/>
                <w:szCs w:val="24"/>
                <w:lang w:val="en-US" w:eastAsia="zh-CN"/>
              </w:rPr>
            </w:pPr>
            <w:r>
              <w:rPr>
                <w:rFonts w:hint="eastAsia"/>
                <w:color w:val="auto"/>
                <w:lang w:val="en-US" w:eastAsia="zh-CN"/>
              </w:rPr>
              <w:t>运营期颗粒物执行《大气污染物综合排放标准》（GB 16297-1996）表2新污染源大气污染物排放限值；厂界执行《大气污染物综合排放标准》（GB 16297-1996）表2新污染源大气污染物排放限值。</w:t>
            </w:r>
          </w:p>
          <w:p>
            <w:pPr>
              <w:pStyle w:val="26"/>
              <w:bidi w:val="0"/>
              <w:rPr>
                <w:rFonts w:hint="default" w:ascii="Times New Roman" w:hAnsi="Times New Roman" w:eastAsia="宋体" w:cs="Times New Roman"/>
                <w:b w:val="0"/>
                <w:bCs/>
                <w:snapToGrid w:val="0"/>
                <w:color w:val="auto"/>
                <w:kern w:val="0"/>
                <w:szCs w:val="24"/>
                <w:lang w:val="en-US"/>
              </w:rPr>
            </w:pPr>
            <w:r>
              <w:rPr>
                <w:rFonts w:hint="default"/>
                <w:color w:val="auto"/>
              </w:rPr>
              <w:t>表</w:t>
            </w:r>
            <w:r>
              <w:rPr>
                <w:rFonts w:hint="default"/>
                <w:color w:val="auto"/>
                <w:lang w:val="en-US" w:eastAsia="zh-CN"/>
              </w:rPr>
              <w:t>3-</w:t>
            </w:r>
            <w:r>
              <w:rPr>
                <w:rFonts w:hint="eastAsia"/>
                <w:color w:val="auto"/>
                <w:lang w:val="en-US" w:eastAsia="zh-CN"/>
              </w:rPr>
              <w:t>4  废气排放限值一览表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499"/>
              <w:gridCol w:w="1915"/>
              <w:gridCol w:w="34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类型</w:t>
                  </w:r>
                </w:p>
              </w:tc>
              <w:tc>
                <w:tcPr>
                  <w:tcW w:w="94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污染物名称</w:t>
                  </w:r>
                </w:p>
              </w:tc>
              <w:tc>
                <w:tcPr>
                  <w:tcW w:w="1201"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排放限值（mg/m</w:t>
                  </w:r>
                  <w:r>
                    <w:rPr>
                      <w:rFonts w:hint="eastAsia"/>
                      <w:color w:val="auto"/>
                      <w:vertAlign w:val="superscript"/>
                      <w:lang w:val="en-US" w:eastAsia="zh-CN"/>
                    </w:rPr>
                    <w:t>3</w:t>
                  </w:r>
                  <w:r>
                    <w:rPr>
                      <w:rFonts w:hint="eastAsia"/>
                      <w:color w:val="auto"/>
                      <w:lang w:val="en-US" w:eastAsia="zh-CN"/>
                    </w:rPr>
                    <w:t>）</w:t>
                  </w:r>
                </w:p>
              </w:tc>
              <w:tc>
                <w:tcPr>
                  <w:tcW w:w="2192"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有组织</w:t>
                  </w:r>
                </w:p>
              </w:tc>
              <w:tc>
                <w:tcPr>
                  <w:tcW w:w="94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颗粒物</w:t>
                  </w:r>
                </w:p>
              </w:tc>
              <w:tc>
                <w:tcPr>
                  <w:tcW w:w="120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120</w:t>
                  </w:r>
                </w:p>
              </w:tc>
              <w:tc>
                <w:tcPr>
                  <w:tcW w:w="2192" w:type="pct"/>
                  <w:vMerge w:val="restar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《大气污染物综合排放标准》（GB 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无组织（厂界）</w:t>
                  </w:r>
                </w:p>
              </w:tc>
              <w:tc>
                <w:tcPr>
                  <w:tcW w:w="940" w:type="pct"/>
                  <w:tcBorders>
                    <w:tl2br w:val="nil"/>
                    <w:tr2bl w:val="nil"/>
                  </w:tcBorders>
                  <w:noWrap w:val="0"/>
                  <w:vAlign w:val="center"/>
                </w:tcPr>
                <w:p>
                  <w:pPr>
                    <w:pStyle w:val="27"/>
                    <w:bidi w:val="0"/>
                    <w:rPr>
                      <w:rFonts w:hint="eastAsia"/>
                      <w:color w:val="auto"/>
                      <w:lang w:val="en-US" w:eastAsia="zh-CN"/>
                    </w:rPr>
                  </w:pPr>
                  <w:r>
                    <w:rPr>
                      <w:rFonts w:hint="eastAsia"/>
                      <w:color w:val="auto"/>
                      <w:lang w:val="en-US" w:eastAsia="zh-CN"/>
                    </w:rPr>
                    <w:t>颗粒物</w:t>
                  </w:r>
                </w:p>
              </w:tc>
              <w:tc>
                <w:tcPr>
                  <w:tcW w:w="1201"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1.0</w:t>
                  </w:r>
                </w:p>
              </w:tc>
              <w:tc>
                <w:tcPr>
                  <w:tcW w:w="2192" w:type="pct"/>
                  <w:vMerge w:val="continue"/>
                  <w:tcBorders>
                    <w:tl2br w:val="nil"/>
                    <w:tr2bl w:val="nil"/>
                  </w:tcBorders>
                  <w:noWrap w:val="0"/>
                  <w:vAlign w:val="center"/>
                </w:tcPr>
                <w:p>
                  <w:pPr>
                    <w:pStyle w:val="27"/>
                    <w:bidi w:val="0"/>
                    <w:rPr>
                      <w:rFonts w:hint="eastAsia"/>
                      <w:color w:val="auto"/>
                      <w:lang w:val="en-US" w:eastAsia="zh-CN"/>
                    </w:rPr>
                  </w:pPr>
                </w:p>
              </w:tc>
            </w:tr>
          </w:tbl>
          <w:p>
            <w:pPr>
              <w:pStyle w:val="54"/>
              <w:bidi w:val="0"/>
              <w:rPr>
                <w:rFonts w:hint="eastAsia"/>
                <w:color w:val="auto"/>
                <w:lang w:val="en-US" w:eastAsia="zh-CN"/>
              </w:rPr>
            </w:pPr>
            <w:r>
              <w:rPr>
                <w:rFonts w:hint="eastAsia"/>
                <w:b/>
                <w:bCs/>
                <w:color w:val="auto"/>
                <w:lang w:val="en-US" w:eastAsia="zh-CN"/>
              </w:rPr>
              <w:t>二、废水污染物排放标准</w:t>
            </w:r>
          </w:p>
          <w:p>
            <w:pPr>
              <w:pStyle w:val="54"/>
              <w:bidi w:val="0"/>
              <w:rPr>
                <w:rFonts w:hint="eastAsia"/>
                <w:color w:val="auto"/>
                <w:lang w:val="en-US" w:eastAsia="zh-CN"/>
              </w:rPr>
            </w:pPr>
            <w:r>
              <w:rPr>
                <w:rFonts w:hint="eastAsia"/>
                <w:color w:val="auto"/>
                <w:lang w:val="en-US" w:eastAsia="zh-CN"/>
              </w:rPr>
              <w:t>本项目运营过程中生活污水不在本项目厂区内产生，依托国投罗钾公司厂区现有污水处理站进行处理，根据《国投新疆罗布泊钾盐有限责任公司罗中生活污水提标改造工程》处理工艺为“预处理+A</w:t>
            </w:r>
            <w:r>
              <w:rPr>
                <w:rFonts w:hint="eastAsia"/>
                <w:color w:val="auto"/>
                <w:vertAlign w:val="superscript"/>
                <w:lang w:val="en-US" w:eastAsia="zh-CN"/>
              </w:rPr>
              <w:t>2</w:t>
            </w:r>
            <w:r>
              <w:rPr>
                <w:rFonts w:hint="eastAsia"/>
                <w:color w:val="auto"/>
                <w:lang w:val="en-US" w:eastAsia="zh-CN"/>
              </w:rPr>
              <w:t>/O生化处理+混凝过滤+消毒”，出水水质达到《城镇污水处理厂污染物排放标准》（GB 18918-2002）一级A标准后回用于生产系统，不外排。</w:t>
            </w:r>
          </w:p>
          <w:p>
            <w:pPr>
              <w:pStyle w:val="26"/>
              <w:bidi w:val="0"/>
              <w:rPr>
                <w:rFonts w:hint="default"/>
                <w:color w:val="auto"/>
                <w:lang w:val="en-US" w:eastAsia="zh-CN"/>
              </w:rPr>
            </w:pPr>
            <w:r>
              <w:rPr>
                <w:rFonts w:hint="default"/>
                <w:color w:val="auto"/>
                <w:lang w:eastAsia="zh-CN"/>
              </w:rPr>
              <w:t>表</w:t>
            </w:r>
            <w:r>
              <w:rPr>
                <w:rFonts w:hint="default"/>
                <w:color w:val="auto"/>
                <w:lang w:val="en-US" w:eastAsia="zh-CN"/>
              </w:rPr>
              <w:t>3-</w:t>
            </w:r>
            <w:r>
              <w:rPr>
                <w:rFonts w:hint="eastAsia"/>
                <w:color w:val="auto"/>
                <w:lang w:val="en-US" w:eastAsia="zh-CN"/>
              </w:rPr>
              <w:t>5  废水</w:t>
            </w:r>
            <w:r>
              <w:rPr>
                <w:rFonts w:hint="default"/>
                <w:color w:val="auto"/>
                <w:lang w:val="en-US" w:eastAsia="zh-CN"/>
              </w:rPr>
              <w:t>排放标准</w:t>
            </w:r>
            <w:r>
              <w:rPr>
                <w:rFonts w:hint="eastAsia"/>
                <w:color w:val="auto"/>
                <w:lang w:val="en-US" w:eastAsia="zh-CN"/>
              </w:rPr>
              <w:t xml:space="preserve">  单位：mg/L（除pH外）</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08"/>
              <w:gridCol w:w="1285"/>
              <w:gridCol w:w="2179"/>
              <w:gridCol w:w="1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污染物</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浓度限值</w:t>
                  </w:r>
                </w:p>
              </w:tc>
              <w:tc>
                <w:tcPr>
                  <w:tcW w:w="136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污染物排放监控位置</w:t>
                  </w:r>
                </w:p>
              </w:tc>
              <w:tc>
                <w:tcPr>
                  <w:tcW w:w="125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pH</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6~9</w:t>
                  </w:r>
                </w:p>
              </w:tc>
              <w:tc>
                <w:tcPr>
                  <w:tcW w:w="1367"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国投罗钾污水处理站</w:t>
                  </w:r>
                </w:p>
              </w:tc>
              <w:tc>
                <w:tcPr>
                  <w:tcW w:w="1252" w:type="pct"/>
                  <w:vMerge w:val="restart"/>
                  <w:tcBorders>
                    <w:tl2br w:val="nil"/>
                    <w:tr2bl w:val="nil"/>
                  </w:tcBorders>
                  <w:vAlign w:val="center"/>
                </w:tcPr>
                <w:p>
                  <w:pPr>
                    <w:pStyle w:val="27"/>
                    <w:bidi w:val="0"/>
                    <w:rPr>
                      <w:rFonts w:hint="default"/>
                      <w:color w:val="auto"/>
                      <w:lang w:val="en-US" w:eastAsia="zh-CN"/>
                    </w:rPr>
                  </w:pPr>
                  <w:r>
                    <w:rPr>
                      <w:rFonts w:hint="default"/>
                      <w:color w:val="auto"/>
                      <w:lang w:val="en-US" w:eastAsia="zh-CN"/>
                    </w:rPr>
                    <w:t>《城镇污水处理厂污染物排放标准》（GB 18918-2002）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化学需氧量</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50</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生化需氧量</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悬浮物（SS）</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动植物油</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石油类</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阴离子表面活性剂</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0.5</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总氮</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15</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氨氮</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5（8）</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总磷</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0.5</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色度（稀释倍数）</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30</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73"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粪大肠菌群数（个/L）</w:t>
                  </w:r>
                </w:p>
              </w:tc>
              <w:tc>
                <w:tcPr>
                  <w:tcW w:w="80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1000</w:t>
                  </w:r>
                </w:p>
              </w:tc>
              <w:tc>
                <w:tcPr>
                  <w:tcW w:w="1367" w:type="pct"/>
                  <w:vMerge w:val="continue"/>
                  <w:tcBorders>
                    <w:tl2br w:val="nil"/>
                    <w:tr2bl w:val="nil"/>
                  </w:tcBorders>
                  <w:vAlign w:val="center"/>
                </w:tcPr>
                <w:p>
                  <w:pPr>
                    <w:pStyle w:val="27"/>
                    <w:bidi w:val="0"/>
                    <w:rPr>
                      <w:rFonts w:hint="default"/>
                      <w:color w:val="auto"/>
                      <w:lang w:val="en-US" w:eastAsia="zh-CN"/>
                    </w:rPr>
                  </w:pPr>
                </w:p>
              </w:tc>
              <w:tc>
                <w:tcPr>
                  <w:tcW w:w="1252"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pPr>
                    <w:pStyle w:val="27"/>
                    <w:bidi w:val="0"/>
                    <w:rPr>
                      <w:rFonts w:hint="default"/>
                      <w:color w:val="auto"/>
                      <w:lang w:val="en-US" w:eastAsia="zh-CN"/>
                    </w:rPr>
                  </w:pPr>
                  <w:r>
                    <w:rPr>
                      <w:rFonts w:hint="eastAsia"/>
                      <w:color w:val="auto"/>
                      <w:lang w:val="en-US" w:eastAsia="zh-CN"/>
                    </w:rPr>
                    <w:t>注：括号外数值为水温</w:t>
                  </w:r>
                  <w:r>
                    <w:rPr>
                      <w:rFonts w:hint="default" w:ascii="Times New Roman" w:hAnsi="Times New Roman" w:cs="Times New Roman"/>
                      <w:color w:val="auto"/>
                      <w:lang w:val="en-US" w:eastAsia="zh-CN"/>
                    </w:rPr>
                    <w:t>&gt;12℃</w:t>
                  </w:r>
                  <w:r>
                    <w:rPr>
                      <w:rFonts w:hint="eastAsia"/>
                      <w:color w:val="auto"/>
                      <w:lang w:val="en-US" w:eastAsia="zh-CN"/>
                    </w:rPr>
                    <w:t>时的控制指标，括号内数值为水温</w:t>
                  </w:r>
                  <w:r>
                    <w:rPr>
                      <w:rFonts w:hint="default" w:ascii="Times New Roman" w:hAnsi="Times New Roman" w:cs="Times New Roman"/>
                      <w:color w:val="auto"/>
                      <w:lang w:val="en-US" w:eastAsia="zh-CN"/>
                    </w:rPr>
                    <w:t>≤</w:t>
                  </w:r>
                  <w:r>
                    <w:rPr>
                      <w:rFonts w:hint="eastAsia"/>
                      <w:color w:val="auto"/>
                      <w:lang w:val="en-US" w:eastAsia="zh-CN"/>
                    </w:rPr>
                    <w:t>12</w:t>
                  </w:r>
                  <w:r>
                    <w:rPr>
                      <w:rFonts w:hint="default" w:ascii="Times New Roman" w:hAnsi="Times New Roman" w:cs="Times New Roman"/>
                      <w:color w:val="auto"/>
                      <w:lang w:val="en-US" w:eastAsia="zh-CN"/>
                    </w:rPr>
                    <w:t>℃</w:t>
                  </w:r>
                  <w:r>
                    <w:rPr>
                      <w:rFonts w:hint="eastAsia"/>
                      <w:color w:val="auto"/>
                      <w:lang w:val="en-US" w:eastAsia="zh-CN"/>
                    </w:rPr>
                    <w:t>时的控制指标。</w:t>
                  </w:r>
                </w:p>
              </w:tc>
            </w:tr>
          </w:tbl>
          <w:p>
            <w:pPr>
              <w:numPr>
                <w:ilvl w:val="0"/>
                <w:numId w:val="0"/>
              </w:numPr>
              <w:wordWrap w:val="0"/>
              <w:adjustRightInd w:val="0"/>
              <w:snapToGrid w:val="0"/>
              <w:spacing w:line="360" w:lineRule="auto"/>
              <w:ind w:firstLine="482" w:firstLineChars="200"/>
              <w:jc w:val="both"/>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三、</w:t>
            </w:r>
            <w:r>
              <w:rPr>
                <w:rFonts w:hint="default" w:ascii="Times New Roman" w:hAnsi="Times New Roman" w:eastAsia="宋体" w:cs="Times New Roman"/>
                <w:b/>
                <w:bCs/>
                <w:color w:val="auto"/>
                <w:sz w:val="24"/>
                <w:szCs w:val="24"/>
                <w:lang w:val="en-US" w:eastAsia="zh-CN"/>
              </w:rPr>
              <w:t>噪声</w:t>
            </w:r>
            <w:r>
              <w:rPr>
                <w:rFonts w:hint="default" w:ascii="Times New Roman" w:hAnsi="Times New Roman" w:eastAsia="宋体" w:cs="Times New Roman"/>
                <w:b/>
                <w:bCs/>
                <w:color w:val="auto"/>
                <w:kern w:val="0"/>
                <w:sz w:val="24"/>
                <w:szCs w:val="24"/>
                <w:lang w:val="en-US" w:eastAsia="zh-CN"/>
              </w:rPr>
              <w:t>排放标准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施工期</w:t>
            </w:r>
            <w:r>
              <w:rPr>
                <w:rFonts w:hint="default" w:ascii="Times New Roman" w:hAnsi="Times New Roman" w:eastAsia="宋体" w:cs="Times New Roman"/>
                <w:color w:val="auto"/>
                <w:sz w:val="24"/>
                <w:szCs w:val="24"/>
                <w:lang w:val="en-US" w:eastAsia="zh-CN"/>
              </w:rPr>
              <w:t>噪声排放执行</w:t>
            </w:r>
            <w:r>
              <w:rPr>
                <w:rFonts w:hint="eastAsia" w:cs="Times New Roman"/>
                <w:color w:val="auto"/>
                <w:sz w:val="24"/>
                <w:szCs w:val="24"/>
                <w:lang w:val="en-US" w:eastAsia="zh-CN"/>
              </w:rPr>
              <w:t>《建设施工场界环境噪声排放标准》（GB 12353-2011）表1中排放限值，运营期噪声排放执行</w:t>
            </w:r>
            <w:r>
              <w:rPr>
                <w:rFonts w:hint="default" w:ascii="Times New Roman" w:hAnsi="Times New Roman" w:eastAsia="宋体" w:cs="Times New Roman"/>
                <w:color w:val="auto"/>
                <w:sz w:val="24"/>
                <w:szCs w:val="24"/>
                <w:lang w:val="en-US" w:eastAsia="zh-CN"/>
              </w:rPr>
              <w:t>《工业企业厂界环境噪声排放标准》（GB</w:t>
            </w: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12348-2008）</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类功能区标准。具体见表3-</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p>
          <w:p>
            <w:pPr>
              <w:pStyle w:val="26"/>
              <w:bidi w:val="0"/>
              <w:rPr>
                <w:rFonts w:hint="default" w:ascii="Times New Roman" w:hAnsi="Times New Roman" w:eastAsia="宋体" w:cs="Times New Roman"/>
                <w:b w:val="0"/>
                <w:bCs w:val="0"/>
                <w:color w:val="auto"/>
                <w:szCs w:val="24"/>
                <w:lang w:val="en-US" w:eastAsia="zh-CN"/>
              </w:rPr>
            </w:pPr>
            <w:r>
              <w:rPr>
                <w:rFonts w:hint="default"/>
                <w:color w:val="auto"/>
                <w:lang w:eastAsia="zh-CN"/>
              </w:rPr>
              <w:t>表</w:t>
            </w:r>
            <w:r>
              <w:rPr>
                <w:rFonts w:hint="default"/>
                <w:color w:val="auto"/>
                <w:lang w:val="en-US" w:eastAsia="zh-CN"/>
              </w:rPr>
              <w:t>3-</w:t>
            </w:r>
            <w:r>
              <w:rPr>
                <w:rFonts w:hint="eastAsia"/>
                <w:color w:val="auto"/>
                <w:lang w:val="en-US" w:eastAsia="zh-CN"/>
              </w:rPr>
              <w:t xml:space="preserve">6  </w:t>
            </w:r>
            <w:r>
              <w:rPr>
                <w:rFonts w:hint="default"/>
                <w:color w:val="auto"/>
                <w:lang w:val="en-US" w:eastAsia="zh-CN"/>
              </w:rPr>
              <w:t>噪声排放标准</w:t>
            </w:r>
          </w:p>
          <w:tbl>
            <w:tblPr>
              <w:tblStyle w:val="20"/>
              <w:tblW w:w="4998"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850"/>
              <w:gridCol w:w="955"/>
              <w:gridCol w:w="1344"/>
              <w:gridCol w:w="2764"/>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8" w:type="pct"/>
                  <w:tcBorders>
                    <w:tl2br w:val="nil"/>
                    <w:tr2bl w:val="nil"/>
                  </w:tcBorders>
                  <w:noWrap w:val="0"/>
                  <w:vAlign w:val="center"/>
                </w:tcPr>
                <w:p>
                  <w:pPr>
                    <w:pStyle w:val="27"/>
                    <w:bidi w:val="0"/>
                    <w:rPr>
                      <w:rFonts w:hint="default"/>
                      <w:color w:val="auto"/>
                      <w:lang w:eastAsia="zh-CN"/>
                    </w:rPr>
                  </w:pPr>
                  <w:r>
                    <w:rPr>
                      <w:rFonts w:hint="default"/>
                      <w:color w:val="auto"/>
                      <w:lang w:eastAsia="zh-CN"/>
                    </w:rPr>
                    <w:t>污染源（类型）</w:t>
                  </w:r>
                </w:p>
              </w:tc>
              <w:tc>
                <w:tcPr>
                  <w:tcW w:w="533" w:type="pct"/>
                  <w:tcBorders>
                    <w:tl2br w:val="nil"/>
                    <w:tr2bl w:val="nil"/>
                  </w:tcBorders>
                  <w:noWrap w:val="0"/>
                  <w:vAlign w:val="center"/>
                </w:tcPr>
                <w:p>
                  <w:pPr>
                    <w:pStyle w:val="27"/>
                    <w:bidi w:val="0"/>
                    <w:rPr>
                      <w:rFonts w:hint="default"/>
                      <w:color w:val="auto"/>
                      <w:lang w:eastAsia="zh-CN"/>
                    </w:rPr>
                  </w:pPr>
                  <w:r>
                    <w:rPr>
                      <w:rFonts w:hint="default"/>
                      <w:color w:val="auto"/>
                      <w:lang w:eastAsia="zh-CN"/>
                    </w:rPr>
                    <w:t>污染物</w:t>
                  </w:r>
                </w:p>
              </w:tc>
              <w:tc>
                <w:tcPr>
                  <w:tcW w:w="1442" w:type="pct"/>
                  <w:gridSpan w:val="2"/>
                  <w:tcBorders>
                    <w:tl2br w:val="nil"/>
                    <w:tr2bl w:val="nil"/>
                  </w:tcBorders>
                  <w:noWrap w:val="0"/>
                  <w:vAlign w:val="center"/>
                </w:tcPr>
                <w:p>
                  <w:pPr>
                    <w:pStyle w:val="27"/>
                    <w:bidi w:val="0"/>
                    <w:rPr>
                      <w:rFonts w:hint="default"/>
                      <w:color w:val="auto"/>
                      <w:lang w:eastAsia="zh-CN"/>
                    </w:rPr>
                  </w:pPr>
                  <w:r>
                    <w:rPr>
                      <w:rFonts w:hint="default"/>
                      <w:color w:val="auto"/>
                      <w:lang w:eastAsia="zh-CN"/>
                    </w:rPr>
                    <w:t>污染物排放限值</w:t>
                  </w:r>
                </w:p>
              </w:tc>
              <w:tc>
                <w:tcPr>
                  <w:tcW w:w="1733" w:type="pct"/>
                  <w:tcBorders>
                    <w:tl2br w:val="nil"/>
                    <w:tr2bl w:val="nil"/>
                  </w:tcBorders>
                  <w:noWrap w:val="0"/>
                  <w:vAlign w:val="center"/>
                </w:tcPr>
                <w:p>
                  <w:pPr>
                    <w:pStyle w:val="27"/>
                    <w:bidi w:val="0"/>
                    <w:rPr>
                      <w:rFonts w:hint="default"/>
                      <w:color w:val="auto"/>
                      <w:lang w:eastAsia="zh-CN"/>
                    </w:rPr>
                  </w:pPr>
                  <w:r>
                    <w:rPr>
                      <w:rFonts w:hint="default"/>
                      <w:color w:val="auto"/>
                      <w:lang w:eastAsia="zh-CN"/>
                    </w:rPr>
                    <w:t>标准来源</w:t>
                  </w:r>
                </w:p>
              </w:tc>
              <w:tc>
                <w:tcPr>
                  <w:tcW w:w="622" w:type="pct"/>
                  <w:tcBorders>
                    <w:tl2br w:val="nil"/>
                    <w:tr2bl w:val="nil"/>
                  </w:tcBorders>
                  <w:noWrap w:val="0"/>
                  <w:vAlign w:val="center"/>
                </w:tcPr>
                <w:p>
                  <w:pPr>
                    <w:pStyle w:val="27"/>
                    <w:bidi w:val="0"/>
                    <w:rPr>
                      <w:rFonts w:hint="default"/>
                      <w:color w:val="auto"/>
                      <w:lang w:eastAsia="zh-CN"/>
                    </w:rPr>
                  </w:pPr>
                  <w:r>
                    <w:rPr>
                      <w:rFonts w:hint="default"/>
                      <w:color w:val="auto"/>
                      <w:lang w:eastAsia="zh-CN"/>
                    </w:rPr>
                    <w:t>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施工期噪声</w:t>
                  </w:r>
                </w:p>
              </w:tc>
              <w:tc>
                <w:tcPr>
                  <w:tcW w:w="533"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噪声</w:t>
                  </w:r>
                </w:p>
              </w:tc>
              <w:tc>
                <w:tcPr>
                  <w:tcW w:w="59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昼间</w:t>
                  </w:r>
                </w:p>
              </w:tc>
              <w:tc>
                <w:tcPr>
                  <w:tcW w:w="843"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70</w:t>
                  </w:r>
                  <w:r>
                    <w:rPr>
                      <w:rFonts w:hint="default"/>
                      <w:color w:val="auto"/>
                      <w:lang w:val="en-US" w:eastAsia="zh-CN"/>
                    </w:rPr>
                    <w:t>dB（A）</w:t>
                  </w:r>
                </w:p>
              </w:tc>
              <w:tc>
                <w:tcPr>
                  <w:tcW w:w="1733"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eastAsia="zh-CN"/>
                    </w:rPr>
                    <w:t>《</w:t>
                  </w:r>
                  <w:r>
                    <w:rPr>
                      <w:rFonts w:hint="eastAsia"/>
                      <w:color w:val="auto"/>
                      <w:lang w:val="en-US" w:eastAsia="zh-CN"/>
                    </w:rPr>
                    <w:t>建设施工场界环境噪声排放标准</w:t>
                  </w:r>
                  <w:r>
                    <w:rPr>
                      <w:rFonts w:hint="eastAsia"/>
                      <w:color w:val="auto"/>
                      <w:lang w:eastAsia="zh-CN"/>
                    </w:rPr>
                    <w:t>》（</w:t>
                  </w:r>
                  <w:r>
                    <w:rPr>
                      <w:rFonts w:hint="eastAsia"/>
                      <w:color w:val="auto"/>
                      <w:lang w:val="en-US" w:eastAsia="zh-CN"/>
                    </w:rPr>
                    <w:t>GB12353-2001</w:t>
                  </w:r>
                  <w:r>
                    <w:rPr>
                      <w:rFonts w:hint="eastAsia"/>
                      <w:color w:val="auto"/>
                      <w:lang w:eastAsia="zh-CN"/>
                    </w:rPr>
                    <w:t>）</w:t>
                  </w:r>
                  <w:r>
                    <w:rPr>
                      <w:rFonts w:hint="eastAsia"/>
                      <w:color w:val="auto"/>
                      <w:lang w:val="en-US" w:eastAsia="zh-CN"/>
                    </w:rPr>
                    <w:t>表1中排放限值</w:t>
                  </w:r>
                </w:p>
              </w:tc>
              <w:tc>
                <w:tcPr>
                  <w:tcW w:w="622"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厂界外1m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pct"/>
                  <w:vMerge w:val="continue"/>
                  <w:tcBorders>
                    <w:tl2br w:val="nil"/>
                    <w:tr2bl w:val="nil"/>
                  </w:tcBorders>
                  <w:noWrap w:val="0"/>
                  <w:vAlign w:val="center"/>
                </w:tcPr>
                <w:p>
                  <w:pPr>
                    <w:pStyle w:val="27"/>
                    <w:bidi w:val="0"/>
                    <w:rPr>
                      <w:rFonts w:hint="default"/>
                      <w:color w:val="auto"/>
                      <w:lang w:eastAsia="zh-CN"/>
                    </w:rPr>
                  </w:pPr>
                </w:p>
              </w:tc>
              <w:tc>
                <w:tcPr>
                  <w:tcW w:w="533" w:type="pct"/>
                  <w:vMerge w:val="continue"/>
                  <w:tcBorders>
                    <w:tl2br w:val="nil"/>
                    <w:tr2bl w:val="nil"/>
                  </w:tcBorders>
                  <w:noWrap w:val="0"/>
                  <w:vAlign w:val="center"/>
                </w:tcPr>
                <w:p>
                  <w:pPr>
                    <w:pStyle w:val="27"/>
                    <w:bidi w:val="0"/>
                    <w:rPr>
                      <w:rFonts w:hint="default"/>
                      <w:color w:val="auto"/>
                      <w:lang w:eastAsia="zh-CN"/>
                    </w:rPr>
                  </w:pPr>
                </w:p>
              </w:tc>
              <w:tc>
                <w:tcPr>
                  <w:tcW w:w="59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夜间</w:t>
                  </w:r>
                </w:p>
              </w:tc>
              <w:tc>
                <w:tcPr>
                  <w:tcW w:w="843"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55</w:t>
                  </w:r>
                  <w:r>
                    <w:rPr>
                      <w:rFonts w:hint="default"/>
                      <w:color w:val="auto"/>
                      <w:lang w:val="en-US" w:eastAsia="zh-CN"/>
                    </w:rPr>
                    <w:t>dB（A）</w:t>
                  </w:r>
                </w:p>
              </w:tc>
              <w:tc>
                <w:tcPr>
                  <w:tcW w:w="1733" w:type="pct"/>
                  <w:vMerge w:val="continue"/>
                  <w:tcBorders>
                    <w:tl2br w:val="nil"/>
                    <w:tr2bl w:val="nil"/>
                  </w:tcBorders>
                  <w:noWrap w:val="0"/>
                  <w:vAlign w:val="center"/>
                </w:tcPr>
                <w:p>
                  <w:pPr>
                    <w:pStyle w:val="27"/>
                    <w:bidi w:val="0"/>
                    <w:rPr>
                      <w:rFonts w:hint="default"/>
                      <w:color w:val="auto"/>
                      <w:lang w:eastAsia="zh-CN"/>
                    </w:rPr>
                  </w:pPr>
                </w:p>
              </w:tc>
              <w:tc>
                <w:tcPr>
                  <w:tcW w:w="622" w:type="pct"/>
                  <w:vMerge w:val="continue"/>
                  <w:tcBorders>
                    <w:tl2br w:val="nil"/>
                    <w:tr2bl w:val="nil"/>
                  </w:tcBorders>
                  <w:noWrap w:val="0"/>
                  <w:vAlign w:val="center"/>
                </w:tcPr>
                <w:p>
                  <w:pPr>
                    <w:pStyle w:val="27"/>
                    <w:bidi w:val="0"/>
                    <w:rPr>
                      <w:rFonts w:hint="default"/>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运营期噪声</w:t>
                  </w:r>
                </w:p>
              </w:tc>
              <w:tc>
                <w:tcPr>
                  <w:tcW w:w="533" w:type="pct"/>
                  <w:vMerge w:val="restar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噪声</w:t>
                  </w:r>
                </w:p>
              </w:tc>
              <w:tc>
                <w:tcPr>
                  <w:tcW w:w="59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昼间</w:t>
                  </w:r>
                </w:p>
              </w:tc>
              <w:tc>
                <w:tcPr>
                  <w:tcW w:w="843"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65</w:t>
                  </w:r>
                  <w:r>
                    <w:rPr>
                      <w:rFonts w:hint="default"/>
                      <w:color w:val="auto"/>
                      <w:lang w:val="en-US" w:eastAsia="zh-CN"/>
                    </w:rPr>
                    <w:t>dB（A）</w:t>
                  </w:r>
                </w:p>
              </w:tc>
              <w:tc>
                <w:tcPr>
                  <w:tcW w:w="1733" w:type="pct"/>
                  <w:vMerge w:val="restart"/>
                  <w:tcBorders>
                    <w:tl2br w:val="nil"/>
                    <w:tr2bl w:val="nil"/>
                  </w:tcBorders>
                  <w:noWrap w:val="0"/>
                  <w:vAlign w:val="center"/>
                </w:tcPr>
                <w:p>
                  <w:pPr>
                    <w:pStyle w:val="27"/>
                    <w:bidi w:val="0"/>
                    <w:rPr>
                      <w:rFonts w:hint="default"/>
                      <w:color w:val="auto"/>
                      <w:lang w:eastAsia="zh-CN"/>
                    </w:rPr>
                  </w:pPr>
                  <w:r>
                    <w:rPr>
                      <w:rFonts w:hint="default"/>
                      <w:color w:val="auto"/>
                      <w:lang w:eastAsia="zh-CN"/>
                    </w:rPr>
                    <w:t>《工业企业厂界环境噪声排放标准》（</w:t>
                  </w:r>
                  <w:r>
                    <w:rPr>
                      <w:rFonts w:hint="default"/>
                      <w:color w:val="auto"/>
                      <w:lang w:val="en-US" w:eastAsia="zh-CN"/>
                    </w:rPr>
                    <w:t>GB12348-2008</w:t>
                  </w:r>
                  <w:r>
                    <w:rPr>
                      <w:rFonts w:hint="default"/>
                      <w:color w:val="auto"/>
                      <w:lang w:eastAsia="zh-CN"/>
                    </w:rPr>
                    <w:t>）</w:t>
                  </w:r>
                  <w:r>
                    <w:rPr>
                      <w:rFonts w:hint="eastAsia"/>
                      <w:color w:val="auto"/>
                      <w:lang w:val="en-US" w:eastAsia="zh-CN"/>
                    </w:rPr>
                    <w:t>3</w:t>
                  </w:r>
                  <w:r>
                    <w:rPr>
                      <w:rFonts w:hint="default"/>
                      <w:color w:val="auto"/>
                      <w:lang w:val="en-US" w:eastAsia="zh-CN"/>
                    </w:rPr>
                    <w:t>类功能区</w:t>
                  </w:r>
                </w:p>
              </w:tc>
              <w:tc>
                <w:tcPr>
                  <w:tcW w:w="622" w:type="pct"/>
                  <w:vMerge w:val="continue"/>
                  <w:tcBorders>
                    <w:tl2br w:val="nil"/>
                    <w:tr2bl w:val="nil"/>
                  </w:tcBorders>
                  <w:noWrap w:val="0"/>
                  <w:vAlign w:val="center"/>
                </w:tcPr>
                <w:p>
                  <w:pPr>
                    <w:pStyle w:val="27"/>
                    <w:bidi w:val="0"/>
                    <w:rPr>
                      <w:rFonts w:hint="default"/>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pct"/>
                  <w:vMerge w:val="continue"/>
                  <w:tcBorders>
                    <w:tl2br w:val="nil"/>
                    <w:tr2bl w:val="nil"/>
                  </w:tcBorders>
                  <w:noWrap w:val="0"/>
                  <w:vAlign w:val="center"/>
                </w:tcPr>
                <w:p>
                  <w:pPr>
                    <w:pStyle w:val="27"/>
                    <w:bidi w:val="0"/>
                    <w:rPr>
                      <w:rFonts w:hint="default"/>
                      <w:color w:val="auto"/>
                      <w:lang w:eastAsia="zh-CN"/>
                    </w:rPr>
                  </w:pPr>
                </w:p>
              </w:tc>
              <w:tc>
                <w:tcPr>
                  <w:tcW w:w="533" w:type="pct"/>
                  <w:vMerge w:val="continue"/>
                  <w:tcBorders>
                    <w:tl2br w:val="nil"/>
                    <w:tr2bl w:val="nil"/>
                  </w:tcBorders>
                  <w:noWrap w:val="0"/>
                  <w:vAlign w:val="center"/>
                </w:tcPr>
                <w:p>
                  <w:pPr>
                    <w:pStyle w:val="27"/>
                    <w:bidi w:val="0"/>
                    <w:rPr>
                      <w:rFonts w:hint="default"/>
                      <w:color w:val="auto"/>
                      <w:lang w:eastAsia="zh-CN"/>
                    </w:rPr>
                  </w:pPr>
                </w:p>
              </w:tc>
              <w:tc>
                <w:tcPr>
                  <w:tcW w:w="599"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夜间</w:t>
                  </w:r>
                </w:p>
              </w:tc>
              <w:tc>
                <w:tcPr>
                  <w:tcW w:w="843" w:type="pct"/>
                  <w:tcBorders>
                    <w:tl2br w:val="nil"/>
                    <w:tr2bl w:val="nil"/>
                  </w:tcBorders>
                  <w:noWrap w:val="0"/>
                  <w:vAlign w:val="center"/>
                </w:tcPr>
                <w:p>
                  <w:pPr>
                    <w:pStyle w:val="27"/>
                    <w:bidi w:val="0"/>
                    <w:rPr>
                      <w:rFonts w:hint="default"/>
                      <w:color w:val="auto"/>
                      <w:lang w:val="en-US" w:eastAsia="zh-CN"/>
                    </w:rPr>
                  </w:pPr>
                  <w:r>
                    <w:rPr>
                      <w:rFonts w:hint="eastAsia"/>
                      <w:color w:val="auto"/>
                      <w:lang w:val="en-US" w:eastAsia="zh-CN"/>
                    </w:rPr>
                    <w:t>55</w:t>
                  </w:r>
                  <w:r>
                    <w:rPr>
                      <w:rFonts w:hint="default"/>
                      <w:color w:val="auto"/>
                      <w:lang w:val="en-US" w:eastAsia="zh-CN"/>
                    </w:rPr>
                    <w:t>dB（A）</w:t>
                  </w:r>
                </w:p>
              </w:tc>
              <w:tc>
                <w:tcPr>
                  <w:tcW w:w="1733" w:type="pct"/>
                  <w:vMerge w:val="continue"/>
                  <w:tcBorders>
                    <w:tl2br w:val="nil"/>
                    <w:tr2bl w:val="nil"/>
                  </w:tcBorders>
                  <w:noWrap w:val="0"/>
                  <w:vAlign w:val="center"/>
                </w:tcPr>
                <w:p>
                  <w:pPr>
                    <w:pStyle w:val="27"/>
                    <w:bidi w:val="0"/>
                    <w:rPr>
                      <w:rFonts w:hint="default"/>
                      <w:color w:val="auto"/>
                      <w:lang w:eastAsia="zh-CN"/>
                    </w:rPr>
                  </w:pPr>
                </w:p>
              </w:tc>
              <w:tc>
                <w:tcPr>
                  <w:tcW w:w="622" w:type="pct"/>
                  <w:vMerge w:val="continue"/>
                  <w:tcBorders>
                    <w:tl2br w:val="nil"/>
                    <w:tr2bl w:val="nil"/>
                  </w:tcBorders>
                  <w:noWrap w:val="0"/>
                  <w:vAlign w:val="center"/>
                </w:tcPr>
                <w:p>
                  <w:pPr>
                    <w:pStyle w:val="27"/>
                    <w:bidi w:val="0"/>
                    <w:rPr>
                      <w:rFonts w:hint="default"/>
                      <w:color w:val="auto"/>
                      <w:lang w:eastAsia="zh-CN"/>
                    </w:rPr>
                  </w:pPr>
                </w:p>
              </w:tc>
            </w:tr>
          </w:tbl>
          <w:p>
            <w:pPr>
              <w:adjustRightInd w:val="0"/>
              <w:snapToGrid w:val="0"/>
              <w:spacing w:line="360" w:lineRule="auto"/>
              <w:ind w:firstLine="482" w:firstLineChars="200"/>
              <w:rPr>
                <w:rFonts w:hint="default" w:ascii="Times New Roman" w:hAnsi="Times New Roman" w:eastAsia="宋体" w:cs="Times New Roman"/>
                <w:b/>
                <w:bCs w:val="0"/>
                <w:color w:val="auto"/>
                <w:sz w:val="24"/>
                <w:szCs w:val="24"/>
                <w:lang w:val="en-US" w:eastAsia="zh-CN"/>
              </w:rPr>
            </w:pPr>
            <w:r>
              <w:rPr>
                <w:rFonts w:hint="eastAsia" w:cs="Times New Roman"/>
                <w:b/>
                <w:bCs w:val="0"/>
                <w:color w:val="auto"/>
                <w:sz w:val="24"/>
                <w:szCs w:val="24"/>
                <w:lang w:val="en-US" w:eastAsia="zh-CN"/>
              </w:rPr>
              <w:t>四、</w:t>
            </w:r>
            <w:r>
              <w:rPr>
                <w:rFonts w:hint="default" w:ascii="Times New Roman" w:hAnsi="Times New Roman" w:eastAsia="宋体" w:cs="Times New Roman"/>
                <w:b/>
                <w:bCs w:val="0"/>
                <w:color w:val="auto"/>
                <w:sz w:val="24"/>
                <w:szCs w:val="24"/>
                <w:lang w:val="en-US" w:eastAsia="zh-CN"/>
              </w:rPr>
              <w:t>固废</w:t>
            </w:r>
          </w:p>
          <w:p>
            <w:pPr>
              <w:adjustRightInd w:val="0"/>
              <w:snapToGrid w:val="0"/>
              <w:spacing w:line="360" w:lineRule="auto"/>
              <w:ind w:firstLine="480" w:firstLineChars="200"/>
              <w:rPr>
                <w:rFonts w:hint="eastAsia" w:cs="Times New Roman"/>
                <w:bCs/>
                <w:color w:val="auto"/>
                <w:sz w:val="24"/>
                <w:szCs w:val="24"/>
                <w:lang w:val="en-US" w:eastAsia="zh-CN"/>
              </w:rPr>
            </w:pPr>
            <w:r>
              <w:rPr>
                <w:rFonts w:hint="eastAsia" w:cs="Times New Roman"/>
                <w:bCs/>
                <w:color w:val="auto"/>
                <w:sz w:val="24"/>
                <w:szCs w:val="24"/>
                <w:lang w:val="en-US" w:eastAsia="zh-CN"/>
              </w:rPr>
              <w:t>1、本项目产生的一般工业固体废物贮存执行《一般工业固体废物贮存和填埋污染控制标准》（GB18599-2020）相关要求。</w:t>
            </w:r>
          </w:p>
          <w:p>
            <w:pPr>
              <w:adjustRightInd w:val="0"/>
              <w:snapToGrid w:val="0"/>
              <w:spacing w:line="360" w:lineRule="auto"/>
              <w:ind w:firstLine="480" w:firstLineChars="200"/>
              <w:rPr>
                <w:rFonts w:hint="default" w:cs="Times New Roman"/>
                <w:bCs/>
                <w:color w:val="auto"/>
                <w:sz w:val="24"/>
                <w:szCs w:val="24"/>
                <w:lang w:val="en-US" w:eastAsia="zh-CN"/>
              </w:rPr>
            </w:pPr>
            <w:r>
              <w:rPr>
                <w:rFonts w:hint="eastAsia" w:cs="Times New Roman"/>
                <w:bCs/>
                <w:color w:val="auto"/>
                <w:sz w:val="24"/>
                <w:szCs w:val="24"/>
                <w:lang w:val="en-US" w:eastAsia="zh-CN"/>
              </w:rPr>
              <w:t>2、本项目产生的危险废物贮存执行《危险废物贮存污染控制标准》（GB 18597-2023）相关要求。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总量</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控制</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指标</w:t>
            </w:r>
          </w:p>
        </w:tc>
        <w:tc>
          <w:tcPr>
            <w:tcW w:w="8190" w:type="dxa"/>
            <w:noWrap w:val="0"/>
            <w:vAlign w:val="center"/>
          </w:tcPr>
          <w:p>
            <w:pPr>
              <w:pStyle w:val="54"/>
              <w:bidi w:val="0"/>
              <w:rPr>
                <w:rFonts w:hint="eastAsia"/>
                <w:color w:val="auto"/>
                <w:lang w:val="en-US" w:eastAsia="zh-CN"/>
              </w:rPr>
            </w:pPr>
            <w:r>
              <w:rPr>
                <w:rFonts w:hint="eastAsia"/>
                <w:color w:val="auto"/>
                <w:lang w:val="en-US" w:eastAsia="zh-CN"/>
              </w:rPr>
              <w:t>根据国家规定的总量控制污染物种类，综合考虑本项目的排污特点和所在区域的环境质量现状等因素，本项目总量控制指标颗粒物：有组织排放量为6.374t/a。</w:t>
            </w:r>
          </w:p>
          <w:p>
            <w:pPr>
              <w:pStyle w:val="54"/>
              <w:bidi w:val="0"/>
              <w:rPr>
                <w:rFonts w:hint="eastAsia"/>
                <w:color w:val="auto"/>
                <w:lang w:val="en-US" w:eastAsia="zh-CN"/>
              </w:rPr>
            </w:pPr>
            <w:r>
              <w:rPr>
                <w:rFonts w:hint="eastAsia"/>
                <w:color w:val="auto"/>
                <w:lang w:val="en-US" w:eastAsia="zh-CN"/>
              </w:rPr>
              <w:t>上述建议值可作为生态环境管理部门制定企业污染物排放总量控制指标的参考，总体总量控制指标由生态环境管理部门确定。</w:t>
            </w: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eastAsia" w:cs="Times New Roman"/>
                <w:bCs/>
                <w:color w:val="auto"/>
                <w:sz w:val="24"/>
                <w:szCs w:val="24"/>
                <w:lang w:val="en-US" w:eastAsia="zh-CN"/>
              </w:rPr>
            </w:pPr>
          </w:p>
          <w:p>
            <w:pPr>
              <w:pStyle w:val="28"/>
              <w:rPr>
                <w:rFonts w:hint="default" w:cs="Times New Roman"/>
                <w:bCs/>
                <w:color w:val="auto"/>
                <w:sz w:val="24"/>
                <w:szCs w:val="24"/>
                <w:lang w:val="en-US" w:eastAsia="zh-CN"/>
              </w:rPr>
            </w:pPr>
          </w:p>
        </w:tc>
      </w:tr>
    </w:tbl>
    <w:p>
      <w:pPr>
        <w:pStyle w:val="17"/>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1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noWrap w:val="0"/>
            <w:tcMar>
              <w:left w:w="28" w:type="dxa"/>
              <w:right w:w="28" w:type="dxa"/>
            </w:tcMar>
            <w:vAlign w:val="center"/>
          </w:tcPr>
          <w:p>
            <w:pPr>
              <w:pStyle w:val="17"/>
              <w:adjustRightInd w:val="0"/>
              <w:snapToGrid w:val="0"/>
              <w:spacing w:before="0" w:beforeAutospacing="0" w:after="0" w:afterAutospacing="0"/>
              <w:jc w:val="center"/>
              <w:rPr>
                <w:rFonts w:hint="default" w:ascii="Times New Roman" w:hAnsi="Times New Roman" w:cs="Times New Roman"/>
                <w:bCs/>
                <w:color w:val="auto"/>
                <w:kern w:val="2"/>
                <w:sz w:val="24"/>
                <w:szCs w:val="24"/>
              </w:rPr>
            </w:pPr>
            <w:r>
              <w:rPr>
                <w:rFonts w:hint="default" w:ascii="Times New Roman" w:hAnsi="Times New Roman" w:cs="Times New Roman"/>
                <w:color w:val="auto"/>
                <w:kern w:val="2"/>
                <w:sz w:val="24"/>
                <w:szCs w:val="24"/>
              </w:rPr>
              <w:t>施工期环境保护措施</w:t>
            </w:r>
          </w:p>
        </w:tc>
        <w:tc>
          <w:tcPr>
            <w:tcW w:w="8184" w:type="dxa"/>
            <w:noWrap w:val="0"/>
            <w:vAlign w:val="center"/>
          </w:tcPr>
          <w:p>
            <w:pPr>
              <w:pStyle w:val="54"/>
              <w:bidi w:val="0"/>
              <w:rPr>
                <w:rFonts w:hint="default"/>
                <w:color w:val="auto"/>
                <w:lang w:val="en-US" w:eastAsia="zh-CN"/>
              </w:rPr>
            </w:pPr>
            <w:r>
              <w:rPr>
                <w:rFonts w:hint="default"/>
                <w:b/>
                <w:bCs/>
                <w:color w:val="auto"/>
                <w:lang w:val="en-US" w:eastAsia="zh-CN"/>
              </w:rPr>
              <w:t>一、施工期大气环境保护措施</w:t>
            </w:r>
          </w:p>
          <w:p>
            <w:pPr>
              <w:pStyle w:val="54"/>
              <w:bidi w:val="0"/>
              <w:rPr>
                <w:rFonts w:hint="default"/>
                <w:color w:val="auto"/>
              </w:rPr>
            </w:pPr>
            <w:r>
              <w:rPr>
                <w:rFonts w:hint="eastAsia"/>
                <w:color w:val="auto"/>
                <w:lang w:val="en-US" w:eastAsia="zh-CN"/>
              </w:rPr>
              <w:t>施工期对</w:t>
            </w:r>
            <w:r>
              <w:rPr>
                <w:rFonts w:hint="default"/>
                <w:color w:val="auto"/>
              </w:rPr>
              <w:t>大气环境</w:t>
            </w:r>
            <w:r>
              <w:rPr>
                <w:rFonts w:hint="eastAsia"/>
                <w:color w:val="auto"/>
                <w:lang w:val="en-US" w:eastAsia="zh-CN"/>
              </w:rPr>
              <w:t>的</w:t>
            </w:r>
            <w:r>
              <w:rPr>
                <w:rFonts w:hint="default"/>
                <w:color w:val="auto"/>
              </w:rPr>
              <w:t>影响主要有：施工车辆产生</w:t>
            </w:r>
            <w:r>
              <w:rPr>
                <w:rFonts w:hint="eastAsia"/>
                <w:color w:val="auto"/>
                <w:lang w:val="en-US" w:eastAsia="zh-CN"/>
              </w:rPr>
              <w:t>的</w:t>
            </w:r>
            <w:r>
              <w:rPr>
                <w:rFonts w:hint="default"/>
                <w:color w:val="auto"/>
              </w:rPr>
              <w:t>扬尘污染</w:t>
            </w:r>
            <w:r>
              <w:rPr>
                <w:rFonts w:hint="eastAsia"/>
                <w:color w:val="auto"/>
                <w:lang w:val="en-US" w:eastAsia="zh-CN"/>
              </w:rPr>
              <w:t>、</w:t>
            </w:r>
            <w:r>
              <w:rPr>
                <w:rFonts w:hint="default"/>
                <w:color w:val="auto"/>
              </w:rPr>
              <w:t>施工材料在有风的天气产生</w:t>
            </w:r>
            <w:r>
              <w:rPr>
                <w:rFonts w:hint="eastAsia"/>
                <w:color w:val="auto"/>
                <w:lang w:val="en-US" w:eastAsia="zh-CN"/>
              </w:rPr>
              <w:t>的</w:t>
            </w:r>
            <w:r>
              <w:rPr>
                <w:rFonts w:hint="default"/>
                <w:color w:val="auto"/>
              </w:rPr>
              <w:t>扬尘污染。</w:t>
            </w:r>
          </w:p>
          <w:p>
            <w:pPr>
              <w:pStyle w:val="54"/>
              <w:bidi w:val="0"/>
              <w:rPr>
                <w:rFonts w:hint="default"/>
                <w:color w:val="auto"/>
                <w:lang w:val="en-US" w:eastAsia="zh-CN"/>
              </w:rPr>
            </w:pPr>
            <w:r>
              <w:rPr>
                <w:rFonts w:hint="eastAsia"/>
                <w:color w:val="auto"/>
                <w:lang w:val="en-US" w:eastAsia="zh-CN"/>
              </w:rPr>
              <w:t>建设单位应在施工期采取以下相应措施：</w:t>
            </w:r>
          </w:p>
          <w:p>
            <w:pPr>
              <w:pStyle w:val="54"/>
              <w:bidi w:val="0"/>
              <w:rPr>
                <w:rFonts w:hint="default"/>
                <w:color w:val="auto"/>
                <w:lang w:val="en-US" w:eastAsia="zh-CN"/>
              </w:rPr>
            </w:pPr>
            <w:r>
              <w:rPr>
                <w:rFonts w:hint="eastAsia"/>
                <w:color w:val="auto"/>
                <w:lang w:val="en-US" w:eastAsia="zh-CN"/>
              </w:rPr>
              <w:t>1、对施工用地边界设置施工围挡。</w:t>
            </w:r>
          </w:p>
          <w:p>
            <w:pPr>
              <w:pStyle w:val="54"/>
              <w:bidi w:val="0"/>
              <w:rPr>
                <w:rFonts w:hint="default"/>
                <w:color w:val="auto"/>
                <w:lang w:val="en-US" w:eastAsia="zh-CN"/>
              </w:rPr>
            </w:pPr>
            <w:r>
              <w:rPr>
                <w:rFonts w:hint="eastAsia"/>
                <w:color w:val="auto"/>
                <w:lang w:val="en-US" w:eastAsia="zh-CN"/>
              </w:rPr>
              <w:t>2</w:t>
            </w:r>
            <w:r>
              <w:rPr>
                <w:rFonts w:hint="default"/>
                <w:color w:val="auto"/>
                <w:lang w:val="en-US" w:eastAsia="zh-CN"/>
              </w:rPr>
              <w:t>、土石方及散装物料装卸应尽可能降低落差、轻装慢卸，并在背风面进行，车辆应覆盖篷布</w:t>
            </w:r>
            <w:r>
              <w:rPr>
                <w:rFonts w:hint="eastAsia"/>
                <w:color w:val="auto"/>
                <w:lang w:val="en-US" w:eastAsia="zh-CN"/>
              </w:rPr>
              <w:t>，</w:t>
            </w:r>
            <w:r>
              <w:rPr>
                <w:rFonts w:hint="default"/>
                <w:color w:val="auto"/>
              </w:rPr>
              <w:t>慢速行驶</w:t>
            </w:r>
            <w:r>
              <w:rPr>
                <w:rFonts w:hint="default"/>
                <w:color w:val="auto"/>
                <w:lang w:val="en-US" w:eastAsia="zh-CN"/>
              </w:rPr>
              <w:t>。</w:t>
            </w:r>
          </w:p>
          <w:p>
            <w:pPr>
              <w:pStyle w:val="54"/>
              <w:bidi w:val="0"/>
              <w:rPr>
                <w:rFonts w:hint="default"/>
                <w:color w:val="auto"/>
                <w:lang w:val="en-US" w:eastAsia="zh-CN"/>
              </w:rPr>
            </w:pPr>
            <w:r>
              <w:rPr>
                <w:rFonts w:hint="eastAsia"/>
                <w:color w:val="auto"/>
                <w:lang w:val="en-US" w:eastAsia="zh-CN"/>
              </w:rPr>
              <w:t>3、施工场地、施工道路每天洒水4~5次，并及时清扫道路，碾压或覆盖裸露地表。</w:t>
            </w:r>
          </w:p>
          <w:p>
            <w:pPr>
              <w:pStyle w:val="54"/>
              <w:bidi w:val="0"/>
              <w:rPr>
                <w:rFonts w:hint="eastAsia"/>
                <w:color w:val="auto"/>
                <w:lang w:val="en-US" w:eastAsia="zh-CN"/>
              </w:rPr>
            </w:pPr>
            <w:r>
              <w:rPr>
                <w:rFonts w:hint="eastAsia"/>
                <w:color w:val="auto"/>
                <w:lang w:val="en-US" w:eastAsia="zh-CN"/>
              </w:rPr>
              <w:t>4、易起尘物料应尽可能避免露天堆放，若露天堆放应加以覆盖。</w:t>
            </w:r>
          </w:p>
          <w:p>
            <w:pPr>
              <w:pStyle w:val="54"/>
              <w:bidi w:val="0"/>
              <w:rPr>
                <w:rFonts w:hint="eastAsia"/>
                <w:color w:val="auto"/>
                <w:lang w:val="en-US" w:eastAsia="zh-CN"/>
              </w:rPr>
            </w:pPr>
            <w:r>
              <w:rPr>
                <w:rFonts w:hint="eastAsia"/>
                <w:color w:val="auto"/>
                <w:lang w:val="en-US" w:eastAsia="zh-CN"/>
              </w:rPr>
              <w:t>5、合理安排施工设备工作时间，并使用清洁燃油，减少施工设备废气的影响。</w:t>
            </w:r>
          </w:p>
          <w:p>
            <w:pPr>
              <w:pStyle w:val="54"/>
              <w:bidi w:val="0"/>
              <w:rPr>
                <w:rFonts w:hint="default"/>
                <w:color w:val="auto"/>
                <w:lang w:val="en-US" w:eastAsia="zh-CN"/>
              </w:rPr>
            </w:pPr>
            <w:r>
              <w:rPr>
                <w:rFonts w:hint="default"/>
                <w:color w:val="auto"/>
                <w:lang w:val="en-US" w:eastAsia="zh-CN"/>
              </w:rPr>
              <w:t>在认真落实上述措施的基础上，</w:t>
            </w:r>
            <w:r>
              <w:rPr>
                <w:rFonts w:hint="eastAsia"/>
                <w:color w:val="auto"/>
                <w:lang w:val="en-US" w:eastAsia="zh-CN"/>
              </w:rPr>
              <w:t>扬尘污染</w:t>
            </w:r>
            <w:r>
              <w:rPr>
                <w:rFonts w:hint="default"/>
                <w:color w:val="auto"/>
                <w:lang w:val="en-US" w:eastAsia="zh-CN"/>
              </w:rPr>
              <w:t>对施工现场周围的环境影响较小，伴随施工期的结束也将结束。</w:t>
            </w:r>
          </w:p>
          <w:p>
            <w:pPr>
              <w:pStyle w:val="54"/>
              <w:bidi w:val="0"/>
              <w:rPr>
                <w:rFonts w:hint="default"/>
                <w:color w:val="auto"/>
                <w:lang w:val="en-US" w:eastAsia="zh-CN"/>
              </w:rPr>
            </w:pPr>
            <w:r>
              <w:rPr>
                <w:rFonts w:hint="eastAsia"/>
                <w:b/>
                <w:bCs/>
                <w:color w:val="auto"/>
                <w:lang w:val="en-US" w:eastAsia="zh-CN"/>
              </w:rPr>
              <w:t>二、施工期水环境保护措施</w:t>
            </w:r>
          </w:p>
          <w:p>
            <w:pPr>
              <w:pStyle w:val="54"/>
              <w:bidi w:val="0"/>
              <w:rPr>
                <w:rFonts w:hint="eastAsia"/>
                <w:color w:val="auto"/>
                <w:lang w:eastAsia="zh-CN"/>
              </w:rPr>
            </w:pPr>
            <w:r>
              <w:rPr>
                <w:rFonts w:hint="eastAsia"/>
                <w:color w:val="auto"/>
                <w:lang w:val="en-US" w:eastAsia="zh-CN"/>
              </w:rPr>
              <w:t>施工期</w:t>
            </w:r>
            <w:r>
              <w:rPr>
                <w:rFonts w:hint="default"/>
                <w:color w:val="auto"/>
              </w:rPr>
              <w:t>对水环境的影响主要有</w:t>
            </w:r>
            <w:r>
              <w:rPr>
                <w:rFonts w:hint="eastAsia"/>
                <w:color w:val="auto"/>
                <w:lang w:eastAsia="zh-CN"/>
              </w:rPr>
              <w:t>：</w:t>
            </w:r>
            <w:r>
              <w:rPr>
                <w:rFonts w:hint="default"/>
                <w:color w:val="auto"/>
              </w:rPr>
              <w:t>施工废水</w:t>
            </w:r>
            <w:r>
              <w:rPr>
                <w:rFonts w:hint="eastAsia"/>
                <w:color w:val="auto"/>
                <w:lang w:val="en-US" w:eastAsia="zh-CN"/>
              </w:rPr>
              <w:t>、</w:t>
            </w:r>
            <w:r>
              <w:rPr>
                <w:rFonts w:hint="default"/>
                <w:color w:val="auto"/>
              </w:rPr>
              <w:t>施工人员</w:t>
            </w:r>
            <w:r>
              <w:rPr>
                <w:rFonts w:hint="eastAsia"/>
                <w:color w:val="auto"/>
                <w:lang w:val="en-US" w:eastAsia="zh-CN"/>
              </w:rPr>
              <w:t>产生的</w:t>
            </w:r>
            <w:r>
              <w:rPr>
                <w:rFonts w:hint="default"/>
                <w:color w:val="auto"/>
              </w:rPr>
              <w:t>生活污水</w:t>
            </w:r>
            <w:r>
              <w:rPr>
                <w:rFonts w:hint="eastAsia"/>
                <w:color w:val="auto"/>
                <w:lang w:eastAsia="zh-CN"/>
              </w:rPr>
              <w:t>。</w:t>
            </w:r>
          </w:p>
          <w:p>
            <w:pPr>
              <w:pStyle w:val="54"/>
              <w:bidi w:val="0"/>
              <w:rPr>
                <w:rFonts w:hint="eastAsia"/>
                <w:color w:val="auto"/>
                <w:lang w:val="en-US" w:eastAsia="zh-CN"/>
              </w:rPr>
            </w:pPr>
            <w:r>
              <w:rPr>
                <w:rFonts w:hint="eastAsia"/>
                <w:color w:val="auto"/>
                <w:lang w:val="en-US" w:eastAsia="zh-CN"/>
              </w:rPr>
              <w:t>建设单位应在施工期采取以下相应措施：</w:t>
            </w:r>
          </w:p>
          <w:p>
            <w:pPr>
              <w:pStyle w:val="54"/>
              <w:bidi w:val="0"/>
              <w:rPr>
                <w:rFonts w:hint="eastAsia"/>
                <w:color w:val="auto"/>
                <w:lang w:val="en-US" w:eastAsia="zh-CN"/>
              </w:rPr>
            </w:pPr>
            <w:r>
              <w:rPr>
                <w:rFonts w:hint="eastAsia"/>
                <w:color w:val="auto"/>
                <w:lang w:val="en-US" w:eastAsia="zh-CN"/>
              </w:rPr>
              <w:t>1、施工废水主要包括施工机械冲洗水以及施工机械跑、冒、滴、漏的油等，主要含SS和石油类等污染物，施工废水应进入沉淀池，经沉淀处理后循环使用和洒水降尘。</w:t>
            </w:r>
          </w:p>
          <w:p>
            <w:pPr>
              <w:pStyle w:val="54"/>
              <w:bidi w:val="0"/>
              <w:rPr>
                <w:rFonts w:hint="default"/>
                <w:color w:val="auto"/>
                <w:highlight w:val="none"/>
              </w:rPr>
            </w:pPr>
            <w:r>
              <w:rPr>
                <w:rFonts w:hint="default"/>
                <w:color w:val="auto"/>
                <w:lang w:val="en-US" w:eastAsia="zh-CN"/>
              </w:rPr>
              <w:t>2、</w:t>
            </w:r>
            <w:r>
              <w:rPr>
                <w:rFonts w:hint="eastAsia"/>
                <w:color w:val="auto"/>
                <w:lang w:val="en-US" w:eastAsia="zh-CN"/>
              </w:rPr>
              <w:t>施工人员产生的生活污水依托依托国投罗钾公司厂区现有污水处理站进行处理</w:t>
            </w:r>
            <w:r>
              <w:rPr>
                <w:rFonts w:hint="eastAsia"/>
                <w:color w:val="auto"/>
                <w:highlight w:val="none"/>
                <w:lang w:val="en-US" w:eastAsia="zh-CN"/>
              </w:rPr>
              <w:t>。</w:t>
            </w:r>
          </w:p>
          <w:p>
            <w:pPr>
              <w:pStyle w:val="54"/>
              <w:bidi w:val="0"/>
              <w:rPr>
                <w:rFonts w:hint="default"/>
                <w:color w:val="auto"/>
                <w:lang w:val="en-US" w:eastAsia="zh-CN"/>
              </w:rPr>
            </w:pPr>
            <w:r>
              <w:rPr>
                <w:rFonts w:hint="default"/>
                <w:color w:val="auto"/>
                <w:lang w:val="en-US" w:eastAsia="zh-CN"/>
              </w:rPr>
              <w:t>在认真落实上述措施的基础上，</w:t>
            </w:r>
            <w:r>
              <w:rPr>
                <w:rFonts w:hint="eastAsia"/>
                <w:color w:val="auto"/>
                <w:lang w:val="en-US" w:eastAsia="zh-CN"/>
              </w:rPr>
              <w:t>施工废水</w:t>
            </w:r>
            <w:r>
              <w:rPr>
                <w:rFonts w:hint="default"/>
                <w:color w:val="auto"/>
                <w:lang w:val="en-US" w:eastAsia="zh-CN"/>
              </w:rPr>
              <w:t>对施工现场周围的环境影响较小，伴随施工期的结束也将结束。</w:t>
            </w:r>
          </w:p>
          <w:p>
            <w:pPr>
              <w:pStyle w:val="54"/>
              <w:bidi w:val="0"/>
              <w:rPr>
                <w:rFonts w:hint="default"/>
                <w:color w:val="auto"/>
              </w:rPr>
            </w:pPr>
            <w:r>
              <w:rPr>
                <w:rFonts w:hint="eastAsia"/>
                <w:b/>
                <w:bCs/>
                <w:color w:val="auto"/>
                <w:lang w:val="en-US" w:eastAsia="zh-CN"/>
              </w:rPr>
              <w:t>三、施工期声环境保护措施</w:t>
            </w:r>
          </w:p>
          <w:p>
            <w:pPr>
              <w:pStyle w:val="54"/>
              <w:bidi w:val="0"/>
              <w:rPr>
                <w:rFonts w:hint="default"/>
                <w:color w:val="auto"/>
              </w:rPr>
            </w:pPr>
            <w:r>
              <w:rPr>
                <w:rFonts w:hint="default"/>
                <w:color w:val="auto"/>
              </w:rPr>
              <w:t>施工期对</w:t>
            </w:r>
            <w:r>
              <w:rPr>
                <w:rFonts w:hint="eastAsia"/>
                <w:color w:val="auto"/>
                <w:lang w:val="en-US" w:eastAsia="zh-CN"/>
              </w:rPr>
              <w:t>声</w:t>
            </w:r>
            <w:r>
              <w:rPr>
                <w:rFonts w:hint="default"/>
                <w:color w:val="auto"/>
              </w:rPr>
              <w:t>环境的影响主要有</w:t>
            </w:r>
            <w:r>
              <w:rPr>
                <w:rFonts w:hint="eastAsia"/>
                <w:color w:val="auto"/>
                <w:lang w:eastAsia="zh-CN"/>
              </w:rPr>
              <w:t>：</w:t>
            </w:r>
            <w:r>
              <w:rPr>
                <w:rFonts w:hint="default"/>
                <w:color w:val="auto"/>
              </w:rPr>
              <w:t>施工现场的各类机械设备噪声、物料运输造成的交通噪声。</w:t>
            </w:r>
          </w:p>
          <w:p>
            <w:pPr>
              <w:pStyle w:val="54"/>
              <w:bidi w:val="0"/>
              <w:rPr>
                <w:rFonts w:hint="eastAsia"/>
                <w:color w:val="auto"/>
                <w:lang w:val="en-US" w:eastAsia="zh-CN"/>
              </w:rPr>
            </w:pPr>
            <w:r>
              <w:rPr>
                <w:rFonts w:hint="eastAsia"/>
                <w:color w:val="auto"/>
                <w:lang w:val="en-US" w:eastAsia="zh-CN"/>
              </w:rPr>
              <w:t>建设单位应在施工期采取以下相应措施：</w:t>
            </w:r>
          </w:p>
          <w:p>
            <w:pPr>
              <w:pStyle w:val="54"/>
              <w:bidi w:val="0"/>
              <w:rPr>
                <w:rFonts w:hint="eastAsia"/>
                <w:color w:val="auto"/>
                <w:lang w:val="en-US" w:eastAsia="zh-CN"/>
              </w:rPr>
            </w:pPr>
            <w:r>
              <w:rPr>
                <w:rFonts w:hint="eastAsia"/>
                <w:color w:val="auto"/>
                <w:lang w:val="en-US" w:eastAsia="zh-CN"/>
              </w:rPr>
              <w:t>1、机械设备应适时维修，特别对因松动部件的震动或降低噪声部件的损坏而产生很强的噪声的设备，更应经常检查维护。</w:t>
            </w:r>
          </w:p>
          <w:p>
            <w:pPr>
              <w:pStyle w:val="54"/>
              <w:bidi w:val="0"/>
              <w:rPr>
                <w:rFonts w:hint="default"/>
                <w:color w:val="auto"/>
                <w:lang w:val="en-US" w:eastAsia="zh-CN"/>
              </w:rPr>
            </w:pPr>
            <w:r>
              <w:rPr>
                <w:rFonts w:hint="default"/>
                <w:color w:val="auto"/>
                <w:lang w:val="en-US" w:eastAsia="zh-CN"/>
              </w:rPr>
              <w:t>2、</w:t>
            </w:r>
            <w:r>
              <w:rPr>
                <w:rFonts w:hint="eastAsia"/>
                <w:color w:val="auto"/>
                <w:lang w:val="en-US" w:eastAsia="zh-CN"/>
              </w:rPr>
              <w:t>合理安排施工时间，制定科学的施工计划，节省施工时间，尽量缩短施工周期。</w:t>
            </w:r>
          </w:p>
          <w:p>
            <w:pPr>
              <w:pStyle w:val="54"/>
              <w:bidi w:val="0"/>
              <w:rPr>
                <w:rFonts w:hint="default"/>
                <w:color w:val="auto"/>
                <w:lang w:val="en-US" w:eastAsia="zh-CN"/>
              </w:rPr>
            </w:pPr>
            <w:r>
              <w:rPr>
                <w:rFonts w:hint="eastAsia"/>
                <w:color w:val="auto"/>
                <w:lang w:val="en-US" w:eastAsia="zh-CN"/>
              </w:rPr>
              <w:t>3</w:t>
            </w:r>
            <w:r>
              <w:rPr>
                <w:rFonts w:hint="default"/>
                <w:color w:val="auto"/>
                <w:lang w:val="en-US" w:eastAsia="zh-CN"/>
              </w:rPr>
              <w:t>、</w:t>
            </w:r>
            <w:r>
              <w:rPr>
                <w:rFonts w:hint="eastAsia"/>
                <w:color w:val="auto"/>
                <w:lang w:val="en-US" w:eastAsia="zh-CN"/>
              </w:rPr>
              <w:t>严格操作规程，加强施工机械管理，规范建筑物料、土石方清运车辆进出工地，禁止高速行驶、鸣笛等，降低人为噪声影响。</w:t>
            </w:r>
          </w:p>
          <w:p>
            <w:pPr>
              <w:pStyle w:val="54"/>
              <w:bidi w:val="0"/>
              <w:rPr>
                <w:rFonts w:hint="eastAsia"/>
                <w:color w:val="auto"/>
                <w:lang w:val="en-US" w:eastAsia="zh-CN"/>
              </w:rPr>
            </w:pPr>
            <w:r>
              <w:rPr>
                <w:rFonts w:hint="eastAsia"/>
                <w:color w:val="auto"/>
                <w:lang w:val="en-US" w:eastAsia="zh-CN"/>
              </w:rPr>
              <w:t>4</w:t>
            </w:r>
            <w:r>
              <w:rPr>
                <w:rFonts w:hint="default"/>
                <w:color w:val="auto"/>
                <w:lang w:val="en-US" w:eastAsia="zh-CN"/>
              </w:rPr>
              <w:t>、</w:t>
            </w:r>
            <w:r>
              <w:rPr>
                <w:rFonts w:hint="eastAsia"/>
                <w:color w:val="auto"/>
                <w:lang w:val="en-US" w:eastAsia="zh-CN"/>
              </w:rPr>
              <w:t>严格控制施工车辆运输路线，控制车速。</w:t>
            </w:r>
          </w:p>
          <w:p>
            <w:pPr>
              <w:pStyle w:val="54"/>
              <w:bidi w:val="0"/>
              <w:rPr>
                <w:rFonts w:hint="default"/>
                <w:color w:val="auto"/>
                <w:lang w:val="en-US" w:eastAsia="zh-CN"/>
              </w:rPr>
            </w:pPr>
            <w:r>
              <w:rPr>
                <w:rFonts w:hint="default"/>
                <w:color w:val="auto"/>
                <w:lang w:val="en-US" w:eastAsia="zh-CN"/>
              </w:rPr>
              <w:t>在认真落实上述措施的基础上，</w:t>
            </w:r>
            <w:r>
              <w:rPr>
                <w:rFonts w:hint="eastAsia"/>
                <w:color w:val="auto"/>
                <w:lang w:val="en-US" w:eastAsia="zh-CN"/>
              </w:rPr>
              <w:t>施工噪声</w:t>
            </w:r>
            <w:r>
              <w:rPr>
                <w:rFonts w:hint="default"/>
                <w:color w:val="auto"/>
                <w:lang w:val="en-US" w:eastAsia="zh-CN"/>
              </w:rPr>
              <w:t>对施工现场周围的环境影响较小，伴随施工期的结束也将结束。</w:t>
            </w:r>
          </w:p>
          <w:p>
            <w:pPr>
              <w:pStyle w:val="54"/>
              <w:bidi w:val="0"/>
              <w:rPr>
                <w:rFonts w:hint="default"/>
                <w:color w:val="auto"/>
                <w:lang w:val="en-US"/>
              </w:rPr>
            </w:pPr>
            <w:r>
              <w:rPr>
                <w:rFonts w:hint="eastAsia"/>
                <w:b/>
                <w:bCs/>
                <w:color w:val="auto"/>
                <w:lang w:val="en-US" w:eastAsia="zh-CN"/>
              </w:rPr>
              <w:t>四、施工期固体废物防治措施</w:t>
            </w:r>
          </w:p>
          <w:p>
            <w:pPr>
              <w:pStyle w:val="54"/>
              <w:bidi w:val="0"/>
              <w:rPr>
                <w:rFonts w:hint="default"/>
                <w:color w:val="auto"/>
              </w:rPr>
            </w:pPr>
            <w:r>
              <w:rPr>
                <w:rFonts w:hint="default"/>
                <w:color w:val="auto"/>
              </w:rPr>
              <w:t>施工期</w:t>
            </w:r>
            <w:r>
              <w:rPr>
                <w:rFonts w:hint="eastAsia"/>
                <w:color w:val="auto"/>
                <w:lang w:val="en-US" w:eastAsia="zh-CN"/>
              </w:rPr>
              <w:t>固体废物的产生</w:t>
            </w:r>
            <w:r>
              <w:rPr>
                <w:rFonts w:hint="default"/>
                <w:color w:val="auto"/>
              </w:rPr>
              <w:t>主要有</w:t>
            </w:r>
            <w:r>
              <w:rPr>
                <w:rFonts w:hint="eastAsia"/>
                <w:color w:val="auto"/>
                <w:lang w:eastAsia="zh-CN"/>
              </w:rPr>
              <w:t>：</w:t>
            </w:r>
            <w:r>
              <w:rPr>
                <w:rFonts w:hint="eastAsia"/>
                <w:color w:val="auto"/>
                <w:lang w:val="en-US" w:eastAsia="zh-CN"/>
              </w:rPr>
              <w:t>弃土、建筑垃圾、生活垃圾。</w:t>
            </w:r>
          </w:p>
          <w:p>
            <w:pPr>
              <w:pStyle w:val="54"/>
              <w:bidi w:val="0"/>
              <w:rPr>
                <w:rFonts w:hint="eastAsia"/>
                <w:color w:val="auto"/>
                <w:lang w:val="en-US" w:eastAsia="zh-CN"/>
              </w:rPr>
            </w:pPr>
            <w:r>
              <w:rPr>
                <w:rFonts w:hint="eastAsia"/>
                <w:color w:val="auto"/>
                <w:lang w:val="en-US" w:eastAsia="zh-CN"/>
              </w:rPr>
              <w:t>建设单位应在施工期采取以下相应措施：</w:t>
            </w:r>
          </w:p>
          <w:p>
            <w:pPr>
              <w:pStyle w:val="54"/>
              <w:bidi w:val="0"/>
              <w:rPr>
                <w:rFonts w:hint="default"/>
                <w:color w:val="auto"/>
              </w:rPr>
            </w:pPr>
            <w:r>
              <w:rPr>
                <w:rFonts w:hint="eastAsia"/>
                <w:color w:val="auto"/>
                <w:lang w:val="en-US" w:eastAsia="zh-CN"/>
              </w:rPr>
              <w:t>1、本</w:t>
            </w:r>
            <w:r>
              <w:rPr>
                <w:rFonts w:hint="default"/>
                <w:color w:val="auto"/>
              </w:rPr>
              <w:t>项目拟设置固废临时堆放场，对</w:t>
            </w:r>
            <w:r>
              <w:rPr>
                <w:rFonts w:hint="eastAsia"/>
                <w:color w:val="auto"/>
                <w:lang w:val="en-US" w:eastAsia="zh-CN"/>
              </w:rPr>
              <w:t>弃土和</w:t>
            </w:r>
            <w:r>
              <w:rPr>
                <w:rFonts w:hint="default"/>
                <w:color w:val="auto"/>
              </w:rPr>
              <w:t>建筑废物临时堆存，可回用部分尽可能回用，不可回用部分运往</w:t>
            </w:r>
            <w:r>
              <w:rPr>
                <w:rFonts w:hint="eastAsia"/>
                <w:color w:val="auto"/>
                <w:lang w:eastAsia="zh-CN"/>
              </w:rPr>
              <w:t>国投罗钾一般固废填埋场</w:t>
            </w:r>
            <w:r>
              <w:rPr>
                <w:rFonts w:hint="default"/>
                <w:color w:val="auto"/>
              </w:rPr>
              <w:t>。</w:t>
            </w:r>
          </w:p>
          <w:p>
            <w:pPr>
              <w:pStyle w:val="54"/>
              <w:bidi w:val="0"/>
              <w:rPr>
                <w:rFonts w:hint="default"/>
                <w:color w:val="auto"/>
                <w:lang w:val="en-US" w:eastAsia="zh-CN"/>
              </w:rPr>
            </w:pPr>
            <w:r>
              <w:rPr>
                <w:rFonts w:hint="eastAsia"/>
                <w:color w:val="auto"/>
                <w:lang w:val="en-US" w:eastAsia="zh-CN"/>
              </w:rPr>
              <w:t>2、施工人员产生的生活垃圾收集至垃圾箱，国投罗钾公司在园区东南侧建设有垃圾填埋场，通过垃圾清运车定期运输至垃圾填埋场填埋。</w:t>
            </w:r>
          </w:p>
          <w:p>
            <w:pPr>
              <w:pStyle w:val="54"/>
              <w:bidi w:val="0"/>
              <w:rPr>
                <w:rFonts w:hint="default"/>
                <w:color w:val="auto"/>
              </w:rPr>
            </w:pPr>
            <w:r>
              <w:rPr>
                <w:rFonts w:hint="eastAsia"/>
                <w:color w:val="auto"/>
                <w:lang w:val="en-US" w:eastAsia="zh-CN"/>
              </w:rPr>
              <w:t>建设单位需加强管理，妥善处置各种施工期固体废物。</w:t>
            </w:r>
            <w:r>
              <w:rPr>
                <w:rFonts w:hint="default"/>
                <w:color w:val="auto"/>
                <w:lang w:val="en-US" w:eastAsia="zh-CN"/>
              </w:rPr>
              <w:t>认真落实上述措施的基础上，</w:t>
            </w:r>
            <w:r>
              <w:rPr>
                <w:rFonts w:hint="eastAsia"/>
                <w:color w:val="auto"/>
                <w:lang w:val="en-US" w:eastAsia="zh-CN"/>
              </w:rPr>
              <w:t>固体废物</w:t>
            </w:r>
            <w:r>
              <w:rPr>
                <w:rFonts w:hint="default"/>
                <w:color w:val="auto"/>
                <w:lang w:val="en-US" w:eastAsia="zh-CN"/>
              </w:rPr>
              <w:t>对施工现场周围的环境影响较小，伴随施工期的结束也将结束。</w:t>
            </w:r>
          </w:p>
          <w:p>
            <w:pPr>
              <w:pStyle w:val="54"/>
              <w:bidi w:val="0"/>
              <w:rPr>
                <w:rFonts w:hint="default"/>
                <w:color w:val="auto"/>
              </w:rPr>
            </w:pPr>
            <w:r>
              <w:rPr>
                <w:rFonts w:hint="eastAsia"/>
                <w:b/>
                <w:bCs/>
                <w:color w:val="auto"/>
                <w:lang w:val="en-US" w:eastAsia="zh-CN"/>
              </w:rPr>
              <w:t>五、施工期生态环境保护措施</w:t>
            </w:r>
          </w:p>
          <w:p>
            <w:pPr>
              <w:pStyle w:val="54"/>
              <w:bidi w:val="0"/>
              <w:rPr>
                <w:rFonts w:hint="default"/>
                <w:color w:val="auto"/>
              </w:rPr>
            </w:pPr>
            <w:r>
              <w:rPr>
                <w:rFonts w:hint="eastAsia"/>
                <w:color w:val="auto"/>
                <w:lang w:val="en-US" w:eastAsia="zh-CN"/>
              </w:rPr>
              <w:t>本项目</w:t>
            </w:r>
            <w:r>
              <w:rPr>
                <w:rFonts w:hint="default"/>
                <w:color w:val="auto"/>
              </w:rPr>
              <w:t>施工水泥、石灰、沙石土等建筑材料在装卸、运输、堆存等过程中将产生大量的扬尘。另外施工现场的暴露、建筑垃圾的堆存也影响景观。</w:t>
            </w:r>
          </w:p>
          <w:p>
            <w:pPr>
              <w:pStyle w:val="54"/>
              <w:bidi w:val="0"/>
              <w:rPr>
                <w:rFonts w:hint="eastAsia"/>
                <w:color w:val="auto"/>
                <w:lang w:val="en-US" w:eastAsia="zh-CN"/>
              </w:rPr>
            </w:pPr>
            <w:r>
              <w:rPr>
                <w:rFonts w:hint="eastAsia"/>
                <w:color w:val="auto"/>
                <w:lang w:val="en-US" w:eastAsia="zh-CN"/>
              </w:rPr>
              <w:t>建设单位应在施工期采取以下相应措施：</w:t>
            </w:r>
          </w:p>
          <w:p>
            <w:pPr>
              <w:pStyle w:val="54"/>
              <w:bidi w:val="0"/>
              <w:rPr>
                <w:rFonts w:hint="default"/>
                <w:color w:val="auto"/>
              </w:rPr>
            </w:pPr>
            <w:r>
              <w:rPr>
                <w:rFonts w:hint="default"/>
                <w:color w:val="auto"/>
                <w:lang w:val="en-US" w:eastAsia="zh-CN"/>
              </w:rPr>
              <w:t>1、</w:t>
            </w:r>
            <w:r>
              <w:rPr>
                <w:rFonts w:hint="default"/>
                <w:color w:val="auto"/>
              </w:rPr>
              <w:t>加强施工管理，尽量减少施工扰动面积</w:t>
            </w:r>
            <w:r>
              <w:rPr>
                <w:rFonts w:hint="eastAsia"/>
                <w:color w:val="auto"/>
                <w:lang w:eastAsia="zh-CN"/>
              </w:rPr>
              <w:t>，合理安排施工时序，避免反复开挖地表。</w:t>
            </w:r>
          </w:p>
          <w:p>
            <w:pPr>
              <w:pStyle w:val="54"/>
              <w:bidi w:val="0"/>
              <w:rPr>
                <w:rFonts w:hint="default"/>
                <w:color w:val="auto"/>
              </w:rPr>
            </w:pPr>
            <w:r>
              <w:rPr>
                <w:rFonts w:hint="default"/>
                <w:color w:val="auto"/>
                <w:lang w:val="en-US" w:eastAsia="zh-CN"/>
              </w:rPr>
              <w:t>2、</w:t>
            </w:r>
            <w:r>
              <w:rPr>
                <w:rFonts w:hint="default"/>
                <w:color w:val="auto"/>
              </w:rPr>
              <w:t>施工区域采取高围挡作业，施工现场洒水作业，在施工场地外围设置截、排水沟</w:t>
            </w:r>
            <w:r>
              <w:rPr>
                <w:rFonts w:hint="eastAsia"/>
                <w:color w:val="auto"/>
                <w:lang w:eastAsia="zh-CN"/>
              </w:rPr>
              <w:t>。</w:t>
            </w:r>
          </w:p>
          <w:p>
            <w:pPr>
              <w:pStyle w:val="54"/>
              <w:bidi w:val="0"/>
              <w:rPr>
                <w:rFonts w:hint="default"/>
                <w:color w:val="auto"/>
              </w:rPr>
            </w:pPr>
            <w:r>
              <w:rPr>
                <w:rFonts w:hint="default"/>
                <w:color w:val="auto"/>
                <w:lang w:val="en-US" w:eastAsia="zh-CN"/>
              </w:rPr>
              <w:t>3、</w:t>
            </w:r>
            <w:r>
              <w:rPr>
                <w:rFonts w:hint="default"/>
                <w:color w:val="auto"/>
              </w:rPr>
              <w:t>施工单位对附近道路实行保洁制度，制</w:t>
            </w:r>
            <w:r>
              <w:rPr>
                <w:rFonts w:hint="eastAsia"/>
                <w:color w:val="auto"/>
                <w:lang w:eastAsia="zh-CN"/>
              </w:rPr>
              <w:t>定</w:t>
            </w:r>
            <w:r>
              <w:rPr>
                <w:rFonts w:hint="default"/>
                <w:color w:val="auto"/>
              </w:rPr>
              <w:t>切实可行的建筑垃圾处置和运输计划，避免在交通高峰期时清运建筑垃圾，按规定路线运输，按规定地点处置建筑垃圾，杜绝随意乱倒等。</w:t>
            </w:r>
          </w:p>
          <w:p>
            <w:pPr>
              <w:pStyle w:val="54"/>
              <w:bidi w:val="0"/>
              <w:rPr>
                <w:rFonts w:hint="default"/>
                <w:color w:val="auto"/>
              </w:rPr>
            </w:pPr>
            <w:r>
              <w:rPr>
                <w:rFonts w:hint="default"/>
                <w:color w:val="auto"/>
                <w:lang w:val="en-US" w:eastAsia="zh-CN"/>
              </w:rPr>
              <w:t>4、</w:t>
            </w:r>
            <w:r>
              <w:rPr>
                <w:rFonts w:hint="default"/>
                <w:color w:val="auto"/>
              </w:rPr>
              <w:t>施工结束后，及时进行清理、对场地进行清理，拆除临时设施、坑凹回填、清理场内各类垃圾</w:t>
            </w:r>
            <w:r>
              <w:rPr>
                <w:rFonts w:hint="eastAsia"/>
                <w:color w:val="auto"/>
                <w:lang w:eastAsia="zh-CN"/>
              </w:rPr>
              <w:t>，</w:t>
            </w:r>
            <w:r>
              <w:rPr>
                <w:rFonts w:hint="default"/>
                <w:color w:val="auto"/>
              </w:rPr>
              <w:t>对可以集中美化的区域进行土地整理并及时绿化。</w:t>
            </w:r>
          </w:p>
          <w:p>
            <w:pPr>
              <w:pStyle w:val="54"/>
              <w:bidi w:val="0"/>
              <w:rPr>
                <w:rFonts w:hint="eastAsia"/>
                <w:color w:val="auto"/>
                <w:lang w:val="en-US" w:eastAsia="zh-CN"/>
              </w:rPr>
            </w:pPr>
            <w:r>
              <w:rPr>
                <w:rFonts w:hint="default"/>
                <w:color w:val="auto"/>
                <w:lang w:val="en-US" w:eastAsia="zh-CN"/>
              </w:rPr>
              <w:t>在认真落实上述措施的基础上，</w:t>
            </w:r>
            <w:r>
              <w:rPr>
                <w:rFonts w:hint="eastAsia"/>
                <w:color w:val="auto"/>
                <w:lang w:val="en-US" w:eastAsia="zh-CN"/>
              </w:rPr>
              <w:t>项目区生态环境和景观将在很大程度上得到改善。</w:t>
            </w: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p>
            <w:pPr>
              <w:pStyle w:val="54"/>
              <w:bidi w:val="0"/>
              <w:ind w:left="0" w:leftChars="0" w:firstLine="0" w:firstLineChars="0"/>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2" w:hRule="atLeast"/>
          <w:jc w:val="center"/>
        </w:trPr>
        <w:tc>
          <w:tcPr>
            <w:tcW w:w="797" w:type="dxa"/>
            <w:noWrap w:val="0"/>
            <w:tcMar>
              <w:left w:w="28" w:type="dxa"/>
              <w:right w:w="28" w:type="dxa"/>
            </w:tcMar>
            <w:vAlign w:val="center"/>
          </w:tcPr>
          <w:p>
            <w:pPr>
              <w:adjustRightInd w:val="0"/>
              <w:snapToGrid w:val="0"/>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运营期环境影响和保护措施</w:t>
            </w:r>
          </w:p>
        </w:tc>
        <w:tc>
          <w:tcPr>
            <w:tcW w:w="8184" w:type="dxa"/>
            <w:noWrap w:val="0"/>
            <w:vAlign w:val="center"/>
          </w:tcPr>
          <w:p>
            <w:pPr>
              <w:pStyle w:val="54"/>
              <w:bidi w:val="0"/>
              <w:rPr>
                <w:rFonts w:hint="default"/>
                <w:color w:val="auto"/>
                <w:lang w:val="en-US" w:eastAsia="zh-CN"/>
              </w:rPr>
            </w:pPr>
            <w:r>
              <w:rPr>
                <w:rFonts w:hint="eastAsia"/>
                <w:b/>
                <w:bCs/>
                <w:color w:val="auto"/>
                <w:lang w:val="en-US" w:eastAsia="zh-CN"/>
              </w:rPr>
              <w:t>一、废气</w:t>
            </w:r>
          </w:p>
          <w:p>
            <w:pPr>
              <w:pStyle w:val="54"/>
              <w:bidi w:val="0"/>
              <w:rPr>
                <w:rFonts w:hint="default"/>
                <w:color w:val="auto"/>
                <w:lang w:val="en-US" w:eastAsia="zh-CN"/>
              </w:rPr>
            </w:pPr>
            <w:r>
              <w:rPr>
                <w:rFonts w:hint="eastAsia"/>
                <w:color w:val="auto"/>
                <w:lang w:val="en-US" w:eastAsia="zh-CN"/>
              </w:rPr>
              <w:t>1、产生情况</w:t>
            </w:r>
          </w:p>
          <w:p>
            <w:pPr>
              <w:pStyle w:val="54"/>
              <w:bidi w:val="0"/>
              <w:rPr>
                <w:rFonts w:hint="eastAsia"/>
                <w:color w:val="auto"/>
                <w:lang w:val="en-US" w:eastAsia="zh-CN"/>
              </w:rPr>
            </w:pPr>
            <w:r>
              <w:rPr>
                <w:rFonts w:hint="eastAsia"/>
                <w:color w:val="auto"/>
                <w:lang w:val="en-US" w:eastAsia="zh-CN"/>
              </w:rPr>
              <w:t>本项目运营期产生的废气主要有投料粉尘、磨粉粉尘及包装粉尘。</w:t>
            </w:r>
          </w:p>
          <w:p>
            <w:pPr>
              <w:pStyle w:val="54"/>
              <w:bidi w:val="0"/>
              <w:rPr>
                <w:rFonts w:hint="eastAsia"/>
                <w:color w:val="auto"/>
                <w:lang w:val="en-US" w:eastAsia="zh-CN"/>
              </w:rPr>
            </w:pPr>
            <w:r>
              <w:rPr>
                <w:rFonts w:hint="eastAsia"/>
                <w:color w:val="auto"/>
                <w:lang w:val="en-US" w:eastAsia="zh-CN"/>
              </w:rPr>
              <w:t>（1）投料粉尘</w:t>
            </w:r>
          </w:p>
          <w:p>
            <w:pPr>
              <w:pStyle w:val="54"/>
              <w:bidi w:val="0"/>
              <w:rPr>
                <w:rFonts w:hint="default"/>
                <w:color w:val="auto"/>
                <w:lang w:val="en-US" w:eastAsia="zh-CN"/>
              </w:rPr>
            </w:pPr>
            <w:r>
              <w:rPr>
                <w:rFonts w:hint="eastAsia"/>
                <w:color w:val="auto"/>
                <w:lang w:val="en-US" w:eastAsia="zh-CN"/>
              </w:rPr>
              <w:t>①G1原料投料粉尘</w:t>
            </w:r>
          </w:p>
          <w:p>
            <w:pPr>
              <w:pStyle w:val="54"/>
              <w:bidi w:val="0"/>
              <w:rPr>
                <w:rFonts w:hint="default"/>
                <w:color w:val="auto"/>
                <w:lang w:val="en-US" w:eastAsia="zh-CN"/>
              </w:rPr>
            </w:pPr>
            <w:r>
              <w:rPr>
                <w:rFonts w:hint="eastAsia"/>
                <w:color w:val="auto"/>
                <w:lang w:val="en-US" w:eastAsia="zh-CN"/>
              </w:rPr>
              <w:t>本项目在原料投料过程中会产生颗粒物，参考《逸散性工业粉尘控制技术》中投料过程粉尘产生系数为0.01kg/t-原料进行计算，原料使用量为150000t/a。设计风量为20000m</w:t>
            </w:r>
            <w:r>
              <w:rPr>
                <w:rFonts w:hint="eastAsia"/>
                <w:color w:val="auto"/>
                <w:vertAlign w:val="superscript"/>
                <w:lang w:val="en-US" w:eastAsia="zh-CN"/>
              </w:rPr>
              <w:t>3</w:t>
            </w:r>
            <w:r>
              <w:rPr>
                <w:rFonts w:hint="eastAsia"/>
                <w:color w:val="auto"/>
                <w:lang w:val="en-US" w:eastAsia="zh-CN"/>
              </w:rPr>
              <w:t>/h，投料口处设计了三面封闭的投料斗，投料斗顶部设计有集气罩（尺寸3m×1.4m），侧面有吸尘管（根据设计提供资料收集效率80%），集气罩吸尘管连接到高效脉冲布袋除尘器对产生的粉尘进行处理（处理效率99.5%）。</w:t>
            </w:r>
          </w:p>
          <w:p>
            <w:pPr>
              <w:pStyle w:val="54"/>
              <w:bidi w:val="0"/>
              <w:rPr>
                <w:rFonts w:hint="eastAsia"/>
                <w:color w:val="auto"/>
                <w:lang w:val="en-US" w:eastAsia="zh-CN"/>
              </w:rPr>
            </w:pPr>
            <w:r>
              <w:rPr>
                <w:rFonts w:hint="eastAsia"/>
                <w:color w:val="auto"/>
                <w:lang w:val="en-US" w:eastAsia="zh-CN"/>
              </w:rPr>
              <w:t>原料投料工段有组织颗粒物产生量=0.01×150000/1000=1.5t/a，产生速率=1.5×1000/6720=0.223kg/h，产生浓度=0.223×10</w:t>
            </w:r>
            <w:r>
              <w:rPr>
                <w:rFonts w:hint="eastAsia"/>
                <w:color w:val="auto"/>
                <w:vertAlign w:val="superscript"/>
                <w:lang w:val="en-US" w:eastAsia="zh-CN"/>
              </w:rPr>
              <w:t>6</w:t>
            </w:r>
            <w:r>
              <w:rPr>
                <w:rFonts w:hint="eastAsia"/>
                <w:color w:val="auto"/>
                <w:lang w:val="en-US" w:eastAsia="zh-CN"/>
              </w:rPr>
              <w:t>/20000=11.15mg/m</w:t>
            </w:r>
            <w:r>
              <w:rPr>
                <w:rFonts w:hint="eastAsia"/>
                <w:color w:val="auto"/>
                <w:vertAlign w:val="superscript"/>
                <w:lang w:val="en-US" w:eastAsia="zh-CN"/>
              </w:rPr>
              <w:t>3</w:t>
            </w:r>
            <w:r>
              <w:rPr>
                <w:rFonts w:hint="eastAsia"/>
                <w:color w:val="auto"/>
                <w:lang w:val="en-US" w:eastAsia="zh-CN"/>
              </w:rPr>
              <w:t>；产生的粉尘经集气罩进行收集后经1台高效脉冲布袋除尘器除尘后通过1根DA001高度为15m的排气筒排放，则颗粒物排放量=1.5×80%×（1-99.5%）=0.006t/a，排放速率=0.006×1000/6720=0.001kg/h，排放浓度=0.001×10</w:t>
            </w:r>
            <w:r>
              <w:rPr>
                <w:rFonts w:hint="eastAsia"/>
                <w:color w:val="auto"/>
                <w:vertAlign w:val="superscript"/>
                <w:lang w:val="en-US" w:eastAsia="zh-CN"/>
              </w:rPr>
              <w:t>6</w:t>
            </w:r>
            <w:r>
              <w:rPr>
                <w:rFonts w:hint="eastAsia"/>
                <w:color w:val="auto"/>
                <w:lang w:val="en-US" w:eastAsia="zh-CN"/>
              </w:rPr>
              <w:t>/20000=0.05mg/m</w:t>
            </w:r>
            <w:r>
              <w:rPr>
                <w:rFonts w:hint="eastAsia"/>
                <w:color w:val="auto"/>
                <w:vertAlign w:val="superscript"/>
                <w:lang w:val="en-US" w:eastAsia="zh-CN"/>
              </w:rPr>
              <w:t>3</w:t>
            </w:r>
            <w:r>
              <w:rPr>
                <w:rFonts w:hint="eastAsia"/>
                <w:color w:val="auto"/>
                <w:lang w:val="en-US" w:eastAsia="zh-CN"/>
              </w:rPr>
              <w:t>。原料投料工段无组织颗粒物产生量=1.5×（1-80%）=0.3t/a。</w:t>
            </w:r>
          </w:p>
          <w:p>
            <w:pPr>
              <w:pStyle w:val="54"/>
              <w:bidi w:val="0"/>
              <w:rPr>
                <w:rFonts w:hint="eastAsia"/>
                <w:color w:val="auto"/>
                <w:lang w:val="en-US" w:eastAsia="zh-CN"/>
              </w:rPr>
            </w:pPr>
            <w:r>
              <w:rPr>
                <w:rFonts w:hint="eastAsia"/>
                <w:color w:val="auto"/>
                <w:lang w:val="en-US" w:eastAsia="zh-CN"/>
              </w:rPr>
              <w:t>根据计算结果，DA001颗粒物排放速率为0.001kg/h，排放浓度为0.05mg/m</w:t>
            </w:r>
            <w:r>
              <w:rPr>
                <w:rFonts w:hint="eastAsia"/>
                <w:color w:val="auto"/>
                <w:vertAlign w:val="superscript"/>
                <w:lang w:val="en-US" w:eastAsia="zh-CN"/>
              </w:rPr>
              <w:t>3</w:t>
            </w:r>
            <w:r>
              <w:rPr>
                <w:rFonts w:hint="eastAsia"/>
                <w:color w:val="auto"/>
                <w:lang w:val="en-US" w:eastAsia="zh-CN"/>
              </w:rPr>
              <w:t>，满足《大气污染物综合排放标准》（GB 16297-1996）最高允许排放浓度120mg/m</w:t>
            </w:r>
            <w:r>
              <w:rPr>
                <w:rFonts w:hint="eastAsia"/>
                <w:color w:val="auto"/>
                <w:vertAlign w:val="superscript"/>
                <w:lang w:val="en-US" w:eastAsia="zh-CN"/>
              </w:rPr>
              <w:t>3</w:t>
            </w:r>
            <w:r>
              <w:rPr>
                <w:rFonts w:hint="eastAsia"/>
                <w:color w:val="auto"/>
                <w:lang w:val="en-US" w:eastAsia="zh-CN"/>
              </w:rPr>
              <w:t>，最高允许排放速率3.5kg/h（排气筒高度15m二级排放速率）的限值要求。</w:t>
            </w:r>
          </w:p>
          <w:p>
            <w:pPr>
              <w:pStyle w:val="54"/>
              <w:bidi w:val="0"/>
              <w:rPr>
                <w:rFonts w:hint="default"/>
                <w:color w:val="auto"/>
                <w:lang w:val="en-US" w:eastAsia="zh-CN"/>
              </w:rPr>
            </w:pPr>
            <w:r>
              <w:rPr>
                <w:rFonts w:hint="eastAsia"/>
                <w:color w:val="auto"/>
                <w:lang w:val="en-US" w:eastAsia="zh-CN"/>
              </w:rPr>
              <w:t>②G4辅料投料粉尘</w:t>
            </w:r>
          </w:p>
          <w:p>
            <w:pPr>
              <w:pStyle w:val="54"/>
              <w:bidi w:val="0"/>
              <w:rPr>
                <w:rFonts w:hint="default"/>
                <w:color w:val="auto"/>
                <w:lang w:val="en-US" w:eastAsia="zh-CN"/>
              </w:rPr>
            </w:pPr>
            <w:r>
              <w:rPr>
                <w:rFonts w:hint="eastAsia"/>
                <w:color w:val="auto"/>
                <w:lang w:val="en-US" w:eastAsia="zh-CN"/>
              </w:rPr>
              <w:t>本项目在辅料投料过程中会产生颗粒物，参考《逸散性工业粉尘控制技术》中投料过程粉尘产生系数为0.01kg/t-原料进行计算。黄腐酸使用量为130t/a，聚谷氨酸使用量为40t/a，硼酸使用量为20t/a，辅料投料工段无组织颗粒物产生量=（130+40+20）×0.01/1000=0.0019t/a。</w:t>
            </w:r>
            <w:r>
              <w:rPr>
                <w:rFonts w:hint="default"/>
                <w:color w:val="auto"/>
                <w:lang w:val="en-US" w:eastAsia="zh-CN"/>
              </w:rPr>
              <w:t>产尘量较小，位于封闭的厂房中，以无组织粉尘逸散。</w:t>
            </w:r>
          </w:p>
          <w:p>
            <w:pPr>
              <w:pStyle w:val="54"/>
              <w:bidi w:val="0"/>
              <w:rPr>
                <w:rFonts w:hint="eastAsia"/>
                <w:color w:val="auto"/>
                <w:lang w:val="en-US" w:eastAsia="zh-CN"/>
              </w:rPr>
            </w:pPr>
            <w:r>
              <w:rPr>
                <w:rFonts w:hint="eastAsia"/>
                <w:color w:val="auto"/>
                <w:lang w:val="en-US" w:eastAsia="zh-CN"/>
              </w:rPr>
              <w:t>（2）磨粉粉尘</w:t>
            </w:r>
          </w:p>
          <w:p>
            <w:pPr>
              <w:pStyle w:val="54"/>
              <w:bidi w:val="0"/>
              <w:rPr>
                <w:rFonts w:hint="default"/>
                <w:color w:val="auto"/>
                <w:lang w:val="en-US" w:eastAsia="zh-CN"/>
              </w:rPr>
            </w:pPr>
            <w:r>
              <w:rPr>
                <w:rFonts w:hint="eastAsia"/>
                <w:color w:val="auto"/>
                <w:lang w:val="en-US" w:eastAsia="zh-CN"/>
              </w:rPr>
              <w:t>本项目在磨粉过程中会产生颗粒物，根据《排放源统计调查产排污核算方法排放源统计调查产排污核算方法》中2624复混肥料制造行业系数手册中产污系数可知颗粒物为8.40千克/吨-产品，产品产生量为150000t。单台除尘装置设计风量3370m</w:t>
            </w:r>
            <w:r>
              <w:rPr>
                <w:rFonts w:hint="eastAsia"/>
                <w:color w:val="auto"/>
                <w:vertAlign w:val="superscript"/>
                <w:lang w:val="en-US" w:eastAsia="zh-CN"/>
              </w:rPr>
              <w:t>3</w:t>
            </w:r>
            <w:r>
              <w:rPr>
                <w:rFonts w:hint="eastAsia"/>
                <w:color w:val="auto"/>
                <w:lang w:val="en-US" w:eastAsia="zh-CN"/>
              </w:rPr>
              <w:t>/h，每台包装机粉碎机配套一个除尘装置，产生的颗粒物经高效脉冲布袋除尘器处理后通过1根DA002高度为15m的排气筒排放。</w:t>
            </w:r>
          </w:p>
          <w:p>
            <w:pPr>
              <w:pStyle w:val="54"/>
              <w:bidi w:val="0"/>
              <w:rPr>
                <w:rFonts w:hint="eastAsia"/>
                <w:color w:val="auto"/>
                <w:lang w:val="en-US" w:eastAsia="zh-CN"/>
              </w:rPr>
            </w:pPr>
            <w:r>
              <w:rPr>
                <w:rFonts w:hint="eastAsia"/>
                <w:color w:val="auto"/>
                <w:lang w:val="en-US" w:eastAsia="zh-CN"/>
              </w:rPr>
              <w:t>磨粉工段颗粒物产生量=8.4×150000/1000=1260t，产生速率=1260×1000/6720=187.5kg/h，产生浓度=187.5×10</w:t>
            </w:r>
            <w:r>
              <w:rPr>
                <w:rFonts w:hint="eastAsia"/>
                <w:color w:val="auto"/>
                <w:vertAlign w:val="superscript"/>
                <w:lang w:val="en-US" w:eastAsia="zh-CN"/>
              </w:rPr>
              <w:t>6</w:t>
            </w:r>
            <w:r>
              <w:rPr>
                <w:rFonts w:hint="eastAsia"/>
                <w:color w:val="auto"/>
                <w:lang w:val="en-US" w:eastAsia="zh-CN"/>
              </w:rPr>
              <w:t>/（3370×6）=9272.997mg/m</w:t>
            </w:r>
            <w:r>
              <w:rPr>
                <w:rFonts w:hint="eastAsia"/>
                <w:color w:val="auto"/>
                <w:vertAlign w:val="superscript"/>
                <w:lang w:val="en-US" w:eastAsia="zh-CN"/>
              </w:rPr>
              <w:t>3</w:t>
            </w:r>
            <w:r>
              <w:rPr>
                <w:rFonts w:hint="eastAsia"/>
                <w:color w:val="auto"/>
                <w:lang w:val="en-US" w:eastAsia="zh-CN"/>
              </w:rPr>
              <w:t>；产生的粉尘经6台高效脉冲布袋除尘器（处理效率99.5%）除尘后通过1根DA002高度为15m的排气筒排放，则颗粒物排放量=1260×（1-99.5%）=6.3t，排放速率=6.3×1000/6720=0.938kg/h，排放浓度=0.938×10</w:t>
            </w:r>
            <w:r>
              <w:rPr>
                <w:rFonts w:hint="eastAsia"/>
                <w:color w:val="auto"/>
                <w:vertAlign w:val="superscript"/>
                <w:lang w:val="en-US" w:eastAsia="zh-CN"/>
              </w:rPr>
              <w:t>6</w:t>
            </w:r>
            <w:r>
              <w:rPr>
                <w:rFonts w:hint="eastAsia"/>
                <w:color w:val="auto"/>
                <w:lang w:val="en-US" w:eastAsia="zh-CN"/>
              </w:rPr>
              <w:t>/（3370×6）=46.39mg/m</w:t>
            </w:r>
            <w:r>
              <w:rPr>
                <w:rFonts w:hint="eastAsia"/>
                <w:color w:val="auto"/>
                <w:vertAlign w:val="superscript"/>
                <w:lang w:val="en-US" w:eastAsia="zh-CN"/>
              </w:rPr>
              <w:t>3</w:t>
            </w:r>
            <w:r>
              <w:rPr>
                <w:rFonts w:hint="eastAsia"/>
                <w:color w:val="auto"/>
                <w:lang w:val="en-US" w:eastAsia="zh-CN"/>
              </w:rPr>
              <w:t>。</w:t>
            </w:r>
          </w:p>
          <w:p>
            <w:pPr>
              <w:pStyle w:val="54"/>
              <w:bidi w:val="0"/>
              <w:rPr>
                <w:rFonts w:hint="eastAsia"/>
                <w:color w:val="auto"/>
                <w:lang w:val="en-US" w:eastAsia="zh-CN"/>
              </w:rPr>
            </w:pPr>
            <w:r>
              <w:rPr>
                <w:rFonts w:hint="eastAsia"/>
                <w:color w:val="auto"/>
                <w:lang w:val="en-US" w:eastAsia="zh-CN"/>
              </w:rPr>
              <w:t>根据计算结果，DA002颗粒物排放速率为0.938kg/h，排放浓度为46.39mg/m</w:t>
            </w:r>
            <w:r>
              <w:rPr>
                <w:rFonts w:hint="eastAsia"/>
                <w:color w:val="auto"/>
                <w:vertAlign w:val="superscript"/>
                <w:lang w:val="en-US" w:eastAsia="zh-CN"/>
              </w:rPr>
              <w:t>3</w:t>
            </w:r>
            <w:r>
              <w:rPr>
                <w:rFonts w:hint="eastAsia"/>
                <w:color w:val="auto"/>
                <w:lang w:val="en-US" w:eastAsia="zh-CN"/>
              </w:rPr>
              <w:t>，满足《大气污染物综合排放标准》（GB 16297-1996）最高允许排放浓度120mg/m</w:t>
            </w:r>
            <w:r>
              <w:rPr>
                <w:rFonts w:hint="eastAsia"/>
                <w:color w:val="auto"/>
                <w:vertAlign w:val="superscript"/>
                <w:lang w:val="en-US" w:eastAsia="zh-CN"/>
              </w:rPr>
              <w:t>3</w:t>
            </w:r>
            <w:r>
              <w:rPr>
                <w:rFonts w:hint="eastAsia"/>
                <w:color w:val="auto"/>
                <w:lang w:val="en-US" w:eastAsia="zh-CN"/>
              </w:rPr>
              <w:t>，最高允许排放速率3.5kg/h（排气筒高度15m二级排放速率）的限值要求。</w:t>
            </w:r>
          </w:p>
          <w:p>
            <w:pPr>
              <w:pStyle w:val="54"/>
              <w:bidi w:val="0"/>
              <w:rPr>
                <w:rFonts w:hint="eastAsia"/>
                <w:color w:val="auto"/>
                <w:lang w:val="en-US" w:eastAsia="zh-CN"/>
              </w:rPr>
            </w:pPr>
            <w:r>
              <w:rPr>
                <w:rFonts w:hint="eastAsia"/>
                <w:color w:val="auto"/>
                <w:lang w:val="en-US" w:eastAsia="zh-CN"/>
              </w:rPr>
              <w:t>（3）包装粉尘</w:t>
            </w:r>
          </w:p>
          <w:p>
            <w:pPr>
              <w:pStyle w:val="54"/>
              <w:bidi w:val="0"/>
              <w:rPr>
                <w:rFonts w:hint="default"/>
                <w:color w:val="auto"/>
                <w:lang w:val="en-US" w:eastAsia="zh-CN"/>
              </w:rPr>
            </w:pPr>
            <w:r>
              <w:rPr>
                <w:rFonts w:hint="eastAsia"/>
                <w:color w:val="auto"/>
                <w:lang w:val="en-US" w:eastAsia="zh-CN"/>
              </w:rPr>
              <w:t>本项目在包装过程中会产生颗粒物，以产品的0.01%进行计算，产品产生量为150000t/a，单台包装机包装量为150000/6=25000t/a。单台除尘装置设计风量25000m</w:t>
            </w:r>
            <w:r>
              <w:rPr>
                <w:rFonts w:hint="eastAsia"/>
                <w:color w:val="auto"/>
                <w:vertAlign w:val="superscript"/>
                <w:lang w:val="en-US" w:eastAsia="zh-CN"/>
              </w:rPr>
              <w:t>3</w:t>
            </w:r>
            <w:r>
              <w:rPr>
                <w:rFonts w:hint="eastAsia"/>
                <w:color w:val="auto"/>
                <w:lang w:val="en-US" w:eastAsia="zh-CN"/>
              </w:rPr>
              <w:t>/h，每两台包装机共用一个除尘装置，在包装机易泄露粉尘的位置设计多个吸尘口（根据设计提供资料收集效率90%），1#和2#包装机产生的粉尘通过收集经高效脉冲布袋除尘器（处理效率99.5%）处理后通过1根DA003高度为15m的排气筒排放；3#、4#、5#和6#包装机产生的粉尘通过收集经高效脉冲布袋除尘器（处理效率99.5%）处理后通过1根DA004高度为15m的排气筒排放。</w:t>
            </w:r>
          </w:p>
          <w:p>
            <w:pPr>
              <w:pStyle w:val="54"/>
              <w:bidi w:val="0"/>
              <w:rPr>
                <w:rFonts w:hint="eastAsia"/>
                <w:color w:val="auto"/>
                <w:vertAlign w:val="baseline"/>
                <w:lang w:val="en-US" w:eastAsia="zh-CN"/>
              </w:rPr>
            </w:pPr>
            <w:r>
              <w:rPr>
                <w:rFonts w:hint="eastAsia"/>
                <w:color w:val="auto"/>
                <w:lang w:val="en-US" w:eastAsia="zh-CN"/>
              </w:rPr>
              <w:t>DA003颗粒物产生量=25000×2×0.01%=5t/a，产生速率=5×1000/6720=0.744kg/h，产生浓度=0.744×10</w:t>
            </w:r>
            <w:r>
              <w:rPr>
                <w:rFonts w:hint="eastAsia"/>
                <w:color w:val="auto"/>
                <w:vertAlign w:val="superscript"/>
                <w:lang w:val="en-US" w:eastAsia="zh-CN"/>
              </w:rPr>
              <w:t>6</w:t>
            </w:r>
            <w:r>
              <w:rPr>
                <w:rFonts w:hint="eastAsia"/>
                <w:color w:val="auto"/>
                <w:lang w:val="en-US" w:eastAsia="zh-CN"/>
              </w:rPr>
              <w:t>/25000=29.76mg/m</w:t>
            </w:r>
            <w:r>
              <w:rPr>
                <w:rFonts w:hint="eastAsia"/>
                <w:color w:val="auto"/>
                <w:vertAlign w:val="superscript"/>
                <w:lang w:val="en-US" w:eastAsia="zh-CN"/>
              </w:rPr>
              <w:t>3</w:t>
            </w:r>
            <w:r>
              <w:rPr>
                <w:rFonts w:hint="eastAsia"/>
                <w:color w:val="auto"/>
                <w:vertAlign w:val="baseline"/>
                <w:lang w:val="en-US" w:eastAsia="zh-CN"/>
              </w:rPr>
              <w:t>；产生的粉尘经</w:t>
            </w:r>
            <w:r>
              <w:rPr>
                <w:rFonts w:hint="eastAsia"/>
                <w:color w:val="auto"/>
                <w:lang w:val="en-US" w:eastAsia="zh-CN"/>
              </w:rPr>
              <w:t>吸尘口（根据设计提供资料收集效率90%）</w:t>
            </w:r>
            <w:r>
              <w:rPr>
                <w:rFonts w:hint="eastAsia"/>
                <w:color w:val="auto"/>
                <w:vertAlign w:val="baseline"/>
                <w:lang w:val="en-US" w:eastAsia="zh-CN"/>
              </w:rPr>
              <w:t>进行收集后由1台高效脉冲布袋除尘器除尘后通过1根DA003高度为15m的排气筒排放，则颗粒物排放量=5×90%×（1-99.5%）=0.023t/a，排放速率=0.023×1000/6720=0.003kg/h，排放浓度=0.003×10</w:t>
            </w:r>
            <w:r>
              <w:rPr>
                <w:rFonts w:hint="eastAsia"/>
                <w:color w:val="auto"/>
                <w:vertAlign w:val="superscript"/>
                <w:lang w:val="en-US" w:eastAsia="zh-CN"/>
              </w:rPr>
              <w:t>6</w:t>
            </w:r>
            <w:r>
              <w:rPr>
                <w:rFonts w:hint="eastAsia"/>
                <w:color w:val="auto"/>
                <w:vertAlign w:val="baseline"/>
                <w:lang w:val="en-US" w:eastAsia="zh-CN"/>
              </w:rPr>
              <w:t>/25000=0.12mg/m</w:t>
            </w:r>
            <w:r>
              <w:rPr>
                <w:rFonts w:hint="eastAsia"/>
                <w:color w:val="auto"/>
                <w:vertAlign w:val="superscript"/>
                <w:lang w:val="en-US" w:eastAsia="zh-CN"/>
              </w:rPr>
              <w:t>3</w:t>
            </w:r>
            <w:r>
              <w:rPr>
                <w:rFonts w:hint="eastAsia"/>
                <w:color w:val="auto"/>
                <w:vertAlign w:val="baseline"/>
                <w:lang w:val="en-US" w:eastAsia="zh-CN"/>
              </w:rPr>
              <w:t>。</w:t>
            </w:r>
          </w:p>
          <w:p>
            <w:pPr>
              <w:pStyle w:val="54"/>
              <w:bidi w:val="0"/>
              <w:rPr>
                <w:rFonts w:hint="default" w:cs="Times New Roman"/>
                <w:bCs/>
                <w:color w:val="auto"/>
                <w:spacing w:val="-10"/>
                <w:kern w:val="2"/>
                <w:szCs w:val="24"/>
                <w:lang w:val="en-US" w:eastAsia="zh-CN" w:bidi="ar-SA"/>
              </w:rPr>
            </w:pPr>
            <w:r>
              <w:rPr>
                <w:rFonts w:hint="eastAsia"/>
                <w:color w:val="auto"/>
                <w:lang w:val="en-US" w:eastAsia="zh-CN"/>
              </w:rPr>
              <w:t>DA004颗粒物产生量=25000×4×0.01%=10t/a，产生速率=10×1000/6720=1.488kg/h，产生浓度=1.488×10</w:t>
            </w:r>
            <w:r>
              <w:rPr>
                <w:rFonts w:hint="eastAsia"/>
                <w:color w:val="auto"/>
                <w:vertAlign w:val="superscript"/>
                <w:lang w:val="en-US" w:eastAsia="zh-CN"/>
              </w:rPr>
              <w:t>6</w:t>
            </w:r>
            <w:r>
              <w:rPr>
                <w:rFonts w:hint="eastAsia"/>
                <w:color w:val="auto"/>
                <w:lang w:val="en-US" w:eastAsia="zh-CN"/>
              </w:rPr>
              <w:t>/（25000×2）=29.76mg/m</w:t>
            </w:r>
            <w:r>
              <w:rPr>
                <w:rFonts w:hint="eastAsia"/>
                <w:color w:val="auto"/>
                <w:vertAlign w:val="superscript"/>
                <w:lang w:val="en-US" w:eastAsia="zh-CN"/>
              </w:rPr>
              <w:t>3</w:t>
            </w:r>
            <w:r>
              <w:rPr>
                <w:rFonts w:hint="eastAsia"/>
                <w:color w:val="auto"/>
                <w:vertAlign w:val="baseline"/>
                <w:lang w:val="en-US" w:eastAsia="zh-CN"/>
              </w:rPr>
              <w:t>；产生的粉尘经</w:t>
            </w:r>
            <w:r>
              <w:rPr>
                <w:rFonts w:hint="eastAsia"/>
                <w:color w:val="auto"/>
                <w:lang w:val="en-US" w:eastAsia="zh-CN"/>
              </w:rPr>
              <w:t>吸尘口（根据设计提供资料收集效率90%）</w:t>
            </w:r>
            <w:r>
              <w:rPr>
                <w:rFonts w:hint="eastAsia"/>
                <w:color w:val="auto"/>
                <w:vertAlign w:val="baseline"/>
                <w:lang w:val="en-US" w:eastAsia="zh-CN"/>
              </w:rPr>
              <w:t>进行收集后由1台高效脉冲布袋除尘器除尘后通过1根DA003高度为15m的排气筒排放，则颗粒物排放量=10×90%×（1-99.5%）=0.045t/a，排放速率=0.045×1000/6720=0.007kg/h，排放浓度=0.007×10</w:t>
            </w:r>
            <w:r>
              <w:rPr>
                <w:rFonts w:hint="eastAsia"/>
                <w:color w:val="auto"/>
                <w:vertAlign w:val="superscript"/>
                <w:lang w:val="en-US" w:eastAsia="zh-CN"/>
              </w:rPr>
              <w:t>6</w:t>
            </w:r>
            <w:r>
              <w:rPr>
                <w:rFonts w:hint="eastAsia"/>
                <w:color w:val="auto"/>
                <w:vertAlign w:val="baseline"/>
                <w:lang w:val="en-US" w:eastAsia="zh-CN"/>
              </w:rPr>
              <w:t>/</w:t>
            </w:r>
            <w:r>
              <w:rPr>
                <w:rFonts w:hint="eastAsia"/>
                <w:color w:val="auto"/>
                <w:lang w:val="en-US" w:eastAsia="zh-CN"/>
              </w:rPr>
              <w:t>（25000×2）</w:t>
            </w:r>
            <w:r>
              <w:rPr>
                <w:rFonts w:hint="eastAsia"/>
                <w:color w:val="auto"/>
                <w:vertAlign w:val="baseline"/>
                <w:lang w:val="en-US" w:eastAsia="zh-CN"/>
              </w:rPr>
              <w:t>=0.14mg/m</w:t>
            </w:r>
            <w:r>
              <w:rPr>
                <w:rFonts w:hint="eastAsia"/>
                <w:color w:val="auto"/>
                <w:vertAlign w:val="superscript"/>
                <w:lang w:val="en-US" w:eastAsia="zh-CN"/>
              </w:rPr>
              <w:t>3</w:t>
            </w:r>
            <w:r>
              <w:rPr>
                <w:rFonts w:hint="eastAsia"/>
                <w:color w:val="auto"/>
                <w:vertAlign w:val="baseline"/>
                <w:lang w:val="en-US" w:eastAsia="zh-CN"/>
              </w:rPr>
              <w:t>。</w:t>
            </w:r>
          </w:p>
          <w:p>
            <w:pPr>
              <w:pStyle w:val="54"/>
              <w:bidi w:val="0"/>
              <w:rPr>
                <w:rFonts w:hint="eastAsia"/>
                <w:color w:val="auto"/>
                <w:lang w:val="en-US" w:eastAsia="zh-CN"/>
              </w:rPr>
            </w:pPr>
            <w:r>
              <w:rPr>
                <w:rFonts w:hint="eastAsia"/>
                <w:color w:val="auto"/>
                <w:lang w:val="en-US" w:eastAsia="zh-CN"/>
              </w:rPr>
              <w:t>包装工段无组织颗粒物产生量=150000×0.01%×（1-90%）=1.5t/a。</w:t>
            </w:r>
          </w:p>
          <w:p>
            <w:pPr>
              <w:pStyle w:val="54"/>
              <w:bidi w:val="0"/>
              <w:rPr>
                <w:rFonts w:hint="default"/>
                <w:color w:val="auto"/>
                <w:lang w:val="en-US" w:eastAsia="zh-CN"/>
              </w:rPr>
            </w:pPr>
            <w:r>
              <w:rPr>
                <w:rFonts w:hint="eastAsia"/>
                <w:color w:val="auto"/>
                <w:lang w:val="en-US" w:eastAsia="zh-CN"/>
              </w:rPr>
              <w:t>根据计算结果，DA003颗粒物排放速率为0.003kg/h，排放浓度为0.12mg/m</w:t>
            </w:r>
            <w:r>
              <w:rPr>
                <w:rFonts w:hint="eastAsia"/>
                <w:color w:val="auto"/>
                <w:vertAlign w:val="superscript"/>
                <w:lang w:val="en-US" w:eastAsia="zh-CN"/>
              </w:rPr>
              <w:t>3</w:t>
            </w:r>
            <w:r>
              <w:rPr>
                <w:rFonts w:hint="eastAsia"/>
                <w:color w:val="auto"/>
                <w:lang w:val="en-US" w:eastAsia="zh-CN"/>
              </w:rPr>
              <w:t>，DA004颗粒物排放速率为0.007kg/h，排放浓度为0.14mg/m</w:t>
            </w:r>
            <w:r>
              <w:rPr>
                <w:rFonts w:hint="eastAsia"/>
                <w:color w:val="auto"/>
                <w:vertAlign w:val="superscript"/>
                <w:lang w:val="en-US" w:eastAsia="zh-CN"/>
              </w:rPr>
              <w:t>3</w:t>
            </w:r>
            <w:r>
              <w:rPr>
                <w:rFonts w:hint="eastAsia"/>
                <w:color w:val="auto"/>
                <w:lang w:val="en-US" w:eastAsia="zh-CN"/>
              </w:rPr>
              <w:t>，满足《大气污染物综合排放标准》（GB 16297-1996）最高允许排放浓度120mg/m</w:t>
            </w:r>
            <w:r>
              <w:rPr>
                <w:rFonts w:hint="eastAsia"/>
                <w:color w:val="auto"/>
                <w:vertAlign w:val="superscript"/>
                <w:lang w:val="en-US" w:eastAsia="zh-CN"/>
              </w:rPr>
              <w:t>3</w:t>
            </w:r>
            <w:r>
              <w:rPr>
                <w:rFonts w:hint="eastAsia"/>
                <w:color w:val="auto"/>
                <w:lang w:val="en-US" w:eastAsia="zh-CN"/>
              </w:rPr>
              <w:t>，最高允许排放速率3.5kg/h（排气筒高度15m二级排放速率）的限值要求。</w:t>
            </w:r>
          </w:p>
          <w:p>
            <w:pPr>
              <w:pStyle w:val="26"/>
              <w:bidi w:val="0"/>
              <w:rPr>
                <w:rFonts w:hint="default" w:cs="Times New Roman"/>
                <w:bCs/>
                <w:color w:val="auto"/>
                <w:spacing w:val="-10"/>
                <w:kern w:val="2"/>
                <w:szCs w:val="24"/>
                <w:lang w:val="en-US" w:eastAsia="zh-CN" w:bidi="ar-SA"/>
              </w:rPr>
            </w:pPr>
            <w:r>
              <w:rPr>
                <w:rFonts w:hint="default"/>
                <w:color w:val="auto"/>
                <w:lang w:val="en-US" w:eastAsia="zh-CN"/>
              </w:rPr>
              <w:t>表</w:t>
            </w:r>
            <w:r>
              <w:rPr>
                <w:rFonts w:hint="eastAsia"/>
                <w:color w:val="auto"/>
                <w:lang w:val="en-US" w:eastAsia="zh-CN"/>
              </w:rPr>
              <w:t>4</w:t>
            </w:r>
            <w:r>
              <w:rPr>
                <w:rFonts w:hint="default"/>
                <w:color w:val="auto"/>
                <w:lang w:val="en-US" w:eastAsia="zh-CN"/>
              </w:rPr>
              <w:t xml:space="preserve">-1 </w:t>
            </w:r>
            <w:r>
              <w:rPr>
                <w:rFonts w:hint="eastAsia"/>
                <w:color w:val="auto"/>
                <w:lang w:val="en-US" w:eastAsia="zh-CN"/>
              </w:rPr>
              <w:t>废气有组织污染物产排情况</w:t>
            </w:r>
            <w:r>
              <w:rPr>
                <w:rFonts w:hint="default"/>
                <w:color w:val="auto"/>
                <w:lang w:val="en-US" w:eastAsia="zh-CN"/>
              </w:rPr>
              <w:t>一览表</w:t>
            </w:r>
          </w:p>
          <w:tbl>
            <w:tblPr>
              <w:tblStyle w:val="20"/>
              <w:tblW w:w="79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8"/>
              <w:gridCol w:w="428"/>
              <w:gridCol w:w="743"/>
              <w:gridCol w:w="640"/>
              <w:gridCol w:w="750"/>
              <w:gridCol w:w="1075"/>
              <w:gridCol w:w="1088"/>
              <w:gridCol w:w="700"/>
              <w:gridCol w:w="725"/>
              <w:gridCol w:w="712"/>
              <w:gridCol w:w="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 w:type="pct"/>
                  <w:vMerge w:val="restart"/>
                  <w:tcBorders>
                    <w:tl2br w:val="nil"/>
                    <w:tr2bl w:val="nil"/>
                  </w:tcBorders>
                  <w:vAlign w:val="center"/>
                </w:tcPr>
                <w:p>
                  <w:pPr>
                    <w:pStyle w:val="27"/>
                    <w:bidi w:val="0"/>
                    <w:rPr>
                      <w:rFonts w:hint="default"/>
                      <w:color w:val="auto"/>
                      <w:lang w:val="en-US" w:eastAsia="zh-CN"/>
                    </w:rPr>
                  </w:pPr>
                  <w:r>
                    <w:rPr>
                      <w:rFonts w:hint="default"/>
                      <w:color w:val="auto"/>
                      <w:lang w:val="en-US" w:eastAsia="zh-CN"/>
                    </w:rPr>
                    <w:t>产污环节</w:t>
                  </w:r>
                </w:p>
              </w:tc>
              <w:tc>
                <w:tcPr>
                  <w:tcW w:w="269" w:type="pct"/>
                  <w:vMerge w:val="restart"/>
                  <w:tcBorders>
                    <w:tl2br w:val="nil"/>
                    <w:tr2bl w:val="nil"/>
                  </w:tcBorders>
                  <w:vAlign w:val="center"/>
                </w:tcPr>
                <w:p>
                  <w:pPr>
                    <w:pStyle w:val="27"/>
                    <w:bidi w:val="0"/>
                    <w:rPr>
                      <w:rFonts w:hint="default"/>
                      <w:color w:val="auto"/>
                      <w:lang w:val="en-US" w:eastAsia="zh-CN"/>
                    </w:rPr>
                  </w:pPr>
                  <w:r>
                    <w:rPr>
                      <w:rFonts w:hint="default"/>
                      <w:color w:val="auto"/>
                      <w:lang w:val="en-US" w:eastAsia="zh-CN"/>
                    </w:rPr>
                    <w:t>污染物</w:t>
                  </w:r>
                </w:p>
              </w:tc>
              <w:tc>
                <w:tcPr>
                  <w:tcW w:w="467" w:type="pct"/>
                  <w:vMerge w:val="restart"/>
                  <w:tcBorders>
                    <w:tl2br w:val="nil"/>
                    <w:tr2bl w:val="nil"/>
                  </w:tcBorders>
                  <w:vAlign w:val="center"/>
                </w:tcPr>
                <w:p>
                  <w:pPr>
                    <w:pStyle w:val="27"/>
                    <w:bidi w:val="0"/>
                    <w:rPr>
                      <w:rFonts w:hint="eastAsia"/>
                      <w:color w:val="auto"/>
                      <w:lang w:val="en-US" w:eastAsia="zh-CN"/>
                    </w:rPr>
                  </w:pPr>
                  <w:r>
                    <w:rPr>
                      <w:rFonts w:hint="eastAsia"/>
                      <w:color w:val="auto"/>
                      <w:lang w:val="en-US" w:eastAsia="zh-CN"/>
                    </w:rPr>
                    <w:t>风量</w:t>
                  </w:r>
                </w:p>
                <w:p>
                  <w:pPr>
                    <w:pStyle w:val="27"/>
                    <w:bidi w:val="0"/>
                    <w:rPr>
                      <w:rFonts w:hint="default"/>
                      <w:color w:val="auto"/>
                      <w:lang w:val="en-US" w:eastAsia="zh-CN"/>
                    </w:rPr>
                  </w:pPr>
                  <w:r>
                    <w:rPr>
                      <w:rFonts w:hint="eastAsia"/>
                      <w:color w:val="auto"/>
                      <w:lang w:val="en-US" w:eastAsia="zh-CN"/>
                    </w:rPr>
                    <w:t>m</w:t>
                  </w:r>
                  <w:r>
                    <w:rPr>
                      <w:rFonts w:hint="eastAsia"/>
                      <w:color w:val="auto"/>
                      <w:vertAlign w:val="superscript"/>
                      <w:lang w:val="en-US" w:eastAsia="zh-CN"/>
                    </w:rPr>
                    <w:t>3</w:t>
                  </w:r>
                  <w:r>
                    <w:rPr>
                      <w:rFonts w:hint="eastAsia"/>
                      <w:color w:val="auto"/>
                      <w:lang w:val="en-US" w:eastAsia="zh-CN"/>
                    </w:rPr>
                    <w:t>/h</w:t>
                  </w:r>
                </w:p>
              </w:tc>
              <w:tc>
                <w:tcPr>
                  <w:tcW w:w="1552" w:type="pct"/>
                  <w:gridSpan w:val="3"/>
                  <w:tcBorders>
                    <w:tl2br w:val="nil"/>
                    <w:tr2bl w:val="nil"/>
                  </w:tcBorders>
                  <w:vAlign w:val="center"/>
                </w:tcPr>
                <w:p>
                  <w:pPr>
                    <w:pStyle w:val="27"/>
                    <w:bidi w:val="0"/>
                    <w:rPr>
                      <w:rFonts w:hint="eastAsia"/>
                      <w:color w:val="auto"/>
                      <w:lang w:val="en-US" w:eastAsia="zh-CN"/>
                    </w:rPr>
                  </w:pPr>
                  <w:r>
                    <w:rPr>
                      <w:rFonts w:hint="eastAsia"/>
                      <w:color w:val="auto"/>
                      <w:lang w:val="en-US" w:eastAsia="zh-CN"/>
                    </w:rPr>
                    <w:t>污染物</w:t>
                  </w:r>
                  <w:r>
                    <w:rPr>
                      <w:rFonts w:hint="default"/>
                      <w:color w:val="auto"/>
                      <w:lang w:val="en-US" w:eastAsia="zh-CN"/>
                    </w:rPr>
                    <w:t>产生</w:t>
                  </w:r>
                </w:p>
              </w:tc>
              <w:tc>
                <w:tcPr>
                  <w:tcW w:w="685" w:type="pct"/>
                  <w:vMerge w:val="restart"/>
                  <w:tcBorders>
                    <w:tl2br w:val="nil"/>
                    <w:tr2bl w:val="nil"/>
                  </w:tcBorders>
                  <w:vAlign w:val="center"/>
                </w:tcPr>
                <w:p>
                  <w:pPr>
                    <w:pStyle w:val="27"/>
                    <w:bidi w:val="0"/>
                    <w:rPr>
                      <w:rFonts w:hint="default"/>
                      <w:color w:val="auto"/>
                      <w:lang w:val="en-US" w:eastAsia="zh-CN"/>
                    </w:rPr>
                  </w:pPr>
                  <w:r>
                    <w:rPr>
                      <w:rFonts w:hint="default"/>
                      <w:color w:val="auto"/>
                      <w:lang w:val="en-US" w:eastAsia="zh-CN"/>
                    </w:rPr>
                    <w:t>治理措施</w:t>
                  </w:r>
                </w:p>
              </w:tc>
              <w:tc>
                <w:tcPr>
                  <w:tcW w:w="1345" w:type="pct"/>
                  <w:gridSpan w:val="3"/>
                  <w:tcBorders>
                    <w:tl2br w:val="nil"/>
                    <w:tr2bl w:val="nil"/>
                  </w:tcBorders>
                  <w:vAlign w:val="center"/>
                </w:tcPr>
                <w:p>
                  <w:pPr>
                    <w:pStyle w:val="27"/>
                    <w:bidi w:val="0"/>
                    <w:rPr>
                      <w:rFonts w:hint="default"/>
                      <w:color w:val="auto"/>
                      <w:lang w:val="en-US" w:eastAsia="zh-CN"/>
                    </w:rPr>
                  </w:pPr>
                  <w:r>
                    <w:rPr>
                      <w:rFonts w:hint="default"/>
                      <w:color w:val="auto"/>
                      <w:lang w:val="en-US" w:eastAsia="zh-CN"/>
                    </w:rPr>
                    <w:t>污染物排放</w:t>
                  </w:r>
                </w:p>
              </w:tc>
              <w:tc>
                <w:tcPr>
                  <w:tcW w:w="409" w:type="pct"/>
                  <w:vMerge w:val="restart"/>
                  <w:tcBorders>
                    <w:tl2br w:val="nil"/>
                    <w:tr2bl w:val="nil"/>
                  </w:tcBorders>
                  <w:vAlign w:val="center"/>
                </w:tcPr>
                <w:p>
                  <w:pPr>
                    <w:pStyle w:val="27"/>
                    <w:bidi w:val="0"/>
                    <w:rPr>
                      <w:rFonts w:hint="default"/>
                      <w:color w:val="auto"/>
                      <w:lang w:val="en-US" w:eastAsia="zh-CN"/>
                    </w:rPr>
                  </w:pPr>
                  <w:r>
                    <w:rPr>
                      <w:rFonts w:hint="default"/>
                      <w:color w:val="auto"/>
                      <w:lang w:val="en-US" w:eastAsia="zh-CN"/>
                    </w:rPr>
                    <w:t>排放时间h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 w:type="pct"/>
                  <w:vMerge w:val="continue"/>
                  <w:tcBorders>
                    <w:tl2br w:val="nil"/>
                    <w:tr2bl w:val="nil"/>
                  </w:tcBorders>
                  <w:vAlign w:val="center"/>
                </w:tcPr>
                <w:p>
                  <w:pPr>
                    <w:pStyle w:val="27"/>
                    <w:bidi w:val="0"/>
                    <w:rPr>
                      <w:rFonts w:hint="default"/>
                      <w:color w:val="auto"/>
                      <w:lang w:val="en-US" w:eastAsia="zh-CN"/>
                    </w:rPr>
                  </w:pPr>
                </w:p>
              </w:tc>
              <w:tc>
                <w:tcPr>
                  <w:tcW w:w="269" w:type="pct"/>
                  <w:vMerge w:val="continue"/>
                  <w:tcBorders>
                    <w:tl2br w:val="nil"/>
                    <w:tr2bl w:val="nil"/>
                  </w:tcBorders>
                  <w:vAlign w:val="center"/>
                </w:tcPr>
                <w:p>
                  <w:pPr>
                    <w:pStyle w:val="27"/>
                    <w:bidi w:val="0"/>
                    <w:rPr>
                      <w:rFonts w:hint="default"/>
                      <w:color w:val="auto"/>
                      <w:lang w:val="en-US" w:eastAsia="zh-CN"/>
                    </w:rPr>
                  </w:pPr>
                </w:p>
              </w:tc>
              <w:tc>
                <w:tcPr>
                  <w:tcW w:w="467" w:type="pct"/>
                  <w:vMerge w:val="continue"/>
                  <w:tcBorders>
                    <w:tl2br w:val="nil"/>
                    <w:tr2bl w:val="nil"/>
                  </w:tcBorders>
                  <w:vAlign w:val="center"/>
                </w:tcPr>
                <w:p>
                  <w:pPr>
                    <w:pStyle w:val="27"/>
                    <w:bidi w:val="0"/>
                    <w:rPr>
                      <w:rFonts w:hint="default"/>
                      <w:color w:val="auto"/>
                      <w:lang w:val="en-US" w:eastAsia="zh-CN"/>
                    </w:rPr>
                  </w:pPr>
                </w:p>
              </w:tc>
              <w:tc>
                <w:tcPr>
                  <w:tcW w:w="403"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产生量</w:t>
                  </w:r>
                </w:p>
                <w:p>
                  <w:pPr>
                    <w:pStyle w:val="27"/>
                    <w:bidi w:val="0"/>
                    <w:rPr>
                      <w:rFonts w:hint="default"/>
                      <w:color w:val="auto"/>
                      <w:lang w:val="en-US" w:eastAsia="zh-CN"/>
                    </w:rPr>
                  </w:pPr>
                  <w:r>
                    <w:rPr>
                      <w:rFonts w:hint="eastAsia"/>
                      <w:color w:val="auto"/>
                      <w:lang w:val="en-US" w:eastAsia="zh-CN"/>
                    </w:rPr>
                    <w:t>t</w:t>
                  </w:r>
                  <w:r>
                    <w:rPr>
                      <w:rFonts w:hint="default"/>
                      <w:color w:val="auto"/>
                      <w:lang w:val="en-US" w:eastAsia="zh-CN"/>
                    </w:rPr>
                    <w:t>/a</w:t>
                  </w:r>
                </w:p>
              </w:tc>
              <w:tc>
                <w:tcPr>
                  <w:tcW w:w="472"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产生速率</w:t>
                  </w:r>
                </w:p>
                <w:p>
                  <w:pPr>
                    <w:pStyle w:val="27"/>
                    <w:bidi w:val="0"/>
                    <w:rPr>
                      <w:rFonts w:hint="default"/>
                      <w:color w:val="auto"/>
                      <w:lang w:val="en-US" w:eastAsia="zh-CN"/>
                    </w:rPr>
                  </w:pPr>
                  <w:r>
                    <w:rPr>
                      <w:rFonts w:hint="eastAsia"/>
                      <w:color w:val="auto"/>
                      <w:lang w:val="en-US" w:eastAsia="zh-CN"/>
                    </w:rPr>
                    <w:t>kg/h</w:t>
                  </w:r>
                </w:p>
              </w:tc>
              <w:tc>
                <w:tcPr>
                  <w:tcW w:w="67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产生浓度</w:t>
                  </w:r>
                </w:p>
                <w:p>
                  <w:pPr>
                    <w:pStyle w:val="27"/>
                    <w:bidi w:val="0"/>
                    <w:rPr>
                      <w:rFonts w:hint="eastAsia"/>
                      <w:color w:val="auto"/>
                      <w:lang w:val="en-US" w:eastAsia="zh-CN"/>
                    </w:rPr>
                  </w:pPr>
                  <w:r>
                    <w:rPr>
                      <w:rFonts w:hint="eastAsia"/>
                      <w:color w:val="auto"/>
                      <w:lang w:val="en-US" w:eastAsia="zh-CN"/>
                    </w:rPr>
                    <w:t>mg/m</w:t>
                  </w:r>
                  <w:r>
                    <w:rPr>
                      <w:rFonts w:hint="eastAsia"/>
                      <w:color w:val="auto"/>
                      <w:vertAlign w:val="superscript"/>
                      <w:lang w:val="en-US" w:eastAsia="zh-CN"/>
                    </w:rPr>
                    <w:t>3</w:t>
                  </w:r>
                </w:p>
              </w:tc>
              <w:tc>
                <w:tcPr>
                  <w:tcW w:w="685" w:type="pct"/>
                  <w:vMerge w:val="continue"/>
                  <w:tcBorders>
                    <w:tl2br w:val="nil"/>
                    <w:tr2bl w:val="nil"/>
                  </w:tcBorders>
                  <w:vAlign w:val="center"/>
                </w:tcPr>
                <w:p>
                  <w:pPr>
                    <w:pStyle w:val="27"/>
                    <w:bidi w:val="0"/>
                    <w:rPr>
                      <w:rFonts w:hint="default"/>
                      <w:color w:val="auto"/>
                      <w:lang w:val="en-US" w:eastAsia="zh-CN"/>
                    </w:rPr>
                  </w:pPr>
                </w:p>
              </w:tc>
              <w:tc>
                <w:tcPr>
                  <w:tcW w:w="440"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排放量</w:t>
                  </w:r>
                </w:p>
                <w:p>
                  <w:pPr>
                    <w:pStyle w:val="27"/>
                    <w:bidi w:val="0"/>
                    <w:rPr>
                      <w:rFonts w:hint="default"/>
                      <w:color w:val="auto"/>
                      <w:lang w:val="en-US" w:eastAsia="zh-CN"/>
                    </w:rPr>
                  </w:pPr>
                  <w:r>
                    <w:rPr>
                      <w:rFonts w:hint="eastAsia"/>
                      <w:color w:val="auto"/>
                      <w:lang w:val="en-US" w:eastAsia="zh-CN"/>
                    </w:rPr>
                    <w:t>t</w:t>
                  </w:r>
                  <w:r>
                    <w:rPr>
                      <w:rFonts w:hint="default"/>
                      <w:color w:val="auto"/>
                      <w:lang w:val="en-US" w:eastAsia="zh-CN"/>
                    </w:rPr>
                    <w:t>/a</w:t>
                  </w:r>
                </w:p>
              </w:tc>
              <w:tc>
                <w:tcPr>
                  <w:tcW w:w="456"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排放速率</w:t>
                  </w:r>
                </w:p>
                <w:p>
                  <w:pPr>
                    <w:pStyle w:val="27"/>
                    <w:bidi w:val="0"/>
                    <w:rPr>
                      <w:rFonts w:hint="default"/>
                      <w:color w:val="auto"/>
                      <w:lang w:val="en-US" w:eastAsia="zh-CN"/>
                    </w:rPr>
                  </w:pPr>
                  <w:r>
                    <w:rPr>
                      <w:rFonts w:hint="default"/>
                      <w:color w:val="auto"/>
                      <w:lang w:val="en-US" w:eastAsia="zh-CN"/>
                    </w:rPr>
                    <w:t>kg/h</w:t>
                  </w:r>
                </w:p>
              </w:tc>
              <w:tc>
                <w:tcPr>
                  <w:tcW w:w="448"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排放浓度</w:t>
                  </w:r>
                </w:p>
                <w:p>
                  <w:pPr>
                    <w:pStyle w:val="27"/>
                    <w:bidi w:val="0"/>
                    <w:rPr>
                      <w:rFonts w:hint="default"/>
                      <w:color w:val="auto"/>
                      <w:lang w:val="en-US" w:eastAsia="zh-CN"/>
                    </w:rPr>
                  </w:pPr>
                  <w:r>
                    <w:rPr>
                      <w:rFonts w:hint="eastAsia"/>
                      <w:color w:val="auto"/>
                      <w:lang w:val="en-US" w:eastAsia="zh-CN"/>
                    </w:rPr>
                    <w:t>mg/m</w:t>
                  </w:r>
                  <w:r>
                    <w:rPr>
                      <w:rFonts w:hint="eastAsia"/>
                      <w:color w:val="auto"/>
                      <w:vertAlign w:val="superscript"/>
                      <w:lang w:val="en-US" w:eastAsia="zh-CN"/>
                    </w:rPr>
                    <w:t>3</w:t>
                  </w:r>
                </w:p>
              </w:tc>
              <w:tc>
                <w:tcPr>
                  <w:tcW w:w="409"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投料粉尘</w:t>
                  </w:r>
                </w:p>
              </w:tc>
              <w:tc>
                <w:tcPr>
                  <w:tcW w:w="269" w:type="pct"/>
                  <w:tcBorders>
                    <w:tl2br w:val="nil"/>
                    <w:tr2bl w:val="nil"/>
                  </w:tcBorders>
                  <w:shd w:val="clear" w:color="auto" w:fill="auto"/>
                  <w:vAlign w:val="center"/>
                </w:tcPr>
                <w:p>
                  <w:pPr>
                    <w:pStyle w:val="27"/>
                    <w:bidi w:val="0"/>
                    <w:rPr>
                      <w:rFonts w:hint="eastAsia" w:ascii="Times New Roman" w:hAnsi="Times New Roman" w:eastAsia="宋体" w:cs="Times New Roman"/>
                      <w:bCs/>
                      <w:color w:val="auto"/>
                      <w:kern w:val="2"/>
                      <w:sz w:val="21"/>
                      <w:szCs w:val="24"/>
                      <w:lang w:val="en-US" w:eastAsia="zh-CN" w:bidi="ar-SA"/>
                    </w:rPr>
                  </w:pPr>
                  <w:r>
                    <w:rPr>
                      <w:rFonts w:hint="eastAsia"/>
                      <w:color w:val="auto"/>
                      <w:lang w:val="en-US" w:eastAsia="zh-CN"/>
                    </w:rPr>
                    <w:t>颗粒物</w:t>
                  </w:r>
                </w:p>
              </w:tc>
              <w:tc>
                <w:tcPr>
                  <w:tcW w:w="46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20000</w:t>
                  </w:r>
                </w:p>
              </w:tc>
              <w:tc>
                <w:tcPr>
                  <w:tcW w:w="40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1.5</w:t>
                  </w:r>
                </w:p>
              </w:tc>
              <w:tc>
                <w:tcPr>
                  <w:tcW w:w="47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0.223</w:t>
                  </w:r>
                </w:p>
              </w:tc>
              <w:tc>
                <w:tcPr>
                  <w:tcW w:w="67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11.15</w:t>
                  </w:r>
                </w:p>
              </w:tc>
              <w:tc>
                <w:tcPr>
                  <w:tcW w:w="685"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集气罩收集后通过高效脉冲布袋除尘器进行处理</w:t>
                  </w:r>
                </w:p>
              </w:tc>
              <w:tc>
                <w:tcPr>
                  <w:tcW w:w="44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0.006</w:t>
                  </w:r>
                </w:p>
              </w:tc>
              <w:tc>
                <w:tcPr>
                  <w:tcW w:w="45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0.001</w:t>
                  </w:r>
                </w:p>
              </w:tc>
              <w:tc>
                <w:tcPr>
                  <w:tcW w:w="44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0.05</w:t>
                  </w:r>
                </w:p>
              </w:tc>
              <w:tc>
                <w:tcPr>
                  <w:tcW w:w="409"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6720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磨粉粉尘</w:t>
                  </w:r>
                </w:p>
              </w:tc>
              <w:tc>
                <w:tcPr>
                  <w:tcW w:w="269" w:type="pct"/>
                  <w:tcBorders>
                    <w:tl2br w:val="nil"/>
                    <w:tr2bl w:val="nil"/>
                  </w:tcBorders>
                  <w:shd w:val="clear" w:color="auto" w:fill="auto"/>
                  <w:vAlign w:val="center"/>
                </w:tcPr>
                <w:p>
                  <w:pPr>
                    <w:pStyle w:val="27"/>
                    <w:bidi w:val="0"/>
                    <w:rPr>
                      <w:rFonts w:hint="eastAsia" w:ascii="Times New Roman" w:hAnsi="Times New Roman" w:eastAsia="宋体" w:cs="Times New Roman"/>
                      <w:bCs/>
                      <w:color w:val="auto"/>
                      <w:kern w:val="2"/>
                      <w:sz w:val="21"/>
                      <w:szCs w:val="24"/>
                      <w:lang w:val="en-US" w:eastAsia="zh-CN" w:bidi="ar-SA"/>
                    </w:rPr>
                  </w:pPr>
                  <w:r>
                    <w:rPr>
                      <w:rFonts w:hint="eastAsia"/>
                      <w:color w:val="auto"/>
                      <w:lang w:val="en-US" w:eastAsia="zh-CN"/>
                    </w:rPr>
                    <w:t>颗粒物</w:t>
                  </w:r>
                </w:p>
              </w:tc>
              <w:tc>
                <w:tcPr>
                  <w:tcW w:w="46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20220</w:t>
                  </w:r>
                </w:p>
              </w:tc>
              <w:tc>
                <w:tcPr>
                  <w:tcW w:w="40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1260</w:t>
                  </w:r>
                </w:p>
              </w:tc>
              <w:tc>
                <w:tcPr>
                  <w:tcW w:w="47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187.5</w:t>
                  </w:r>
                </w:p>
              </w:tc>
              <w:tc>
                <w:tcPr>
                  <w:tcW w:w="67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9272.997</w:t>
                  </w:r>
                </w:p>
              </w:tc>
              <w:tc>
                <w:tcPr>
                  <w:tcW w:w="685"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高效脉冲布袋除尘器</w:t>
                  </w:r>
                </w:p>
              </w:tc>
              <w:tc>
                <w:tcPr>
                  <w:tcW w:w="44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6.3</w:t>
                  </w:r>
                </w:p>
              </w:tc>
              <w:tc>
                <w:tcPr>
                  <w:tcW w:w="45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0.938</w:t>
                  </w:r>
                </w:p>
              </w:tc>
              <w:tc>
                <w:tcPr>
                  <w:tcW w:w="44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46.39</w:t>
                  </w:r>
                </w:p>
              </w:tc>
              <w:tc>
                <w:tcPr>
                  <w:tcW w:w="409" w:type="pct"/>
                  <w:vMerge w:val="continue"/>
                  <w:tcBorders>
                    <w:tl2br w:val="nil"/>
                    <w:tr2bl w:val="nil"/>
                  </w:tcBorders>
                  <w:vAlign w:val="center"/>
                </w:tcPr>
                <w:p>
                  <w:pPr>
                    <w:pStyle w:val="27"/>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69" w:type="pct"/>
                  <w:vMerge w:val="restart"/>
                  <w:tcBorders>
                    <w:tl2br w:val="nil"/>
                    <w:tr2bl w:val="nil"/>
                  </w:tcBorders>
                  <w:vAlign w:val="center"/>
                </w:tcPr>
                <w:p>
                  <w:pPr>
                    <w:pStyle w:val="27"/>
                    <w:bidi w:val="0"/>
                    <w:rPr>
                      <w:rFonts w:hint="eastAsia"/>
                      <w:color w:val="auto"/>
                      <w:lang w:val="en-US" w:eastAsia="zh-CN"/>
                    </w:rPr>
                  </w:pPr>
                  <w:r>
                    <w:rPr>
                      <w:rFonts w:hint="eastAsia"/>
                      <w:color w:val="auto"/>
                      <w:lang w:val="en-US" w:eastAsia="zh-CN"/>
                    </w:rPr>
                    <w:t>包装粉尘</w:t>
                  </w:r>
                </w:p>
              </w:tc>
              <w:tc>
                <w:tcPr>
                  <w:tcW w:w="269" w:type="pct"/>
                  <w:vMerge w:val="restart"/>
                  <w:tcBorders>
                    <w:tl2br w:val="nil"/>
                    <w:tr2bl w:val="nil"/>
                  </w:tcBorders>
                  <w:shd w:val="clear" w:color="auto" w:fill="auto"/>
                  <w:vAlign w:val="center"/>
                </w:tcPr>
                <w:p>
                  <w:pPr>
                    <w:pStyle w:val="27"/>
                    <w:bidi w:val="0"/>
                    <w:rPr>
                      <w:rFonts w:hint="eastAsia" w:ascii="Times New Roman" w:hAnsi="Times New Roman" w:eastAsia="宋体" w:cs="Times New Roman"/>
                      <w:bCs/>
                      <w:color w:val="auto"/>
                      <w:kern w:val="2"/>
                      <w:sz w:val="21"/>
                      <w:szCs w:val="24"/>
                      <w:lang w:val="en-US" w:eastAsia="zh-CN" w:bidi="ar-SA"/>
                    </w:rPr>
                  </w:pPr>
                  <w:r>
                    <w:rPr>
                      <w:rFonts w:hint="eastAsia"/>
                      <w:color w:val="auto"/>
                      <w:lang w:val="en-US" w:eastAsia="zh-CN"/>
                    </w:rPr>
                    <w:t>颗粒物</w:t>
                  </w:r>
                </w:p>
              </w:tc>
              <w:tc>
                <w:tcPr>
                  <w:tcW w:w="46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25000</w:t>
                  </w:r>
                </w:p>
              </w:tc>
              <w:tc>
                <w:tcPr>
                  <w:tcW w:w="40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5</w:t>
                  </w:r>
                </w:p>
              </w:tc>
              <w:tc>
                <w:tcPr>
                  <w:tcW w:w="47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0.744</w:t>
                  </w:r>
                </w:p>
              </w:tc>
              <w:tc>
                <w:tcPr>
                  <w:tcW w:w="67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29.76</w:t>
                  </w:r>
                </w:p>
              </w:tc>
              <w:tc>
                <w:tcPr>
                  <w:tcW w:w="685" w:type="pct"/>
                  <w:tcBorders>
                    <w:tl2br w:val="nil"/>
                    <w:tr2bl w:val="nil"/>
                  </w:tcBorders>
                  <w:shd w:val="clear" w:color="auto" w:fill="auto"/>
                  <w:vAlign w:val="center"/>
                </w:tcPr>
                <w:p>
                  <w:pPr>
                    <w:pStyle w:val="27"/>
                    <w:bidi w:val="0"/>
                    <w:rPr>
                      <w:rFonts w:hint="eastAsia" w:ascii="Times New Roman" w:hAnsi="Times New Roman" w:eastAsia="宋体" w:cs="Times New Roman"/>
                      <w:bCs/>
                      <w:color w:val="auto"/>
                      <w:kern w:val="2"/>
                      <w:sz w:val="21"/>
                      <w:szCs w:val="24"/>
                      <w:lang w:val="en-US" w:eastAsia="zh-CN" w:bidi="ar-SA"/>
                    </w:rPr>
                  </w:pPr>
                  <w:r>
                    <w:rPr>
                      <w:rFonts w:hint="eastAsia"/>
                      <w:color w:val="auto"/>
                      <w:lang w:val="en-US" w:eastAsia="zh-CN"/>
                    </w:rPr>
                    <w:t>吸尘口收集后通过高效脉冲布袋除尘器进行处理</w:t>
                  </w:r>
                </w:p>
              </w:tc>
              <w:tc>
                <w:tcPr>
                  <w:tcW w:w="44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0.023</w:t>
                  </w:r>
                </w:p>
              </w:tc>
              <w:tc>
                <w:tcPr>
                  <w:tcW w:w="45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0.003</w:t>
                  </w:r>
                </w:p>
              </w:tc>
              <w:tc>
                <w:tcPr>
                  <w:tcW w:w="44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0.12</w:t>
                  </w:r>
                </w:p>
              </w:tc>
              <w:tc>
                <w:tcPr>
                  <w:tcW w:w="409" w:type="pct"/>
                  <w:vMerge w:val="continue"/>
                  <w:tcBorders>
                    <w:tl2br w:val="nil"/>
                    <w:tr2bl w:val="nil"/>
                  </w:tcBorders>
                  <w:vAlign w:val="center"/>
                </w:tcPr>
                <w:p>
                  <w:pPr>
                    <w:pStyle w:val="27"/>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 w:type="pct"/>
                  <w:vMerge w:val="continue"/>
                  <w:tcBorders>
                    <w:tl2br w:val="nil"/>
                    <w:tr2bl w:val="nil"/>
                  </w:tcBorders>
                  <w:vAlign w:val="center"/>
                </w:tcPr>
                <w:p>
                  <w:pPr>
                    <w:pStyle w:val="27"/>
                    <w:bidi w:val="0"/>
                    <w:rPr>
                      <w:rFonts w:hint="eastAsia"/>
                      <w:color w:val="auto"/>
                      <w:lang w:val="en-US" w:eastAsia="zh-CN"/>
                    </w:rPr>
                  </w:pPr>
                </w:p>
              </w:tc>
              <w:tc>
                <w:tcPr>
                  <w:tcW w:w="269" w:type="pct"/>
                  <w:vMerge w:val="continue"/>
                  <w:tcBorders>
                    <w:tl2br w:val="nil"/>
                    <w:tr2bl w:val="nil"/>
                  </w:tcBorders>
                  <w:shd w:val="clear" w:color="auto" w:fill="auto"/>
                  <w:vAlign w:val="center"/>
                </w:tcPr>
                <w:p>
                  <w:pPr>
                    <w:pStyle w:val="27"/>
                    <w:bidi w:val="0"/>
                    <w:rPr>
                      <w:rFonts w:hint="eastAsia"/>
                      <w:color w:val="auto"/>
                      <w:lang w:val="en-US" w:eastAsia="zh-CN"/>
                    </w:rPr>
                  </w:pPr>
                </w:p>
              </w:tc>
              <w:tc>
                <w:tcPr>
                  <w:tcW w:w="46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50000</w:t>
                  </w:r>
                </w:p>
              </w:tc>
              <w:tc>
                <w:tcPr>
                  <w:tcW w:w="40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c>
                <w:tcPr>
                  <w:tcW w:w="47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1.488</w:t>
                  </w:r>
                </w:p>
              </w:tc>
              <w:tc>
                <w:tcPr>
                  <w:tcW w:w="67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29.76</w:t>
                  </w:r>
                </w:p>
              </w:tc>
              <w:tc>
                <w:tcPr>
                  <w:tcW w:w="685" w:type="pct"/>
                  <w:tcBorders>
                    <w:tl2br w:val="nil"/>
                    <w:tr2bl w:val="nil"/>
                  </w:tcBorders>
                  <w:shd w:val="clear" w:color="auto" w:fill="auto"/>
                  <w:vAlign w:val="center"/>
                </w:tcPr>
                <w:p>
                  <w:pPr>
                    <w:pStyle w:val="27"/>
                    <w:bidi w:val="0"/>
                    <w:rPr>
                      <w:rFonts w:hint="eastAsia" w:ascii="Times New Roman" w:hAnsi="Times New Roman" w:eastAsia="宋体" w:cs="Times New Roman"/>
                      <w:bCs/>
                      <w:color w:val="auto"/>
                      <w:kern w:val="2"/>
                      <w:sz w:val="21"/>
                      <w:szCs w:val="24"/>
                      <w:lang w:val="en-US" w:eastAsia="zh-CN" w:bidi="ar-SA"/>
                    </w:rPr>
                  </w:pPr>
                  <w:r>
                    <w:rPr>
                      <w:rFonts w:hint="eastAsia"/>
                      <w:color w:val="auto"/>
                      <w:lang w:val="en-US" w:eastAsia="zh-CN"/>
                    </w:rPr>
                    <w:t>吸尘口收集后通过高效脉冲布袋除尘器进行处理</w:t>
                  </w:r>
                </w:p>
              </w:tc>
              <w:tc>
                <w:tcPr>
                  <w:tcW w:w="44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0.045</w:t>
                  </w:r>
                </w:p>
              </w:tc>
              <w:tc>
                <w:tcPr>
                  <w:tcW w:w="45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0.007</w:t>
                  </w:r>
                </w:p>
              </w:tc>
              <w:tc>
                <w:tcPr>
                  <w:tcW w:w="44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0.14</w:t>
                  </w:r>
                </w:p>
              </w:tc>
              <w:tc>
                <w:tcPr>
                  <w:tcW w:w="409" w:type="pct"/>
                  <w:vMerge w:val="continue"/>
                  <w:tcBorders>
                    <w:tl2br w:val="nil"/>
                    <w:tr2bl w:val="nil"/>
                  </w:tcBorders>
                  <w:vAlign w:val="center"/>
                </w:tcPr>
                <w:p>
                  <w:pPr>
                    <w:pStyle w:val="27"/>
                    <w:bidi w:val="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9"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合计</w:t>
                  </w:r>
                </w:p>
              </w:tc>
              <w:tc>
                <w:tcPr>
                  <w:tcW w:w="269" w:type="pct"/>
                  <w:tcBorders>
                    <w:tl2br w:val="nil"/>
                    <w:tr2bl w:val="nil"/>
                  </w:tcBorders>
                  <w:shd w:val="clear" w:color="auto" w:fill="auto"/>
                  <w:vAlign w:val="center"/>
                </w:tcPr>
                <w:p>
                  <w:pPr>
                    <w:pStyle w:val="27"/>
                    <w:bidi w:val="0"/>
                    <w:rPr>
                      <w:rFonts w:hint="eastAsia"/>
                      <w:color w:val="auto"/>
                      <w:lang w:val="en-US" w:eastAsia="zh-CN"/>
                    </w:rPr>
                  </w:pPr>
                </w:p>
              </w:tc>
              <w:tc>
                <w:tcPr>
                  <w:tcW w:w="467" w:type="pct"/>
                  <w:tcBorders>
                    <w:tl2br w:val="nil"/>
                    <w:tr2bl w:val="nil"/>
                  </w:tcBorders>
                  <w:vAlign w:val="center"/>
                </w:tcPr>
                <w:p>
                  <w:pPr>
                    <w:pStyle w:val="27"/>
                    <w:bidi w:val="0"/>
                    <w:rPr>
                      <w:rFonts w:hint="eastAsia"/>
                      <w:color w:val="auto"/>
                      <w:lang w:val="en-US" w:eastAsia="zh-CN"/>
                    </w:rPr>
                  </w:pPr>
                </w:p>
              </w:tc>
              <w:tc>
                <w:tcPr>
                  <w:tcW w:w="403" w:type="pct"/>
                  <w:tcBorders>
                    <w:tl2br w:val="nil"/>
                    <w:tr2bl w:val="nil"/>
                  </w:tcBorders>
                  <w:vAlign w:val="center"/>
                </w:tcPr>
                <w:p>
                  <w:pPr>
                    <w:pStyle w:val="27"/>
                    <w:bidi w:val="0"/>
                    <w:rPr>
                      <w:rFonts w:hint="eastAsia"/>
                      <w:color w:val="auto"/>
                      <w:lang w:val="en-US" w:eastAsia="zh-CN"/>
                    </w:rPr>
                  </w:pPr>
                </w:p>
              </w:tc>
              <w:tc>
                <w:tcPr>
                  <w:tcW w:w="472" w:type="pct"/>
                  <w:tcBorders>
                    <w:tl2br w:val="nil"/>
                    <w:tr2bl w:val="nil"/>
                  </w:tcBorders>
                  <w:vAlign w:val="center"/>
                </w:tcPr>
                <w:p>
                  <w:pPr>
                    <w:pStyle w:val="27"/>
                    <w:bidi w:val="0"/>
                    <w:rPr>
                      <w:rFonts w:hint="eastAsia"/>
                      <w:color w:val="auto"/>
                      <w:lang w:val="en-US" w:eastAsia="zh-CN"/>
                    </w:rPr>
                  </w:pPr>
                </w:p>
              </w:tc>
              <w:tc>
                <w:tcPr>
                  <w:tcW w:w="676" w:type="pct"/>
                  <w:tcBorders>
                    <w:tl2br w:val="nil"/>
                    <w:tr2bl w:val="nil"/>
                  </w:tcBorders>
                  <w:vAlign w:val="center"/>
                </w:tcPr>
                <w:p>
                  <w:pPr>
                    <w:pStyle w:val="27"/>
                    <w:bidi w:val="0"/>
                    <w:rPr>
                      <w:rFonts w:hint="eastAsia"/>
                      <w:color w:val="auto"/>
                      <w:lang w:val="en-US" w:eastAsia="zh-CN"/>
                    </w:rPr>
                  </w:pPr>
                </w:p>
              </w:tc>
              <w:tc>
                <w:tcPr>
                  <w:tcW w:w="685" w:type="pct"/>
                  <w:tcBorders>
                    <w:tl2br w:val="nil"/>
                    <w:tr2bl w:val="nil"/>
                  </w:tcBorders>
                  <w:vAlign w:val="center"/>
                </w:tcPr>
                <w:p>
                  <w:pPr>
                    <w:pStyle w:val="27"/>
                    <w:bidi w:val="0"/>
                    <w:rPr>
                      <w:rFonts w:hint="eastAsia"/>
                      <w:color w:val="auto"/>
                      <w:lang w:val="en-US" w:eastAsia="zh-CN"/>
                    </w:rPr>
                  </w:pPr>
                </w:p>
              </w:tc>
              <w:tc>
                <w:tcPr>
                  <w:tcW w:w="44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6.374</w:t>
                  </w:r>
                </w:p>
              </w:tc>
              <w:tc>
                <w:tcPr>
                  <w:tcW w:w="456" w:type="pct"/>
                  <w:tcBorders>
                    <w:tl2br w:val="nil"/>
                    <w:tr2bl w:val="nil"/>
                  </w:tcBorders>
                  <w:vAlign w:val="center"/>
                </w:tcPr>
                <w:p>
                  <w:pPr>
                    <w:pStyle w:val="27"/>
                    <w:bidi w:val="0"/>
                    <w:rPr>
                      <w:rFonts w:hint="eastAsia"/>
                      <w:color w:val="auto"/>
                      <w:lang w:val="en-US" w:eastAsia="zh-CN"/>
                    </w:rPr>
                  </w:pPr>
                </w:p>
              </w:tc>
              <w:tc>
                <w:tcPr>
                  <w:tcW w:w="448" w:type="pct"/>
                  <w:tcBorders>
                    <w:tl2br w:val="nil"/>
                    <w:tr2bl w:val="nil"/>
                  </w:tcBorders>
                  <w:vAlign w:val="center"/>
                </w:tcPr>
                <w:p>
                  <w:pPr>
                    <w:pStyle w:val="27"/>
                    <w:bidi w:val="0"/>
                    <w:rPr>
                      <w:rFonts w:hint="eastAsia"/>
                      <w:color w:val="auto"/>
                      <w:lang w:val="en-US" w:eastAsia="zh-CN"/>
                    </w:rPr>
                  </w:pPr>
                </w:p>
              </w:tc>
              <w:tc>
                <w:tcPr>
                  <w:tcW w:w="409" w:type="pct"/>
                  <w:vMerge w:val="continue"/>
                  <w:tcBorders>
                    <w:tl2br w:val="nil"/>
                    <w:tr2bl w:val="nil"/>
                  </w:tcBorders>
                  <w:vAlign w:val="center"/>
                </w:tcPr>
                <w:p>
                  <w:pPr>
                    <w:pStyle w:val="27"/>
                    <w:bidi w:val="0"/>
                    <w:rPr>
                      <w:rFonts w:hint="eastAsia"/>
                      <w:color w:val="auto"/>
                      <w:lang w:val="en-US" w:eastAsia="zh-CN"/>
                    </w:rPr>
                  </w:pPr>
                </w:p>
              </w:tc>
            </w:tr>
          </w:tbl>
          <w:p>
            <w:pPr>
              <w:pStyle w:val="26"/>
              <w:bidi w:val="0"/>
              <w:rPr>
                <w:rFonts w:hint="default"/>
                <w:color w:val="auto"/>
                <w:lang w:val="en-US" w:eastAsia="zh-CN"/>
              </w:rPr>
            </w:pPr>
            <w:r>
              <w:rPr>
                <w:rFonts w:hint="eastAsia"/>
                <w:color w:val="auto"/>
                <w:lang w:val="en-US" w:eastAsia="zh-CN"/>
              </w:rPr>
              <w:t>表4-2  有组织排气筒情况一览表</w:t>
            </w:r>
          </w:p>
          <w:tbl>
            <w:tblPr>
              <w:tblStyle w:val="20"/>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91"/>
              <w:gridCol w:w="1066"/>
              <w:gridCol w:w="1017"/>
              <w:gridCol w:w="738"/>
              <w:gridCol w:w="702"/>
              <w:gridCol w:w="765"/>
              <w:gridCol w:w="603"/>
              <w:gridCol w:w="688"/>
              <w:gridCol w:w="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pct"/>
                  <w:vMerge w:val="restar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编号</w:t>
                  </w:r>
                </w:p>
              </w:tc>
              <w:tc>
                <w:tcPr>
                  <w:tcW w:w="498" w:type="pct"/>
                  <w:vMerge w:val="restar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名称</w:t>
                  </w:r>
                </w:p>
              </w:tc>
              <w:tc>
                <w:tcPr>
                  <w:tcW w:w="1311" w:type="pct"/>
                  <w:gridSpan w:val="2"/>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cs="Times New Roman"/>
                      <w:color w:val="auto"/>
                      <w:lang w:val="en-US" w:eastAsia="zh-CN"/>
                    </w:rPr>
                    <w:t>排气筒底部中心坐标</w:t>
                  </w:r>
                </w:p>
              </w:tc>
              <w:tc>
                <w:tcPr>
                  <w:tcW w:w="465" w:type="pct"/>
                  <w:vMerge w:val="restar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排气筒高度（m）</w:t>
                  </w:r>
                </w:p>
              </w:tc>
              <w:tc>
                <w:tcPr>
                  <w:tcW w:w="442" w:type="pct"/>
                  <w:vMerge w:val="restar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排气筒内径（m）</w:t>
                  </w:r>
                </w:p>
              </w:tc>
              <w:tc>
                <w:tcPr>
                  <w:tcW w:w="482" w:type="pct"/>
                  <w:vMerge w:val="restar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温度（℃）</w:t>
                  </w:r>
                </w:p>
              </w:tc>
              <w:tc>
                <w:tcPr>
                  <w:tcW w:w="379" w:type="pct"/>
                  <w:vMerge w:val="restar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类型</w:t>
                  </w:r>
                </w:p>
              </w:tc>
              <w:tc>
                <w:tcPr>
                  <w:tcW w:w="434" w:type="pct"/>
                  <w:vMerge w:val="restar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年排放小时（h）</w:t>
                  </w:r>
                </w:p>
              </w:tc>
              <w:tc>
                <w:tcPr>
                  <w:tcW w:w="452" w:type="pct"/>
                  <w:vMerge w:val="restar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cs="Times New Roman"/>
                      <w:color w:val="auto"/>
                      <w:lang w:val="en-US" w:eastAsia="zh-CN"/>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pct"/>
                  <w:vMerge w:val="continue"/>
                  <w:tcBorders>
                    <w:tl2br w:val="nil"/>
                    <w:tr2bl w:val="nil"/>
                  </w:tcBorders>
                  <w:vAlign w:val="center"/>
                </w:tcPr>
                <w:p>
                  <w:pPr>
                    <w:pStyle w:val="27"/>
                    <w:bidi w:val="0"/>
                    <w:jc w:val="center"/>
                    <w:rPr>
                      <w:rFonts w:hint="default" w:ascii="Times New Roman" w:hAnsi="Times New Roman" w:cs="Times New Roman"/>
                      <w:color w:val="auto"/>
                      <w:lang w:val="en-US" w:eastAsia="zh-CN"/>
                    </w:rPr>
                  </w:pPr>
                </w:p>
              </w:tc>
              <w:tc>
                <w:tcPr>
                  <w:tcW w:w="498" w:type="pct"/>
                  <w:vMerge w:val="continue"/>
                  <w:tcBorders>
                    <w:tl2br w:val="nil"/>
                    <w:tr2bl w:val="nil"/>
                  </w:tcBorders>
                  <w:vAlign w:val="center"/>
                </w:tcPr>
                <w:p>
                  <w:pPr>
                    <w:pStyle w:val="27"/>
                    <w:bidi w:val="0"/>
                    <w:jc w:val="center"/>
                    <w:rPr>
                      <w:rFonts w:hint="default" w:ascii="Times New Roman" w:hAnsi="Times New Roman" w:cs="Times New Roman"/>
                      <w:color w:val="auto"/>
                      <w:lang w:val="en-US" w:eastAsia="zh-CN"/>
                    </w:rPr>
                  </w:pPr>
                </w:p>
              </w:tc>
              <w:tc>
                <w:tcPr>
                  <w:tcW w:w="671"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cs="Times New Roman"/>
                      <w:color w:val="auto"/>
                      <w:lang w:val="en-US" w:eastAsia="zh-CN"/>
                    </w:rPr>
                    <w:t>经度</w:t>
                  </w:r>
                </w:p>
              </w:tc>
              <w:tc>
                <w:tcPr>
                  <w:tcW w:w="640"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cs="Times New Roman"/>
                      <w:color w:val="auto"/>
                      <w:lang w:val="en-US" w:eastAsia="zh-CN"/>
                    </w:rPr>
                    <w:t>维度</w:t>
                  </w:r>
                </w:p>
              </w:tc>
              <w:tc>
                <w:tcPr>
                  <w:tcW w:w="465" w:type="pct"/>
                  <w:vMerge w:val="continue"/>
                  <w:tcBorders>
                    <w:tl2br w:val="nil"/>
                    <w:tr2bl w:val="nil"/>
                  </w:tcBorders>
                  <w:vAlign w:val="center"/>
                </w:tcPr>
                <w:p>
                  <w:pPr>
                    <w:pStyle w:val="27"/>
                    <w:bidi w:val="0"/>
                    <w:jc w:val="center"/>
                    <w:rPr>
                      <w:rFonts w:hint="default" w:ascii="Times New Roman" w:hAnsi="Times New Roman" w:cs="Times New Roman"/>
                      <w:color w:val="auto"/>
                      <w:lang w:val="en-US" w:eastAsia="zh-CN"/>
                    </w:rPr>
                  </w:pPr>
                </w:p>
              </w:tc>
              <w:tc>
                <w:tcPr>
                  <w:tcW w:w="442" w:type="pct"/>
                  <w:vMerge w:val="continue"/>
                  <w:tcBorders>
                    <w:tl2br w:val="nil"/>
                    <w:tr2bl w:val="nil"/>
                  </w:tcBorders>
                  <w:vAlign w:val="center"/>
                </w:tcPr>
                <w:p>
                  <w:pPr>
                    <w:pStyle w:val="27"/>
                    <w:bidi w:val="0"/>
                    <w:jc w:val="center"/>
                    <w:rPr>
                      <w:rFonts w:hint="default" w:ascii="Times New Roman" w:hAnsi="Times New Roman" w:cs="Times New Roman"/>
                      <w:color w:val="auto"/>
                      <w:lang w:val="en-US" w:eastAsia="zh-CN"/>
                    </w:rPr>
                  </w:pPr>
                </w:p>
              </w:tc>
              <w:tc>
                <w:tcPr>
                  <w:tcW w:w="482" w:type="pct"/>
                  <w:vMerge w:val="continue"/>
                  <w:tcBorders>
                    <w:tl2br w:val="nil"/>
                    <w:tr2bl w:val="nil"/>
                  </w:tcBorders>
                  <w:vAlign w:val="center"/>
                </w:tcPr>
                <w:p>
                  <w:pPr>
                    <w:pStyle w:val="27"/>
                    <w:bidi w:val="0"/>
                    <w:jc w:val="center"/>
                    <w:rPr>
                      <w:rFonts w:hint="default" w:ascii="Times New Roman" w:hAnsi="Times New Roman" w:cs="Times New Roman"/>
                      <w:color w:val="auto"/>
                      <w:lang w:val="en-US" w:eastAsia="zh-CN"/>
                    </w:rPr>
                  </w:pPr>
                </w:p>
              </w:tc>
              <w:tc>
                <w:tcPr>
                  <w:tcW w:w="379" w:type="pct"/>
                  <w:vMerge w:val="continue"/>
                  <w:tcBorders>
                    <w:tl2br w:val="nil"/>
                    <w:tr2bl w:val="nil"/>
                  </w:tcBorders>
                  <w:vAlign w:val="center"/>
                </w:tcPr>
                <w:p>
                  <w:pPr>
                    <w:pStyle w:val="27"/>
                    <w:bidi w:val="0"/>
                    <w:jc w:val="center"/>
                    <w:rPr>
                      <w:rFonts w:hint="default" w:ascii="Times New Roman" w:hAnsi="Times New Roman" w:cs="Times New Roman"/>
                      <w:color w:val="auto"/>
                      <w:lang w:val="en-US" w:eastAsia="zh-CN"/>
                    </w:rPr>
                  </w:pPr>
                </w:p>
              </w:tc>
              <w:tc>
                <w:tcPr>
                  <w:tcW w:w="434" w:type="pct"/>
                  <w:vMerge w:val="continue"/>
                  <w:tcBorders>
                    <w:tl2br w:val="nil"/>
                    <w:tr2bl w:val="nil"/>
                  </w:tcBorders>
                  <w:vAlign w:val="center"/>
                </w:tcPr>
                <w:p>
                  <w:pPr>
                    <w:pStyle w:val="27"/>
                    <w:bidi w:val="0"/>
                    <w:jc w:val="center"/>
                    <w:rPr>
                      <w:rFonts w:hint="default" w:ascii="Times New Roman" w:hAnsi="Times New Roman" w:cs="Times New Roman"/>
                      <w:color w:val="auto"/>
                      <w:lang w:val="en-US" w:eastAsia="zh-CN"/>
                    </w:rPr>
                  </w:pPr>
                </w:p>
              </w:tc>
              <w:tc>
                <w:tcPr>
                  <w:tcW w:w="452" w:type="pct"/>
                  <w:vMerge w:val="continue"/>
                  <w:tcBorders>
                    <w:tl2br w:val="nil"/>
                    <w:tr2bl w:val="nil"/>
                  </w:tcBorders>
                  <w:vAlign w:val="center"/>
                </w:tcPr>
                <w:p>
                  <w:pPr>
                    <w:pStyle w:val="27"/>
                    <w:bidi w:val="0"/>
                    <w:jc w:val="center"/>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DA001</w:t>
                  </w:r>
                </w:p>
              </w:tc>
              <w:tc>
                <w:tcPr>
                  <w:tcW w:w="498"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投料废气排放口</w:t>
                  </w:r>
                </w:p>
              </w:tc>
              <w:tc>
                <w:tcPr>
                  <w:tcW w:w="671"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90.85220</w:t>
                  </w:r>
                </w:p>
              </w:tc>
              <w:tc>
                <w:tcPr>
                  <w:tcW w:w="640"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40.47153</w:t>
                  </w:r>
                </w:p>
              </w:tc>
              <w:tc>
                <w:tcPr>
                  <w:tcW w:w="465"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cs="Times New Roman"/>
                      <w:color w:val="auto"/>
                      <w:lang w:val="en-US" w:eastAsia="zh-CN"/>
                    </w:rPr>
                    <w:t>15</w:t>
                  </w:r>
                </w:p>
              </w:tc>
              <w:tc>
                <w:tcPr>
                  <w:tcW w:w="442"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0.5</w:t>
                  </w:r>
                </w:p>
              </w:tc>
              <w:tc>
                <w:tcPr>
                  <w:tcW w:w="482"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常温</w:t>
                  </w:r>
                </w:p>
              </w:tc>
              <w:tc>
                <w:tcPr>
                  <w:tcW w:w="379"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一般排放口</w:t>
                  </w:r>
                </w:p>
              </w:tc>
              <w:tc>
                <w:tcPr>
                  <w:tcW w:w="434"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6720</w:t>
                  </w:r>
                </w:p>
              </w:tc>
              <w:tc>
                <w:tcPr>
                  <w:tcW w:w="452" w:type="pct"/>
                  <w:vMerge w:val="restar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《大气污染物综合排放标准》（GB 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DA00</w:t>
                  </w:r>
                  <w:r>
                    <w:rPr>
                      <w:rFonts w:hint="eastAsia" w:cs="Times New Roman"/>
                      <w:color w:val="auto"/>
                      <w:lang w:val="en-US" w:eastAsia="zh-CN"/>
                    </w:rPr>
                    <w:t>2</w:t>
                  </w:r>
                </w:p>
              </w:tc>
              <w:tc>
                <w:tcPr>
                  <w:tcW w:w="498"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cs="Times New Roman"/>
                      <w:color w:val="auto"/>
                      <w:lang w:val="en-US" w:eastAsia="zh-CN"/>
                    </w:rPr>
                    <w:t>磨粉</w:t>
                  </w:r>
                  <w:r>
                    <w:rPr>
                      <w:rFonts w:hint="eastAsia" w:ascii="Times New Roman" w:hAnsi="Times New Roman" w:cs="Times New Roman"/>
                      <w:color w:val="auto"/>
                      <w:lang w:val="en-US" w:eastAsia="zh-CN"/>
                    </w:rPr>
                    <w:t>废气排放口</w:t>
                  </w:r>
                </w:p>
              </w:tc>
              <w:tc>
                <w:tcPr>
                  <w:tcW w:w="671" w:type="pct"/>
                  <w:tcBorders>
                    <w:tl2br w:val="nil"/>
                    <w:tr2bl w:val="nil"/>
                  </w:tcBorders>
                  <w:vAlign w:val="center"/>
                </w:tcPr>
                <w:p>
                  <w:pPr>
                    <w:pStyle w:val="27"/>
                    <w:bidi w:val="0"/>
                    <w:jc w:val="center"/>
                    <w:rPr>
                      <w:rFonts w:hint="eastAsia" w:cs="Times New Roman"/>
                      <w:color w:val="auto"/>
                      <w:lang w:val="en-US" w:eastAsia="zh-CN"/>
                    </w:rPr>
                  </w:pPr>
                  <w:r>
                    <w:rPr>
                      <w:rFonts w:hint="eastAsia" w:cs="Times New Roman"/>
                      <w:color w:val="auto"/>
                      <w:lang w:val="en-US" w:eastAsia="zh-CN"/>
                    </w:rPr>
                    <w:t>90.85229</w:t>
                  </w:r>
                </w:p>
              </w:tc>
              <w:tc>
                <w:tcPr>
                  <w:tcW w:w="640" w:type="pct"/>
                  <w:tcBorders>
                    <w:tl2br w:val="nil"/>
                    <w:tr2bl w:val="nil"/>
                  </w:tcBorders>
                  <w:vAlign w:val="center"/>
                </w:tcPr>
                <w:p>
                  <w:pPr>
                    <w:pStyle w:val="27"/>
                    <w:bidi w:val="0"/>
                    <w:jc w:val="center"/>
                    <w:rPr>
                      <w:rFonts w:hint="eastAsia" w:cs="Times New Roman"/>
                      <w:color w:val="auto"/>
                      <w:lang w:val="en-US" w:eastAsia="zh-CN"/>
                    </w:rPr>
                  </w:pPr>
                  <w:r>
                    <w:rPr>
                      <w:rFonts w:hint="eastAsia" w:cs="Times New Roman"/>
                      <w:color w:val="auto"/>
                      <w:lang w:val="en-US" w:eastAsia="zh-CN"/>
                    </w:rPr>
                    <w:t>40.47180</w:t>
                  </w:r>
                </w:p>
              </w:tc>
              <w:tc>
                <w:tcPr>
                  <w:tcW w:w="465"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cs="Times New Roman"/>
                      <w:color w:val="auto"/>
                      <w:lang w:val="en-US" w:eastAsia="zh-CN"/>
                    </w:rPr>
                    <w:t>15</w:t>
                  </w:r>
                </w:p>
              </w:tc>
              <w:tc>
                <w:tcPr>
                  <w:tcW w:w="442"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0.5</w:t>
                  </w:r>
                </w:p>
              </w:tc>
              <w:tc>
                <w:tcPr>
                  <w:tcW w:w="482"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常温</w:t>
                  </w:r>
                </w:p>
              </w:tc>
              <w:tc>
                <w:tcPr>
                  <w:tcW w:w="379"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一般排放口</w:t>
                  </w:r>
                </w:p>
              </w:tc>
              <w:tc>
                <w:tcPr>
                  <w:tcW w:w="434"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6720</w:t>
                  </w:r>
                </w:p>
              </w:tc>
              <w:tc>
                <w:tcPr>
                  <w:tcW w:w="452" w:type="pct"/>
                  <w:vMerge w:val="continue"/>
                  <w:tcBorders>
                    <w:tl2br w:val="nil"/>
                    <w:tr2bl w:val="nil"/>
                  </w:tcBorders>
                  <w:vAlign w:val="center"/>
                </w:tcPr>
                <w:p>
                  <w:pPr>
                    <w:pStyle w:val="27"/>
                    <w:bidi w:val="0"/>
                    <w:jc w:val="center"/>
                    <w:rPr>
                      <w:rFonts w:hint="eastAsia"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DA00</w:t>
                  </w:r>
                  <w:r>
                    <w:rPr>
                      <w:rFonts w:hint="eastAsia" w:cs="Times New Roman"/>
                      <w:color w:val="auto"/>
                      <w:lang w:val="en-US" w:eastAsia="zh-CN"/>
                    </w:rPr>
                    <w:t>3</w:t>
                  </w:r>
                </w:p>
              </w:tc>
              <w:tc>
                <w:tcPr>
                  <w:tcW w:w="498"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cs="Times New Roman"/>
                      <w:color w:val="auto"/>
                      <w:lang w:val="en-US" w:eastAsia="zh-CN"/>
                    </w:rPr>
                    <w:t>包装</w:t>
                  </w:r>
                  <w:r>
                    <w:rPr>
                      <w:rFonts w:hint="eastAsia" w:ascii="Times New Roman" w:hAnsi="Times New Roman" w:cs="Times New Roman"/>
                      <w:color w:val="auto"/>
                      <w:lang w:val="en-US" w:eastAsia="zh-CN"/>
                    </w:rPr>
                    <w:t>废气</w:t>
                  </w:r>
                  <w:r>
                    <w:rPr>
                      <w:rFonts w:hint="eastAsia" w:cs="Times New Roman"/>
                      <w:color w:val="auto"/>
                      <w:lang w:val="en-US" w:eastAsia="zh-CN"/>
                    </w:rPr>
                    <w:t>1#</w:t>
                  </w:r>
                  <w:r>
                    <w:rPr>
                      <w:rFonts w:hint="eastAsia" w:ascii="Times New Roman" w:hAnsi="Times New Roman" w:cs="Times New Roman"/>
                      <w:color w:val="auto"/>
                      <w:lang w:val="en-US" w:eastAsia="zh-CN"/>
                    </w:rPr>
                    <w:t>排放口</w:t>
                  </w:r>
                </w:p>
              </w:tc>
              <w:tc>
                <w:tcPr>
                  <w:tcW w:w="671" w:type="pct"/>
                  <w:tcBorders>
                    <w:tl2br w:val="nil"/>
                    <w:tr2bl w:val="nil"/>
                  </w:tcBorders>
                  <w:vAlign w:val="center"/>
                </w:tcPr>
                <w:p>
                  <w:pPr>
                    <w:pStyle w:val="27"/>
                    <w:bidi w:val="0"/>
                    <w:jc w:val="center"/>
                    <w:rPr>
                      <w:rFonts w:hint="eastAsia" w:cs="Times New Roman"/>
                      <w:color w:val="auto"/>
                      <w:lang w:val="en-US" w:eastAsia="zh-CN"/>
                    </w:rPr>
                  </w:pPr>
                  <w:r>
                    <w:rPr>
                      <w:rFonts w:hint="eastAsia" w:cs="Times New Roman"/>
                      <w:color w:val="auto"/>
                      <w:lang w:val="en-US" w:eastAsia="zh-CN"/>
                    </w:rPr>
                    <w:t>90.85239</w:t>
                  </w:r>
                </w:p>
              </w:tc>
              <w:tc>
                <w:tcPr>
                  <w:tcW w:w="640" w:type="pct"/>
                  <w:tcBorders>
                    <w:tl2br w:val="nil"/>
                    <w:tr2bl w:val="nil"/>
                  </w:tcBorders>
                  <w:vAlign w:val="center"/>
                </w:tcPr>
                <w:p>
                  <w:pPr>
                    <w:pStyle w:val="27"/>
                    <w:bidi w:val="0"/>
                    <w:jc w:val="center"/>
                    <w:rPr>
                      <w:rFonts w:hint="eastAsia" w:cs="Times New Roman"/>
                      <w:color w:val="auto"/>
                      <w:lang w:val="en-US" w:eastAsia="zh-CN"/>
                    </w:rPr>
                  </w:pPr>
                  <w:r>
                    <w:rPr>
                      <w:rFonts w:hint="eastAsia" w:cs="Times New Roman"/>
                      <w:color w:val="auto"/>
                      <w:lang w:val="en-US" w:eastAsia="zh-CN"/>
                    </w:rPr>
                    <w:t>40.47192</w:t>
                  </w:r>
                </w:p>
              </w:tc>
              <w:tc>
                <w:tcPr>
                  <w:tcW w:w="465"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cs="Times New Roman"/>
                      <w:color w:val="auto"/>
                      <w:lang w:val="en-US" w:eastAsia="zh-CN"/>
                    </w:rPr>
                    <w:t>15</w:t>
                  </w:r>
                </w:p>
              </w:tc>
              <w:tc>
                <w:tcPr>
                  <w:tcW w:w="442"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0.5</w:t>
                  </w:r>
                </w:p>
              </w:tc>
              <w:tc>
                <w:tcPr>
                  <w:tcW w:w="482"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常温</w:t>
                  </w:r>
                </w:p>
              </w:tc>
              <w:tc>
                <w:tcPr>
                  <w:tcW w:w="379"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一般排放口</w:t>
                  </w:r>
                </w:p>
              </w:tc>
              <w:tc>
                <w:tcPr>
                  <w:tcW w:w="434"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6720</w:t>
                  </w:r>
                </w:p>
              </w:tc>
              <w:tc>
                <w:tcPr>
                  <w:tcW w:w="452" w:type="pct"/>
                  <w:vMerge w:val="continue"/>
                  <w:tcBorders>
                    <w:tl2br w:val="nil"/>
                    <w:tr2bl w:val="nil"/>
                  </w:tcBorders>
                  <w:vAlign w:val="center"/>
                </w:tcPr>
                <w:p>
                  <w:pPr>
                    <w:pStyle w:val="27"/>
                    <w:bidi w:val="0"/>
                    <w:jc w:val="center"/>
                    <w:rPr>
                      <w:rFonts w:hint="eastAsia"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3"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DA00</w:t>
                  </w:r>
                  <w:r>
                    <w:rPr>
                      <w:rFonts w:hint="eastAsia" w:cs="Times New Roman"/>
                      <w:color w:val="auto"/>
                      <w:lang w:val="en-US" w:eastAsia="zh-CN"/>
                    </w:rPr>
                    <w:t>4</w:t>
                  </w:r>
                </w:p>
              </w:tc>
              <w:tc>
                <w:tcPr>
                  <w:tcW w:w="498"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cs="Times New Roman"/>
                      <w:color w:val="auto"/>
                      <w:lang w:val="en-US" w:eastAsia="zh-CN"/>
                    </w:rPr>
                    <w:t>包装</w:t>
                  </w:r>
                  <w:r>
                    <w:rPr>
                      <w:rFonts w:hint="eastAsia" w:ascii="Times New Roman" w:hAnsi="Times New Roman" w:cs="Times New Roman"/>
                      <w:color w:val="auto"/>
                      <w:lang w:val="en-US" w:eastAsia="zh-CN"/>
                    </w:rPr>
                    <w:t>废气</w:t>
                  </w:r>
                  <w:r>
                    <w:rPr>
                      <w:rFonts w:hint="eastAsia" w:cs="Times New Roman"/>
                      <w:color w:val="auto"/>
                      <w:lang w:val="en-US" w:eastAsia="zh-CN"/>
                    </w:rPr>
                    <w:t>2#</w:t>
                  </w:r>
                  <w:r>
                    <w:rPr>
                      <w:rFonts w:hint="eastAsia" w:ascii="Times New Roman" w:hAnsi="Times New Roman" w:cs="Times New Roman"/>
                      <w:color w:val="auto"/>
                      <w:lang w:val="en-US" w:eastAsia="zh-CN"/>
                    </w:rPr>
                    <w:t>排放口</w:t>
                  </w:r>
                </w:p>
              </w:tc>
              <w:tc>
                <w:tcPr>
                  <w:tcW w:w="671" w:type="pct"/>
                  <w:tcBorders>
                    <w:tl2br w:val="nil"/>
                    <w:tr2bl w:val="nil"/>
                  </w:tcBorders>
                  <w:vAlign w:val="center"/>
                </w:tcPr>
                <w:p>
                  <w:pPr>
                    <w:pStyle w:val="27"/>
                    <w:bidi w:val="0"/>
                    <w:jc w:val="center"/>
                    <w:rPr>
                      <w:rFonts w:hint="eastAsia" w:cs="Times New Roman"/>
                      <w:color w:val="auto"/>
                      <w:lang w:val="en-US" w:eastAsia="zh-CN"/>
                    </w:rPr>
                  </w:pPr>
                  <w:r>
                    <w:rPr>
                      <w:rFonts w:hint="eastAsia" w:cs="Times New Roman"/>
                      <w:color w:val="auto"/>
                      <w:lang w:val="en-US" w:eastAsia="zh-CN"/>
                    </w:rPr>
                    <w:t>90.85248</w:t>
                  </w:r>
                </w:p>
              </w:tc>
              <w:tc>
                <w:tcPr>
                  <w:tcW w:w="640" w:type="pct"/>
                  <w:tcBorders>
                    <w:tl2br w:val="nil"/>
                    <w:tr2bl w:val="nil"/>
                  </w:tcBorders>
                  <w:vAlign w:val="center"/>
                </w:tcPr>
                <w:p>
                  <w:pPr>
                    <w:pStyle w:val="27"/>
                    <w:bidi w:val="0"/>
                    <w:jc w:val="center"/>
                    <w:rPr>
                      <w:rFonts w:hint="eastAsia" w:cs="Times New Roman"/>
                      <w:color w:val="auto"/>
                      <w:lang w:val="en-US" w:eastAsia="zh-CN"/>
                    </w:rPr>
                  </w:pPr>
                  <w:r>
                    <w:rPr>
                      <w:rFonts w:hint="eastAsia" w:cs="Times New Roman"/>
                      <w:color w:val="auto"/>
                      <w:lang w:val="en-US" w:eastAsia="zh-CN"/>
                    </w:rPr>
                    <w:t>40.47201</w:t>
                  </w:r>
                </w:p>
              </w:tc>
              <w:tc>
                <w:tcPr>
                  <w:tcW w:w="465"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cs="Times New Roman"/>
                      <w:color w:val="auto"/>
                      <w:lang w:val="en-US" w:eastAsia="zh-CN"/>
                    </w:rPr>
                    <w:t>15</w:t>
                  </w:r>
                </w:p>
              </w:tc>
              <w:tc>
                <w:tcPr>
                  <w:tcW w:w="442"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0.5</w:t>
                  </w:r>
                </w:p>
              </w:tc>
              <w:tc>
                <w:tcPr>
                  <w:tcW w:w="482"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常温</w:t>
                  </w:r>
                </w:p>
              </w:tc>
              <w:tc>
                <w:tcPr>
                  <w:tcW w:w="379"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一般排放口</w:t>
                  </w:r>
                </w:p>
              </w:tc>
              <w:tc>
                <w:tcPr>
                  <w:tcW w:w="434" w:type="pct"/>
                  <w:tcBorders>
                    <w:tl2br w:val="nil"/>
                    <w:tr2bl w:val="nil"/>
                  </w:tcBorders>
                  <w:vAlign w:val="center"/>
                </w:tcPr>
                <w:p>
                  <w:pPr>
                    <w:pStyle w:val="27"/>
                    <w:bidi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6720</w:t>
                  </w:r>
                </w:p>
              </w:tc>
              <w:tc>
                <w:tcPr>
                  <w:tcW w:w="452" w:type="pct"/>
                  <w:vMerge w:val="continue"/>
                  <w:tcBorders>
                    <w:tl2br w:val="nil"/>
                    <w:tr2bl w:val="nil"/>
                  </w:tcBorders>
                  <w:vAlign w:val="center"/>
                </w:tcPr>
                <w:p>
                  <w:pPr>
                    <w:pStyle w:val="27"/>
                    <w:bidi w:val="0"/>
                    <w:jc w:val="center"/>
                    <w:rPr>
                      <w:rFonts w:hint="eastAsia" w:ascii="Times New Roman" w:hAnsi="Times New Roman" w:cs="Times New Roman"/>
                      <w:color w:val="auto"/>
                      <w:lang w:val="en-US" w:eastAsia="zh-CN"/>
                    </w:rPr>
                  </w:pPr>
                </w:p>
              </w:tc>
            </w:tr>
          </w:tbl>
          <w:p>
            <w:pPr>
              <w:pStyle w:val="54"/>
              <w:bidi w:val="0"/>
              <w:rPr>
                <w:rFonts w:hint="default"/>
                <w:color w:val="auto"/>
                <w:lang w:val="en-US" w:eastAsia="zh-CN"/>
              </w:rPr>
            </w:pPr>
            <w:r>
              <w:rPr>
                <w:rFonts w:hint="eastAsia"/>
                <w:color w:val="auto"/>
                <w:lang w:val="en-US" w:eastAsia="zh-CN"/>
              </w:rPr>
              <w:t>2、</w:t>
            </w:r>
            <w:r>
              <w:rPr>
                <w:rFonts w:hint="default"/>
                <w:color w:val="auto"/>
                <w:lang w:val="en-US" w:eastAsia="zh-CN"/>
              </w:rPr>
              <w:t>工艺可行性分析</w:t>
            </w:r>
          </w:p>
          <w:p>
            <w:pPr>
              <w:pStyle w:val="54"/>
              <w:bidi w:val="0"/>
              <w:rPr>
                <w:rFonts w:hint="default" w:ascii="Times New Roman" w:hAnsi="Times New Roman" w:eastAsia="宋体" w:cs="Times New Roman"/>
                <w:color w:val="auto"/>
                <w:szCs w:val="24"/>
                <w:lang w:val="en-US" w:eastAsia="zh-CN"/>
              </w:rPr>
            </w:pPr>
            <w:r>
              <w:rPr>
                <w:rFonts w:hint="eastAsia"/>
                <w:color w:val="auto"/>
                <w:lang w:val="en-US" w:eastAsia="zh-CN"/>
              </w:rPr>
              <w:t>根据《排污许可证申请与核发技术规范 磷肥、钾肥、复混肥料、有机肥料及微生物肥料工业》（HJ 864.2-2018）中污染物治理可行技术，本项目符合性情况见表4-3。</w:t>
            </w:r>
          </w:p>
          <w:p>
            <w:pPr>
              <w:pStyle w:val="26"/>
              <w:bidi w:val="0"/>
              <w:rPr>
                <w:rFonts w:hint="default" w:ascii="Times New Roman" w:hAnsi="Times New Roman" w:eastAsia="宋体" w:cs="Times New Roman"/>
                <w:color w:val="auto"/>
                <w:szCs w:val="21"/>
                <w:lang w:val="en-US" w:eastAsia="zh-CN"/>
              </w:rPr>
            </w:pPr>
            <w:r>
              <w:rPr>
                <w:rFonts w:hint="eastAsia"/>
                <w:color w:val="auto"/>
                <w:lang w:val="en-US" w:eastAsia="zh-CN"/>
              </w:rPr>
              <w:t>表4-3  废气治理可行技术符合性</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189"/>
              <w:gridCol w:w="3189"/>
              <w:gridCol w:w="1646"/>
              <w:gridCol w:w="7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产排污环节</w:t>
                  </w:r>
                </w:p>
              </w:tc>
              <w:tc>
                <w:tcPr>
                  <w:tcW w:w="74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污染控制项目</w:t>
                  </w:r>
                </w:p>
              </w:tc>
              <w:tc>
                <w:tcPr>
                  <w:tcW w:w="200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可行技术</w:t>
                  </w:r>
                </w:p>
              </w:tc>
              <w:tc>
                <w:tcPr>
                  <w:tcW w:w="103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本项目采取治理措施</w:t>
                  </w:r>
                </w:p>
              </w:tc>
              <w:tc>
                <w:tcPr>
                  <w:tcW w:w="460"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破碎废气</w:t>
                  </w:r>
                </w:p>
              </w:tc>
              <w:tc>
                <w:tcPr>
                  <w:tcW w:w="74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颗粒物</w:t>
                  </w:r>
                </w:p>
              </w:tc>
              <w:tc>
                <w:tcPr>
                  <w:tcW w:w="200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静电除尘、袋式除尘</w:t>
                  </w:r>
                </w:p>
              </w:tc>
              <w:tc>
                <w:tcPr>
                  <w:tcW w:w="103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高效脉冲布袋除尘器</w:t>
                  </w:r>
                </w:p>
              </w:tc>
              <w:tc>
                <w:tcPr>
                  <w:tcW w:w="46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符合</w:t>
                  </w:r>
                </w:p>
              </w:tc>
            </w:tr>
          </w:tbl>
          <w:p>
            <w:pPr>
              <w:pStyle w:val="54"/>
              <w:bidi w:val="0"/>
              <w:rPr>
                <w:rFonts w:hint="eastAsia" w:cs="Times New Roman"/>
                <w:bCs/>
                <w:color w:val="auto"/>
                <w:spacing w:val="-10"/>
                <w:kern w:val="2"/>
                <w:szCs w:val="24"/>
                <w:lang w:val="en-US" w:eastAsia="zh-CN" w:bidi="ar-SA"/>
              </w:rPr>
            </w:pPr>
            <w:r>
              <w:rPr>
                <w:rFonts w:hint="eastAsia"/>
                <w:color w:val="auto"/>
                <w:lang w:val="en-US" w:eastAsia="zh-CN"/>
              </w:rPr>
              <w:t>由上表可见，本项目废气选取的治理措施符合《排污许可证申请与核发技术规范 磷肥、钾肥、复混肥料、有机肥料及微生物肥料工业》（HJ 864.2-2018）中污染物治理可行技术。</w:t>
            </w:r>
          </w:p>
          <w:p>
            <w:pPr>
              <w:pStyle w:val="54"/>
              <w:bidi w:val="0"/>
              <w:rPr>
                <w:rFonts w:hint="default"/>
                <w:color w:val="auto"/>
                <w:lang w:val="en-US" w:eastAsia="zh-CN"/>
              </w:rPr>
            </w:pPr>
            <w:r>
              <w:rPr>
                <w:rFonts w:hint="eastAsia"/>
                <w:color w:val="auto"/>
                <w:lang w:val="en-US" w:eastAsia="zh-CN"/>
              </w:rPr>
              <w:t>3、监测要求</w:t>
            </w:r>
          </w:p>
          <w:p>
            <w:pPr>
              <w:pStyle w:val="54"/>
              <w:bidi w:val="0"/>
              <w:rPr>
                <w:rFonts w:hint="eastAsia" w:cs="Times New Roman"/>
                <w:bCs/>
                <w:color w:val="auto"/>
                <w:spacing w:val="-10"/>
                <w:kern w:val="2"/>
                <w:szCs w:val="24"/>
                <w:lang w:val="en-US" w:eastAsia="zh-CN" w:bidi="ar-SA"/>
              </w:rPr>
            </w:pPr>
            <w:r>
              <w:rPr>
                <w:rFonts w:hint="eastAsia"/>
                <w:color w:val="auto"/>
                <w:lang w:val="en-US" w:eastAsia="zh-CN"/>
              </w:rPr>
              <w:t>根据《排污许可证申请与核发技术规范 磷肥、钾肥、复混肥料、有机肥料及微生物肥料工业》（HJ 864.2-2018）中自行监测管理要求，本项目废气具体监测计划见表4-4。</w:t>
            </w:r>
          </w:p>
          <w:p>
            <w:pPr>
              <w:pStyle w:val="26"/>
              <w:bidi w:val="0"/>
              <w:rPr>
                <w:rFonts w:hint="default" w:cs="Times New Roman"/>
                <w:bCs/>
                <w:color w:val="auto"/>
                <w:spacing w:val="-10"/>
                <w:kern w:val="2"/>
                <w:szCs w:val="21"/>
                <w:lang w:val="en-US" w:eastAsia="zh-CN" w:bidi="ar-SA"/>
              </w:rPr>
            </w:pPr>
            <w:r>
              <w:rPr>
                <w:rFonts w:hint="eastAsia"/>
                <w:color w:val="auto"/>
                <w:lang w:val="en-US" w:eastAsia="zh-CN"/>
              </w:rPr>
              <w:t>表4-4  废气监测计划</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02"/>
              <w:gridCol w:w="1315"/>
              <w:gridCol w:w="1079"/>
              <w:gridCol w:w="1366"/>
              <w:gridCol w:w="2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环境要素</w:t>
                  </w:r>
                </w:p>
              </w:tc>
              <w:tc>
                <w:tcPr>
                  <w:tcW w:w="63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监测点位</w:t>
                  </w:r>
                </w:p>
              </w:tc>
              <w:tc>
                <w:tcPr>
                  <w:tcW w:w="82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监测指标</w:t>
                  </w:r>
                </w:p>
              </w:tc>
              <w:tc>
                <w:tcPr>
                  <w:tcW w:w="67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监测频次</w:t>
                  </w:r>
                </w:p>
              </w:tc>
              <w:tc>
                <w:tcPr>
                  <w:tcW w:w="86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标准限值（mg/m</w:t>
                  </w:r>
                  <w:r>
                    <w:rPr>
                      <w:rFonts w:hint="eastAsia"/>
                      <w:color w:val="auto"/>
                      <w:vertAlign w:val="superscript"/>
                      <w:lang w:val="en-US" w:eastAsia="zh-CN"/>
                    </w:rPr>
                    <w:t>3</w:t>
                  </w:r>
                  <w:r>
                    <w:rPr>
                      <w:rFonts w:hint="eastAsia"/>
                      <w:color w:val="auto"/>
                      <w:lang w:val="en-US" w:eastAsia="zh-CN"/>
                    </w:rPr>
                    <w:t>）</w:t>
                  </w:r>
                </w:p>
              </w:tc>
              <w:tc>
                <w:tcPr>
                  <w:tcW w:w="146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有组织废气</w:t>
                  </w:r>
                </w:p>
              </w:tc>
              <w:tc>
                <w:tcPr>
                  <w:tcW w:w="63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DA001</w:t>
                  </w:r>
                </w:p>
              </w:tc>
              <w:tc>
                <w:tcPr>
                  <w:tcW w:w="828"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颗粒物</w:t>
                  </w:r>
                </w:p>
              </w:tc>
              <w:tc>
                <w:tcPr>
                  <w:tcW w:w="679"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1次/半年</w:t>
                  </w:r>
                </w:p>
              </w:tc>
              <w:tc>
                <w:tcPr>
                  <w:tcW w:w="860"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120</w:t>
                  </w:r>
                </w:p>
              </w:tc>
              <w:tc>
                <w:tcPr>
                  <w:tcW w:w="1460" w:type="pct"/>
                  <w:vMerge w:val="restart"/>
                  <w:tcBorders>
                    <w:tl2br w:val="nil"/>
                    <w:tr2bl w:val="nil"/>
                  </w:tcBorders>
                  <w:vAlign w:val="center"/>
                </w:tcPr>
                <w:p>
                  <w:pPr>
                    <w:pStyle w:val="27"/>
                    <w:bidi w:val="0"/>
                    <w:rPr>
                      <w:rFonts w:hint="default"/>
                      <w:color w:val="auto"/>
                      <w:lang w:val="en-US" w:eastAsia="zh-CN"/>
                    </w:rPr>
                  </w:pPr>
                  <w:r>
                    <w:rPr>
                      <w:rFonts w:hint="default"/>
                      <w:color w:val="auto"/>
                      <w:lang w:val="en-US" w:eastAsia="zh-CN"/>
                    </w:rPr>
                    <w:t>《大气污染物综合排放标准》（GB 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vMerge w:val="continue"/>
                  <w:tcBorders>
                    <w:tl2br w:val="nil"/>
                    <w:tr2bl w:val="nil"/>
                  </w:tcBorders>
                  <w:vAlign w:val="center"/>
                </w:tcPr>
                <w:p>
                  <w:pPr>
                    <w:pStyle w:val="27"/>
                    <w:bidi w:val="0"/>
                    <w:rPr>
                      <w:rFonts w:hint="eastAsia"/>
                      <w:color w:val="auto"/>
                      <w:lang w:val="en-US" w:eastAsia="zh-CN"/>
                    </w:rPr>
                  </w:pPr>
                </w:p>
              </w:tc>
              <w:tc>
                <w:tcPr>
                  <w:tcW w:w="63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DA002</w:t>
                  </w:r>
                </w:p>
              </w:tc>
              <w:tc>
                <w:tcPr>
                  <w:tcW w:w="828" w:type="pct"/>
                  <w:vMerge w:val="continue"/>
                  <w:tcBorders>
                    <w:tl2br w:val="nil"/>
                    <w:tr2bl w:val="nil"/>
                  </w:tcBorders>
                  <w:vAlign w:val="center"/>
                </w:tcPr>
                <w:p>
                  <w:pPr>
                    <w:pStyle w:val="27"/>
                    <w:bidi w:val="0"/>
                    <w:rPr>
                      <w:rFonts w:hint="eastAsia"/>
                      <w:color w:val="auto"/>
                      <w:lang w:val="en-US" w:eastAsia="zh-CN"/>
                    </w:rPr>
                  </w:pPr>
                </w:p>
              </w:tc>
              <w:tc>
                <w:tcPr>
                  <w:tcW w:w="679" w:type="pct"/>
                  <w:vMerge w:val="continue"/>
                  <w:tcBorders>
                    <w:tl2br w:val="nil"/>
                    <w:tr2bl w:val="nil"/>
                  </w:tcBorders>
                  <w:vAlign w:val="center"/>
                </w:tcPr>
                <w:p>
                  <w:pPr>
                    <w:pStyle w:val="27"/>
                    <w:bidi w:val="0"/>
                    <w:rPr>
                      <w:rFonts w:hint="eastAsia"/>
                      <w:color w:val="auto"/>
                      <w:lang w:val="en-US" w:eastAsia="zh-CN"/>
                    </w:rPr>
                  </w:pPr>
                </w:p>
              </w:tc>
              <w:tc>
                <w:tcPr>
                  <w:tcW w:w="860" w:type="pct"/>
                  <w:vMerge w:val="continue"/>
                  <w:tcBorders>
                    <w:tl2br w:val="nil"/>
                    <w:tr2bl w:val="nil"/>
                  </w:tcBorders>
                  <w:vAlign w:val="center"/>
                </w:tcPr>
                <w:p>
                  <w:pPr>
                    <w:pStyle w:val="27"/>
                    <w:bidi w:val="0"/>
                    <w:rPr>
                      <w:rFonts w:hint="eastAsia"/>
                      <w:color w:val="auto"/>
                      <w:lang w:val="en-US" w:eastAsia="zh-CN"/>
                    </w:rPr>
                  </w:pPr>
                </w:p>
              </w:tc>
              <w:tc>
                <w:tcPr>
                  <w:tcW w:w="1460"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vMerge w:val="continue"/>
                  <w:tcBorders>
                    <w:tl2br w:val="nil"/>
                    <w:tr2bl w:val="nil"/>
                  </w:tcBorders>
                  <w:vAlign w:val="center"/>
                </w:tcPr>
                <w:p>
                  <w:pPr>
                    <w:pStyle w:val="27"/>
                    <w:bidi w:val="0"/>
                    <w:rPr>
                      <w:rFonts w:hint="eastAsia"/>
                      <w:color w:val="auto"/>
                      <w:lang w:val="en-US" w:eastAsia="zh-CN"/>
                    </w:rPr>
                  </w:pPr>
                </w:p>
              </w:tc>
              <w:tc>
                <w:tcPr>
                  <w:tcW w:w="63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DA003</w:t>
                  </w:r>
                </w:p>
              </w:tc>
              <w:tc>
                <w:tcPr>
                  <w:tcW w:w="828" w:type="pct"/>
                  <w:vMerge w:val="continue"/>
                  <w:tcBorders>
                    <w:tl2br w:val="nil"/>
                    <w:tr2bl w:val="nil"/>
                  </w:tcBorders>
                  <w:vAlign w:val="center"/>
                </w:tcPr>
                <w:p>
                  <w:pPr>
                    <w:pStyle w:val="27"/>
                    <w:bidi w:val="0"/>
                    <w:rPr>
                      <w:rFonts w:hint="eastAsia"/>
                      <w:color w:val="auto"/>
                      <w:lang w:val="en-US" w:eastAsia="zh-CN"/>
                    </w:rPr>
                  </w:pPr>
                </w:p>
              </w:tc>
              <w:tc>
                <w:tcPr>
                  <w:tcW w:w="679" w:type="pct"/>
                  <w:vMerge w:val="continue"/>
                  <w:tcBorders>
                    <w:tl2br w:val="nil"/>
                    <w:tr2bl w:val="nil"/>
                  </w:tcBorders>
                  <w:vAlign w:val="center"/>
                </w:tcPr>
                <w:p>
                  <w:pPr>
                    <w:pStyle w:val="27"/>
                    <w:bidi w:val="0"/>
                    <w:rPr>
                      <w:rFonts w:hint="eastAsia"/>
                      <w:color w:val="auto"/>
                      <w:lang w:val="en-US" w:eastAsia="zh-CN"/>
                    </w:rPr>
                  </w:pPr>
                </w:p>
              </w:tc>
              <w:tc>
                <w:tcPr>
                  <w:tcW w:w="860" w:type="pct"/>
                  <w:vMerge w:val="continue"/>
                  <w:tcBorders>
                    <w:tl2br w:val="nil"/>
                    <w:tr2bl w:val="nil"/>
                  </w:tcBorders>
                  <w:vAlign w:val="center"/>
                </w:tcPr>
                <w:p>
                  <w:pPr>
                    <w:pStyle w:val="27"/>
                    <w:bidi w:val="0"/>
                    <w:rPr>
                      <w:rFonts w:hint="eastAsia"/>
                      <w:color w:val="auto"/>
                      <w:lang w:val="en-US" w:eastAsia="zh-CN"/>
                    </w:rPr>
                  </w:pPr>
                </w:p>
              </w:tc>
              <w:tc>
                <w:tcPr>
                  <w:tcW w:w="1460"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38" w:type="pct"/>
                  <w:vMerge w:val="continue"/>
                  <w:tcBorders>
                    <w:tl2br w:val="nil"/>
                    <w:tr2bl w:val="nil"/>
                  </w:tcBorders>
                  <w:vAlign w:val="center"/>
                </w:tcPr>
                <w:p>
                  <w:pPr>
                    <w:pStyle w:val="27"/>
                    <w:bidi w:val="0"/>
                    <w:rPr>
                      <w:rFonts w:hint="eastAsia"/>
                      <w:color w:val="auto"/>
                      <w:lang w:val="en-US" w:eastAsia="zh-CN"/>
                    </w:rPr>
                  </w:pPr>
                </w:p>
              </w:tc>
              <w:tc>
                <w:tcPr>
                  <w:tcW w:w="63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DA004</w:t>
                  </w:r>
                </w:p>
              </w:tc>
              <w:tc>
                <w:tcPr>
                  <w:tcW w:w="828" w:type="pct"/>
                  <w:vMerge w:val="continue"/>
                  <w:tcBorders>
                    <w:tl2br w:val="nil"/>
                    <w:tr2bl w:val="nil"/>
                  </w:tcBorders>
                  <w:vAlign w:val="center"/>
                </w:tcPr>
                <w:p>
                  <w:pPr>
                    <w:pStyle w:val="27"/>
                    <w:bidi w:val="0"/>
                    <w:rPr>
                      <w:rFonts w:hint="eastAsia"/>
                      <w:color w:val="auto"/>
                      <w:lang w:val="en-US" w:eastAsia="zh-CN"/>
                    </w:rPr>
                  </w:pPr>
                </w:p>
              </w:tc>
              <w:tc>
                <w:tcPr>
                  <w:tcW w:w="679" w:type="pct"/>
                  <w:vMerge w:val="continue"/>
                  <w:tcBorders>
                    <w:tl2br w:val="nil"/>
                    <w:tr2bl w:val="nil"/>
                  </w:tcBorders>
                  <w:vAlign w:val="center"/>
                </w:tcPr>
                <w:p>
                  <w:pPr>
                    <w:pStyle w:val="27"/>
                    <w:bidi w:val="0"/>
                    <w:rPr>
                      <w:rFonts w:hint="eastAsia"/>
                      <w:color w:val="auto"/>
                      <w:lang w:val="en-US" w:eastAsia="zh-CN"/>
                    </w:rPr>
                  </w:pPr>
                </w:p>
              </w:tc>
              <w:tc>
                <w:tcPr>
                  <w:tcW w:w="860" w:type="pct"/>
                  <w:vMerge w:val="continue"/>
                  <w:tcBorders>
                    <w:tl2br w:val="nil"/>
                    <w:tr2bl w:val="nil"/>
                  </w:tcBorders>
                  <w:vAlign w:val="center"/>
                </w:tcPr>
                <w:p>
                  <w:pPr>
                    <w:pStyle w:val="27"/>
                    <w:bidi w:val="0"/>
                    <w:rPr>
                      <w:rFonts w:hint="eastAsia"/>
                      <w:color w:val="auto"/>
                      <w:lang w:val="en-US" w:eastAsia="zh-CN"/>
                    </w:rPr>
                  </w:pPr>
                </w:p>
              </w:tc>
              <w:tc>
                <w:tcPr>
                  <w:tcW w:w="1460"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无组织废气</w:t>
                  </w:r>
                </w:p>
              </w:tc>
              <w:tc>
                <w:tcPr>
                  <w:tcW w:w="63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厂界</w:t>
                  </w:r>
                </w:p>
              </w:tc>
              <w:tc>
                <w:tcPr>
                  <w:tcW w:w="828"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颗粒物</w:t>
                  </w:r>
                </w:p>
              </w:tc>
              <w:tc>
                <w:tcPr>
                  <w:tcW w:w="679"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1次/季度</w:t>
                  </w:r>
                </w:p>
              </w:tc>
              <w:tc>
                <w:tcPr>
                  <w:tcW w:w="86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c>
                <w:tcPr>
                  <w:tcW w:w="1460" w:type="pct"/>
                  <w:vMerge w:val="continue"/>
                  <w:tcBorders>
                    <w:tl2br w:val="nil"/>
                    <w:tr2bl w:val="nil"/>
                  </w:tcBorders>
                  <w:vAlign w:val="center"/>
                </w:tcPr>
                <w:p>
                  <w:pPr>
                    <w:pStyle w:val="27"/>
                    <w:bidi w:val="0"/>
                    <w:rPr>
                      <w:rFonts w:hint="eastAsia"/>
                      <w:color w:val="auto"/>
                      <w:lang w:val="en-US" w:eastAsia="zh-CN"/>
                    </w:rPr>
                  </w:pPr>
                </w:p>
              </w:tc>
            </w:tr>
          </w:tbl>
          <w:p>
            <w:pPr>
              <w:pStyle w:val="54"/>
              <w:bidi w:val="0"/>
              <w:rPr>
                <w:rFonts w:hint="default" w:eastAsia="宋体"/>
                <w:color w:val="auto"/>
                <w:lang w:val="en-US" w:eastAsia="zh-CN"/>
              </w:rPr>
            </w:pPr>
            <w:r>
              <w:rPr>
                <w:rFonts w:hint="eastAsia"/>
                <w:color w:val="auto"/>
                <w:lang w:val="en-US" w:eastAsia="zh-CN"/>
              </w:rPr>
              <w:t>4、非正常情况排放</w:t>
            </w:r>
          </w:p>
          <w:p>
            <w:pPr>
              <w:pStyle w:val="54"/>
              <w:bidi w:val="0"/>
              <w:rPr>
                <w:rFonts w:hint="default"/>
                <w:color w:val="auto"/>
              </w:rPr>
            </w:pPr>
            <w:r>
              <w:rPr>
                <w:rFonts w:hint="default"/>
                <w:color w:val="auto"/>
              </w:rPr>
              <w:t>本项目的非正常排放情况主要是：设备检修、废气处理设施发生故障，停止工作。</w:t>
            </w:r>
          </w:p>
          <w:p>
            <w:pPr>
              <w:pStyle w:val="54"/>
              <w:bidi w:val="0"/>
              <w:rPr>
                <w:rFonts w:hint="default"/>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default"/>
                <w:color w:val="auto"/>
              </w:rPr>
              <w:t>设备检修：检修时，本项目主要设备停止工作，不进行生产，此时基本不产生废气。</w:t>
            </w:r>
          </w:p>
          <w:p>
            <w:pPr>
              <w:pStyle w:val="54"/>
              <w:bidi w:val="0"/>
              <w:rPr>
                <w:rFonts w:hint="eastAsia"/>
                <w:color w:val="auto"/>
                <w:lang w:val="en-US" w:eastAsia="zh-CN"/>
              </w:rPr>
            </w:pPr>
            <w:r>
              <w:rPr>
                <w:rFonts w:hint="eastAsia"/>
                <w:color w:val="auto"/>
                <w:lang w:val="en-US" w:eastAsia="zh-CN"/>
              </w:rPr>
              <w:t>（2）废气处理设备故障：本环评非正常排放下的废气排污情况假设为各类废气治理设施的治理效率为0%时的排污情况，持续时间设定为30min，废气非正常情况排放源强核算见下表。</w:t>
            </w:r>
          </w:p>
          <w:p>
            <w:pPr>
              <w:pStyle w:val="26"/>
              <w:bidi w:val="0"/>
              <w:rPr>
                <w:rFonts w:hint="default"/>
                <w:color w:val="auto"/>
                <w:lang w:val="en-US" w:eastAsia="zh-CN"/>
              </w:rPr>
            </w:pPr>
            <w:r>
              <w:rPr>
                <w:rFonts w:hint="eastAsia"/>
                <w:color w:val="auto"/>
                <w:lang w:val="en-US" w:eastAsia="zh-CN"/>
              </w:rPr>
              <w:t>表4-5  本项目废气非正常工况排放情况一览表</w:t>
            </w:r>
          </w:p>
          <w:tbl>
            <w:tblPr>
              <w:tblStyle w:val="20"/>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4"/>
              <w:gridCol w:w="1184"/>
              <w:gridCol w:w="1124"/>
              <w:gridCol w:w="1124"/>
              <w:gridCol w:w="1124"/>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污染源</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污染物</w:t>
                  </w:r>
                </w:p>
              </w:tc>
              <w:tc>
                <w:tcPr>
                  <w:tcW w:w="74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排放浓度（mg/m</w:t>
                  </w:r>
                  <w:r>
                    <w:rPr>
                      <w:rFonts w:hint="eastAsia"/>
                      <w:color w:val="auto"/>
                      <w:vertAlign w:val="superscript"/>
                      <w:lang w:val="en-US" w:eastAsia="zh-CN"/>
                    </w:rPr>
                    <w:t>3</w:t>
                  </w:r>
                  <w:r>
                    <w:rPr>
                      <w:rFonts w:hint="eastAsia"/>
                      <w:color w:val="auto"/>
                      <w:lang w:val="en-US" w:eastAsia="zh-CN"/>
                    </w:rPr>
                    <w:t>）</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持续时间（min）</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排放量（kg/a）</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发生频次</w:t>
                  </w:r>
                </w:p>
              </w:tc>
              <w:tc>
                <w:tcPr>
                  <w:tcW w:w="709"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DA001</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颗粒物</w:t>
                  </w:r>
                </w:p>
              </w:tc>
              <w:tc>
                <w:tcPr>
                  <w:tcW w:w="74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11.15</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30</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0.112</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一年一次</w:t>
                  </w:r>
                </w:p>
              </w:tc>
              <w:tc>
                <w:tcPr>
                  <w:tcW w:w="709"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停止投料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DA002</w:t>
                  </w:r>
                </w:p>
              </w:tc>
              <w:tc>
                <w:tcPr>
                  <w:tcW w:w="708"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颗粒物</w:t>
                  </w:r>
                </w:p>
              </w:tc>
              <w:tc>
                <w:tcPr>
                  <w:tcW w:w="74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9272.997</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30</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93.75</w:t>
                  </w:r>
                </w:p>
              </w:tc>
              <w:tc>
                <w:tcPr>
                  <w:tcW w:w="708"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一年一次</w:t>
                  </w:r>
                </w:p>
              </w:tc>
              <w:tc>
                <w:tcPr>
                  <w:tcW w:w="709"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停止粉碎机运行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DA003</w:t>
                  </w:r>
                </w:p>
              </w:tc>
              <w:tc>
                <w:tcPr>
                  <w:tcW w:w="708"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颗粒物</w:t>
                  </w:r>
                </w:p>
              </w:tc>
              <w:tc>
                <w:tcPr>
                  <w:tcW w:w="74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29.76</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30</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0.372</w:t>
                  </w:r>
                </w:p>
              </w:tc>
              <w:tc>
                <w:tcPr>
                  <w:tcW w:w="708"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一年一次</w:t>
                  </w:r>
                </w:p>
              </w:tc>
              <w:tc>
                <w:tcPr>
                  <w:tcW w:w="709"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停止生产线运行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DA004</w:t>
                  </w:r>
                </w:p>
              </w:tc>
              <w:tc>
                <w:tcPr>
                  <w:tcW w:w="708"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颗粒物</w:t>
                  </w:r>
                </w:p>
              </w:tc>
              <w:tc>
                <w:tcPr>
                  <w:tcW w:w="746"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29.76</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30</w:t>
                  </w:r>
                </w:p>
              </w:tc>
              <w:tc>
                <w:tcPr>
                  <w:tcW w:w="708" w:type="pc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0.744</w:t>
                  </w:r>
                </w:p>
              </w:tc>
              <w:tc>
                <w:tcPr>
                  <w:tcW w:w="708"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一年一次</w:t>
                  </w:r>
                </w:p>
              </w:tc>
              <w:tc>
                <w:tcPr>
                  <w:tcW w:w="709" w:type="pct"/>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停止生产线运行</w:t>
                  </w:r>
                </w:p>
              </w:tc>
            </w:tr>
          </w:tbl>
          <w:p>
            <w:pPr>
              <w:pStyle w:val="54"/>
              <w:bidi w:val="0"/>
              <w:rPr>
                <w:rFonts w:hint="default"/>
                <w:color w:val="auto"/>
                <w:lang w:val="en-US" w:eastAsia="zh-CN"/>
              </w:rPr>
            </w:pPr>
            <w:r>
              <w:rPr>
                <w:rFonts w:hint="eastAsia"/>
                <w:color w:val="auto"/>
                <w:lang w:val="en-US" w:eastAsia="zh-CN"/>
              </w:rPr>
              <w:t>由上表可见，非正常工况下，DA002颗粒物超标排放。建设单位应加强对风机的日常维护、保养，当环保处理设施发生故障时，立即停产检修，确保废气得到有效收集，同时也减少废气聚集带来的安全隐患；运行期建立环保设施运行台账。</w:t>
            </w:r>
          </w:p>
          <w:p>
            <w:pPr>
              <w:pStyle w:val="54"/>
              <w:bidi w:val="0"/>
              <w:rPr>
                <w:rFonts w:hint="default"/>
                <w:color w:val="auto"/>
                <w:lang w:val="en-US" w:eastAsia="zh-CN"/>
              </w:rPr>
            </w:pPr>
            <w:r>
              <w:rPr>
                <w:rFonts w:hint="eastAsia"/>
                <w:color w:val="auto"/>
                <w:lang w:val="en-US" w:eastAsia="zh-CN"/>
              </w:rPr>
              <w:t>5</w:t>
            </w:r>
            <w:r>
              <w:rPr>
                <w:rFonts w:hint="default"/>
                <w:color w:val="auto"/>
                <w:lang w:val="en-US" w:eastAsia="zh-CN"/>
              </w:rPr>
              <w:t>、大气环境保护措施</w:t>
            </w:r>
          </w:p>
          <w:p>
            <w:pPr>
              <w:pStyle w:val="54"/>
              <w:bidi w:val="0"/>
              <w:rPr>
                <w:rFonts w:hint="default"/>
                <w:color w:val="auto"/>
              </w:rPr>
            </w:pPr>
            <w:r>
              <w:rPr>
                <w:rFonts w:hint="default"/>
                <w:color w:val="auto"/>
              </w:rPr>
              <w:t>本项目投料工段在投料口处设计了三面封闭的投料斗，投料斗顶部设计有集气罩，侧面有吸尘管，集气罩吸尘管连接到高效脉冲布袋除尘器对产生的粉尘进行处理后通过1根DA001高度为15m的排气筒排放；磨粉工段产生的粉尘经6台高效脉冲布袋除尘器除尘后通过1根DA002高度为15m的排气筒排放；包装工段以每两台包装机共用一个除尘装置，在包装机易泄露粉尘的位置设计多个吸尘口，1#和2#包装机产生的粉尘通过收集经高效脉冲布袋除尘器处理后通过1根DA003高度为15m的排气筒排放；3#、4#、5#和6#包装机产生的粉尘通过收集经高效脉冲布袋除尘器处理后通过1根DA004高度为15m的排气筒排放。</w:t>
            </w:r>
            <w:r>
              <w:rPr>
                <w:rFonts w:hint="eastAsia"/>
                <w:color w:val="auto"/>
                <w:lang w:val="en-US" w:eastAsia="zh-CN"/>
              </w:rPr>
              <w:t>污染物可满足《大气污染物综合排放标准》（GB 16297-1996）最高允许排放浓度120mg/m</w:t>
            </w:r>
            <w:r>
              <w:rPr>
                <w:rFonts w:hint="eastAsia"/>
                <w:color w:val="auto"/>
                <w:vertAlign w:val="superscript"/>
                <w:lang w:val="en-US" w:eastAsia="zh-CN"/>
              </w:rPr>
              <w:t>3</w:t>
            </w:r>
            <w:r>
              <w:rPr>
                <w:rFonts w:hint="eastAsia"/>
                <w:color w:val="auto"/>
                <w:lang w:val="en-US" w:eastAsia="zh-CN"/>
              </w:rPr>
              <w:t>，最高允许排放速率3.5kg/h（排气筒高度15m二级排放速率）的限值要求。且</w:t>
            </w:r>
            <w:r>
              <w:rPr>
                <w:rFonts w:hint="default"/>
                <w:color w:val="auto"/>
              </w:rPr>
              <w:t>本项目周围无敏感目标，对周围环境影响较小。</w:t>
            </w:r>
          </w:p>
          <w:p>
            <w:pPr>
              <w:pStyle w:val="54"/>
              <w:bidi w:val="0"/>
              <w:rPr>
                <w:rFonts w:hint="default"/>
                <w:color w:val="auto"/>
                <w:lang w:val="en-US" w:eastAsia="zh-CN"/>
              </w:rPr>
            </w:pPr>
            <w:r>
              <w:rPr>
                <w:rFonts w:hint="eastAsia"/>
                <w:b/>
                <w:bCs/>
                <w:color w:val="auto"/>
                <w:lang w:val="en-US" w:eastAsia="zh-CN"/>
              </w:rPr>
              <w:t>二、废水</w:t>
            </w:r>
          </w:p>
          <w:p>
            <w:pPr>
              <w:pStyle w:val="54"/>
              <w:bidi w:val="0"/>
              <w:rPr>
                <w:rFonts w:hint="eastAsia"/>
                <w:color w:val="auto"/>
                <w:lang w:val="en-US" w:eastAsia="zh-CN"/>
              </w:rPr>
            </w:pPr>
            <w:r>
              <w:rPr>
                <w:rFonts w:hint="eastAsia"/>
                <w:color w:val="auto"/>
                <w:lang w:val="en-US" w:eastAsia="zh-CN"/>
              </w:rPr>
              <w:t>1、产生情况</w:t>
            </w:r>
          </w:p>
          <w:p>
            <w:pPr>
              <w:pStyle w:val="54"/>
              <w:bidi w:val="0"/>
              <w:rPr>
                <w:rFonts w:hint="default"/>
                <w:color w:val="auto"/>
                <w:lang w:val="en-US" w:eastAsia="zh-CN"/>
              </w:rPr>
            </w:pPr>
            <w:r>
              <w:rPr>
                <w:rFonts w:hint="eastAsia"/>
                <w:color w:val="auto"/>
                <w:lang w:val="en-US" w:eastAsia="zh-CN"/>
              </w:rPr>
              <w:t>本项目运营过程中生活污水不在本项目厂区内产生，依托国投罗钾公司厂区现有污水处理站进行处理。</w:t>
            </w:r>
          </w:p>
          <w:p>
            <w:pPr>
              <w:pStyle w:val="54"/>
              <w:bidi w:val="0"/>
              <w:rPr>
                <w:rFonts w:hint="default"/>
                <w:color w:val="auto"/>
                <w:lang w:val="en-US" w:eastAsia="zh-CN"/>
              </w:rPr>
            </w:pPr>
            <w:r>
              <w:rPr>
                <w:rFonts w:hint="eastAsia"/>
                <w:color w:val="auto"/>
                <w:lang w:val="en-US" w:eastAsia="zh-CN"/>
              </w:rPr>
              <w:t>根据《排放源统计调查产排污核算方法和系数手册》中生活源产排污核算系数手册中新疆地区人均综合生活用水量为137L/（人·d），本项目劳动定员为15人，年工作日280d，则用水量为575.4m</w:t>
            </w:r>
            <w:r>
              <w:rPr>
                <w:rFonts w:hint="eastAsia"/>
                <w:color w:val="auto"/>
                <w:vertAlign w:val="superscript"/>
                <w:lang w:val="en-US" w:eastAsia="zh-CN"/>
              </w:rPr>
              <w:t>3</w:t>
            </w:r>
            <w:r>
              <w:rPr>
                <w:rFonts w:hint="eastAsia"/>
                <w:color w:val="auto"/>
                <w:lang w:val="en-US" w:eastAsia="zh-CN"/>
              </w:rPr>
              <w:t>/a，折污系数为0.8，因此污水产生量为575.4×0.8=460.32m</w:t>
            </w:r>
            <w:r>
              <w:rPr>
                <w:rFonts w:hint="eastAsia"/>
                <w:color w:val="auto"/>
                <w:vertAlign w:val="superscript"/>
                <w:lang w:val="en-US" w:eastAsia="zh-CN"/>
              </w:rPr>
              <w:t>3</w:t>
            </w:r>
            <w:r>
              <w:rPr>
                <w:rFonts w:hint="eastAsia"/>
                <w:color w:val="auto"/>
                <w:lang w:val="en-US" w:eastAsia="zh-CN"/>
              </w:rPr>
              <w:t>/a。本项目生活污水依托国投罗钾公司厂区现有污水处理站进行处理，出水水质达到《城镇污水处理厂污染物排放标准》（GB 18918-2002）一级A标准后回用于生产系统，不外排。</w:t>
            </w:r>
          </w:p>
          <w:p>
            <w:pPr>
              <w:pStyle w:val="26"/>
              <w:bidi w:val="0"/>
              <w:rPr>
                <w:rFonts w:hint="eastAsia"/>
                <w:color w:val="auto"/>
                <w:lang w:val="en-US" w:eastAsia="zh-CN"/>
              </w:rPr>
            </w:pPr>
            <w:r>
              <w:rPr>
                <w:rFonts w:hint="eastAsia"/>
                <w:color w:val="auto"/>
                <w:lang w:val="en-US" w:eastAsia="zh-CN"/>
              </w:rPr>
              <w:t>表4-6  废水污染物产生情况表</w:t>
            </w:r>
          </w:p>
          <w:tbl>
            <w:tblPr>
              <w:tblStyle w:val="20"/>
              <w:tblW w:w="796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99"/>
              <w:gridCol w:w="693"/>
              <w:gridCol w:w="996"/>
              <w:gridCol w:w="996"/>
              <w:gridCol w:w="996"/>
              <w:gridCol w:w="1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污染源</w:t>
                  </w:r>
                </w:p>
              </w:tc>
              <w:tc>
                <w:tcPr>
                  <w:tcW w:w="1299"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污染物</w:t>
                  </w:r>
                </w:p>
              </w:tc>
              <w:tc>
                <w:tcPr>
                  <w:tcW w:w="693"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核算方法</w:t>
                  </w:r>
                </w:p>
              </w:tc>
              <w:tc>
                <w:tcPr>
                  <w:tcW w:w="996"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废水量m</w:t>
                  </w:r>
                  <w:r>
                    <w:rPr>
                      <w:rFonts w:hint="eastAsia"/>
                      <w:color w:val="auto"/>
                      <w:vertAlign w:val="superscript"/>
                      <w:lang w:val="en-US" w:eastAsia="zh-CN"/>
                    </w:rPr>
                    <w:t>3</w:t>
                  </w:r>
                  <w:r>
                    <w:rPr>
                      <w:rFonts w:hint="eastAsia"/>
                      <w:color w:val="auto"/>
                      <w:lang w:val="en-US" w:eastAsia="zh-CN"/>
                    </w:rPr>
                    <w:t>/a</w:t>
                  </w:r>
                </w:p>
              </w:tc>
              <w:tc>
                <w:tcPr>
                  <w:tcW w:w="1992" w:type="dxa"/>
                  <w:gridSpan w:val="2"/>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污染物产生</w:t>
                  </w:r>
                </w:p>
              </w:tc>
              <w:tc>
                <w:tcPr>
                  <w:tcW w:w="1992"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污染物排放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continue"/>
                  <w:tcBorders>
                    <w:tl2br w:val="nil"/>
                    <w:tr2bl w:val="nil"/>
                  </w:tcBorders>
                  <w:vAlign w:val="center"/>
                </w:tcPr>
                <w:p>
                  <w:pPr>
                    <w:pStyle w:val="27"/>
                    <w:bidi w:val="0"/>
                    <w:jc w:val="center"/>
                    <w:rPr>
                      <w:rFonts w:hint="default"/>
                      <w:color w:val="auto"/>
                      <w:lang w:val="en-US" w:eastAsia="zh-CN"/>
                    </w:rPr>
                  </w:pPr>
                </w:p>
              </w:tc>
              <w:tc>
                <w:tcPr>
                  <w:tcW w:w="1299" w:type="dxa"/>
                  <w:vMerge w:val="continue"/>
                  <w:tcBorders>
                    <w:tl2br w:val="nil"/>
                    <w:tr2bl w:val="nil"/>
                  </w:tcBorders>
                  <w:vAlign w:val="center"/>
                </w:tcPr>
                <w:p>
                  <w:pPr>
                    <w:pStyle w:val="27"/>
                    <w:bidi w:val="0"/>
                    <w:jc w:val="center"/>
                    <w:rPr>
                      <w:rFonts w:hint="default"/>
                      <w:color w:val="auto"/>
                      <w:lang w:val="en-US" w:eastAsia="zh-CN"/>
                    </w:rPr>
                  </w:pPr>
                </w:p>
              </w:tc>
              <w:tc>
                <w:tcPr>
                  <w:tcW w:w="693" w:type="dxa"/>
                  <w:vMerge w:val="continue"/>
                  <w:tcBorders>
                    <w:tl2br w:val="nil"/>
                    <w:tr2bl w:val="nil"/>
                  </w:tcBorders>
                  <w:vAlign w:val="center"/>
                </w:tcPr>
                <w:p>
                  <w:pPr>
                    <w:pStyle w:val="27"/>
                    <w:bidi w:val="0"/>
                    <w:jc w:val="center"/>
                    <w:rPr>
                      <w:rFonts w:hint="default"/>
                      <w:color w:val="auto"/>
                      <w:lang w:val="en-US" w:eastAsia="zh-CN"/>
                    </w:rPr>
                  </w:pPr>
                </w:p>
              </w:tc>
              <w:tc>
                <w:tcPr>
                  <w:tcW w:w="996" w:type="dxa"/>
                  <w:vMerge w:val="continue"/>
                  <w:tcBorders>
                    <w:tl2br w:val="nil"/>
                    <w:tr2bl w:val="nil"/>
                  </w:tcBorders>
                  <w:vAlign w:val="center"/>
                </w:tcPr>
                <w:p>
                  <w:pPr>
                    <w:pStyle w:val="27"/>
                    <w:bidi w:val="0"/>
                    <w:jc w:val="center"/>
                    <w:rPr>
                      <w:rFonts w:hint="default"/>
                      <w:color w:val="auto"/>
                      <w:lang w:val="en-US" w:eastAsia="zh-CN"/>
                    </w:rPr>
                  </w:pP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产生浓度mg/L</w:t>
                  </w: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产生量t/a</w:t>
                  </w:r>
                </w:p>
              </w:tc>
              <w:tc>
                <w:tcPr>
                  <w:tcW w:w="1992" w:type="dxa"/>
                  <w:vMerge w:val="continue"/>
                  <w:tcBorders>
                    <w:tl2br w:val="nil"/>
                    <w:tr2bl w:val="nil"/>
                  </w:tcBorders>
                  <w:vAlign w:val="center"/>
                </w:tcPr>
                <w:p>
                  <w:pPr>
                    <w:pStyle w:val="27"/>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生活污水</w:t>
                  </w:r>
                </w:p>
              </w:tc>
              <w:tc>
                <w:tcPr>
                  <w:tcW w:w="1299"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化学需氧量</w:t>
                  </w:r>
                </w:p>
              </w:tc>
              <w:tc>
                <w:tcPr>
                  <w:tcW w:w="693"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系数法</w:t>
                  </w:r>
                </w:p>
              </w:tc>
              <w:tc>
                <w:tcPr>
                  <w:tcW w:w="996"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460.32</w:t>
                  </w: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460</w:t>
                  </w: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0.2117</w:t>
                  </w:r>
                </w:p>
              </w:tc>
              <w:tc>
                <w:tcPr>
                  <w:tcW w:w="1992" w:type="dxa"/>
                  <w:vMerge w:val="restart"/>
                  <w:tcBorders>
                    <w:tl2br w:val="nil"/>
                    <w:tr2bl w:val="nil"/>
                  </w:tcBorders>
                  <w:vAlign w:val="center"/>
                </w:tcPr>
                <w:p>
                  <w:pPr>
                    <w:pStyle w:val="27"/>
                    <w:bidi w:val="0"/>
                    <w:jc w:val="center"/>
                    <w:rPr>
                      <w:rFonts w:hint="default"/>
                      <w:color w:val="auto"/>
                      <w:lang w:val="en-US" w:eastAsia="zh-CN"/>
                    </w:rPr>
                  </w:pPr>
                  <w:r>
                    <w:rPr>
                      <w:rFonts w:hint="default"/>
                      <w:color w:val="auto"/>
                      <w:lang w:val="en-US" w:eastAsia="zh-CN"/>
                    </w:rPr>
                    <w:t>依托国投罗钾公司厂区现有污水处理站进行处理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continue"/>
                  <w:tcBorders>
                    <w:tl2br w:val="nil"/>
                    <w:tr2bl w:val="nil"/>
                  </w:tcBorders>
                  <w:vAlign w:val="center"/>
                </w:tcPr>
                <w:p>
                  <w:pPr>
                    <w:pStyle w:val="27"/>
                    <w:bidi w:val="0"/>
                    <w:jc w:val="center"/>
                    <w:rPr>
                      <w:rFonts w:hint="default"/>
                      <w:color w:val="auto"/>
                      <w:lang w:val="en-US" w:eastAsia="zh-CN"/>
                    </w:rPr>
                  </w:pPr>
                </w:p>
              </w:tc>
              <w:tc>
                <w:tcPr>
                  <w:tcW w:w="1299"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氨氮</w:t>
                  </w:r>
                </w:p>
              </w:tc>
              <w:tc>
                <w:tcPr>
                  <w:tcW w:w="693" w:type="dxa"/>
                  <w:vMerge w:val="continue"/>
                  <w:tcBorders>
                    <w:tl2br w:val="nil"/>
                    <w:tr2bl w:val="nil"/>
                  </w:tcBorders>
                  <w:vAlign w:val="center"/>
                </w:tcPr>
                <w:p>
                  <w:pPr>
                    <w:pStyle w:val="27"/>
                    <w:bidi w:val="0"/>
                    <w:jc w:val="center"/>
                    <w:rPr>
                      <w:rFonts w:hint="default"/>
                      <w:color w:val="auto"/>
                      <w:lang w:val="en-US" w:eastAsia="zh-CN"/>
                    </w:rPr>
                  </w:pPr>
                </w:p>
              </w:tc>
              <w:tc>
                <w:tcPr>
                  <w:tcW w:w="996" w:type="dxa"/>
                  <w:vMerge w:val="continue"/>
                  <w:tcBorders>
                    <w:tl2br w:val="nil"/>
                    <w:tr2bl w:val="nil"/>
                  </w:tcBorders>
                  <w:vAlign w:val="center"/>
                </w:tcPr>
                <w:p>
                  <w:pPr>
                    <w:pStyle w:val="27"/>
                    <w:bidi w:val="0"/>
                    <w:jc w:val="center"/>
                    <w:rPr>
                      <w:rFonts w:hint="default"/>
                      <w:color w:val="auto"/>
                      <w:lang w:val="en-US" w:eastAsia="zh-CN"/>
                    </w:rPr>
                  </w:pP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52.2</w:t>
                  </w: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0.0240</w:t>
                  </w:r>
                </w:p>
              </w:tc>
              <w:tc>
                <w:tcPr>
                  <w:tcW w:w="1992" w:type="dxa"/>
                  <w:vMerge w:val="continue"/>
                  <w:tcBorders>
                    <w:tl2br w:val="nil"/>
                    <w:tr2bl w:val="nil"/>
                  </w:tcBorders>
                  <w:vAlign w:val="center"/>
                </w:tcPr>
                <w:p>
                  <w:pPr>
                    <w:pStyle w:val="27"/>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continue"/>
                  <w:tcBorders>
                    <w:tl2br w:val="nil"/>
                    <w:tr2bl w:val="nil"/>
                  </w:tcBorders>
                  <w:vAlign w:val="center"/>
                </w:tcPr>
                <w:p>
                  <w:pPr>
                    <w:pStyle w:val="27"/>
                    <w:bidi w:val="0"/>
                    <w:jc w:val="center"/>
                    <w:rPr>
                      <w:rFonts w:hint="default"/>
                      <w:color w:val="auto"/>
                      <w:lang w:val="en-US" w:eastAsia="zh-CN"/>
                    </w:rPr>
                  </w:pPr>
                </w:p>
              </w:tc>
              <w:tc>
                <w:tcPr>
                  <w:tcW w:w="1299"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总氮</w:t>
                  </w:r>
                </w:p>
              </w:tc>
              <w:tc>
                <w:tcPr>
                  <w:tcW w:w="693" w:type="dxa"/>
                  <w:vMerge w:val="continue"/>
                  <w:tcBorders>
                    <w:tl2br w:val="nil"/>
                    <w:tr2bl w:val="nil"/>
                  </w:tcBorders>
                  <w:vAlign w:val="center"/>
                </w:tcPr>
                <w:p>
                  <w:pPr>
                    <w:pStyle w:val="27"/>
                    <w:bidi w:val="0"/>
                    <w:jc w:val="center"/>
                    <w:rPr>
                      <w:rFonts w:hint="default"/>
                      <w:color w:val="auto"/>
                      <w:lang w:val="en-US" w:eastAsia="zh-CN"/>
                    </w:rPr>
                  </w:pPr>
                </w:p>
              </w:tc>
              <w:tc>
                <w:tcPr>
                  <w:tcW w:w="996" w:type="dxa"/>
                  <w:vMerge w:val="continue"/>
                  <w:tcBorders>
                    <w:tl2br w:val="nil"/>
                    <w:tr2bl w:val="nil"/>
                  </w:tcBorders>
                  <w:vAlign w:val="center"/>
                </w:tcPr>
                <w:p>
                  <w:pPr>
                    <w:pStyle w:val="27"/>
                    <w:bidi w:val="0"/>
                    <w:jc w:val="center"/>
                    <w:rPr>
                      <w:rFonts w:hint="default"/>
                      <w:color w:val="auto"/>
                      <w:lang w:val="en-US" w:eastAsia="zh-CN"/>
                    </w:rPr>
                  </w:pP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71.2</w:t>
                  </w: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0.0328</w:t>
                  </w:r>
                </w:p>
              </w:tc>
              <w:tc>
                <w:tcPr>
                  <w:tcW w:w="1992" w:type="dxa"/>
                  <w:vMerge w:val="continue"/>
                  <w:tcBorders>
                    <w:tl2br w:val="nil"/>
                    <w:tr2bl w:val="nil"/>
                  </w:tcBorders>
                  <w:vAlign w:val="center"/>
                </w:tcPr>
                <w:p>
                  <w:pPr>
                    <w:pStyle w:val="27"/>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continue"/>
                  <w:tcBorders>
                    <w:tl2br w:val="nil"/>
                    <w:tr2bl w:val="nil"/>
                  </w:tcBorders>
                  <w:vAlign w:val="center"/>
                </w:tcPr>
                <w:p>
                  <w:pPr>
                    <w:pStyle w:val="27"/>
                    <w:bidi w:val="0"/>
                    <w:jc w:val="center"/>
                    <w:rPr>
                      <w:rFonts w:hint="default"/>
                      <w:color w:val="auto"/>
                      <w:lang w:val="en-US" w:eastAsia="zh-CN"/>
                    </w:rPr>
                  </w:pPr>
                </w:p>
              </w:tc>
              <w:tc>
                <w:tcPr>
                  <w:tcW w:w="1299"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总磷</w:t>
                  </w:r>
                </w:p>
              </w:tc>
              <w:tc>
                <w:tcPr>
                  <w:tcW w:w="693" w:type="dxa"/>
                  <w:vMerge w:val="continue"/>
                  <w:tcBorders>
                    <w:tl2br w:val="nil"/>
                    <w:tr2bl w:val="nil"/>
                  </w:tcBorders>
                  <w:vAlign w:val="center"/>
                </w:tcPr>
                <w:p>
                  <w:pPr>
                    <w:pStyle w:val="27"/>
                    <w:bidi w:val="0"/>
                    <w:jc w:val="center"/>
                    <w:rPr>
                      <w:rFonts w:hint="default"/>
                      <w:color w:val="auto"/>
                      <w:lang w:val="en-US" w:eastAsia="zh-CN"/>
                    </w:rPr>
                  </w:pPr>
                </w:p>
              </w:tc>
              <w:tc>
                <w:tcPr>
                  <w:tcW w:w="996" w:type="dxa"/>
                  <w:vMerge w:val="continue"/>
                  <w:tcBorders>
                    <w:tl2br w:val="nil"/>
                    <w:tr2bl w:val="nil"/>
                  </w:tcBorders>
                  <w:vAlign w:val="center"/>
                </w:tcPr>
                <w:p>
                  <w:pPr>
                    <w:pStyle w:val="27"/>
                    <w:bidi w:val="0"/>
                    <w:jc w:val="center"/>
                    <w:rPr>
                      <w:rFonts w:hint="default"/>
                      <w:color w:val="auto"/>
                      <w:lang w:val="en-US" w:eastAsia="zh-CN"/>
                    </w:rPr>
                  </w:pP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5.12</w:t>
                  </w:r>
                </w:p>
              </w:tc>
              <w:tc>
                <w:tcPr>
                  <w:tcW w:w="99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0.0024</w:t>
                  </w:r>
                </w:p>
              </w:tc>
              <w:tc>
                <w:tcPr>
                  <w:tcW w:w="1992" w:type="dxa"/>
                  <w:vMerge w:val="continue"/>
                  <w:tcBorders>
                    <w:tl2br w:val="nil"/>
                    <w:tr2bl w:val="nil"/>
                  </w:tcBorders>
                  <w:vAlign w:val="center"/>
                </w:tcPr>
                <w:p>
                  <w:pPr>
                    <w:pStyle w:val="27"/>
                    <w:bidi w:val="0"/>
                    <w:jc w:val="center"/>
                    <w:rPr>
                      <w:rFonts w:hint="default"/>
                      <w:color w:val="auto"/>
                      <w:lang w:val="en-US" w:eastAsia="zh-CN"/>
                    </w:rPr>
                  </w:pPr>
                </w:p>
              </w:tc>
            </w:tr>
          </w:tbl>
          <w:p>
            <w:pPr>
              <w:pStyle w:val="54"/>
              <w:bidi w:val="0"/>
              <w:rPr>
                <w:rFonts w:hint="default"/>
                <w:color w:val="auto"/>
                <w:lang w:val="en-US" w:eastAsia="zh-CN"/>
              </w:rPr>
            </w:pPr>
            <w:r>
              <w:rPr>
                <w:rFonts w:hint="eastAsia"/>
                <w:color w:val="auto"/>
                <w:lang w:val="en-US" w:eastAsia="zh-CN"/>
              </w:rPr>
              <w:t>2、依托可行性分析</w:t>
            </w:r>
          </w:p>
          <w:p>
            <w:pPr>
              <w:pStyle w:val="54"/>
              <w:bidi w:val="0"/>
              <w:rPr>
                <w:rFonts w:hint="default"/>
                <w:color w:val="auto"/>
                <w:lang w:val="en-US" w:eastAsia="zh-CN"/>
              </w:rPr>
            </w:pPr>
            <w:r>
              <w:rPr>
                <w:rFonts w:hint="eastAsia"/>
                <w:color w:val="auto"/>
                <w:lang w:val="en-US" w:eastAsia="zh-CN"/>
              </w:rPr>
              <w:t>本项目</w:t>
            </w:r>
            <w:r>
              <w:rPr>
                <w:rFonts w:hint="default"/>
                <w:color w:val="auto"/>
                <w:lang w:val="en-US" w:eastAsia="zh-CN"/>
              </w:rPr>
              <w:t>生活污水产生量为</w:t>
            </w:r>
            <w:r>
              <w:rPr>
                <w:rFonts w:hint="eastAsia"/>
                <w:color w:val="auto"/>
                <w:lang w:val="en-US" w:eastAsia="zh-CN"/>
              </w:rPr>
              <w:t>1.644m</w:t>
            </w:r>
            <w:r>
              <w:rPr>
                <w:rFonts w:hint="eastAsia"/>
                <w:color w:val="auto"/>
                <w:vertAlign w:val="superscript"/>
                <w:lang w:val="en-US" w:eastAsia="zh-CN"/>
              </w:rPr>
              <w:t>3</w:t>
            </w:r>
            <w:r>
              <w:rPr>
                <w:rFonts w:hint="eastAsia"/>
                <w:color w:val="auto"/>
                <w:lang w:val="en-US" w:eastAsia="zh-CN"/>
              </w:rPr>
              <w:t>/d，依托国投罗钾公司厂区现有污水处理站进行处理</w:t>
            </w:r>
            <w:r>
              <w:rPr>
                <w:rFonts w:hint="eastAsia"/>
                <w:color w:val="auto"/>
                <w:lang w:eastAsia="zh-CN"/>
              </w:rPr>
              <w:t>。</w:t>
            </w:r>
            <w:r>
              <w:rPr>
                <w:rFonts w:hint="eastAsia"/>
                <w:color w:val="auto"/>
                <w:lang w:val="en-US" w:eastAsia="zh-CN"/>
              </w:rPr>
              <w:t>依托可行性分析如下：</w:t>
            </w:r>
          </w:p>
          <w:p>
            <w:pPr>
              <w:pStyle w:val="54"/>
              <w:bidi w:val="0"/>
              <w:rPr>
                <w:rFonts w:hint="default"/>
                <w:color w:val="auto"/>
                <w:lang w:val="en-US" w:eastAsia="zh-CN"/>
              </w:rPr>
            </w:pPr>
            <w:r>
              <w:rPr>
                <w:rFonts w:hint="eastAsia"/>
                <w:color w:val="auto"/>
                <w:lang w:val="en-US" w:eastAsia="zh-CN"/>
              </w:rPr>
              <w:t>（1）环保手续</w:t>
            </w:r>
          </w:p>
          <w:p>
            <w:pPr>
              <w:pStyle w:val="54"/>
              <w:bidi w:val="0"/>
              <w:rPr>
                <w:rFonts w:hint="eastAsia"/>
                <w:color w:val="auto"/>
                <w:lang w:val="en-US" w:eastAsia="zh-CN"/>
              </w:rPr>
            </w:pPr>
            <w:r>
              <w:rPr>
                <w:rFonts w:hint="eastAsia"/>
                <w:color w:val="auto"/>
                <w:lang w:val="en-US" w:eastAsia="zh-CN"/>
              </w:rPr>
              <w:t>本项目生活污水依托国投罗钾公司厂区现有污水处理站进行处理，该项目已于2019年9月1日取得巴州生态环境局《关于国投新疆罗布泊钾盐有限责任公司罗中生活污水提标改造工程环境影响报告表的批复》（巴环评价函〔2019〕174号），并于2020年12月27日组织召开了“国投新疆罗布泊钾盐有限责任公司罗中生活污水提标改造工程”竣工环境保护验收会，形成了《国投新疆罗布泊钾盐有限责任公司罗中生活污水提标改造工程竣工环境保护验收意见》。</w:t>
            </w:r>
          </w:p>
          <w:p>
            <w:pPr>
              <w:pStyle w:val="54"/>
              <w:bidi w:val="0"/>
              <w:rPr>
                <w:rFonts w:hint="default"/>
                <w:color w:val="auto"/>
                <w:lang w:val="en-US" w:eastAsia="zh-CN"/>
              </w:rPr>
            </w:pPr>
            <w:r>
              <w:rPr>
                <w:rFonts w:hint="eastAsia"/>
                <w:color w:val="auto"/>
                <w:lang w:val="en-US" w:eastAsia="zh-CN"/>
              </w:rPr>
              <w:t>（2）处理能力</w:t>
            </w:r>
          </w:p>
          <w:p>
            <w:pPr>
              <w:pStyle w:val="54"/>
              <w:bidi w:val="0"/>
              <w:rPr>
                <w:rFonts w:hint="default"/>
                <w:color w:val="auto"/>
                <w:lang w:val="en-US" w:eastAsia="zh-CN"/>
              </w:rPr>
            </w:pPr>
            <w:r>
              <w:rPr>
                <w:rFonts w:hint="eastAsia"/>
                <w:color w:val="auto"/>
                <w:lang w:val="en-US" w:eastAsia="zh-CN"/>
              </w:rPr>
              <w:t>目前污水处理站日处理能力约300m</w:t>
            </w:r>
            <w:r>
              <w:rPr>
                <w:rFonts w:hint="eastAsia"/>
                <w:color w:val="auto"/>
                <w:vertAlign w:val="superscript"/>
                <w:lang w:val="en-US" w:eastAsia="zh-CN"/>
              </w:rPr>
              <w:t>3</w:t>
            </w:r>
            <w:r>
              <w:rPr>
                <w:rFonts w:hint="eastAsia"/>
                <w:color w:val="auto"/>
                <w:lang w:val="en-US" w:eastAsia="zh-CN"/>
              </w:rPr>
              <w:t>，剩余20m</w:t>
            </w:r>
            <w:r>
              <w:rPr>
                <w:rFonts w:hint="eastAsia"/>
                <w:color w:val="auto"/>
                <w:vertAlign w:val="superscript"/>
                <w:lang w:val="en-US" w:eastAsia="zh-CN"/>
              </w:rPr>
              <w:t>3</w:t>
            </w:r>
            <w:r>
              <w:rPr>
                <w:rFonts w:hint="eastAsia"/>
                <w:color w:val="auto"/>
                <w:lang w:val="en-US" w:eastAsia="zh-CN"/>
              </w:rPr>
              <w:t>余量。本项目生活污水产生量为1.644m</w:t>
            </w:r>
            <w:r>
              <w:rPr>
                <w:rFonts w:hint="eastAsia"/>
                <w:color w:val="auto"/>
                <w:vertAlign w:val="superscript"/>
                <w:lang w:val="en-US" w:eastAsia="zh-CN"/>
              </w:rPr>
              <w:t>3</w:t>
            </w:r>
            <w:r>
              <w:rPr>
                <w:rFonts w:hint="eastAsia"/>
                <w:color w:val="auto"/>
                <w:lang w:val="en-US" w:eastAsia="zh-CN"/>
              </w:rPr>
              <w:t>/d，产生量较小，因此本项目生活污水依托该污水处理厂进行处理可行。</w:t>
            </w:r>
          </w:p>
          <w:p>
            <w:pPr>
              <w:pStyle w:val="54"/>
              <w:bidi w:val="0"/>
              <w:rPr>
                <w:rFonts w:hint="default"/>
                <w:color w:val="auto"/>
                <w:lang w:val="en-US" w:eastAsia="zh-CN"/>
              </w:rPr>
            </w:pPr>
            <w:r>
              <w:rPr>
                <w:rFonts w:hint="eastAsia"/>
                <w:color w:val="auto"/>
                <w:lang w:val="en-US" w:eastAsia="zh-CN"/>
              </w:rPr>
              <w:t>（3）处理工艺</w:t>
            </w:r>
          </w:p>
          <w:p>
            <w:pPr>
              <w:pStyle w:val="54"/>
              <w:bidi w:val="0"/>
              <w:spacing w:line="240" w:lineRule="auto"/>
              <w:ind w:left="0" w:leftChars="0" w:firstLine="0" w:firstLineChars="0"/>
              <w:jc w:val="center"/>
              <w:rPr>
                <w:rFonts w:hint="default"/>
                <w:color w:val="auto"/>
                <w:lang w:val="en-US" w:eastAsia="zh-CN"/>
              </w:rPr>
            </w:pPr>
            <w:r>
              <w:rPr>
                <w:rFonts w:hint="default"/>
                <w:color w:val="auto"/>
                <w:lang w:val="en-US" w:eastAsia="zh-CN"/>
              </w:rPr>
              <w:drawing>
                <wp:inline distT="0" distB="0" distL="114300" distR="114300">
                  <wp:extent cx="3639820" cy="4972050"/>
                  <wp:effectExtent l="19050" t="19050" r="36830" b="19050"/>
                  <wp:docPr id="8" name="图片 8" descr="175248992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52489929969"/>
                          <pic:cNvPicPr>
                            <a:picLocks noChangeAspect="1"/>
                          </pic:cNvPicPr>
                        </pic:nvPicPr>
                        <pic:blipFill>
                          <a:blip r:embed="rId10"/>
                          <a:stretch>
                            <a:fillRect/>
                          </a:stretch>
                        </pic:blipFill>
                        <pic:spPr>
                          <a:xfrm>
                            <a:off x="0" y="0"/>
                            <a:ext cx="3639820" cy="4972050"/>
                          </a:xfrm>
                          <a:prstGeom prst="rect">
                            <a:avLst/>
                          </a:prstGeom>
                          <a:ln w="19050">
                            <a:solidFill>
                              <a:schemeClr val="tx1"/>
                            </a:solidFill>
                          </a:ln>
                        </pic:spPr>
                      </pic:pic>
                    </a:graphicData>
                  </a:graphic>
                </wp:inline>
              </w:drawing>
            </w:r>
          </w:p>
          <w:p>
            <w:pPr>
              <w:pStyle w:val="52"/>
              <w:bidi w:val="0"/>
              <w:spacing w:line="240" w:lineRule="auto"/>
              <w:rPr>
                <w:rFonts w:hint="default"/>
                <w:color w:val="auto"/>
                <w:lang w:val="en-US" w:eastAsia="zh-CN"/>
              </w:rPr>
            </w:pPr>
            <w:r>
              <w:rPr>
                <w:rFonts w:hint="eastAsia"/>
                <w:color w:val="auto"/>
                <w:lang w:val="en-US" w:eastAsia="zh-CN"/>
              </w:rPr>
              <w:t>图4-1  国投罗钾公司厂区现有污水处理站工艺流程图</w:t>
            </w:r>
          </w:p>
          <w:p>
            <w:pPr>
              <w:pStyle w:val="54"/>
              <w:bidi w:val="0"/>
              <w:rPr>
                <w:rFonts w:hint="eastAsia"/>
                <w:color w:val="auto"/>
                <w:lang w:val="en-US" w:eastAsia="zh-CN"/>
              </w:rPr>
            </w:pPr>
            <w:r>
              <w:rPr>
                <w:rFonts w:hint="eastAsia"/>
                <w:color w:val="auto"/>
                <w:lang w:val="en-US" w:eastAsia="zh-CN"/>
              </w:rPr>
              <w:t>①预处理工艺</w:t>
            </w:r>
          </w:p>
          <w:p>
            <w:pPr>
              <w:pStyle w:val="54"/>
              <w:bidi w:val="0"/>
              <w:rPr>
                <w:rFonts w:hint="eastAsia"/>
                <w:color w:val="auto"/>
                <w:lang w:val="en-US" w:eastAsia="zh-CN"/>
              </w:rPr>
            </w:pPr>
            <w:r>
              <w:rPr>
                <w:rFonts w:hint="eastAsia"/>
                <w:color w:val="auto"/>
                <w:lang w:val="en-US" w:eastAsia="zh-CN"/>
              </w:rPr>
              <w:t>本项目预处理采用格栅+沉砂沉淀池+调节池—水解酸化作为预处理工艺，主要原理及作用如下：</w:t>
            </w:r>
          </w:p>
          <w:p>
            <w:pPr>
              <w:pStyle w:val="54"/>
              <w:bidi w:val="0"/>
              <w:rPr>
                <w:rFonts w:hint="eastAsia"/>
                <w:color w:val="auto"/>
                <w:lang w:val="en-US" w:eastAsia="zh-CN"/>
              </w:rPr>
            </w:pPr>
            <w:r>
              <w:rPr>
                <w:rFonts w:hint="eastAsia"/>
                <w:color w:val="auto"/>
                <w:lang w:val="en-US" w:eastAsia="zh-CN"/>
              </w:rPr>
              <w:t>A.由于生活污水含有大量的悬浮物，为保证水泵使用寿命及后续处理设施的正常运行在调节池前设置格栅以拦截悬浮物及杂质，栅渣作垃圾处理。</w:t>
            </w:r>
          </w:p>
          <w:p>
            <w:pPr>
              <w:pStyle w:val="54"/>
              <w:bidi w:val="0"/>
              <w:rPr>
                <w:rFonts w:hint="eastAsia"/>
                <w:color w:val="auto"/>
                <w:lang w:val="en-US" w:eastAsia="zh-CN"/>
              </w:rPr>
            </w:pPr>
            <w:r>
              <w:rPr>
                <w:rFonts w:hint="eastAsia"/>
                <w:color w:val="auto"/>
                <w:lang w:val="en-US" w:eastAsia="zh-CN"/>
              </w:rPr>
              <w:t>B.沉砂池形式：沉砂沉主要沉淀比重较大的无机颗粒杂质、砂，有效保证潜污泵不堵塞卡死等，大大延长了潜污泵的使用寿命，便于沉积物的清理工作，延长后续调节池的有效容积。</w:t>
            </w:r>
          </w:p>
          <w:p>
            <w:pPr>
              <w:pStyle w:val="54"/>
              <w:bidi w:val="0"/>
              <w:rPr>
                <w:rFonts w:hint="eastAsia"/>
                <w:color w:val="auto"/>
                <w:lang w:val="en-US" w:eastAsia="zh-CN"/>
              </w:rPr>
            </w:pPr>
            <w:r>
              <w:rPr>
                <w:rFonts w:hint="eastAsia"/>
                <w:color w:val="auto"/>
                <w:lang w:val="en-US" w:eastAsia="zh-CN"/>
              </w:rPr>
              <w:t>C.因来自各时的水质、水量均不一样，生活污水一般高峰流量为平均处理量的3~6倍，为使污水处理系统连续稳定地运行，所以设计一座调节池来调节水量，调节池内设置穿孔管，进行空气搅拌，均化水质。</w:t>
            </w:r>
          </w:p>
          <w:p>
            <w:pPr>
              <w:pStyle w:val="54"/>
              <w:bidi w:val="0"/>
              <w:rPr>
                <w:rFonts w:hint="eastAsia"/>
                <w:color w:val="auto"/>
                <w:lang w:val="en-US" w:eastAsia="zh-CN"/>
              </w:rPr>
            </w:pPr>
            <w:r>
              <w:rPr>
                <w:rFonts w:hint="eastAsia"/>
                <w:color w:val="auto"/>
                <w:lang w:val="en-US" w:eastAsia="zh-CN"/>
              </w:rPr>
              <w:t>D.由于进水水质部分指标比国内常规经验数据偏差太大，进水水质指标较高（如COD差近3倍），设置一水解酸化池，该池内装填上填料，在水解酸化细菌和产甲烷细菌的发酵过程中，使废水中一些难降解的有机物可转化为易降解的有机物，降低生化处理的冲击负荷。由于微生物的生长过程中吸收有机污染物作为营养物质，以及大分子物质降解为有机酸过程中产生二氧化碳，在水解酸化池中COD能得到很好的去除。</w:t>
            </w:r>
          </w:p>
          <w:p>
            <w:pPr>
              <w:pStyle w:val="54"/>
              <w:bidi w:val="0"/>
              <w:rPr>
                <w:rFonts w:hint="default"/>
                <w:color w:val="auto"/>
                <w:lang w:val="en-US" w:eastAsia="zh-CN"/>
              </w:rPr>
            </w:pPr>
            <w:r>
              <w:rPr>
                <w:rFonts w:hint="eastAsia"/>
                <w:color w:val="auto"/>
                <w:lang w:val="en-US" w:eastAsia="zh-CN"/>
              </w:rPr>
              <w:t>②生化处理</w:t>
            </w:r>
          </w:p>
          <w:p>
            <w:pPr>
              <w:pStyle w:val="54"/>
              <w:bidi w:val="0"/>
              <w:rPr>
                <w:rFonts w:hint="default"/>
                <w:color w:val="auto"/>
                <w:lang w:val="en-US" w:eastAsia="zh-CN"/>
              </w:rPr>
            </w:pPr>
            <w:r>
              <w:rPr>
                <w:rFonts w:hint="eastAsia"/>
                <w:color w:val="auto"/>
                <w:lang w:val="en-US" w:eastAsia="zh-CN"/>
              </w:rPr>
              <w:t>A.生化处理工艺</w:t>
            </w:r>
          </w:p>
          <w:p>
            <w:pPr>
              <w:pStyle w:val="54"/>
              <w:bidi w:val="0"/>
              <w:rPr>
                <w:rFonts w:hint="default"/>
                <w:color w:val="auto"/>
                <w:lang w:val="en-US" w:eastAsia="zh-CN"/>
              </w:rPr>
            </w:pPr>
            <w:r>
              <w:rPr>
                <w:rFonts w:hint="eastAsia"/>
                <w:color w:val="auto"/>
                <w:lang w:val="en-US" w:eastAsia="zh-CN"/>
              </w:rPr>
              <w:t>本次污水处理站生化处理工艺采用满足生物脱氮除磷的A</w:t>
            </w:r>
            <w:r>
              <w:rPr>
                <w:rFonts w:hint="eastAsia"/>
                <w:color w:val="auto"/>
                <w:vertAlign w:val="superscript"/>
                <w:lang w:val="en-US" w:eastAsia="zh-CN"/>
              </w:rPr>
              <w:t>2</w:t>
            </w:r>
            <w:r>
              <w:rPr>
                <w:rFonts w:hint="eastAsia"/>
                <w:color w:val="auto"/>
                <w:lang w:val="en-US" w:eastAsia="zh-CN"/>
              </w:rPr>
              <w:t>/O工艺。</w:t>
            </w:r>
            <w:r>
              <w:rPr>
                <w:rFonts w:hint="default"/>
                <w:color w:val="auto"/>
                <w:lang w:val="en-US" w:eastAsia="zh-CN"/>
              </w:rPr>
              <w:t>所有生物除磷脱氮工艺都包含厌氧、缺氧、好氧三个不同过程的交替循环。</w:t>
            </w:r>
            <w:r>
              <w:rPr>
                <w:rFonts w:hint="eastAsia"/>
                <w:color w:val="auto"/>
                <w:lang w:val="en-US" w:eastAsia="zh-CN"/>
              </w:rPr>
              <w:t>A</w:t>
            </w:r>
            <w:r>
              <w:rPr>
                <w:rFonts w:hint="eastAsia"/>
                <w:color w:val="auto"/>
                <w:vertAlign w:val="superscript"/>
                <w:lang w:val="en-US" w:eastAsia="zh-CN"/>
              </w:rPr>
              <w:t>2</w:t>
            </w:r>
            <w:r>
              <w:rPr>
                <w:rFonts w:hint="eastAsia"/>
                <w:color w:val="auto"/>
                <w:lang w:val="en-US" w:eastAsia="zh-CN"/>
              </w:rPr>
              <w:t>/O</w:t>
            </w:r>
            <w:r>
              <w:rPr>
                <w:rFonts w:hint="default"/>
                <w:color w:val="auto"/>
                <w:lang w:val="en-US" w:eastAsia="zh-CN"/>
              </w:rPr>
              <w:t>工艺是在A/</w:t>
            </w:r>
            <w:r>
              <w:rPr>
                <w:rFonts w:hint="eastAsia"/>
                <w:color w:val="auto"/>
                <w:lang w:val="en-US" w:eastAsia="zh-CN"/>
              </w:rPr>
              <w:t>O</w:t>
            </w:r>
            <w:r>
              <w:rPr>
                <w:rFonts w:hint="default"/>
                <w:color w:val="auto"/>
                <w:lang w:val="en-US" w:eastAsia="zh-CN"/>
              </w:rPr>
              <w:t>工艺的基础上，前置了一个厌氧段。污水依次流经厌氧段、缺氧段和好氧段，可以达到同时去除有机物和脱氮除磷的目的。</w:t>
            </w:r>
            <w:r>
              <w:rPr>
                <w:rFonts w:hint="eastAsia"/>
                <w:color w:val="auto"/>
                <w:lang w:val="en-US" w:eastAsia="zh-CN"/>
              </w:rPr>
              <w:t>A</w:t>
            </w:r>
            <w:r>
              <w:rPr>
                <w:rFonts w:hint="eastAsia"/>
                <w:color w:val="auto"/>
                <w:vertAlign w:val="superscript"/>
                <w:lang w:val="en-US" w:eastAsia="zh-CN"/>
              </w:rPr>
              <w:t>2</w:t>
            </w:r>
            <w:r>
              <w:rPr>
                <w:rFonts w:hint="eastAsia"/>
                <w:color w:val="auto"/>
                <w:lang w:val="en-US" w:eastAsia="zh-CN"/>
              </w:rPr>
              <w:t>/O</w:t>
            </w:r>
            <w:r>
              <w:rPr>
                <w:rFonts w:hint="default"/>
                <w:color w:val="auto"/>
                <w:lang w:val="en-US" w:eastAsia="zh-CN"/>
              </w:rPr>
              <w:t>工艺流程简单，总水力停留时间也比较短，并且不需要外加碳源，运行费用比较低。</w:t>
            </w:r>
          </w:p>
          <w:p>
            <w:pPr>
              <w:pStyle w:val="54"/>
              <w:bidi w:val="0"/>
              <w:rPr>
                <w:rFonts w:hint="default"/>
                <w:color w:val="auto"/>
                <w:lang w:val="en-US" w:eastAsia="zh-CN"/>
              </w:rPr>
            </w:pPr>
            <w:r>
              <w:rPr>
                <w:rFonts w:hint="default"/>
                <w:color w:val="auto"/>
                <w:lang w:val="en-US" w:eastAsia="zh-CN"/>
              </w:rPr>
              <w:t>污水好氧处理工艺可分为活性污泥法和生物膜法，本次采用生物膜法。生物膜法是一种使微生物群体附着于某些载体的表面上呈膜状，通过与污水接触，生物膜上的微生物摄取污水中的有机物作为营养并加以代谢，从而使污水得到净化的方法。</w:t>
            </w:r>
          </w:p>
          <w:p>
            <w:pPr>
              <w:pStyle w:val="54"/>
              <w:bidi w:val="0"/>
              <w:rPr>
                <w:rFonts w:hint="default"/>
                <w:color w:val="auto"/>
                <w:lang w:val="en-US" w:eastAsia="zh-CN"/>
              </w:rPr>
            </w:pPr>
            <w:r>
              <w:rPr>
                <w:rFonts w:hint="eastAsia"/>
                <w:color w:val="auto"/>
                <w:lang w:val="en-US" w:eastAsia="zh-CN"/>
              </w:rPr>
              <w:t>B.生化处理系统填料</w:t>
            </w:r>
          </w:p>
          <w:p>
            <w:pPr>
              <w:pStyle w:val="54"/>
              <w:bidi w:val="0"/>
              <w:rPr>
                <w:rFonts w:hint="default"/>
                <w:color w:val="auto"/>
                <w:lang w:val="en-US" w:eastAsia="zh-CN"/>
              </w:rPr>
            </w:pPr>
            <w:r>
              <w:rPr>
                <w:rFonts w:hint="default"/>
                <w:color w:val="auto"/>
                <w:lang w:val="en-US" w:eastAsia="zh-CN"/>
              </w:rPr>
              <w:t>好氧池填料采用亲水性MBBR填料，在好氧池中投加MBBR填料</w:t>
            </w:r>
            <w:r>
              <w:rPr>
                <w:rFonts w:hint="eastAsia"/>
                <w:color w:val="auto"/>
                <w:lang w:val="en-US" w:eastAsia="zh-CN"/>
              </w:rPr>
              <w:t>（</w:t>
            </w:r>
            <w:r>
              <w:rPr>
                <w:rFonts w:hint="default"/>
                <w:color w:val="auto"/>
                <w:lang w:val="en-US" w:eastAsia="zh-CN"/>
              </w:rPr>
              <w:t>生物膜载体</w:t>
            </w:r>
            <w:r>
              <w:rPr>
                <w:rFonts w:hint="eastAsia"/>
                <w:color w:val="auto"/>
                <w:lang w:val="en-US" w:eastAsia="zh-CN"/>
              </w:rPr>
              <w:t>）</w:t>
            </w:r>
            <w:r>
              <w:rPr>
                <w:rFonts w:hint="default"/>
                <w:color w:val="auto"/>
                <w:lang w:val="en-US" w:eastAsia="zh-CN"/>
              </w:rPr>
              <w:t>，在填料的受保护面积上，不同的微生物集中在生物膜上。在载体内部生长一些厌氧菌或兼氧菌，外部为好氧菌，能同步起到硝化与反硝化作用。每个载体都是一个微型反应器在好氧处理系统中通过鼓风曝气，保证废水与生于载体上的生物膜广泛而频繁地接触。提高系统传质效率的同时，强化生物膜微生物的更新，保持和提高生物膜的活性。悬浮载体与原有活性污泥形成更为复杂的复合式生态系统，附着生长在载体上的生物膜使反应器中活性生物量大大增加。在悬浮活性污泥与悬浮载体表面的生物膜共同作用下，大大提高系统的抗冲击负荷能力，达到提高污水处理的效能和稳定出水水质的能力。MBBR填料具有比表面积大、亲水性好、生物活性高、挂膜快、处理效果好、使用寿命长等优点</w:t>
            </w:r>
            <w:r>
              <w:rPr>
                <w:rFonts w:hint="eastAsia"/>
                <w:color w:val="auto"/>
                <w:lang w:val="en-US" w:eastAsia="zh-CN"/>
              </w:rPr>
              <w:t>。</w:t>
            </w:r>
          </w:p>
          <w:p>
            <w:pPr>
              <w:pStyle w:val="54"/>
              <w:bidi w:val="0"/>
              <w:rPr>
                <w:rFonts w:hint="default"/>
                <w:color w:val="auto"/>
                <w:lang w:val="en-US" w:eastAsia="zh-CN"/>
              </w:rPr>
            </w:pPr>
            <w:r>
              <w:rPr>
                <w:rFonts w:hint="default"/>
                <w:color w:val="auto"/>
                <w:lang w:val="en-US" w:eastAsia="zh-CN"/>
              </w:rPr>
              <w:t>厌氧、缺氧池采用弹性填料，弹性填料筛选了聚烯烃类和聚酰胺中的几种耐腐、耐温、耐老化的优质品种，混合以亲水、吸附、抗热氧等助剂，采用特殊的拉丝，丝条制毛工艺，将丝条穿插固着在耐腐、高强度的中心绳上，使丝条呈立体均匀排列辐射状态填料在有效区域内能立体全方位均匀舒展满布，使气、水、生物膜得到充分混渗接触交换，生物膜不仅能均匀的着床在每一根丝条上，保持良好的活性和空隙可变性，而且能在运行过程中获得愈来愈大的比表面积，又能进行良好的新陈代谢。</w:t>
            </w:r>
          </w:p>
          <w:p>
            <w:pPr>
              <w:pStyle w:val="54"/>
              <w:bidi w:val="0"/>
              <w:rPr>
                <w:rFonts w:hint="default"/>
                <w:color w:val="auto"/>
                <w:lang w:val="en-US" w:eastAsia="zh-CN"/>
              </w:rPr>
            </w:pPr>
            <w:r>
              <w:rPr>
                <w:rFonts w:hint="eastAsia"/>
                <w:color w:val="auto"/>
                <w:lang w:val="en-US" w:eastAsia="zh-CN"/>
              </w:rPr>
              <w:t>C.二沉池</w:t>
            </w:r>
          </w:p>
          <w:p>
            <w:pPr>
              <w:pStyle w:val="54"/>
              <w:bidi w:val="0"/>
              <w:rPr>
                <w:rFonts w:hint="default"/>
                <w:color w:val="auto"/>
                <w:lang w:val="en-US" w:eastAsia="zh-CN"/>
              </w:rPr>
            </w:pPr>
            <w:r>
              <w:rPr>
                <w:rFonts w:hint="default"/>
                <w:color w:val="auto"/>
                <w:lang w:val="en-US" w:eastAsia="zh-CN"/>
              </w:rPr>
              <w:t>二沉池是污水处理工程的重要构筑物，具有出水净化及向生物反应池提供回流污泥的双重功能，直接影响到污水处理工程的效能。同时，为了保证出水含磷浓度，应尽可能降低二沉池出水SS浓度，因此二沉池应保持最好的水力条件确保污水处理厂出水水质指标达到设计要求。本次采用辐流沉淀池。辐流沉淀池表面呈园形，污水从池子中心进入，呈水平方向向四周辐射流动，流速从大到小变化，澄清水从池四周溢出。污水中悬浮物在重力作用下沉淀，采用回转式刮吸泥机利用池面水压将污泥排入污泥浓缩池。</w:t>
            </w:r>
          </w:p>
          <w:p>
            <w:pPr>
              <w:pStyle w:val="54"/>
              <w:bidi w:val="0"/>
              <w:rPr>
                <w:rFonts w:hint="eastAsia"/>
                <w:color w:val="auto"/>
                <w:lang w:val="en-US" w:eastAsia="zh-CN"/>
              </w:rPr>
            </w:pPr>
            <w:r>
              <w:rPr>
                <w:rFonts w:hint="eastAsia"/>
                <w:color w:val="auto"/>
                <w:lang w:val="en-US" w:eastAsia="zh-CN"/>
              </w:rPr>
              <w:t>D.深度处理工艺</w:t>
            </w:r>
          </w:p>
          <w:p>
            <w:pPr>
              <w:pStyle w:val="54"/>
              <w:bidi w:val="0"/>
              <w:rPr>
                <w:rFonts w:hint="default"/>
                <w:color w:val="auto"/>
                <w:lang w:val="en-US" w:eastAsia="zh-CN"/>
              </w:rPr>
            </w:pPr>
            <w:r>
              <w:rPr>
                <w:rFonts w:hint="default"/>
                <w:color w:val="auto"/>
                <w:lang w:val="en-US" w:eastAsia="zh-CN"/>
              </w:rPr>
              <w:t>本项目污水处理中主要污染物依靠单纯二级生物处理工艺达不到一级A标准，需进行深度处理。</w:t>
            </w:r>
          </w:p>
          <w:p>
            <w:pPr>
              <w:pStyle w:val="54"/>
              <w:bidi w:val="0"/>
              <w:rPr>
                <w:rFonts w:hint="default"/>
                <w:color w:val="auto"/>
                <w:lang w:val="en-US" w:eastAsia="zh-CN"/>
              </w:rPr>
            </w:pPr>
            <w:r>
              <w:rPr>
                <w:rFonts w:hint="default"/>
                <w:color w:val="auto"/>
                <w:lang w:val="en-US" w:eastAsia="zh-CN"/>
              </w:rPr>
              <w:t>二级生物处理出水中污染物质为有机物和无机物的混合体，有机物包括细菌、病菌、藻类及原始生物等。常用的深度处理方法可归纳为微絮凝+过滤、混凝沉淀</w:t>
            </w:r>
            <w:r>
              <w:rPr>
                <w:rFonts w:hint="eastAsia"/>
                <w:color w:val="auto"/>
                <w:lang w:val="en-US" w:eastAsia="zh-CN"/>
              </w:rPr>
              <w:t>（</w:t>
            </w:r>
            <w:r>
              <w:rPr>
                <w:rFonts w:hint="default"/>
                <w:color w:val="auto"/>
                <w:lang w:val="en-US" w:eastAsia="zh-CN"/>
              </w:rPr>
              <w:t>澄清</w:t>
            </w:r>
            <w:r>
              <w:rPr>
                <w:rFonts w:hint="eastAsia"/>
                <w:color w:val="auto"/>
                <w:lang w:val="en-US" w:eastAsia="zh-CN"/>
              </w:rPr>
              <w:t>）</w:t>
            </w:r>
            <w:r>
              <w:rPr>
                <w:rFonts w:hint="default"/>
                <w:color w:val="auto"/>
                <w:lang w:val="en-US" w:eastAsia="zh-CN"/>
              </w:rPr>
              <w:t>过滤法，这两种方法，本次选择微絮凝+过滤方式。微絮凝+过滤是在过滤器的进水中加入混凝剂，在水进入滤层之前和流过滤层的过程中进行混凝反应，产生的细小絮凝体被截留在滤层中。该工艺简化了处理单元，不需要沉淀池和污泥收集装置，采用管道式水力混合器，不需要建造大的絮凝反应池，设计简单且可显著的节省建设投资。</w:t>
            </w:r>
          </w:p>
          <w:p>
            <w:pPr>
              <w:pStyle w:val="54"/>
              <w:bidi w:val="0"/>
              <w:rPr>
                <w:rFonts w:hint="default"/>
                <w:color w:val="auto"/>
                <w:lang w:val="en-US" w:eastAsia="zh-CN"/>
              </w:rPr>
            </w:pPr>
            <w:r>
              <w:rPr>
                <w:rFonts w:hint="eastAsia"/>
                <w:color w:val="auto"/>
                <w:lang w:val="en-US" w:eastAsia="zh-CN"/>
              </w:rPr>
              <w:t>E.污泥处理工艺</w:t>
            </w:r>
          </w:p>
          <w:p>
            <w:pPr>
              <w:pStyle w:val="54"/>
              <w:bidi w:val="0"/>
              <w:rPr>
                <w:rFonts w:hint="default"/>
                <w:color w:val="auto"/>
                <w:lang w:val="en-US" w:eastAsia="zh-CN"/>
              </w:rPr>
            </w:pPr>
            <w:r>
              <w:rPr>
                <w:rFonts w:hint="default"/>
                <w:color w:val="auto"/>
                <w:lang w:val="en-US" w:eastAsia="zh-CN"/>
              </w:rPr>
              <w:t>根据《生活垃圾填埋场污染控制标准》（GB</w:t>
            </w:r>
            <w:r>
              <w:rPr>
                <w:rFonts w:hint="eastAsia"/>
                <w:color w:val="auto"/>
                <w:lang w:val="en-US" w:eastAsia="zh-CN"/>
              </w:rPr>
              <w:t xml:space="preserve"> </w:t>
            </w:r>
            <w:r>
              <w:rPr>
                <w:rFonts w:hint="default"/>
                <w:color w:val="auto"/>
                <w:lang w:val="en-US" w:eastAsia="zh-CN"/>
              </w:rPr>
              <w:t>16889-2008）要求，污泥进行填埋含水率须小于60%，本次污泥脱水方式采用隔膜式板框压滤机进行脱水。</w:t>
            </w:r>
          </w:p>
          <w:p>
            <w:pPr>
              <w:pStyle w:val="54"/>
              <w:bidi w:val="0"/>
              <w:rPr>
                <w:rFonts w:hint="eastAsia"/>
                <w:color w:val="auto"/>
                <w:lang w:val="en-US" w:eastAsia="zh-CN"/>
              </w:rPr>
            </w:pPr>
            <w:r>
              <w:rPr>
                <w:rFonts w:hint="eastAsia"/>
                <w:color w:val="auto"/>
                <w:lang w:val="en-US" w:eastAsia="zh-CN"/>
              </w:rPr>
              <w:t>综上所述，本项目生活污水从处理工艺上分析依托该污水处理厂进行处理可行。</w:t>
            </w:r>
          </w:p>
          <w:p>
            <w:pPr>
              <w:pStyle w:val="54"/>
              <w:bidi w:val="0"/>
              <w:rPr>
                <w:rFonts w:hint="eastAsia"/>
                <w:color w:val="auto"/>
                <w:lang w:val="en-US" w:eastAsia="zh-CN"/>
              </w:rPr>
            </w:pPr>
            <w:r>
              <w:rPr>
                <w:rFonts w:hint="eastAsia"/>
                <w:color w:val="auto"/>
                <w:lang w:val="en-US" w:eastAsia="zh-CN"/>
              </w:rPr>
              <w:t>③出水水质</w:t>
            </w:r>
          </w:p>
          <w:p>
            <w:pPr>
              <w:pStyle w:val="54"/>
              <w:bidi w:val="0"/>
              <w:rPr>
                <w:rFonts w:hint="eastAsia" w:cs="Times New Roman"/>
                <w:b w:val="0"/>
                <w:bCs w:val="0"/>
                <w:color w:val="auto"/>
                <w:szCs w:val="24"/>
                <w:lang w:val="en-US" w:eastAsia="zh-CN"/>
              </w:rPr>
            </w:pPr>
            <w:r>
              <w:rPr>
                <w:rFonts w:hint="eastAsia"/>
                <w:color w:val="auto"/>
                <w:lang w:val="en-US" w:eastAsia="zh-CN"/>
              </w:rPr>
              <w:t>国投罗钾公司厂区现有污水处理站排放口执行《城镇污水处理厂污染物排放标准》（GB 18918-2002）一级A标准。</w:t>
            </w:r>
          </w:p>
          <w:p>
            <w:pPr>
              <w:pStyle w:val="26"/>
              <w:bidi w:val="0"/>
              <w:rPr>
                <w:rFonts w:hint="default" w:cs="Times New Roman"/>
                <w:b w:val="0"/>
                <w:bCs w:val="0"/>
                <w:color w:val="auto"/>
                <w:szCs w:val="24"/>
                <w:lang w:val="en-US" w:eastAsia="zh-CN"/>
              </w:rPr>
            </w:pPr>
            <w:r>
              <w:rPr>
                <w:rFonts w:hint="eastAsia"/>
                <w:color w:val="auto"/>
                <w:lang w:val="en-US" w:eastAsia="zh-CN"/>
              </w:rPr>
              <w:t>表4-7  国投罗钾公司厂区现有污水处理站出水水质标准</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836"/>
              <w:gridCol w:w="2264"/>
              <w:gridCol w:w="14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5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项目</w:t>
                  </w:r>
                </w:p>
              </w:tc>
              <w:tc>
                <w:tcPr>
                  <w:tcW w:w="52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序号</w:t>
                  </w:r>
                </w:p>
              </w:tc>
              <w:tc>
                <w:tcPr>
                  <w:tcW w:w="142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污染物（mg/L）</w:t>
                  </w:r>
                </w:p>
              </w:tc>
              <w:tc>
                <w:tcPr>
                  <w:tcW w:w="892"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53" w:type="pct"/>
                  <w:vMerge w:val="restart"/>
                  <w:tcBorders>
                    <w:tl2br w:val="nil"/>
                    <w:tr2bl w:val="nil"/>
                  </w:tcBorders>
                  <w:vAlign w:val="center"/>
                </w:tcPr>
                <w:p>
                  <w:pPr>
                    <w:pStyle w:val="27"/>
                    <w:bidi w:val="0"/>
                    <w:rPr>
                      <w:rFonts w:hint="eastAsia"/>
                      <w:color w:val="auto"/>
                      <w:lang w:val="en-US" w:eastAsia="zh-CN"/>
                    </w:rPr>
                  </w:pPr>
                  <w:r>
                    <w:rPr>
                      <w:rFonts w:hint="eastAsia"/>
                      <w:color w:val="auto"/>
                      <w:lang w:val="en-US" w:eastAsia="zh-CN"/>
                    </w:rPr>
                    <w:t>排放标准</w:t>
                  </w:r>
                </w:p>
                <w:p>
                  <w:pPr>
                    <w:pStyle w:val="27"/>
                    <w:bidi w:val="0"/>
                    <w:rPr>
                      <w:rFonts w:hint="default"/>
                      <w:color w:val="auto"/>
                      <w:lang w:val="en-US" w:eastAsia="zh-CN"/>
                    </w:rPr>
                  </w:pPr>
                  <w:r>
                    <w:rPr>
                      <w:rFonts w:hint="default"/>
                      <w:color w:val="auto"/>
                      <w:lang w:val="en-US" w:eastAsia="zh-CN"/>
                    </w:rPr>
                    <w:t>《城镇污水处理厂污染物排放标准》（GB 18918-2002）一级A标准</w:t>
                  </w:r>
                </w:p>
              </w:tc>
              <w:tc>
                <w:tcPr>
                  <w:tcW w:w="52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1</w:t>
                  </w:r>
                </w:p>
              </w:tc>
              <w:tc>
                <w:tcPr>
                  <w:tcW w:w="142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pH值（无量纲）</w:t>
                  </w:r>
                </w:p>
              </w:tc>
              <w:tc>
                <w:tcPr>
                  <w:tcW w:w="89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53" w:type="pct"/>
                  <w:vMerge w:val="continue"/>
                  <w:tcBorders>
                    <w:tl2br w:val="nil"/>
                    <w:tr2bl w:val="nil"/>
                  </w:tcBorders>
                  <w:vAlign w:val="center"/>
                </w:tcPr>
                <w:p>
                  <w:pPr>
                    <w:pStyle w:val="27"/>
                    <w:bidi w:val="0"/>
                    <w:rPr>
                      <w:rFonts w:hint="default"/>
                      <w:color w:val="auto"/>
                      <w:lang w:val="en-US" w:eastAsia="zh-CN"/>
                    </w:rPr>
                  </w:pPr>
                </w:p>
              </w:tc>
              <w:tc>
                <w:tcPr>
                  <w:tcW w:w="52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2</w:t>
                  </w:r>
                </w:p>
              </w:tc>
              <w:tc>
                <w:tcPr>
                  <w:tcW w:w="142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悬浮物</w:t>
                  </w:r>
                </w:p>
              </w:tc>
              <w:tc>
                <w:tcPr>
                  <w:tcW w:w="89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53" w:type="pct"/>
                  <w:vMerge w:val="continue"/>
                  <w:tcBorders>
                    <w:tl2br w:val="nil"/>
                    <w:tr2bl w:val="nil"/>
                  </w:tcBorders>
                  <w:vAlign w:val="center"/>
                </w:tcPr>
                <w:p>
                  <w:pPr>
                    <w:pStyle w:val="27"/>
                    <w:bidi w:val="0"/>
                    <w:rPr>
                      <w:rFonts w:hint="default"/>
                      <w:color w:val="auto"/>
                      <w:lang w:val="en-US" w:eastAsia="zh-CN"/>
                    </w:rPr>
                  </w:pPr>
                </w:p>
              </w:tc>
              <w:tc>
                <w:tcPr>
                  <w:tcW w:w="52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3</w:t>
                  </w:r>
                </w:p>
              </w:tc>
              <w:tc>
                <w:tcPr>
                  <w:tcW w:w="142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生化需氧量</w:t>
                  </w:r>
                </w:p>
              </w:tc>
              <w:tc>
                <w:tcPr>
                  <w:tcW w:w="89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53" w:type="pct"/>
                  <w:vMerge w:val="continue"/>
                  <w:tcBorders>
                    <w:tl2br w:val="nil"/>
                    <w:tr2bl w:val="nil"/>
                  </w:tcBorders>
                  <w:vAlign w:val="center"/>
                </w:tcPr>
                <w:p>
                  <w:pPr>
                    <w:pStyle w:val="27"/>
                    <w:bidi w:val="0"/>
                    <w:rPr>
                      <w:rFonts w:hint="default"/>
                      <w:color w:val="auto"/>
                      <w:lang w:val="en-US" w:eastAsia="zh-CN"/>
                    </w:rPr>
                  </w:pPr>
                </w:p>
              </w:tc>
              <w:tc>
                <w:tcPr>
                  <w:tcW w:w="52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4</w:t>
                  </w:r>
                </w:p>
              </w:tc>
              <w:tc>
                <w:tcPr>
                  <w:tcW w:w="142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化学需氧量</w:t>
                  </w:r>
                </w:p>
              </w:tc>
              <w:tc>
                <w:tcPr>
                  <w:tcW w:w="89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53" w:type="pct"/>
                  <w:vMerge w:val="continue"/>
                  <w:tcBorders>
                    <w:tl2br w:val="nil"/>
                    <w:tr2bl w:val="nil"/>
                  </w:tcBorders>
                  <w:vAlign w:val="center"/>
                </w:tcPr>
                <w:p>
                  <w:pPr>
                    <w:pStyle w:val="27"/>
                    <w:bidi w:val="0"/>
                    <w:rPr>
                      <w:rFonts w:hint="default"/>
                      <w:color w:val="auto"/>
                      <w:lang w:val="en-US" w:eastAsia="zh-CN"/>
                    </w:rPr>
                  </w:pPr>
                </w:p>
              </w:tc>
              <w:tc>
                <w:tcPr>
                  <w:tcW w:w="52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5</w:t>
                  </w:r>
                </w:p>
              </w:tc>
              <w:tc>
                <w:tcPr>
                  <w:tcW w:w="142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氨氮</w:t>
                  </w:r>
                </w:p>
              </w:tc>
              <w:tc>
                <w:tcPr>
                  <w:tcW w:w="89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53" w:type="pct"/>
                  <w:vMerge w:val="continue"/>
                  <w:tcBorders>
                    <w:tl2br w:val="nil"/>
                    <w:tr2bl w:val="nil"/>
                  </w:tcBorders>
                  <w:vAlign w:val="center"/>
                </w:tcPr>
                <w:p>
                  <w:pPr>
                    <w:pStyle w:val="27"/>
                    <w:bidi w:val="0"/>
                    <w:rPr>
                      <w:rFonts w:hint="default"/>
                      <w:color w:val="auto"/>
                      <w:lang w:val="en-US" w:eastAsia="zh-CN"/>
                    </w:rPr>
                  </w:pPr>
                </w:p>
              </w:tc>
              <w:tc>
                <w:tcPr>
                  <w:tcW w:w="52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6</w:t>
                  </w:r>
                </w:p>
              </w:tc>
              <w:tc>
                <w:tcPr>
                  <w:tcW w:w="142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总氮</w:t>
                  </w:r>
                </w:p>
              </w:tc>
              <w:tc>
                <w:tcPr>
                  <w:tcW w:w="89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53" w:type="pct"/>
                  <w:vMerge w:val="continue"/>
                  <w:tcBorders>
                    <w:tl2br w:val="nil"/>
                    <w:tr2bl w:val="nil"/>
                  </w:tcBorders>
                  <w:vAlign w:val="center"/>
                </w:tcPr>
                <w:p>
                  <w:pPr>
                    <w:pStyle w:val="27"/>
                    <w:bidi w:val="0"/>
                    <w:rPr>
                      <w:rFonts w:hint="default"/>
                      <w:color w:val="auto"/>
                      <w:lang w:val="en-US" w:eastAsia="zh-CN"/>
                    </w:rPr>
                  </w:pPr>
                </w:p>
              </w:tc>
              <w:tc>
                <w:tcPr>
                  <w:tcW w:w="52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7</w:t>
                  </w:r>
                </w:p>
              </w:tc>
              <w:tc>
                <w:tcPr>
                  <w:tcW w:w="142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总磷</w:t>
                  </w:r>
                </w:p>
              </w:tc>
              <w:tc>
                <w:tcPr>
                  <w:tcW w:w="89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53" w:type="pct"/>
                  <w:vMerge w:val="continue"/>
                  <w:tcBorders>
                    <w:tl2br w:val="nil"/>
                    <w:tr2bl w:val="nil"/>
                  </w:tcBorders>
                  <w:vAlign w:val="center"/>
                </w:tcPr>
                <w:p>
                  <w:pPr>
                    <w:pStyle w:val="27"/>
                    <w:bidi w:val="0"/>
                    <w:rPr>
                      <w:rFonts w:hint="default"/>
                      <w:color w:val="auto"/>
                      <w:lang w:val="en-US" w:eastAsia="zh-CN"/>
                    </w:rPr>
                  </w:pPr>
                </w:p>
              </w:tc>
              <w:tc>
                <w:tcPr>
                  <w:tcW w:w="52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8</w:t>
                  </w:r>
                </w:p>
              </w:tc>
              <w:tc>
                <w:tcPr>
                  <w:tcW w:w="1426"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动植物油</w:t>
                  </w:r>
                </w:p>
              </w:tc>
              <w:tc>
                <w:tcPr>
                  <w:tcW w:w="89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pPr>
                    <w:pStyle w:val="27"/>
                    <w:bidi w:val="0"/>
                    <w:rPr>
                      <w:rFonts w:hint="default"/>
                      <w:color w:val="auto"/>
                      <w:lang w:val="en-US" w:eastAsia="zh-CN"/>
                    </w:rPr>
                  </w:pPr>
                  <w:r>
                    <w:rPr>
                      <w:rFonts w:hint="default"/>
                      <w:color w:val="auto"/>
                      <w:lang w:val="en-US" w:eastAsia="zh-CN"/>
                    </w:rPr>
                    <w:t>备注：氨氮指标在温度大于12℃时，执行5mg/L的排放标准；在温度小于12℃时，执行8mg/L的排放标准。</w:t>
                  </w:r>
                </w:p>
              </w:tc>
            </w:tr>
          </w:tbl>
          <w:p>
            <w:pPr>
              <w:pStyle w:val="54"/>
              <w:bidi w:val="0"/>
              <w:rPr>
                <w:rFonts w:hint="default"/>
                <w:color w:val="auto"/>
                <w:lang w:val="en-US" w:eastAsia="zh-CN"/>
              </w:rPr>
            </w:pPr>
            <w:r>
              <w:rPr>
                <w:rFonts w:hint="eastAsia"/>
                <w:color w:val="auto"/>
                <w:lang w:val="en-US" w:eastAsia="zh-CN"/>
              </w:rPr>
              <w:t>本项目生活污水依托国投罗钾公司厂区现有污水处理站进行处理，从出水水质上分析依托该污水处理厂进行处理可行。</w:t>
            </w:r>
          </w:p>
          <w:p>
            <w:pPr>
              <w:pStyle w:val="54"/>
              <w:bidi w:val="0"/>
              <w:rPr>
                <w:rFonts w:hint="default"/>
                <w:color w:val="auto"/>
                <w:lang w:val="en-US" w:eastAsia="zh-CN"/>
              </w:rPr>
            </w:pPr>
            <w:r>
              <w:rPr>
                <w:rFonts w:hint="eastAsia"/>
                <w:color w:val="auto"/>
                <w:lang w:val="en-US" w:eastAsia="zh-CN"/>
              </w:rPr>
              <w:t>综上所述，本项目生活污水从处理能力、处理工艺、设计进出水水质等方面分析依托国投罗钾公司厂区现有污水处理站进行处理可行。</w:t>
            </w:r>
          </w:p>
          <w:p>
            <w:pPr>
              <w:pStyle w:val="54"/>
              <w:bidi w:val="0"/>
              <w:rPr>
                <w:rFonts w:hint="default"/>
                <w:color w:val="auto"/>
                <w:lang w:val="en-US" w:eastAsia="zh-CN"/>
              </w:rPr>
            </w:pPr>
            <w:r>
              <w:rPr>
                <w:rFonts w:hint="eastAsia"/>
                <w:color w:val="auto"/>
                <w:lang w:val="en-US" w:eastAsia="zh-CN"/>
              </w:rPr>
              <w:t>3、</w:t>
            </w:r>
            <w:r>
              <w:rPr>
                <w:rFonts w:hint="default"/>
                <w:color w:val="auto"/>
                <w:lang w:val="en-US" w:eastAsia="zh-CN"/>
              </w:rPr>
              <w:t>废水环境保护措施</w:t>
            </w:r>
          </w:p>
          <w:p>
            <w:pPr>
              <w:pStyle w:val="54"/>
              <w:bidi w:val="0"/>
              <w:rPr>
                <w:rFonts w:hint="default"/>
                <w:color w:val="auto"/>
                <w:lang w:val="en-US" w:eastAsia="zh-CN"/>
              </w:rPr>
            </w:pPr>
            <w:r>
              <w:rPr>
                <w:rFonts w:hint="eastAsia"/>
                <w:color w:val="auto"/>
                <w:lang w:val="en-US" w:eastAsia="zh-CN"/>
              </w:rPr>
              <w:t>本项目运营过程中生活污水不在本项目厂区内产生，依托国投罗钾公司厂区现有污水处理站进行处理，出水水质达到《城镇污水处理厂污染物排放标准》（GB 18918-2002）一级A标准后回用于生产系统，不外排。</w:t>
            </w:r>
          </w:p>
          <w:p>
            <w:pPr>
              <w:pStyle w:val="54"/>
              <w:bidi w:val="0"/>
              <w:rPr>
                <w:rFonts w:hint="eastAsia"/>
                <w:b/>
                <w:bCs/>
                <w:color w:val="auto"/>
                <w:lang w:val="en-US" w:eastAsia="zh-CN"/>
              </w:rPr>
            </w:pPr>
          </w:p>
          <w:p>
            <w:pPr>
              <w:pStyle w:val="54"/>
              <w:bidi w:val="0"/>
              <w:rPr>
                <w:rFonts w:hint="eastAsia"/>
                <w:b/>
                <w:bCs/>
                <w:color w:val="auto"/>
                <w:lang w:val="en-US" w:eastAsia="zh-CN"/>
              </w:rPr>
            </w:pPr>
          </w:p>
          <w:p>
            <w:pPr>
              <w:pStyle w:val="54"/>
              <w:bidi w:val="0"/>
              <w:rPr>
                <w:rFonts w:hint="default"/>
                <w:color w:val="auto"/>
                <w:lang w:val="en-US" w:eastAsia="zh-CN"/>
              </w:rPr>
            </w:pPr>
            <w:r>
              <w:rPr>
                <w:rFonts w:hint="eastAsia"/>
                <w:b/>
                <w:bCs/>
                <w:color w:val="auto"/>
                <w:lang w:val="en-US" w:eastAsia="zh-CN"/>
              </w:rPr>
              <w:t>三、噪声</w:t>
            </w:r>
          </w:p>
          <w:p>
            <w:pPr>
              <w:pStyle w:val="54"/>
              <w:bidi w:val="0"/>
              <w:rPr>
                <w:rFonts w:hint="default"/>
                <w:color w:val="auto"/>
                <w:lang w:val="en-US" w:eastAsia="zh-CN"/>
              </w:rPr>
            </w:pPr>
            <w:r>
              <w:rPr>
                <w:rFonts w:hint="eastAsia"/>
                <w:color w:val="auto"/>
                <w:lang w:val="en-US" w:eastAsia="zh-CN"/>
              </w:rPr>
              <w:t>1、产生情况</w:t>
            </w:r>
          </w:p>
          <w:p>
            <w:pPr>
              <w:pStyle w:val="54"/>
              <w:bidi w:val="0"/>
              <w:rPr>
                <w:rFonts w:hint="eastAsia" w:cs="Times New Roman"/>
                <w:bCs/>
                <w:color w:val="auto"/>
                <w:spacing w:val="-10"/>
                <w:kern w:val="2"/>
                <w:szCs w:val="24"/>
                <w:lang w:val="en-US" w:eastAsia="zh-CN" w:bidi="ar-SA"/>
              </w:rPr>
            </w:pPr>
            <w:r>
              <w:rPr>
                <w:rFonts w:hint="eastAsia"/>
                <w:color w:val="auto"/>
                <w:lang w:val="en-US" w:eastAsia="zh-CN"/>
              </w:rPr>
              <w:t>本项目的噪声来自生产设备运行时发出的噪声，包括超微粉碎主机、风机等，类比同类型企业噪声源强在80dB（A）~90dB（A）之间。本项目选用低音设备、安装消声减震器可以从声源上降低设备本身噪声。加强设备的维护，确保设备处于良好的运转状态，杜绝因设备不正常运转时产生的高噪声现象；加强操作管理和维护；合理布局等措施，可有效主要噪声源强见下表。</w:t>
            </w:r>
          </w:p>
          <w:p>
            <w:pPr>
              <w:pStyle w:val="26"/>
              <w:bidi w:val="0"/>
              <w:rPr>
                <w:rFonts w:hint="eastAsia" w:cs="Times New Roman"/>
                <w:bCs/>
                <w:color w:val="auto"/>
                <w:spacing w:val="-10"/>
                <w:kern w:val="2"/>
                <w:szCs w:val="21"/>
                <w:lang w:val="en-US" w:eastAsia="zh-CN" w:bidi="ar-SA"/>
              </w:rPr>
            </w:pPr>
            <w:r>
              <w:rPr>
                <w:rFonts w:hint="eastAsia"/>
                <w:color w:val="auto"/>
                <w:lang w:val="en-US" w:eastAsia="zh-CN"/>
              </w:rPr>
              <w:t>表4-8  设备噪声源强一览表</w:t>
            </w:r>
          </w:p>
          <w:tbl>
            <w:tblPr>
              <w:tblStyle w:val="20"/>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48"/>
              <w:gridCol w:w="629"/>
              <w:gridCol w:w="1086"/>
              <w:gridCol w:w="1093"/>
              <w:gridCol w:w="1146"/>
              <w:gridCol w:w="629"/>
              <w:gridCol w:w="1086"/>
              <w:gridCol w:w="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序号</w:t>
                  </w:r>
                </w:p>
              </w:tc>
              <w:tc>
                <w:tcPr>
                  <w:tcW w:w="597"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高噪声设备名称</w:t>
                  </w:r>
                </w:p>
              </w:tc>
              <w:tc>
                <w:tcPr>
                  <w:tcW w:w="108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噪声源强</w:t>
                  </w:r>
                </w:p>
              </w:tc>
              <w:tc>
                <w:tcPr>
                  <w:tcW w:w="141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降噪措施</w:t>
                  </w:r>
                </w:p>
              </w:tc>
              <w:tc>
                <w:tcPr>
                  <w:tcW w:w="1080" w:type="pct"/>
                  <w:gridSpan w:val="2"/>
                  <w:tcBorders>
                    <w:tl2br w:val="nil"/>
                    <w:tr2bl w:val="nil"/>
                  </w:tcBorders>
                  <w:vAlign w:val="center"/>
                </w:tcPr>
                <w:p>
                  <w:pPr>
                    <w:pStyle w:val="27"/>
                    <w:bidi w:val="0"/>
                    <w:rPr>
                      <w:rFonts w:hint="default"/>
                      <w:color w:val="auto"/>
                      <w:lang w:val="en-US" w:eastAsia="zh-CN"/>
                    </w:rPr>
                  </w:pPr>
                  <w:r>
                    <w:rPr>
                      <w:rFonts w:hint="eastAsia"/>
                      <w:color w:val="auto"/>
                      <w:lang w:val="en-US" w:eastAsia="zh-CN"/>
                    </w:rPr>
                    <w:t>噪声排放值</w:t>
                  </w:r>
                </w:p>
              </w:tc>
              <w:tc>
                <w:tcPr>
                  <w:tcW w:w="516"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持续时间h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vMerge w:val="continue"/>
                  <w:tcBorders>
                    <w:tl2br w:val="nil"/>
                    <w:tr2bl w:val="nil"/>
                  </w:tcBorders>
                  <w:vAlign w:val="center"/>
                </w:tcPr>
                <w:p>
                  <w:pPr>
                    <w:pStyle w:val="27"/>
                    <w:bidi w:val="0"/>
                    <w:rPr>
                      <w:rFonts w:hint="default"/>
                      <w:color w:val="auto"/>
                      <w:lang w:val="en-US" w:eastAsia="zh-CN"/>
                    </w:rPr>
                  </w:pPr>
                </w:p>
              </w:tc>
              <w:tc>
                <w:tcPr>
                  <w:tcW w:w="597" w:type="pct"/>
                  <w:vMerge w:val="continue"/>
                  <w:tcBorders>
                    <w:tl2br w:val="nil"/>
                    <w:tr2bl w:val="nil"/>
                  </w:tcBorders>
                  <w:vAlign w:val="center"/>
                </w:tcPr>
                <w:p>
                  <w:pPr>
                    <w:pStyle w:val="27"/>
                    <w:bidi w:val="0"/>
                    <w:rPr>
                      <w:rFonts w:hint="default"/>
                      <w:color w:val="auto"/>
                      <w:lang w:val="en-US" w:eastAsia="zh-CN"/>
                    </w:rPr>
                  </w:pPr>
                </w:p>
              </w:tc>
              <w:tc>
                <w:tcPr>
                  <w:tcW w:w="39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核算方法</w:t>
                  </w: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噪声值dB（A）</w:t>
                  </w:r>
                </w:p>
              </w:tc>
              <w:tc>
                <w:tcPr>
                  <w:tcW w:w="68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工艺</w:t>
                  </w:r>
                </w:p>
              </w:tc>
              <w:tc>
                <w:tcPr>
                  <w:tcW w:w="72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降噪效果dB（A）</w:t>
                  </w:r>
                </w:p>
              </w:tc>
              <w:tc>
                <w:tcPr>
                  <w:tcW w:w="396"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核算方法</w:t>
                  </w: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噪声值dB（A）</w:t>
                  </w:r>
                </w:p>
              </w:tc>
              <w:tc>
                <w:tcPr>
                  <w:tcW w:w="516"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1</w:t>
                  </w:r>
                </w:p>
              </w:tc>
              <w:tc>
                <w:tcPr>
                  <w:tcW w:w="59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刮板机</w:t>
                  </w:r>
                </w:p>
              </w:tc>
              <w:tc>
                <w:tcPr>
                  <w:tcW w:w="396"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类比法</w:t>
                  </w: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80</w:t>
                  </w:r>
                </w:p>
              </w:tc>
              <w:tc>
                <w:tcPr>
                  <w:tcW w:w="688"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基础减振</w:t>
                  </w:r>
                </w:p>
              </w:tc>
              <w:tc>
                <w:tcPr>
                  <w:tcW w:w="72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c>
                <w:tcPr>
                  <w:tcW w:w="396"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类比法</w:t>
                  </w: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70</w:t>
                  </w:r>
                </w:p>
              </w:tc>
              <w:tc>
                <w:tcPr>
                  <w:tcW w:w="516"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6720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2</w:t>
                  </w:r>
                </w:p>
              </w:tc>
              <w:tc>
                <w:tcPr>
                  <w:tcW w:w="59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斗提机</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85</w:t>
                  </w:r>
                </w:p>
              </w:tc>
              <w:tc>
                <w:tcPr>
                  <w:tcW w:w="688"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基础减振</w:t>
                  </w:r>
                </w:p>
              </w:tc>
              <w:tc>
                <w:tcPr>
                  <w:tcW w:w="72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75</w:t>
                  </w:r>
                </w:p>
              </w:tc>
              <w:tc>
                <w:tcPr>
                  <w:tcW w:w="516"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3</w:t>
                  </w:r>
                </w:p>
              </w:tc>
              <w:tc>
                <w:tcPr>
                  <w:tcW w:w="59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超微粉碎主机</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90</w:t>
                  </w:r>
                </w:p>
              </w:tc>
              <w:tc>
                <w:tcPr>
                  <w:tcW w:w="688"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基础减振、消声器</w:t>
                  </w:r>
                </w:p>
              </w:tc>
              <w:tc>
                <w:tcPr>
                  <w:tcW w:w="72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15</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75</w:t>
                  </w:r>
                </w:p>
              </w:tc>
              <w:tc>
                <w:tcPr>
                  <w:tcW w:w="516"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4</w:t>
                  </w:r>
                </w:p>
              </w:tc>
              <w:tc>
                <w:tcPr>
                  <w:tcW w:w="59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旋风分离器</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90</w:t>
                  </w:r>
                </w:p>
              </w:tc>
              <w:tc>
                <w:tcPr>
                  <w:tcW w:w="688"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基础减振、消声器</w:t>
                  </w:r>
                </w:p>
              </w:tc>
              <w:tc>
                <w:tcPr>
                  <w:tcW w:w="72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15</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75</w:t>
                  </w:r>
                </w:p>
              </w:tc>
              <w:tc>
                <w:tcPr>
                  <w:tcW w:w="516"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5</w:t>
                  </w:r>
                </w:p>
              </w:tc>
              <w:tc>
                <w:tcPr>
                  <w:tcW w:w="59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风机</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90</w:t>
                  </w:r>
                </w:p>
              </w:tc>
              <w:tc>
                <w:tcPr>
                  <w:tcW w:w="688"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基础减振、消声器</w:t>
                  </w:r>
                </w:p>
              </w:tc>
              <w:tc>
                <w:tcPr>
                  <w:tcW w:w="72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15</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75</w:t>
                  </w:r>
                </w:p>
              </w:tc>
              <w:tc>
                <w:tcPr>
                  <w:tcW w:w="516"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1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6</w:t>
                  </w:r>
                </w:p>
              </w:tc>
              <w:tc>
                <w:tcPr>
                  <w:tcW w:w="59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双工位抽气全自动包装机</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80</w:t>
                  </w:r>
                </w:p>
              </w:tc>
              <w:tc>
                <w:tcPr>
                  <w:tcW w:w="688"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基础减振</w:t>
                  </w:r>
                </w:p>
              </w:tc>
              <w:tc>
                <w:tcPr>
                  <w:tcW w:w="72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70</w:t>
                  </w:r>
                </w:p>
              </w:tc>
              <w:tc>
                <w:tcPr>
                  <w:tcW w:w="516"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7</w:t>
                  </w:r>
                </w:p>
              </w:tc>
              <w:tc>
                <w:tcPr>
                  <w:tcW w:w="59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振袋输送机</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80</w:t>
                  </w:r>
                </w:p>
              </w:tc>
              <w:tc>
                <w:tcPr>
                  <w:tcW w:w="688"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基础减振</w:t>
                  </w:r>
                </w:p>
              </w:tc>
              <w:tc>
                <w:tcPr>
                  <w:tcW w:w="72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10</w:t>
                  </w:r>
                </w:p>
              </w:tc>
              <w:tc>
                <w:tcPr>
                  <w:tcW w:w="396" w:type="pct"/>
                  <w:vMerge w:val="continue"/>
                  <w:tcBorders>
                    <w:tl2br w:val="nil"/>
                    <w:tr2bl w:val="nil"/>
                  </w:tcBorders>
                  <w:vAlign w:val="center"/>
                </w:tcPr>
                <w:p>
                  <w:pPr>
                    <w:pStyle w:val="27"/>
                    <w:bidi w:val="0"/>
                    <w:rPr>
                      <w:rFonts w:hint="default"/>
                      <w:color w:val="auto"/>
                      <w:lang w:val="en-US" w:eastAsia="zh-CN"/>
                    </w:rPr>
                  </w:pPr>
                </w:p>
              </w:tc>
              <w:tc>
                <w:tcPr>
                  <w:tcW w:w="684"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70</w:t>
                  </w:r>
                </w:p>
              </w:tc>
              <w:tc>
                <w:tcPr>
                  <w:tcW w:w="516" w:type="pct"/>
                  <w:vMerge w:val="continue"/>
                  <w:tcBorders>
                    <w:tl2br w:val="nil"/>
                    <w:tr2bl w:val="nil"/>
                  </w:tcBorders>
                  <w:vAlign w:val="center"/>
                </w:tcPr>
                <w:p>
                  <w:pPr>
                    <w:pStyle w:val="27"/>
                    <w:bidi w:val="0"/>
                    <w:rPr>
                      <w:rFonts w:hint="default"/>
                      <w:color w:val="auto"/>
                      <w:lang w:val="en-US" w:eastAsia="zh-CN"/>
                    </w:rPr>
                  </w:pPr>
                </w:p>
              </w:tc>
            </w:tr>
          </w:tbl>
          <w:p>
            <w:pPr>
              <w:pStyle w:val="54"/>
              <w:bidi w:val="0"/>
              <w:rPr>
                <w:rFonts w:hint="default"/>
                <w:color w:val="auto"/>
                <w:lang w:val="en-US" w:eastAsia="zh-CN"/>
              </w:rPr>
            </w:pPr>
            <w:r>
              <w:rPr>
                <w:rFonts w:hint="eastAsia"/>
                <w:color w:val="auto"/>
                <w:lang w:val="en-US" w:eastAsia="zh-CN"/>
              </w:rPr>
              <w:t>2、预测模式</w:t>
            </w:r>
          </w:p>
          <w:p>
            <w:pPr>
              <w:pStyle w:val="54"/>
              <w:bidi w:val="0"/>
              <w:rPr>
                <w:rFonts w:hint="eastAsia"/>
                <w:color w:val="auto"/>
                <w:lang w:val="en-US" w:eastAsia="zh-CN"/>
              </w:rPr>
            </w:pPr>
            <w:r>
              <w:rPr>
                <w:rFonts w:hint="eastAsia"/>
                <w:color w:val="auto"/>
                <w:lang w:val="en-US" w:eastAsia="zh-CN"/>
              </w:rPr>
              <w:t>本次噪声环境影响预测按照全部噪声源同时运转时产生噪声对项目区边界处声环境产生影响的极端情况进行预测。</w:t>
            </w:r>
          </w:p>
          <w:p>
            <w:pPr>
              <w:pStyle w:val="54"/>
              <w:bidi w:val="0"/>
              <w:rPr>
                <w:color w:val="auto"/>
              </w:rPr>
            </w:pPr>
            <w:r>
              <w:rPr>
                <w:color w:val="auto"/>
              </w:rPr>
              <w:t>（1）计算某个室内靠近围护结构处的倍频带声压级：</w:t>
            </w:r>
          </w:p>
          <w:p>
            <w:pPr>
              <w:pStyle w:val="54"/>
              <w:bidi w:val="0"/>
              <w:ind w:left="0" w:leftChars="0" w:firstLine="0" w:firstLineChars="0"/>
              <w:jc w:val="center"/>
              <w:rPr>
                <w:color w:val="auto"/>
              </w:rPr>
            </w:pPr>
            <w:bookmarkStart w:id="2" w:name="_Toc91387362"/>
            <w:r>
              <w:rPr>
                <w:rFonts w:ascii="Times New Roman" w:hAnsi="Times New Roman"/>
                <w:color w:val="auto"/>
                <w:szCs w:val="24"/>
              </w:rPr>
              <w:object>
                <v:shape id="_x0000_i1025" o:spt="75" type="#_x0000_t75" style="height:22.55pt;width:190.3pt;" o:ole="t" fillcolor="#6D6D6D"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bookmarkEnd w:id="2"/>
          </w:p>
          <w:p>
            <w:pPr>
              <w:pStyle w:val="54"/>
              <w:bidi w:val="0"/>
              <w:rPr>
                <w:rFonts w:ascii="Times New Roman" w:hAnsi="Times New Roman"/>
                <w:color w:val="auto"/>
                <w:szCs w:val="24"/>
              </w:rPr>
            </w:pPr>
            <w:bookmarkStart w:id="3" w:name="_Toc91387363"/>
            <w:r>
              <w:rPr>
                <w:color w:val="auto"/>
              </w:rPr>
              <w:t>式中：</w:t>
            </w:r>
            <w:bookmarkEnd w:id="3"/>
            <w:r>
              <w:rPr>
                <w:color w:val="auto"/>
              </w:rPr>
              <w:t>L</w:t>
            </w:r>
            <w:r>
              <w:rPr>
                <w:color w:val="auto"/>
                <w:vertAlign w:val="subscript"/>
              </w:rPr>
              <w:t>1</w:t>
            </w:r>
            <w:r>
              <w:rPr>
                <w:color w:val="auto"/>
              </w:rPr>
              <w:t>——某个室内声源在靠近围护结构处产生的倍频带声压级</w:t>
            </w:r>
            <w:r>
              <w:rPr>
                <w:rFonts w:hint="eastAsia"/>
                <w:color w:val="auto"/>
              </w:rPr>
              <w:t>，</w:t>
            </w:r>
            <w:r>
              <w:rPr>
                <w:color w:val="auto"/>
              </w:rPr>
              <w:t>dB；</w:t>
            </w:r>
          </w:p>
          <w:p>
            <w:pPr>
              <w:pStyle w:val="54"/>
              <w:bidi w:val="0"/>
              <w:rPr>
                <w:color w:val="auto"/>
              </w:rPr>
            </w:pPr>
            <w:r>
              <w:rPr>
                <w:color w:val="auto"/>
              </w:rPr>
              <w:t>L</w:t>
            </w:r>
            <w:r>
              <w:rPr>
                <w:color w:val="auto"/>
                <w:vertAlign w:val="subscript"/>
              </w:rPr>
              <w:t>w1</w:t>
            </w:r>
            <w:r>
              <w:rPr>
                <w:color w:val="auto"/>
              </w:rPr>
              <w:t>——某个声源的倍频带声功率级</w:t>
            </w:r>
            <w:r>
              <w:rPr>
                <w:rFonts w:hint="eastAsia"/>
                <w:color w:val="auto"/>
              </w:rPr>
              <w:t>，</w:t>
            </w:r>
            <w:r>
              <w:rPr>
                <w:color w:val="auto"/>
              </w:rPr>
              <w:t>dB；</w:t>
            </w:r>
          </w:p>
          <w:p>
            <w:pPr>
              <w:pStyle w:val="54"/>
              <w:bidi w:val="0"/>
              <w:rPr>
                <w:color w:val="auto"/>
              </w:rPr>
            </w:pPr>
            <w:r>
              <w:rPr>
                <w:color w:val="auto"/>
              </w:rPr>
              <w:t>r</w:t>
            </w:r>
            <w:r>
              <w:rPr>
                <w:color w:val="auto"/>
                <w:vertAlign w:val="subscript"/>
              </w:rPr>
              <w:t>1</w:t>
            </w:r>
            <w:r>
              <w:rPr>
                <w:color w:val="auto"/>
              </w:rPr>
              <w:t>——室内某个声源与靠近围护结构处的距离</w:t>
            </w:r>
            <w:r>
              <w:rPr>
                <w:rFonts w:hint="eastAsia"/>
                <w:color w:val="auto"/>
              </w:rPr>
              <w:t>，</w:t>
            </w:r>
            <w:r>
              <w:rPr>
                <w:color w:val="auto"/>
              </w:rPr>
              <w:t>m；</w:t>
            </w:r>
          </w:p>
          <w:p>
            <w:pPr>
              <w:pStyle w:val="54"/>
              <w:bidi w:val="0"/>
              <w:rPr>
                <w:color w:val="auto"/>
              </w:rPr>
            </w:pPr>
            <w:r>
              <w:rPr>
                <w:color w:val="auto"/>
              </w:rPr>
              <w:t>R——房间常数</w:t>
            </w:r>
            <w:r>
              <w:rPr>
                <w:rFonts w:hint="eastAsia"/>
                <w:color w:val="auto"/>
                <w:lang w:eastAsia="zh-CN"/>
              </w:rPr>
              <w:t>，</w:t>
            </w:r>
            <w:r>
              <w:rPr>
                <w:color w:val="auto"/>
              </w:rPr>
              <w:t>m</w:t>
            </w:r>
            <w:r>
              <w:rPr>
                <w:color w:val="auto"/>
                <w:vertAlign w:val="superscript"/>
              </w:rPr>
              <w:t>2</w:t>
            </w:r>
            <w:r>
              <w:rPr>
                <w:color w:val="auto"/>
              </w:rPr>
              <w:t>；</w:t>
            </w:r>
          </w:p>
          <w:p>
            <w:pPr>
              <w:pStyle w:val="54"/>
              <w:bidi w:val="0"/>
              <w:rPr>
                <w:rFonts w:ascii="Times New Roman" w:hAnsi="Times New Roman"/>
                <w:color w:val="auto"/>
                <w:szCs w:val="24"/>
              </w:rPr>
            </w:pPr>
            <w:r>
              <w:rPr>
                <w:color w:val="auto"/>
              </w:rPr>
              <w:t>Q——方向因子</w:t>
            </w:r>
            <w:r>
              <w:rPr>
                <w:rFonts w:hint="eastAsia"/>
                <w:color w:val="auto"/>
              </w:rPr>
              <w:t>，</w:t>
            </w:r>
            <w:r>
              <w:rPr>
                <w:color w:val="auto"/>
              </w:rPr>
              <w:t>无量纲值。</w:t>
            </w:r>
          </w:p>
          <w:p>
            <w:pPr>
              <w:pStyle w:val="54"/>
              <w:bidi w:val="0"/>
              <w:rPr>
                <w:color w:val="auto"/>
              </w:rPr>
            </w:pPr>
            <w:r>
              <w:rPr>
                <w:color w:val="auto"/>
              </w:rPr>
              <w:t>（2）计算出所有室内声源在靠近围护结构处产生的总倍频带声压级：</w:t>
            </w:r>
          </w:p>
          <w:p>
            <w:pPr>
              <w:pStyle w:val="54"/>
              <w:bidi w:val="0"/>
              <w:ind w:left="0" w:leftChars="0" w:firstLine="0" w:firstLineChars="0"/>
              <w:jc w:val="center"/>
              <w:rPr>
                <w:color w:val="auto"/>
              </w:rPr>
            </w:pPr>
            <w:r>
              <w:rPr>
                <w:rFonts w:ascii="Times New Roman" w:hAnsi="Times New Roman"/>
                <w:color w:val="auto"/>
                <w:szCs w:val="24"/>
              </w:rPr>
              <w:object>
                <v:shape id="_x0000_i1026" o:spt="75" type="#_x0000_t75" style="height:39.75pt;width:146.1pt;" o:ole="t" fillcolor="#6D6D6D"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pStyle w:val="54"/>
              <w:bidi w:val="0"/>
              <w:rPr>
                <w:color w:val="auto"/>
              </w:rPr>
            </w:pPr>
            <w:r>
              <w:rPr>
                <w:color w:val="auto"/>
              </w:rPr>
              <w:t>（3）计算出室外靠近围护结构处的声压级：</w:t>
            </w:r>
          </w:p>
          <w:p>
            <w:pPr>
              <w:pStyle w:val="54"/>
              <w:bidi w:val="0"/>
              <w:ind w:left="0" w:leftChars="0" w:firstLine="0" w:firstLineChars="0"/>
              <w:jc w:val="center"/>
              <w:rPr>
                <w:color w:val="auto"/>
              </w:rPr>
            </w:pPr>
            <w:r>
              <w:rPr>
                <w:rFonts w:ascii="Times New Roman" w:hAnsi="Times New Roman"/>
                <w:color w:val="auto"/>
                <w:szCs w:val="24"/>
              </w:rPr>
              <w:object>
                <v:shape id="_x0000_i1027" o:spt="75" type="#_x0000_t75" style="height:17.2pt;width:121.5pt;" o:ole="t" fillcolor="#6D6D6D"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p>
          <w:p>
            <w:pPr>
              <w:pStyle w:val="54"/>
              <w:bidi w:val="0"/>
              <w:rPr>
                <w:color w:val="auto"/>
              </w:rPr>
            </w:pPr>
            <w:r>
              <w:rPr>
                <w:color w:val="auto"/>
              </w:rPr>
              <w:t>（4）将室外声级L</w:t>
            </w:r>
            <w:r>
              <w:rPr>
                <w:color w:val="auto"/>
                <w:vertAlign w:val="subscript"/>
              </w:rPr>
              <w:t>2</w:t>
            </w:r>
            <w:r>
              <w:rPr>
                <w:rFonts w:hint="eastAsia"/>
                <w:color w:val="auto"/>
                <w:lang w:eastAsia="zh-CN"/>
              </w:rPr>
              <w:t>（</w:t>
            </w:r>
            <w:r>
              <w:rPr>
                <w:color w:val="auto"/>
              </w:rPr>
              <w:t>T</w:t>
            </w:r>
            <w:r>
              <w:rPr>
                <w:rFonts w:hint="eastAsia"/>
                <w:color w:val="auto"/>
                <w:lang w:eastAsia="zh-CN"/>
              </w:rPr>
              <w:t>）</w:t>
            </w:r>
            <w:r>
              <w:rPr>
                <w:color w:val="auto"/>
              </w:rPr>
              <w:t>和透声面积换算成等效的室外声源</w:t>
            </w:r>
            <w:r>
              <w:rPr>
                <w:rFonts w:hint="eastAsia"/>
                <w:color w:val="auto"/>
              </w:rPr>
              <w:t>，</w:t>
            </w:r>
            <w:r>
              <w:rPr>
                <w:color w:val="auto"/>
              </w:rPr>
              <w:t>计算出等效声源第i个倍频带的声功率级L</w:t>
            </w:r>
            <w:r>
              <w:rPr>
                <w:color w:val="auto"/>
                <w:vertAlign w:val="subscript"/>
              </w:rPr>
              <w:t>w</w:t>
            </w:r>
            <w:r>
              <w:rPr>
                <w:color w:val="auto"/>
                <w:vertAlign w:val="subscript"/>
              </w:rPr>
              <w:softHyphen/>
            </w:r>
            <w:r>
              <w:rPr>
                <w:color w:val="auto"/>
                <w:vertAlign w:val="subscript"/>
              </w:rPr>
              <w:softHyphen/>
            </w:r>
            <w:r>
              <w:rPr>
                <w:color w:val="auto"/>
                <w:vertAlign w:val="subscript"/>
              </w:rPr>
              <w:t>2</w:t>
            </w:r>
            <w:r>
              <w:rPr>
                <w:color w:val="auto"/>
              </w:rPr>
              <w:t>：</w:t>
            </w:r>
          </w:p>
          <w:p>
            <w:pPr>
              <w:pStyle w:val="54"/>
              <w:bidi w:val="0"/>
              <w:ind w:left="0" w:leftChars="0" w:firstLine="0" w:firstLineChars="0"/>
              <w:jc w:val="center"/>
              <w:rPr>
                <w:color w:val="auto"/>
              </w:rPr>
            </w:pPr>
            <w:r>
              <w:rPr>
                <w:rFonts w:ascii="Times New Roman" w:hAnsi="Times New Roman"/>
                <w:color w:val="auto"/>
                <w:szCs w:val="24"/>
              </w:rPr>
              <w:object>
                <v:shape id="_x0000_i1028" o:spt="75" type="#_x0000_t75" style="height:21.5pt;width:123.65pt;" o:ole="t" fillcolor="#6D6D6D"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p>
          <w:p>
            <w:pPr>
              <w:pStyle w:val="54"/>
              <w:bidi w:val="0"/>
              <w:rPr>
                <w:color w:val="auto"/>
              </w:rPr>
            </w:pPr>
            <w:r>
              <w:rPr>
                <w:color w:val="auto"/>
              </w:rPr>
              <w:t>式中：S为透声面积</w:t>
            </w:r>
            <w:r>
              <w:rPr>
                <w:rFonts w:hint="eastAsia"/>
                <w:color w:val="auto"/>
              </w:rPr>
              <w:t>，</w:t>
            </w:r>
            <w:r>
              <w:rPr>
                <w:color w:val="auto"/>
              </w:rPr>
              <w:t>m</w:t>
            </w:r>
            <w:r>
              <w:rPr>
                <w:color w:val="auto"/>
                <w:vertAlign w:val="superscript"/>
              </w:rPr>
              <w:t>2</w:t>
            </w:r>
            <w:r>
              <w:rPr>
                <w:color w:val="auto"/>
              </w:rPr>
              <w:t>。</w:t>
            </w:r>
          </w:p>
          <w:p>
            <w:pPr>
              <w:pStyle w:val="54"/>
              <w:bidi w:val="0"/>
              <w:rPr>
                <w:color w:val="auto"/>
              </w:rPr>
            </w:pPr>
            <w:r>
              <w:rPr>
                <w:color w:val="auto"/>
              </w:rPr>
              <w:t>（5）等效室外声源的位置为围护结构的位置</w:t>
            </w:r>
            <w:r>
              <w:rPr>
                <w:rFonts w:hint="eastAsia"/>
                <w:color w:val="auto"/>
              </w:rPr>
              <w:t>，</w:t>
            </w:r>
            <w:r>
              <w:rPr>
                <w:color w:val="auto"/>
              </w:rPr>
              <w:t>其倍频带声功率级为L</w:t>
            </w:r>
            <w:r>
              <w:rPr>
                <w:color w:val="auto"/>
                <w:vertAlign w:val="subscript"/>
              </w:rPr>
              <w:t>w</w:t>
            </w:r>
            <w:r>
              <w:rPr>
                <w:rFonts w:hint="eastAsia"/>
                <w:color w:val="auto"/>
              </w:rPr>
              <w:t>，</w:t>
            </w:r>
            <w:r>
              <w:rPr>
                <w:color w:val="auto"/>
              </w:rPr>
              <w:t>由此按室外声源方法计算等效室外声源在预测点产生的声级。</w:t>
            </w:r>
          </w:p>
          <w:p>
            <w:pPr>
              <w:pStyle w:val="54"/>
              <w:bidi w:val="0"/>
              <w:rPr>
                <w:rFonts w:ascii="Times New Roman" w:hAnsi="Times New Roman"/>
                <w:color w:val="auto"/>
                <w:szCs w:val="24"/>
              </w:rPr>
            </w:pPr>
            <w:r>
              <w:rPr>
                <w:color w:val="auto"/>
              </w:rPr>
              <w:t>（6）计算某个声源在预测点的倍频带声压级：</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color w:val="auto"/>
                <w:sz w:val="24"/>
                <w:szCs w:val="24"/>
              </w:rPr>
            </w:pPr>
            <w:r>
              <w:rPr>
                <w:rFonts w:ascii="Times New Roman" w:hAnsi="Times New Roman"/>
                <w:color w:val="auto"/>
                <w:sz w:val="24"/>
                <w:szCs w:val="24"/>
              </w:rPr>
              <w:object>
                <v:shape id="_x0000_i1029" o:spt="75" type="#_x0000_t75" style="height:46.2pt;width:151.55pt;" o:ole="t" fillcolor="#6D6D6D"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式中：L(r)——点声源在预测点产生的倍频带声压级，dB；</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)——参考位置r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处的倍频带声压级，dB；</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r——预测点距声源的距离，m；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——参考位置距声源的距离，m；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ΔL——各种因素引起的衰减量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包括声屏障、遮挡物、空气吸收、地面效应等引起的衰减量）。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olor w:val="auto"/>
                <w:sz w:val="24"/>
                <w:szCs w:val="24"/>
              </w:rPr>
            </w:pPr>
            <w:r>
              <w:rPr>
                <w:rFonts w:hint="default" w:ascii="Times New Roman" w:hAnsi="Times New Roman" w:eastAsia="宋体" w:cs="Times New Roman"/>
                <w:color w:val="auto"/>
                <w:sz w:val="24"/>
                <w:szCs w:val="24"/>
              </w:rPr>
              <w:t>如果已知声源的倍频带声功率级Lw，且声源可看作是位于地面上的，则</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color w:val="auto"/>
                <w:sz w:val="24"/>
                <w:szCs w:val="24"/>
              </w:rPr>
            </w:pPr>
            <w:r>
              <w:rPr>
                <w:rFonts w:ascii="Times New Roman" w:hAnsi="Times New Roman"/>
                <w:color w:val="auto"/>
                <w:sz w:val="24"/>
                <w:szCs w:val="24"/>
              </w:rPr>
              <w:object>
                <v:shape id="_x0000_i1030" o:spt="75" type="#_x0000_t75" style="height:18.25pt;width:111.8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（7）由各倍频带声压级合成计算出该声源产生的A声级LA。</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（8）计算总声压级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olor w:val="auto"/>
                <w:sz w:val="24"/>
                <w:szCs w:val="24"/>
              </w:rPr>
            </w:pPr>
            <w:r>
              <w:rPr>
                <w:rFonts w:hint="default" w:ascii="Times New Roman" w:hAnsi="Times New Roman" w:eastAsia="宋体" w:cs="Times New Roman"/>
                <w:color w:val="auto"/>
                <w:sz w:val="24"/>
                <w:szCs w:val="24"/>
              </w:rPr>
              <w:t>设第i个室外声源在预测点产生的A声级为LAin，i，在T时间内该声源工作时间为tin，i；第j个等效室外声源在预测点产生的A声级为LAout，j，在T时间内该声源工作时间为Tout，j，则预测点的总等效声级为：</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color w:val="auto"/>
                <w:sz w:val="24"/>
                <w:szCs w:val="24"/>
              </w:rPr>
            </w:pPr>
            <w:r>
              <w:rPr>
                <w:rFonts w:ascii="Times New Roman" w:hAnsi="Times New Roman"/>
                <w:color w:val="auto"/>
                <w:sz w:val="24"/>
                <w:szCs w:val="24"/>
              </w:rPr>
              <w:object>
                <v:shape id="_x0000_i1031" o:spt="75" type="#_x0000_t75" style="height:37.6pt;width:268.75pt;" o:ole="t" fillcolor="#6D6D6D"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式中：T——计算等效声级的时间；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N——室外声源个数；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M——等效室外声源个数。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（9）多声源对某个受声点的理论估算方法</w:t>
            </w:r>
            <w:r>
              <w:rPr>
                <w:rFonts w:hint="eastAsia" w:ascii="Times New Roman" w:hAnsi="Times New Roman"/>
                <w:color w:val="auto"/>
                <w:sz w:val="24"/>
                <w:szCs w:val="24"/>
              </w:rPr>
              <w:t>，</w:t>
            </w:r>
            <w:r>
              <w:rPr>
                <w:rFonts w:ascii="Times New Roman" w:hAnsi="Times New Roman"/>
                <w:color w:val="auto"/>
                <w:sz w:val="24"/>
                <w:szCs w:val="24"/>
              </w:rPr>
              <w:t>是将几个声源的A声级按能量叠加</w:t>
            </w:r>
            <w:r>
              <w:rPr>
                <w:rFonts w:hint="eastAsia" w:ascii="Times New Roman" w:hAnsi="Times New Roman"/>
                <w:color w:val="auto"/>
                <w:sz w:val="24"/>
                <w:szCs w:val="24"/>
              </w:rPr>
              <w:t>，</w:t>
            </w:r>
            <w:r>
              <w:rPr>
                <w:rFonts w:ascii="Times New Roman" w:hAnsi="Times New Roman"/>
                <w:color w:val="auto"/>
                <w:sz w:val="24"/>
                <w:szCs w:val="24"/>
              </w:rPr>
              <w:t>等效为合声源对某个受声点上的理论声级</w:t>
            </w:r>
            <w:r>
              <w:rPr>
                <w:rFonts w:hint="eastAsia" w:ascii="Times New Roman" w:hAnsi="Times New Roman"/>
                <w:color w:val="auto"/>
                <w:sz w:val="24"/>
                <w:szCs w:val="24"/>
              </w:rPr>
              <w:t>，</w:t>
            </w:r>
            <w:r>
              <w:rPr>
                <w:rFonts w:ascii="Times New Roman" w:hAnsi="Times New Roman"/>
                <w:color w:val="auto"/>
                <w:sz w:val="24"/>
                <w:szCs w:val="24"/>
              </w:rPr>
              <w:t>其公式为：</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Times New Roman" w:hAnsi="Times New Roman"/>
                <w:color w:val="auto"/>
                <w:sz w:val="24"/>
                <w:szCs w:val="24"/>
              </w:rPr>
            </w:pPr>
            <w:r>
              <w:rPr>
                <w:rFonts w:ascii="Times New Roman" w:hAnsi="Times New Roman"/>
                <w:color w:val="auto"/>
                <w:sz w:val="24"/>
                <w:szCs w:val="24"/>
              </w:rPr>
              <w:object>
                <v:shape id="_x0000_i1032" o:spt="75" type="#_x0000_t75" style="height:34.4pt;width:102.1pt;" o:ole="t" fillcolor="#6D6D6D"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2" r:id="rId25">
                  <o:LockedField>false</o:LockedField>
                </o:OLEObject>
              </w:objec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式中：L</w:t>
            </w:r>
            <w:r>
              <w:rPr>
                <w:rFonts w:ascii="Times New Roman" w:hAnsi="Times New Roman"/>
                <w:color w:val="auto"/>
                <w:sz w:val="24"/>
                <w:szCs w:val="24"/>
                <w:vertAlign w:val="subscript"/>
              </w:rPr>
              <w:t>合</w:t>
            </w:r>
            <w:r>
              <w:rPr>
                <w:rFonts w:ascii="Times New Roman" w:hAnsi="Times New Roman"/>
                <w:color w:val="auto"/>
                <w:sz w:val="24"/>
                <w:szCs w:val="24"/>
              </w:rPr>
              <w:t>——受声点总等效声级</w:t>
            </w:r>
            <w:r>
              <w:rPr>
                <w:rFonts w:hint="eastAsia" w:ascii="Times New Roman" w:hAnsi="Times New Roman"/>
                <w:color w:val="auto"/>
                <w:sz w:val="24"/>
                <w:szCs w:val="24"/>
              </w:rPr>
              <w:t>，</w:t>
            </w:r>
            <w:r>
              <w:rPr>
                <w:rFonts w:ascii="Times New Roman" w:hAnsi="Times New Roman"/>
                <w:color w:val="auto"/>
                <w:sz w:val="24"/>
                <w:szCs w:val="24"/>
              </w:rPr>
              <w:t>dB</w:t>
            </w:r>
            <w:r>
              <w:rPr>
                <w:rFonts w:hint="eastAsia"/>
                <w:color w:val="auto"/>
                <w:sz w:val="24"/>
                <w:szCs w:val="24"/>
                <w:lang w:eastAsia="zh-CN"/>
              </w:rPr>
              <w:t>（</w:t>
            </w:r>
            <w:r>
              <w:rPr>
                <w:rFonts w:ascii="Times New Roman" w:hAnsi="Times New Roman"/>
                <w:color w:val="auto"/>
                <w:sz w:val="24"/>
                <w:szCs w:val="24"/>
              </w:rPr>
              <w:t>A</w:t>
            </w:r>
            <w:r>
              <w:rPr>
                <w:rFonts w:hint="eastAsia"/>
                <w:color w:val="auto"/>
                <w:sz w:val="24"/>
                <w:szCs w:val="24"/>
                <w:lang w:eastAsia="zh-CN"/>
              </w:rPr>
              <w:t>）</w:t>
            </w:r>
            <w:r>
              <w:rPr>
                <w:rFonts w:ascii="Times New Roman" w:hAnsi="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olor w:val="auto"/>
                <w:sz w:val="24"/>
                <w:szCs w:val="24"/>
                <w:lang w:eastAsia="zh-CN"/>
              </w:rPr>
            </w:pPr>
            <w:r>
              <w:rPr>
                <w:rFonts w:ascii="Times New Roman" w:hAnsi="Times New Roman"/>
                <w:color w:val="auto"/>
                <w:sz w:val="24"/>
                <w:szCs w:val="24"/>
              </w:rPr>
              <w:t>N——声源总数</w:t>
            </w:r>
            <w:r>
              <w:rPr>
                <w:rFonts w:hint="eastAsia" w:ascii="Times New Roman" w:hAnsi="Times New Roman"/>
                <w:color w:val="auto"/>
                <w:sz w:val="24"/>
                <w:szCs w:val="24"/>
                <w:lang w:eastAsia="zh-CN"/>
              </w:rPr>
              <w:t>；</w:t>
            </w:r>
          </w:p>
          <w:p>
            <w:pPr>
              <w:pStyle w:val="54"/>
              <w:keepNext w:val="0"/>
              <w:keepLines w:val="0"/>
              <w:pageBreakBefore w:val="0"/>
              <w:widowControl w:val="0"/>
              <w:kinsoku/>
              <w:wordWrap/>
              <w:overflowPunct/>
              <w:topLinePunct w:val="0"/>
              <w:autoSpaceDE/>
              <w:autoSpaceDN/>
              <w:bidi w:val="0"/>
              <w:adjustRightInd w:val="0"/>
              <w:ind w:firstLine="480" w:firstLineChars="200"/>
              <w:textAlignment w:val="auto"/>
              <w:rPr>
                <w:rFonts w:hint="eastAsia"/>
                <w:color w:val="auto"/>
                <w:lang w:val="en-US" w:eastAsia="zh-CN"/>
              </w:rPr>
            </w:pPr>
            <w:r>
              <w:rPr>
                <w:rFonts w:ascii="Times New Roman" w:hAnsi="Times New Roman"/>
                <w:color w:val="auto"/>
                <w:sz w:val="24"/>
                <w:szCs w:val="24"/>
              </w:rPr>
              <w:t>Li——第i声源对某预测点的等效声级</w:t>
            </w:r>
            <w:r>
              <w:rPr>
                <w:rFonts w:hint="eastAsia" w:ascii="Times New Roman" w:hAnsi="Times New Roman"/>
                <w:color w:val="auto"/>
                <w:sz w:val="24"/>
                <w:szCs w:val="24"/>
              </w:rPr>
              <w:t>，</w:t>
            </w:r>
            <w:r>
              <w:rPr>
                <w:rFonts w:ascii="Times New Roman" w:hAnsi="Times New Roman"/>
                <w:color w:val="auto"/>
                <w:sz w:val="24"/>
                <w:szCs w:val="24"/>
              </w:rPr>
              <w:t>dB</w:t>
            </w:r>
            <w:r>
              <w:rPr>
                <w:rFonts w:hint="eastAsia" w:ascii="Times New Roman" w:hAnsi="Times New Roman"/>
                <w:color w:val="auto"/>
                <w:sz w:val="24"/>
                <w:szCs w:val="24"/>
                <w:lang w:eastAsia="zh-CN"/>
              </w:rPr>
              <w:t>（</w:t>
            </w:r>
            <w:r>
              <w:rPr>
                <w:rFonts w:ascii="Times New Roman" w:hAnsi="Times New Roman"/>
                <w:color w:val="auto"/>
                <w:sz w:val="24"/>
                <w:szCs w:val="24"/>
              </w:rPr>
              <w:t>A</w:t>
            </w:r>
            <w:r>
              <w:rPr>
                <w:rFonts w:hint="eastAsia" w:ascii="Times New Roman" w:hAnsi="Times New Roman"/>
                <w:color w:val="auto"/>
                <w:sz w:val="24"/>
                <w:szCs w:val="24"/>
                <w:lang w:eastAsia="zh-CN"/>
              </w:rPr>
              <w:t>）。</w:t>
            </w:r>
          </w:p>
          <w:p>
            <w:pPr>
              <w:numPr>
                <w:ilvl w:val="0"/>
                <w:numId w:val="0"/>
              </w:numPr>
              <w:adjustRightInd w:val="0"/>
              <w:snapToGrid w:val="0"/>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eastAsia" w:ascii="Times New Roman" w:hAnsi="Times New Roman"/>
                <w:color w:val="auto"/>
                <w:sz w:val="24"/>
                <w:szCs w:val="24"/>
                <w:lang w:val="en-US" w:eastAsia="zh-CN"/>
              </w:rPr>
              <w:t>预测结果</w:t>
            </w:r>
          </w:p>
          <w:p>
            <w:pPr>
              <w:numPr>
                <w:ilvl w:val="0"/>
                <w:numId w:val="0"/>
              </w:numPr>
              <w:adjustRightInd w:val="0"/>
              <w:snapToGrid w:val="0"/>
              <w:spacing w:line="360" w:lineRule="auto"/>
              <w:ind w:firstLine="480" w:firstLineChars="200"/>
              <w:rPr>
                <w:rFonts w:hint="eastAsia" w:cs="Times New Roman"/>
                <w:bCs/>
                <w:color w:val="auto"/>
                <w:spacing w:val="-10"/>
                <w:kern w:val="2"/>
                <w:sz w:val="24"/>
                <w:szCs w:val="24"/>
                <w:lang w:val="en-US" w:eastAsia="zh-CN" w:bidi="ar-SA"/>
              </w:rPr>
            </w:pPr>
            <w:r>
              <w:rPr>
                <w:rFonts w:hint="eastAsia" w:ascii="Times New Roman" w:hAnsi="Times New Roman"/>
                <w:color w:val="auto"/>
                <w:sz w:val="24"/>
                <w:szCs w:val="24"/>
                <w:lang w:val="en-US" w:eastAsia="zh-CN"/>
              </w:rPr>
              <w:t>本项目经</w:t>
            </w:r>
            <w:r>
              <w:rPr>
                <w:rFonts w:hint="eastAsia" w:cs="Times New Roman"/>
                <w:bCs/>
                <w:color w:val="auto"/>
                <w:spacing w:val="-10"/>
                <w:kern w:val="2"/>
                <w:sz w:val="24"/>
                <w:szCs w:val="24"/>
                <w:lang w:val="en-US" w:eastAsia="zh-CN" w:bidi="ar-SA"/>
              </w:rPr>
              <w:t>建筑隔声、基础减振等措施后，生产设备同时运行时，其预测结果见下表。</w:t>
            </w:r>
          </w:p>
          <w:p>
            <w:pPr>
              <w:pStyle w:val="4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cs="Times New Roman"/>
                <w:b/>
                <w:bCs/>
                <w:color w:val="auto"/>
                <w:sz w:val="21"/>
                <w:szCs w:val="21"/>
                <w:lang w:val="en-US" w:eastAsia="zh-CN"/>
              </w:rPr>
              <w:t>4-</w:t>
            </w:r>
            <w:r>
              <w:rPr>
                <w:rFonts w:hint="eastAsia" w:cs="Times New Roman"/>
                <w:b/>
                <w:bCs/>
                <w:color w:val="auto"/>
                <w:sz w:val="21"/>
                <w:szCs w:val="21"/>
                <w:lang w:val="en-US" w:eastAsia="zh-CN"/>
              </w:rPr>
              <w:t xml:space="preserve">9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项目各厂界噪声预测值</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424"/>
              <w:gridCol w:w="1486"/>
              <w:gridCol w:w="1530"/>
              <w:gridCol w:w="1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7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预测点</w:t>
                  </w:r>
                </w:p>
              </w:tc>
              <w:tc>
                <w:tcPr>
                  <w:tcW w:w="8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贡献值</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dB（A）</w:t>
                  </w:r>
                </w:p>
              </w:tc>
              <w:tc>
                <w:tcPr>
                  <w:tcW w:w="190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标准值dB（A）</w:t>
                  </w:r>
                </w:p>
              </w:tc>
              <w:tc>
                <w:tcPr>
                  <w:tcW w:w="122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c>
                <w:tcPr>
                  <w:tcW w:w="8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c>
                <w:tcPr>
                  <w:tcW w:w="9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昼间</w:t>
                  </w:r>
                </w:p>
              </w:tc>
              <w:tc>
                <w:tcPr>
                  <w:tcW w:w="9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夜间</w:t>
                  </w:r>
                </w:p>
              </w:tc>
              <w:tc>
                <w:tcPr>
                  <w:tcW w:w="122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东厂界</w:t>
                  </w:r>
                </w:p>
              </w:tc>
              <w:tc>
                <w:tcPr>
                  <w:tcW w:w="8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42.77</w:t>
                  </w:r>
                </w:p>
              </w:tc>
              <w:tc>
                <w:tcPr>
                  <w:tcW w:w="9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65</w:t>
                  </w:r>
                </w:p>
              </w:tc>
              <w:tc>
                <w:tcPr>
                  <w:tcW w:w="96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55</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西厂界</w:t>
                  </w:r>
                </w:p>
              </w:tc>
              <w:tc>
                <w:tcPr>
                  <w:tcW w:w="8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44.98</w:t>
                  </w:r>
                </w:p>
              </w:tc>
              <w:tc>
                <w:tcPr>
                  <w:tcW w:w="9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c>
                <w:tcPr>
                  <w:tcW w:w="96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南厂界</w:t>
                  </w:r>
                </w:p>
              </w:tc>
              <w:tc>
                <w:tcPr>
                  <w:tcW w:w="8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49.30</w:t>
                  </w:r>
                </w:p>
              </w:tc>
              <w:tc>
                <w:tcPr>
                  <w:tcW w:w="9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c>
                <w:tcPr>
                  <w:tcW w:w="96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北厂界</w:t>
                  </w:r>
                </w:p>
              </w:tc>
              <w:tc>
                <w:tcPr>
                  <w:tcW w:w="8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43.32</w:t>
                  </w:r>
                </w:p>
              </w:tc>
              <w:tc>
                <w:tcPr>
                  <w:tcW w:w="9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c>
                <w:tcPr>
                  <w:tcW w:w="96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lang w:val="en-US" w:eastAsia="zh-CN"/>
                    </w:rPr>
                    <w:t>达标</w:t>
                  </w:r>
                </w:p>
              </w:tc>
            </w:tr>
          </w:tbl>
          <w:p>
            <w:pPr>
              <w:pStyle w:val="54"/>
              <w:bidi w:val="0"/>
              <w:rPr>
                <w:rFonts w:hint="eastAsia"/>
                <w:color w:val="auto"/>
                <w:lang w:val="en-US" w:eastAsia="zh-CN"/>
              </w:rPr>
            </w:pPr>
            <w:r>
              <w:rPr>
                <w:rFonts w:ascii="Times New Roman" w:hAnsi="Times New Roman"/>
                <w:color w:val="auto"/>
                <w:sz w:val="24"/>
                <w:szCs w:val="24"/>
              </w:rPr>
              <w:t>根据上表可知</w:t>
            </w:r>
            <w:r>
              <w:rPr>
                <w:rFonts w:hint="eastAsia" w:ascii="Times New Roman" w:hAnsi="Times New Roman"/>
                <w:color w:val="auto"/>
                <w:sz w:val="24"/>
                <w:szCs w:val="24"/>
              </w:rPr>
              <w:t>，</w:t>
            </w:r>
            <w:r>
              <w:rPr>
                <w:rFonts w:ascii="Times New Roman" w:hAnsi="Times New Roman"/>
                <w:color w:val="auto"/>
                <w:sz w:val="24"/>
                <w:szCs w:val="24"/>
              </w:rPr>
              <w:t>项目厂界噪声昼间和夜间均满足《工业企业厂界环境噪声排放标准》（GB</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12348-2008）中的</w:t>
            </w:r>
            <w:r>
              <w:rPr>
                <w:rFonts w:hint="eastAsia" w:ascii="Times New Roman" w:hAnsi="Times New Roman"/>
                <w:color w:val="auto"/>
                <w:sz w:val="24"/>
                <w:szCs w:val="24"/>
              </w:rPr>
              <w:t>3类</w:t>
            </w:r>
            <w:r>
              <w:rPr>
                <w:rFonts w:ascii="Times New Roman" w:hAnsi="Times New Roman"/>
                <w:color w:val="auto"/>
                <w:sz w:val="24"/>
                <w:szCs w:val="24"/>
              </w:rPr>
              <w:t>标准</w:t>
            </w:r>
            <w:r>
              <w:rPr>
                <w:rFonts w:hint="eastAsia" w:ascii="Times New Roman" w:hAnsi="Times New Roman"/>
                <w:color w:val="auto"/>
                <w:sz w:val="24"/>
                <w:szCs w:val="24"/>
              </w:rPr>
              <w:t>，</w:t>
            </w:r>
            <w:r>
              <w:rPr>
                <w:rFonts w:ascii="Times New Roman" w:hAnsi="Times New Roman"/>
                <w:color w:val="auto"/>
                <w:sz w:val="24"/>
                <w:szCs w:val="24"/>
              </w:rPr>
              <w:t>对周围声环境影响较小。</w:t>
            </w:r>
          </w:p>
          <w:p>
            <w:pPr>
              <w:pStyle w:val="54"/>
              <w:bidi w:val="0"/>
              <w:rPr>
                <w:rFonts w:hint="default"/>
                <w:color w:val="auto"/>
                <w:lang w:val="en-US" w:eastAsia="zh-CN"/>
              </w:rPr>
            </w:pPr>
            <w:r>
              <w:rPr>
                <w:rFonts w:hint="eastAsia"/>
                <w:color w:val="auto"/>
                <w:lang w:val="en-US" w:eastAsia="zh-CN"/>
              </w:rPr>
              <w:t>4、监测要求</w:t>
            </w:r>
          </w:p>
          <w:p>
            <w:pPr>
              <w:pStyle w:val="54"/>
              <w:bidi w:val="0"/>
              <w:rPr>
                <w:rFonts w:hint="eastAsia"/>
                <w:color w:val="auto"/>
                <w:lang w:val="en-US" w:eastAsia="zh-CN"/>
              </w:rPr>
            </w:pPr>
            <w:r>
              <w:rPr>
                <w:rFonts w:hint="eastAsia"/>
                <w:color w:val="auto"/>
                <w:lang w:val="en-US" w:eastAsia="zh-CN"/>
              </w:rPr>
              <w:t>根据《排污单位自行检测技术指南 总则》（HJ 819-2017）的监测要求，本项目噪声具体监测计划见下表。</w:t>
            </w:r>
          </w:p>
          <w:p>
            <w:pPr>
              <w:pStyle w:val="26"/>
              <w:bidi w:val="0"/>
              <w:rPr>
                <w:rFonts w:hint="default" w:cs="Times New Roman"/>
                <w:bCs/>
                <w:color w:val="auto"/>
                <w:spacing w:val="-10"/>
                <w:kern w:val="2"/>
                <w:szCs w:val="21"/>
                <w:lang w:val="en-US" w:eastAsia="zh-CN" w:bidi="ar-SA"/>
              </w:rPr>
            </w:pPr>
            <w:r>
              <w:rPr>
                <w:rFonts w:hint="eastAsia"/>
                <w:color w:val="auto"/>
                <w:lang w:val="en-US" w:eastAsia="zh-CN"/>
              </w:rPr>
              <w:t>表4-10  噪声监测计划</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38"/>
              <w:gridCol w:w="1069"/>
              <w:gridCol w:w="1035"/>
              <w:gridCol w:w="1534"/>
              <w:gridCol w:w="2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环境要素</w:t>
                  </w:r>
                </w:p>
              </w:tc>
              <w:tc>
                <w:tcPr>
                  <w:tcW w:w="77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监测点位</w:t>
                  </w:r>
                </w:p>
              </w:tc>
              <w:tc>
                <w:tcPr>
                  <w:tcW w:w="6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监测项目</w:t>
                  </w:r>
                </w:p>
              </w:tc>
              <w:tc>
                <w:tcPr>
                  <w:tcW w:w="65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监测频次</w:t>
                  </w:r>
                </w:p>
              </w:tc>
              <w:tc>
                <w:tcPr>
                  <w:tcW w:w="965"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标准限值</w:t>
                  </w:r>
                </w:p>
              </w:tc>
              <w:tc>
                <w:tcPr>
                  <w:tcW w:w="146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噪声</w:t>
                  </w:r>
                </w:p>
              </w:tc>
              <w:tc>
                <w:tcPr>
                  <w:tcW w:w="77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厂界四周外1m</w:t>
                  </w:r>
                </w:p>
              </w:tc>
              <w:tc>
                <w:tcPr>
                  <w:tcW w:w="67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等效A声级</w:t>
                  </w:r>
                </w:p>
              </w:tc>
              <w:tc>
                <w:tcPr>
                  <w:tcW w:w="652"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1次/季</w:t>
                  </w:r>
                </w:p>
              </w:tc>
              <w:tc>
                <w:tcPr>
                  <w:tcW w:w="965"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昼间65dB（A）</w:t>
                  </w:r>
                </w:p>
                <w:p>
                  <w:pPr>
                    <w:pStyle w:val="27"/>
                    <w:bidi w:val="0"/>
                    <w:rPr>
                      <w:rFonts w:hint="eastAsia"/>
                      <w:color w:val="auto"/>
                      <w:lang w:val="en-US" w:eastAsia="zh-CN"/>
                    </w:rPr>
                  </w:pPr>
                  <w:r>
                    <w:rPr>
                      <w:rFonts w:hint="eastAsia"/>
                      <w:color w:val="auto"/>
                      <w:lang w:val="en-US" w:eastAsia="zh-CN"/>
                    </w:rPr>
                    <w:t>夜间55dB（A）</w:t>
                  </w:r>
                </w:p>
              </w:tc>
              <w:tc>
                <w:tcPr>
                  <w:tcW w:w="146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《工业企业厂界环境噪声排放标准》（GB 12348-2008）</w:t>
                  </w:r>
                </w:p>
              </w:tc>
            </w:tr>
          </w:tbl>
          <w:p>
            <w:pPr>
              <w:pStyle w:val="54"/>
              <w:bidi w:val="0"/>
              <w:rPr>
                <w:rFonts w:hint="default"/>
                <w:color w:val="auto"/>
                <w:lang w:val="en-US" w:eastAsia="zh-CN"/>
              </w:rPr>
            </w:pPr>
            <w:r>
              <w:rPr>
                <w:rFonts w:hint="default"/>
                <w:b/>
                <w:bCs/>
                <w:color w:val="auto"/>
                <w:lang w:val="en-US" w:eastAsia="zh-CN"/>
              </w:rPr>
              <w:t>四、固体废物</w:t>
            </w:r>
          </w:p>
          <w:p>
            <w:pPr>
              <w:pStyle w:val="54"/>
              <w:bidi w:val="0"/>
              <w:rPr>
                <w:rFonts w:hint="default"/>
                <w:color w:val="auto"/>
                <w:lang w:val="en-US" w:eastAsia="zh-CN"/>
              </w:rPr>
            </w:pPr>
            <w:r>
              <w:rPr>
                <w:rFonts w:hint="eastAsia"/>
                <w:color w:val="auto"/>
                <w:lang w:val="en-US" w:eastAsia="zh-CN"/>
              </w:rPr>
              <w:t>1、产生情况</w:t>
            </w:r>
          </w:p>
          <w:p>
            <w:pPr>
              <w:pStyle w:val="54"/>
              <w:bidi w:val="0"/>
              <w:rPr>
                <w:rFonts w:hint="default"/>
                <w:color w:val="auto"/>
                <w:lang w:val="en-US" w:eastAsia="zh-CN"/>
              </w:rPr>
            </w:pPr>
            <w:r>
              <w:rPr>
                <w:rFonts w:hint="eastAsia"/>
                <w:color w:val="auto"/>
                <w:lang w:val="en-US" w:eastAsia="zh-CN"/>
              </w:rPr>
              <w:t>本项目运营期产生的固废主要有除尘器收集粉尘、生活垃圾及废润滑油。</w:t>
            </w:r>
          </w:p>
          <w:p>
            <w:pPr>
              <w:pStyle w:val="54"/>
              <w:bidi w:val="0"/>
              <w:rPr>
                <w:rFonts w:hint="eastAsia"/>
                <w:color w:val="auto"/>
                <w:lang w:val="en-US" w:eastAsia="zh-CN"/>
              </w:rPr>
            </w:pPr>
            <w:r>
              <w:rPr>
                <w:rFonts w:hint="eastAsia"/>
                <w:color w:val="auto"/>
                <w:lang w:val="en-US" w:eastAsia="zh-CN"/>
              </w:rPr>
              <w:t>（1）除尘器收集粉尘</w:t>
            </w:r>
          </w:p>
          <w:p>
            <w:pPr>
              <w:pStyle w:val="54"/>
              <w:bidi w:val="0"/>
              <w:rPr>
                <w:rFonts w:hint="eastAsia"/>
                <w:color w:val="auto"/>
                <w:lang w:val="en-US" w:eastAsia="zh-CN"/>
              </w:rPr>
            </w:pPr>
            <w:r>
              <w:rPr>
                <w:rFonts w:hint="eastAsia"/>
                <w:color w:val="auto"/>
                <w:lang w:val="en-US" w:eastAsia="zh-CN"/>
              </w:rPr>
              <w:t>主要有投料、磨粉及包装工段除尘器收集粉尘，产生量分别为投料粉尘1.418t/a、磨粉粉尘12533.7t/a、包装粉尘13.432t/a。投料除尘器收集的颗粒物通过螺旋输送器送入料斗进入生产工序；超微粉碎机除尘器收集的颗粒物进入封闭式刮板机，输送至包装料仓；包装除尘器收集的颗粒物定期转入料仓重复使用。</w:t>
            </w:r>
          </w:p>
          <w:p>
            <w:pPr>
              <w:pStyle w:val="54"/>
              <w:bidi w:val="0"/>
              <w:rPr>
                <w:rFonts w:hint="default"/>
                <w:color w:val="auto"/>
                <w:lang w:val="en-US" w:eastAsia="zh-CN"/>
              </w:rPr>
            </w:pPr>
            <w:r>
              <w:rPr>
                <w:rFonts w:hint="eastAsia"/>
                <w:color w:val="auto"/>
                <w:lang w:val="en-US" w:eastAsia="zh-CN"/>
              </w:rPr>
              <w:t>（2）生活垃圾</w:t>
            </w:r>
          </w:p>
          <w:p>
            <w:pPr>
              <w:pStyle w:val="54"/>
              <w:bidi w:val="0"/>
              <w:rPr>
                <w:rFonts w:hint="default"/>
                <w:color w:val="auto"/>
                <w:lang w:val="en-US" w:eastAsia="zh-CN"/>
              </w:rPr>
            </w:pPr>
            <w:r>
              <w:rPr>
                <w:rFonts w:hint="eastAsia"/>
                <w:color w:val="auto"/>
                <w:lang w:val="en-US" w:eastAsia="zh-CN"/>
              </w:rPr>
              <w:t>本项目劳动定员15人，年工作时间280天，生活垃圾按照每人每天0.5kg计，则生活垃圾产生量=15×0.5×280/1000=2.1t/a。</w:t>
            </w:r>
            <w:r>
              <w:rPr>
                <w:rFonts w:hint="default"/>
                <w:color w:val="auto"/>
                <w:lang w:val="en-US" w:eastAsia="zh-CN"/>
              </w:rPr>
              <w:t>生活垃圾设垃圾箱，拉运至当地生活垃圾填埋场进行处理，以最大限度</w:t>
            </w:r>
            <w:r>
              <w:rPr>
                <w:rFonts w:hint="eastAsia"/>
                <w:color w:val="auto"/>
                <w:lang w:val="en-US" w:eastAsia="zh-CN"/>
              </w:rPr>
              <w:t>地</w:t>
            </w:r>
            <w:r>
              <w:rPr>
                <w:rFonts w:hint="default"/>
                <w:color w:val="auto"/>
                <w:lang w:val="en-US" w:eastAsia="zh-CN"/>
              </w:rPr>
              <w:t>减少生活垃圾对环境的影响。</w:t>
            </w:r>
          </w:p>
          <w:p>
            <w:pPr>
              <w:pStyle w:val="54"/>
              <w:bidi w:val="0"/>
              <w:rPr>
                <w:rFonts w:hint="default"/>
                <w:color w:val="auto"/>
                <w:lang w:val="en-US" w:eastAsia="zh-CN"/>
              </w:rPr>
            </w:pPr>
            <w:r>
              <w:rPr>
                <w:rFonts w:hint="eastAsia"/>
                <w:color w:val="auto"/>
                <w:lang w:val="en-US" w:eastAsia="zh-CN"/>
              </w:rPr>
              <w:t>（3）废润滑油</w:t>
            </w:r>
          </w:p>
          <w:p>
            <w:pPr>
              <w:pStyle w:val="54"/>
              <w:bidi w:val="0"/>
              <w:rPr>
                <w:rFonts w:hint="default"/>
                <w:color w:val="auto"/>
                <w:lang w:val="en-US" w:eastAsia="zh-CN"/>
              </w:rPr>
            </w:pPr>
            <w:r>
              <w:rPr>
                <w:rFonts w:hint="default"/>
                <w:color w:val="auto"/>
                <w:lang w:val="en-US" w:eastAsia="zh-CN"/>
              </w:rPr>
              <w:t>本项目设备润滑过程中</w:t>
            </w:r>
            <w:r>
              <w:rPr>
                <w:rFonts w:hint="eastAsia"/>
                <w:color w:val="auto"/>
                <w:lang w:val="en-US" w:eastAsia="zh-CN"/>
              </w:rPr>
              <w:t>会</w:t>
            </w:r>
            <w:r>
              <w:rPr>
                <w:rFonts w:hint="default"/>
                <w:color w:val="auto"/>
                <w:lang w:val="en-US" w:eastAsia="zh-CN"/>
              </w:rPr>
              <w:t>产生废润滑油，产生量约为0.</w:t>
            </w:r>
            <w:r>
              <w:rPr>
                <w:rFonts w:hint="eastAsia"/>
                <w:color w:val="auto"/>
                <w:lang w:val="en-US" w:eastAsia="zh-CN"/>
              </w:rPr>
              <w:t>1</w:t>
            </w:r>
            <w:r>
              <w:rPr>
                <w:rFonts w:hint="default"/>
                <w:color w:val="auto"/>
                <w:lang w:val="en-US" w:eastAsia="zh-CN"/>
              </w:rPr>
              <w:t>t/a。根据《国家危险废物名录》（202</w:t>
            </w:r>
            <w:r>
              <w:rPr>
                <w:rFonts w:hint="eastAsia"/>
                <w:color w:val="auto"/>
                <w:lang w:val="en-US" w:eastAsia="zh-CN"/>
              </w:rPr>
              <w:t>5</w:t>
            </w:r>
            <w:r>
              <w:rPr>
                <w:rFonts w:hint="default"/>
                <w:color w:val="auto"/>
                <w:lang w:val="en-US" w:eastAsia="zh-CN"/>
              </w:rPr>
              <w:t>年版），属于HW08废矿物油与含矿物油废物——非特定行业——</w:t>
            </w:r>
            <w:r>
              <w:rPr>
                <w:rFonts w:hint="eastAsia"/>
                <w:color w:val="auto"/>
                <w:lang w:val="en-US" w:eastAsia="zh-CN"/>
              </w:rPr>
              <w:t>900-217-08</w:t>
            </w:r>
            <w:r>
              <w:rPr>
                <w:rFonts w:hint="default"/>
                <w:color w:val="auto"/>
                <w:lang w:val="en-US" w:eastAsia="zh-CN"/>
              </w:rPr>
              <w:t>——使用工业齿轮油进行机械设备润滑过程中产生的废润滑油。</w:t>
            </w:r>
          </w:p>
          <w:p>
            <w:pPr>
              <w:pStyle w:val="54"/>
              <w:bidi w:val="0"/>
              <w:rPr>
                <w:rFonts w:hint="default"/>
                <w:color w:val="auto"/>
                <w:lang w:val="en-US" w:eastAsia="zh-CN"/>
              </w:rPr>
            </w:pPr>
            <w:r>
              <w:rPr>
                <w:rFonts w:hint="default"/>
                <w:color w:val="auto"/>
                <w:lang w:val="en-US" w:eastAsia="zh-CN"/>
              </w:rPr>
              <w:t>本项目产生的</w:t>
            </w:r>
            <w:r>
              <w:rPr>
                <w:rFonts w:hint="eastAsia"/>
                <w:color w:val="auto"/>
                <w:lang w:val="en-US" w:eastAsia="zh-CN"/>
              </w:rPr>
              <w:t>废润滑油</w:t>
            </w:r>
            <w:r>
              <w:rPr>
                <w:rFonts w:hint="default"/>
                <w:color w:val="auto"/>
                <w:lang w:val="en-US" w:eastAsia="zh-CN"/>
              </w:rPr>
              <w:t>收集后密封储存，暂存于国投罗钾现有危废</w:t>
            </w:r>
            <w:r>
              <w:rPr>
                <w:rFonts w:hint="eastAsia"/>
                <w:color w:val="auto"/>
                <w:lang w:val="en-US" w:eastAsia="zh-CN"/>
              </w:rPr>
              <w:t>贮存库</w:t>
            </w:r>
            <w:r>
              <w:rPr>
                <w:rFonts w:hint="default"/>
                <w:color w:val="auto"/>
                <w:lang w:val="en-US" w:eastAsia="zh-CN"/>
              </w:rPr>
              <w:t>储存，面积约378m</w:t>
            </w:r>
            <w:r>
              <w:rPr>
                <w:rFonts w:hint="default"/>
                <w:color w:val="auto"/>
                <w:vertAlign w:val="superscript"/>
                <w:lang w:val="en-US" w:eastAsia="zh-CN"/>
              </w:rPr>
              <w:t>2</w:t>
            </w:r>
            <w:r>
              <w:rPr>
                <w:rFonts w:hint="default"/>
                <w:color w:val="auto"/>
                <w:lang w:val="en-US" w:eastAsia="zh-CN"/>
              </w:rPr>
              <w:t>，定期委托有资质的第三方进行运输和处置。</w:t>
            </w:r>
          </w:p>
          <w:p>
            <w:pPr>
              <w:pStyle w:val="26"/>
              <w:bidi w:val="0"/>
              <w:rPr>
                <w:rFonts w:hint="default"/>
                <w:color w:val="auto"/>
              </w:rPr>
            </w:pPr>
          </w:p>
          <w:p>
            <w:pPr>
              <w:pStyle w:val="26"/>
              <w:bidi w:val="0"/>
              <w:rPr>
                <w:rFonts w:hint="default"/>
                <w:color w:val="auto"/>
              </w:rPr>
            </w:pPr>
          </w:p>
          <w:p>
            <w:pPr>
              <w:pStyle w:val="26"/>
              <w:bidi w:val="0"/>
              <w:rPr>
                <w:rFonts w:hint="default"/>
                <w:color w:val="auto"/>
              </w:rPr>
            </w:pPr>
          </w:p>
          <w:p>
            <w:pPr>
              <w:pStyle w:val="26"/>
              <w:bidi w:val="0"/>
              <w:rPr>
                <w:rFonts w:hint="default" w:ascii="Times New Roman" w:hAnsi="Times New Roman" w:eastAsia="宋体" w:cs="Times New Roman"/>
                <w:b w:val="0"/>
                <w:bCs/>
                <w:color w:val="auto"/>
                <w:szCs w:val="21"/>
              </w:rPr>
            </w:pPr>
            <w:r>
              <w:rPr>
                <w:rFonts w:hint="default"/>
                <w:color w:val="auto"/>
              </w:rPr>
              <w:t>表</w:t>
            </w:r>
            <w:r>
              <w:rPr>
                <w:rFonts w:hint="eastAsia"/>
                <w:color w:val="auto"/>
                <w:lang w:val="en-US" w:eastAsia="zh-CN"/>
              </w:rPr>
              <w:t xml:space="preserve">4-11  </w:t>
            </w:r>
            <w:r>
              <w:rPr>
                <w:rFonts w:hint="default"/>
                <w:color w:val="auto"/>
              </w:rPr>
              <w:t>固体废物产生及处置情况一览表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02"/>
              <w:gridCol w:w="1240"/>
              <w:gridCol w:w="802"/>
              <w:gridCol w:w="646"/>
              <w:gridCol w:w="646"/>
              <w:gridCol w:w="1064"/>
              <w:gridCol w:w="688"/>
              <w:gridCol w:w="761"/>
              <w:gridCol w:w="6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产生环节</w:t>
                  </w:r>
                </w:p>
              </w:tc>
              <w:tc>
                <w:tcPr>
                  <w:tcW w:w="505"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固废名称</w:t>
                  </w:r>
                </w:p>
              </w:tc>
              <w:tc>
                <w:tcPr>
                  <w:tcW w:w="781"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固废属性</w:t>
                  </w:r>
                </w:p>
              </w:tc>
              <w:tc>
                <w:tcPr>
                  <w:tcW w:w="505"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主要有毒有害物质名称</w:t>
                  </w:r>
                </w:p>
              </w:tc>
              <w:tc>
                <w:tcPr>
                  <w:tcW w:w="407"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物理性状</w:t>
                  </w:r>
                </w:p>
              </w:tc>
              <w:tc>
                <w:tcPr>
                  <w:tcW w:w="407"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环境危险特性</w:t>
                  </w:r>
                </w:p>
              </w:tc>
              <w:tc>
                <w:tcPr>
                  <w:tcW w:w="670"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产生量</w:t>
                  </w:r>
                </w:p>
              </w:tc>
              <w:tc>
                <w:tcPr>
                  <w:tcW w:w="433"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贮存方式</w:t>
                  </w:r>
                </w:p>
              </w:tc>
              <w:tc>
                <w:tcPr>
                  <w:tcW w:w="479"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最终去向</w:t>
                  </w:r>
                </w:p>
              </w:tc>
              <w:tc>
                <w:tcPr>
                  <w:tcW w:w="408" w:type="pct"/>
                  <w:tcBorders>
                    <w:tl2br w:val="nil"/>
                    <w:tr2bl w:val="nil"/>
                  </w:tcBorders>
                  <w:vAlign w:val="center"/>
                </w:tcPr>
                <w:p>
                  <w:pPr>
                    <w:pStyle w:val="27"/>
                    <w:bidi w:val="0"/>
                    <w:rPr>
                      <w:rFonts w:hint="default"/>
                      <w:color w:val="auto"/>
                      <w:lang w:val="en-US" w:eastAsia="zh-CN"/>
                    </w:rPr>
                  </w:pPr>
                  <w:r>
                    <w:rPr>
                      <w:rFonts w:hint="default"/>
                      <w:color w:val="auto"/>
                      <w:lang w:val="en-US" w:eastAsia="zh-CN"/>
                    </w:rPr>
                    <w:t>环境管理要求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职工生活</w:t>
                  </w:r>
                </w:p>
              </w:tc>
              <w:tc>
                <w:tcPr>
                  <w:tcW w:w="505"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生活垃圾</w:t>
                  </w:r>
                </w:p>
              </w:tc>
              <w:tc>
                <w:tcPr>
                  <w:tcW w:w="78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生活垃圾</w:t>
                  </w:r>
                </w:p>
              </w:tc>
              <w:tc>
                <w:tcPr>
                  <w:tcW w:w="505"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无</w:t>
                  </w:r>
                </w:p>
              </w:tc>
              <w:tc>
                <w:tcPr>
                  <w:tcW w:w="40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固态</w:t>
                  </w:r>
                </w:p>
              </w:tc>
              <w:tc>
                <w:tcPr>
                  <w:tcW w:w="40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无</w:t>
                  </w:r>
                </w:p>
              </w:tc>
              <w:tc>
                <w:tcPr>
                  <w:tcW w:w="67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2.1</w:t>
                  </w:r>
                  <w:r>
                    <w:rPr>
                      <w:rFonts w:hint="default"/>
                      <w:color w:val="auto"/>
                      <w:lang w:val="en-US" w:eastAsia="zh-CN"/>
                    </w:rPr>
                    <w:t>t/a</w:t>
                  </w:r>
                </w:p>
              </w:tc>
              <w:tc>
                <w:tcPr>
                  <w:tcW w:w="433"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垃圾收集箱</w:t>
                  </w:r>
                </w:p>
              </w:tc>
              <w:tc>
                <w:tcPr>
                  <w:tcW w:w="479"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拉运至当地生活垃圾填埋场进行处理</w:t>
                  </w:r>
                </w:p>
              </w:tc>
              <w:tc>
                <w:tcPr>
                  <w:tcW w:w="408" w:type="pct"/>
                  <w:vMerge w:val="restart"/>
                  <w:tcBorders>
                    <w:tl2br w:val="nil"/>
                    <w:tr2bl w:val="nil"/>
                  </w:tcBorders>
                  <w:vAlign w:val="center"/>
                </w:tcPr>
                <w:p>
                  <w:pPr>
                    <w:pStyle w:val="27"/>
                    <w:bidi w:val="0"/>
                    <w:rPr>
                      <w:rFonts w:hint="default"/>
                      <w:color w:val="auto"/>
                      <w:lang w:val="en-US" w:eastAsia="zh-CN"/>
                    </w:rPr>
                  </w:pPr>
                  <w:r>
                    <w:rPr>
                      <w:rFonts w:hint="eastAsia"/>
                      <w:color w:val="auto"/>
                      <w:lang w:val="en-US" w:eastAsia="zh-CN"/>
                    </w:rPr>
                    <w:t>合理处置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restart"/>
                  <w:tcBorders>
                    <w:tl2br w:val="nil"/>
                    <w:tr2bl w:val="nil"/>
                  </w:tcBorders>
                  <w:vAlign w:val="center"/>
                </w:tcPr>
                <w:p>
                  <w:pPr>
                    <w:pStyle w:val="27"/>
                    <w:bidi w:val="0"/>
                    <w:rPr>
                      <w:rFonts w:hint="eastAsia"/>
                      <w:color w:val="auto"/>
                      <w:lang w:val="en-US" w:eastAsia="zh-CN"/>
                    </w:rPr>
                  </w:pPr>
                  <w:r>
                    <w:rPr>
                      <w:rFonts w:hint="eastAsia"/>
                      <w:color w:val="auto"/>
                      <w:lang w:val="en-US" w:eastAsia="zh-CN"/>
                    </w:rPr>
                    <w:t>生产过程</w:t>
                  </w:r>
                </w:p>
              </w:tc>
              <w:tc>
                <w:tcPr>
                  <w:tcW w:w="505"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投料工段除尘器收集粉尘</w:t>
                  </w:r>
                </w:p>
              </w:tc>
              <w:tc>
                <w:tcPr>
                  <w:tcW w:w="781"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一般工业固体废物</w:t>
                  </w:r>
                </w:p>
              </w:tc>
              <w:tc>
                <w:tcPr>
                  <w:tcW w:w="505"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无</w:t>
                  </w:r>
                </w:p>
              </w:tc>
              <w:tc>
                <w:tcPr>
                  <w:tcW w:w="40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固态</w:t>
                  </w:r>
                </w:p>
              </w:tc>
              <w:tc>
                <w:tcPr>
                  <w:tcW w:w="40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无</w:t>
                  </w:r>
                </w:p>
              </w:tc>
              <w:tc>
                <w:tcPr>
                  <w:tcW w:w="67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1.418t/a</w:t>
                  </w:r>
                </w:p>
              </w:tc>
              <w:tc>
                <w:tcPr>
                  <w:tcW w:w="433"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除尘器收集槽</w:t>
                  </w:r>
                </w:p>
              </w:tc>
              <w:tc>
                <w:tcPr>
                  <w:tcW w:w="479"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通过螺旋输送器送入料斗进入生产工序</w:t>
                  </w:r>
                </w:p>
              </w:tc>
              <w:tc>
                <w:tcPr>
                  <w:tcW w:w="408"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tcBorders>
                    <w:tl2br w:val="nil"/>
                    <w:tr2bl w:val="nil"/>
                  </w:tcBorders>
                  <w:vAlign w:val="center"/>
                </w:tcPr>
                <w:p>
                  <w:pPr>
                    <w:pStyle w:val="27"/>
                    <w:bidi w:val="0"/>
                    <w:rPr>
                      <w:rFonts w:hint="eastAsia"/>
                      <w:color w:val="auto"/>
                      <w:lang w:val="en-US" w:eastAsia="zh-CN"/>
                    </w:rPr>
                  </w:pPr>
                </w:p>
              </w:tc>
              <w:tc>
                <w:tcPr>
                  <w:tcW w:w="505"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磨粉工段除尘器收集粉尘</w:t>
                  </w:r>
                </w:p>
              </w:tc>
              <w:tc>
                <w:tcPr>
                  <w:tcW w:w="781"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一般工业固体废物</w:t>
                  </w:r>
                </w:p>
              </w:tc>
              <w:tc>
                <w:tcPr>
                  <w:tcW w:w="505"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无</w:t>
                  </w:r>
                </w:p>
              </w:tc>
              <w:tc>
                <w:tcPr>
                  <w:tcW w:w="40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固态</w:t>
                  </w:r>
                </w:p>
              </w:tc>
              <w:tc>
                <w:tcPr>
                  <w:tcW w:w="40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无</w:t>
                  </w:r>
                </w:p>
              </w:tc>
              <w:tc>
                <w:tcPr>
                  <w:tcW w:w="670"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1253.7t/a</w:t>
                  </w:r>
                </w:p>
              </w:tc>
              <w:tc>
                <w:tcPr>
                  <w:tcW w:w="433" w:type="pct"/>
                  <w:tcBorders>
                    <w:tl2br w:val="nil"/>
                    <w:tr2bl w:val="nil"/>
                  </w:tcBorders>
                  <w:vAlign w:val="center"/>
                </w:tcPr>
                <w:p>
                  <w:pPr>
                    <w:bidi w:val="0"/>
                    <w:rPr>
                      <w:rFonts w:hint="eastAsia"/>
                      <w:color w:val="auto"/>
                      <w:lang w:val="en-US" w:eastAsia="zh-CN"/>
                    </w:rPr>
                  </w:pPr>
                  <w:r>
                    <w:rPr>
                      <w:rFonts w:hint="eastAsia"/>
                      <w:color w:val="auto"/>
                      <w:lang w:val="en-US" w:eastAsia="zh-CN"/>
                    </w:rPr>
                    <w:t>除尘器收集槽</w:t>
                  </w:r>
                </w:p>
              </w:tc>
              <w:tc>
                <w:tcPr>
                  <w:tcW w:w="479"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进入封闭式刮板机，输送至包装料仓</w:t>
                  </w:r>
                </w:p>
              </w:tc>
              <w:tc>
                <w:tcPr>
                  <w:tcW w:w="408"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tcBorders>
                    <w:tl2br w:val="nil"/>
                    <w:tr2bl w:val="nil"/>
                  </w:tcBorders>
                  <w:vAlign w:val="center"/>
                </w:tcPr>
                <w:p>
                  <w:pPr>
                    <w:pStyle w:val="27"/>
                    <w:bidi w:val="0"/>
                    <w:rPr>
                      <w:rFonts w:hint="eastAsia"/>
                      <w:color w:val="auto"/>
                      <w:lang w:val="en-US" w:eastAsia="zh-CN"/>
                    </w:rPr>
                  </w:pPr>
                </w:p>
              </w:tc>
              <w:tc>
                <w:tcPr>
                  <w:tcW w:w="505"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包装工段除尘器收集粉尘</w:t>
                  </w:r>
                </w:p>
              </w:tc>
              <w:tc>
                <w:tcPr>
                  <w:tcW w:w="781"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一般工业固体废物</w:t>
                  </w:r>
                </w:p>
              </w:tc>
              <w:tc>
                <w:tcPr>
                  <w:tcW w:w="505"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无</w:t>
                  </w:r>
                </w:p>
              </w:tc>
              <w:tc>
                <w:tcPr>
                  <w:tcW w:w="40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固态</w:t>
                  </w:r>
                </w:p>
              </w:tc>
              <w:tc>
                <w:tcPr>
                  <w:tcW w:w="407"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无</w:t>
                  </w:r>
                </w:p>
              </w:tc>
              <w:tc>
                <w:tcPr>
                  <w:tcW w:w="670"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13.432t/a</w:t>
                  </w:r>
                </w:p>
              </w:tc>
              <w:tc>
                <w:tcPr>
                  <w:tcW w:w="433" w:type="pct"/>
                  <w:tcBorders>
                    <w:tl2br w:val="nil"/>
                    <w:tr2bl w:val="nil"/>
                  </w:tcBorders>
                  <w:vAlign w:val="center"/>
                </w:tcPr>
                <w:p>
                  <w:pPr>
                    <w:bidi w:val="0"/>
                    <w:rPr>
                      <w:rFonts w:hint="eastAsia"/>
                      <w:color w:val="auto"/>
                      <w:lang w:val="en-US" w:eastAsia="zh-CN"/>
                    </w:rPr>
                  </w:pPr>
                  <w:r>
                    <w:rPr>
                      <w:rFonts w:hint="eastAsia"/>
                      <w:color w:val="auto"/>
                      <w:lang w:val="en-US" w:eastAsia="zh-CN"/>
                    </w:rPr>
                    <w:t>除尘器收集槽</w:t>
                  </w:r>
                </w:p>
              </w:tc>
              <w:tc>
                <w:tcPr>
                  <w:tcW w:w="479"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定期转入料仓重复使用</w:t>
                  </w:r>
                </w:p>
              </w:tc>
              <w:tc>
                <w:tcPr>
                  <w:tcW w:w="408" w:type="pct"/>
                  <w:vMerge w:val="continue"/>
                  <w:tcBorders>
                    <w:tl2br w:val="nil"/>
                    <w:tr2bl w:val="nil"/>
                  </w:tcBorders>
                  <w:vAlign w:val="center"/>
                </w:tcPr>
                <w:p>
                  <w:pPr>
                    <w:pStyle w:val="27"/>
                    <w:bidi w:val="0"/>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tcBorders>
                    <w:tl2br w:val="nil"/>
                    <w:tr2bl w:val="nil"/>
                  </w:tcBorders>
                  <w:vAlign w:val="center"/>
                </w:tcPr>
                <w:p>
                  <w:pPr>
                    <w:pStyle w:val="27"/>
                    <w:bidi w:val="0"/>
                    <w:rPr>
                      <w:rFonts w:hint="eastAsia"/>
                      <w:color w:val="auto"/>
                      <w:lang w:val="en-US" w:eastAsia="zh-CN"/>
                    </w:rPr>
                  </w:pPr>
                </w:p>
              </w:tc>
              <w:tc>
                <w:tcPr>
                  <w:tcW w:w="505"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废润滑油</w:t>
                  </w:r>
                </w:p>
              </w:tc>
              <w:tc>
                <w:tcPr>
                  <w:tcW w:w="781"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危险废物HW08</w:t>
                  </w:r>
                </w:p>
                <w:p>
                  <w:pPr>
                    <w:pStyle w:val="27"/>
                    <w:bidi w:val="0"/>
                    <w:rPr>
                      <w:rFonts w:hint="default"/>
                      <w:color w:val="auto"/>
                      <w:lang w:val="en-US" w:eastAsia="zh-CN"/>
                    </w:rPr>
                  </w:pPr>
                  <w:r>
                    <w:rPr>
                      <w:rFonts w:hint="eastAsia"/>
                      <w:color w:val="auto"/>
                      <w:lang w:val="en-US" w:eastAsia="zh-CN"/>
                    </w:rPr>
                    <w:t>900-217-08</w:t>
                  </w:r>
                </w:p>
              </w:tc>
              <w:tc>
                <w:tcPr>
                  <w:tcW w:w="505"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废润滑油</w:t>
                  </w:r>
                </w:p>
              </w:tc>
              <w:tc>
                <w:tcPr>
                  <w:tcW w:w="40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液态</w:t>
                  </w:r>
                </w:p>
              </w:tc>
              <w:tc>
                <w:tcPr>
                  <w:tcW w:w="407"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T，I</w:t>
                  </w:r>
                </w:p>
              </w:tc>
              <w:tc>
                <w:tcPr>
                  <w:tcW w:w="670" w:type="pct"/>
                  <w:tcBorders>
                    <w:tl2br w:val="nil"/>
                    <w:tr2bl w:val="nil"/>
                  </w:tcBorders>
                  <w:vAlign w:val="center"/>
                </w:tcPr>
                <w:p>
                  <w:pPr>
                    <w:pStyle w:val="27"/>
                    <w:bidi w:val="0"/>
                    <w:rPr>
                      <w:rFonts w:hint="default"/>
                      <w:color w:val="auto"/>
                      <w:lang w:val="en-US" w:eastAsia="zh-CN"/>
                    </w:rPr>
                  </w:pPr>
                  <w:r>
                    <w:rPr>
                      <w:rFonts w:hint="eastAsia"/>
                      <w:color w:val="auto"/>
                      <w:lang w:val="en-US" w:eastAsia="zh-CN"/>
                    </w:rPr>
                    <w:t>0.1t/a</w:t>
                  </w:r>
                </w:p>
              </w:tc>
              <w:tc>
                <w:tcPr>
                  <w:tcW w:w="433"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暂存于国投罗钾现有危废贮存库</w:t>
                  </w:r>
                </w:p>
              </w:tc>
              <w:tc>
                <w:tcPr>
                  <w:tcW w:w="479" w:type="pct"/>
                  <w:tcBorders>
                    <w:tl2br w:val="nil"/>
                    <w:tr2bl w:val="nil"/>
                  </w:tcBorders>
                  <w:vAlign w:val="center"/>
                </w:tcPr>
                <w:p>
                  <w:pPr>
                    <w:pStyle w:val="27"/>
                    <w:bidi w:val="0"/>
                    <w:rPr>
                      <w:rFonts w:hint="eastAsia"/>
                      <w:color w:val="auto"/>
                      <w:lang w:val="en-US" w:eastAsia="zh-CN"/>
                    </w:rPr>
                  </w:pPr>
                  <w:r>
                    <w:rPr>
                      <w:rFonts w:hint="eastAsia"/>
                      <w:color w:val="auto"/>
                      <w:lang w:val="en-US" w:eastAsia="zh-CN"/>
                    </w:rPr>
                    <w:t>定期委托有资质的第三方进行运输和处置</w:t>
                  </w:r>
                </w:p>
              </w:tc>
              <w:tc>
                <w:tcPr>
                  <w:tcW w:w="408" w:type="pct"/>
                  <w:vMerge w:val="continue"/>
                  <w:tcBorders>
                    <w:tl2br w:val="nil"/>
                    <w:tr2bl w:val="nil"/>
                  </w:tcBorders>
                  <w:vAlign w:val="center"/>
                </w:tcPr>
                <w:p>
                  <w:pPr>
                    <w:pStyle w:val="27"/>
                    <w:bidi w:val="0"/>
                    <w:rPr>
                      <w:rFonts w:hint="default"/>
                      <w:color w:val="auto"/>
                      <w:lang w:val="en-US" w:eastAsia="zh-CN"/>
                    </w:rPr>
                  </w:pPr>
                </w:p>
              </w:tc>
            </w:tr>
          </w:tbl>
          <w:p>
            <w:pPr>
              <w:pStyle w:val="54"/>
              <w:bidi w:val="0"/>
              <w:rPr>
                <w:rFonts w:hint="default"/>
                <w:b w:val="0"/>
                <w:bCs w:val="0"/>
                <w:color w:val="auto"/>
                <w:lang w:val="en-US" w:eastAsia="zh-CN"/>
              </w:rPr>
            </w:pPr>
            <w:r>
              <w:rPr>
                <w:rFonts w:hint="eastAsia"/>
                <w:b w:val="0"/>
                <w:bCs w:val="0"/>
                <w:color w:val="auto"/>
                <w:lang w:val="en-US" w:eastAsia="zh-CN"/>
              </w:rPr>
              <w:t>2、危废贮存库依托可行性</w:t>
            </w:r>
          </w:p>
          <w:p>
            <w:pPr>
              <w:pStyle w:val="54"/>
              <w:bidi w:val="0"/>
              <w:rPr>
                <w:rFonts w:hint="eastAsia"/>
                <w:color w:val="auto"/>
                <w:lang w:val="en-US" w:eastAsia="zh-CN"/>
              </w:rPr>
            </w:pPr>
            <w:r>
              <w:rPr>
                <w:rFonts w:hint="eastAsia"/>
                <w:b w:val="0"/>
                <w:bCs w:val="0"/>
                <w:color w:val="auto"/>
                <w:lang w:val="en-US" w:eastAsia="zh-CN"/>
              </w:rPr>
              <w:t>本项目产生的危险废物依托国投罗钾现有危废贮存库储存，国投罗钾现有危废贮存库位于原硫酸钾试验厂区域，危废贮存库采用封闭式设计，地表采用C30混凝土结构，整体使用彩钢结构，</w:t>
            </w:r>
            <w:r>
              <w:rPr>
                <w:rFonts w:hint="default"/>
                <w:color w:val="auto"/>
                <w:lang w:val="en-US" w:eastAsia="zh-CN"/>
              </w:rPr>
              <w:t>面积约378m</w:t>
            </w:r>
            <w:r>
              <w:rPr>
                <w:rFonts w:hint="default"/>
                <w:color w:val="auto"/>
                <w:vertAlign w:val="superscript"/>
                <w:lang w:val="en-US" w:eastAsia="zh-CN"/>
              </w:rPr>
              <w:t>2</w:t>
            </w:r>
            <w:r>
              <w:rPr>
                <w:rFonts w:hint="eastAsia"/>
                <w:color w:val="auto"/>
                <w:lang w:val="en-US" w:eastAsia="zh-CN"/>
              </w:rPr>
              <w:t>。</w:t>
            </w:r>
            <w:r>
              <w:rPr>
                <w:rFonts w:hint="eastAsia"/>
                <w:b w:val="0"/>
                <w:bCs w:val="0"/>
                <w:color w:val="auto"/>
                <w:lang w:val="en-US" w:eastAsia="zh-CN"/>
              </w:rPr>
              <w:t>内部采取分类分区存贮，主要存放废矿物油和废旧电池，设计存放量</w:t>
            </w:r>
            <w:r>
              <w:rPr>
                <w:rFonts w:hint="eastAsia"/>
                <w:color w:val="auto"/>
                <w:lang w:val="en-US" w:eastAsia="zh-CN"/>
              </w:rPr>
              <w:t>约为70t废矿物油及5t废旧电池，场所设置四周导流槽和应急收集池。根据管理要求已设立危险废物警示标志、危险废物防治责任信息、危险废物管理制度及应急处置方案，场所外部设置消防器材。</w:t>
            </w:r>
          </w:p>
          <w:p>
            <w:pPr>
              <w:pStyle w:val="54"/>
              <w:bidi w:val="0"/>
              <w:rPr>
                <w:rFonts w:hint="default"/>
                <w:b w:val="0"/>
                <w:bCs w:val="0"/>
                <w:color w:val="auto"/>
                <w:lang w:val="en-US" w:eastAsia="zh-CN"/>
              </w:rPr>
            </w:pPr>
            <w:r>
              <w:rPr>
                <w:rFonts w:hint="eastAsia"/>
                <w:b w:val="0"/>
                <w:bCs w:val="0"/>
                <w:color w:val="auto"/>
                <w:lang w:val="en-US" w:eastAsia="zh-CN"/>
              </w:rPr>
              <w:t>该危废贮存库所在的项目已于2020年7月2日取得《关于国投新疆罗布泊钾盐有限责任公司钾镁特种肥及全水溶硫酸钾工业性试验项目环境影响报告书的批复》（巴环评价函〔2020〕223号），并于2022年3月14日组织召开了“国投新疆罗布泊钾盐有限责任公司钾镁特种肥及全水溶硫酸钾工业性试验项目”竣工环境保护验收会，形成了《国投新疆罗布泊钾盐有限责任公司钾镁特种肥及全水溶硫酸钾工业性试验项目竣工环境保护验收意见》。因此，本项目产生的危险废物依托国投罗钾现有危废贮存库储存可行。</w:t>
            </w:r>
          </w:p>
          <w:p>
            <w:pPr>
              <w:pStyle w:val="54"/>
              <w:bidi w:val="0"/>
              <w:rPr>
                <w:rFonts w:hint="default"/>
                <w:b w:val="0"/>
                <w:bCs w:val="0"/>
                <w:color w:val="auto"/>
                <w:lang w:val="en-US" w:eastAsia="zh-CN"/>
              </w:rPr>
            </w:pPr>
            <w:r>
              <w:rPr>
                <w:rFonts w:hint="eastAsia"/>
                <w:b w:val="0"/>
                <w:bCs w:val="0"/>
                <w:color w:val="auto"/>
                <w:lang w:val="en-US" w:eastAsia="zh-CN"/>
              </w:rPr>
              <w:t>3、危险废物管理要求</w:t>
            </w:r>
          </w:p>
          <w:p>
            <w:pPr>
              <w:pStyle w:val="54"/>
              <w:bidi w:val="0"/>
              <w:rPr>
                <w:rFonts w:hint="eastAsia"/>
                <w:b w:val="0"/>
                <w:bCs w:val="0"/>
                <w:color w:val="auto"/>
                <w:lang w:val="en-US" w:eastAsia="zh-CN"/>
              </w:rPr>
            </w:pPr>
            <w:r>
              <w:rPr>
                <w:rFonts w:hint="eastAsia"/>
                <w:b w:val="0"/>
                <w:bCs w:val="0"/>
                <w:color w:val="auto"/>
                <w:lang w:val="en-US" w:eastAsia="zh-CN"/>
              </w:rPr>
              <w:t>本项目危险废物按照《危险废物贮存污染控制标准》（GB 18597-2023）相关要求进行贮存，具体要求如下：</w:t>
            </w:r>
          </w:p>
          <w:p>
            <w:pPr>
              <w:pStyle w:val="54"/>
              <w:bidi w:val="0"/>
              <w:rPr>
                <w:rFonts w:hint="eastAsia"/>
                <w:b w:val="0"/>
                <w:bCs w:val="0"/>
                <w:color w:val="auto"/>
                <w:lang w:val="en-US" w:eastAsia="zh-CN"/>
              </w:rPr>
            </w:pPr>
            <w:r>
              <w:rPr>
                <w:rFonts w:hint="eastAsia"/>
                <w:b w:val="0"/>
                <w:bCs w:val="0"/>
                <w:color w:val="auto"/>
                <w:lang w:val="en-US" w:eastAsia="zh-CN"/>
              </w:rPr>
              <w:t>（1）不相容的危险废物不能堆放在一起；</w:t>
            </w:r>
          </w:p>
          <w:p>
            <w:pPr>
              <w:pStyle w:val="54"/>
              <w:bidi w:val="0"/>
              <w:rPr>
                <w:rFonts w:hint="eastAsia"/>
                <w:b w:val="0"/>
                <w:bCs w:val="0"/>
                <w:color w:val="auto"/>
                <w:lang w:val="en-US" w:eastAsia="zh-CN"/>
              </w:rPr>
            </w:pPr>
            <w:r>
              <w:rPr>
                <w:rFonts w:hint="eastAsia"/>
                <w:b w:val="0"/>
                <w:bCs w:val="0"/>
                <w:color w:val="auto"/>
                <w:lang w:val="en-US" w:eastAsia="zh-CN"/>
              </w:rPr>
              <w:t>（2）总贮存量不超过300kg（L）的危险废物要放入符合标准的容器内，加上标签，容器放入坚固的柜或箱中，柜或箱应设多个直径不少于30mm的排气孔。不相容危险废物要分别存放或存放在不渗透间隔分开的区域内，每个部分都应有防漏裙角或储漏盘，防漏裙角或储漏盘的材料要与危险废物相容。</w:t>
            </w:r>
          </w:p>
          <w:p>
            <w:pPr>
              <w:pStyle w:val="54"/>
              <w:bidi w:val="0"/>
              <w:rPr>
                <w:rFonts w:hint="eastAsia"/>
                <w:b w:val="0"/>
                <w:bCs w:val="0"/>
                <w:color w:val="auto"/>
                <w:lang w:val="en-US" w:eastAsia="zh-CN"/>
              </w:rPr>
            </w:pPr>
            <w:r>
              <w:rPr>
                <w:rFonts w:hint="eastAsia"/>
                <w:b w:val="0"/>
                <w:bCs w:val="0"/>
                <w:color w:val="auto"/>
                <w:lang w:val="en-US" w:eastAsia="zh-CN"/>
              </w:rPr>
              <w:t>（3）存放装载危险废物的容器的地方必须有耐腐蚀性的硬化地面，且表面无裂缝；</w:t>
            </w:r>
          </w:p>
          <w:p>
            <w:pPr>
              <w:pStyle w:val="54"/>
              <w:bidi w:val="0"/>
              <w:rPr>
                <w:rFonts w:hint="eastAsia"/>
                <w:b w:val="0"/>
                <w:bCs w:val="0"/>
                <w:color w:val="auto"/>
                <w:lang w:val="en-US" w:eastAsia="zh-CN"/>
              </w:rPr>
            </w:pPr>
            <w:r>
              <w:rPr>
                <w:rFonts w:hint="eastAsia"/>
                <w:b w:val="0"/>
                <w:bCs w:val="0"/>
                <w:color w:val="auto"/>
                <w:lang w:val="en-US" w:eastAsia="zh-CN"/>
              </w:rPr>
              <w:t>（4）有防风、防雨、防晒、防渗漏等措施，设置围堤或托盘等措施进行收集，地面硬化且采取防渗防腐处理，防止各种液体类危险废物漫流或泄漏；</w:t>
            </w:r>
          </w:p>
          <w:p>
            <w:pPr>
              <w:pStyle w:val="54"/>
              <w:bidi w:val="0"/>
              <w:rPr>
                <w:rFonts w:hint="eastAsia"/>
                <w:b w:val="0"/>
                <w:bCs w:val="0"/>
                <w:color w:val="auto"/>
                <w:lang w:val="en-US" w:eastAsia="zh-CN"/>
              </w:rPr>
            </w:pPr>
            <w:r>
              <w:rPr>
                <w:rFonts w:hint="eastAsia"/>
                <w:b w:val="0"/>
                <w:bCs w:val="0"/>
                <w:color w:val="auto"/>
                <w:lang w:val="en-US" w:eastAsia="zh-CN"/>
              </w:rPr>
              <w:t>（5）按照《环境保护图形标志 固体废物贮存（处置）场》（GB 15562.2-1995）及其修改单要求标示环保标志；</w:t>
            </w:r>
          </w:p>
          <w:p>
            <w:pPr>
              <w:pStyle w:val="54"/>
              <w:bidi w:val="0"/>
              <w:rPr>
                <w:rFonts w:hint="eastAsia"/>
                <w:b w:val="0"/>
                <w:bCs w:val="0"/>
                <w:color w:val="auto"/>
                <w:lang w:val="en-US" w:eastAsia="zh-CN"/>
              </w:rPr>
            </w:pPr>
            <w:r>
              <w:rPr>
                <w:rFonts w:hint="eastAsia"/>
                <w:b w:val="0"/>
                <w:bCs w:val="0"/>
                <w:color w:val="auto"/>
                <w:lang w:val="en-US" w:eastAsia="zh-CN"/>
              </w:rPr>
              <w:t>（6）贮存间应配备通讯设备、照明设施、安全防护服装及工具，并设有应急设施；</w:t>
            </w:r>
          </w:p>
          <w:p>
            <w:pPr>
              <w:pStyle w:val="54"/>
              <w:bidi w:val="0"/>
              <w:rPr>
                <w:rFonts w:hint="eastAsia"/>
                <w:b w:val="0"/>
                <w:bCs w:val="0"/>
                <w:color w:val="auto"/>
                <w:lang w:val="en-US" w:eastAsia="zh-CN"/>
              </w:rPr>
            </w:pPr>
            <w:r>
              <w:rPr>
                <w:rFonts w:hint="eastAsia"/>
                <w:b w:val="0"/>
                <w:bCs w:val="0"/>
                <w:color w:val="auto"/>
                <w:lang w:val="en-US" w:eastAsia="zh-CN"/>
              </w:rPr>
              <w:t>（7）危险废物的产生者和危险废物贮存设施经营者均须做好危险废物情况的记录，记录上须注明危险废物的名称、来源、数量、特性和包装容器的类别、入库日期、存放库位、废物出库日期及接收单位名称。危险废物的记录和货单在危险废物回取后应继续保留三年。</w:t>
            </w:r>
          </w:p>
          <w:p>
            <w:pPr>
              <w:pStyle w:val="54"/>
              <w:bidi w:val="0"/>
              <w:rPr>
                <w:rFonts w:hint="eastAsia"/>
                <w:b w:val="0"/>
                <w:bCs w:val="0"/>
                <w:color w:val="auto"/>
                <w:lang w:val="en-US" w:eastAsia="zh-CN"/>
              </w:rPr>
            </w:pPr>
            <w:r>
              <w:rPr>
                <w:rFonts w:hint="eastAsia"/>
                <w:b w:val="0"/>
                <w:bCs w:val="0"/>
                <w:color w:val="auto"/>
                <w:lang w:val="en-US" w:eastAsia="zh-CN"/>
              </w:rPr>
              <w:t>综上所述，项目固体废物在采取以上措施后对周围环境的影响较小。</w:t>
            </w:r>
          </w:p>
          <w:p>
            <w:pPr>
              <w:pStyle w:val="54"/>
              <w:bidi w:val="0"/>
              <w:rPr>
                <w:rFonts w:hint="default"/>
                <w:color w:val="auto"/>
                <w:lang w:val="en-US" w:eastAsia="zh-CN"/>
              </w:rPr>
            </w:pPr>
            <w:r>
              <w:rPr>
                <w:rFonts w:hint="eastAsia"/>
                <w:b/>
                <w:bCs/>
                <w:color w:val="auto"/>
                <w:lang w:val="en-US" w:eastAsia="zh-CN"/>
              </w:rPr>
              <w:t>五、地下水及土壤</w:t>
            </w:r>
          </w:p>
          <w:p>
            <w:pPr>
              <w:pStyle w:val="54"/>
              <w:bidi w:val="0"/>
              <w:rPr>
                <w:rFonts w:hint="default"/>
                <w:color w:val="auto"/>
                <w:lang w:val="en-US" w:eastAsia="zh-CN"/>
              </w:rPr>
            </w:pPr>
            <w:r>
              <w:rPr>
                <w:rFonts w:hint="default"/>
                <w:color w:val="auto"/>
                <w:lang w:val="en-US" w:eastAsia="zh-CN"/>
              </w:rPr>
              <w:t>在做好防渗的前提下，本项目对地下水及土壤不会造成影响。</w:t>
            </w:r>
          </w:p>
          <w:p>
            <w:pPr>
              <w:pStyle w:val="54"/>
              <w:bidi w:val="0"/>
              <w:rPr>
                <w:rFonts w:hint="default"/>
                <w:color w:val="auto"/>
                <w:lang w:val="en-US" w:eastAsia="zh-CN"/>
              </w:rPr>
            </w:pPr>
            <w:r>
              <w:rPr>
                <w:rFonts w:hint="default"/>
                <w:color w:val="auto"/>
                <w:lang w:val="en-US" w:eastAsia="zh-CN"/>
              </w:rPr>
              <w:t>根据《环境影响评价技术导则</w:t>
            </w:r>
            <w:r>
              <w:rPr>
                <w:rFonts w:hint="eastAsia"/>
                <w:color w:val="auto"/>
                <w:lang w:val="en-US" w:eastAsia="zh-CN"/>
              </w:rPr>
              <w:t xml:space="preserve"> </w:t>
            </w:r>
            <w:r>
              <w:rPr>
                <w:rFonts w:hint="default"/>
                <w:color w:val="auto"/>
                <w:lang w:val="en-US" w:eastAsia="zh-CN"/>
              </w:rPr>
              <w:t>地下水环境》</w:t>
            </w:r>
            <w:r>
              <w:rPr>
                <w:rFonts w:hint="eastAsia"/>
                <w:color w:val="auto"/>
                <w:lang w:val="en-US" w:eastAsia="zh-CN"/>
              </w:rPr>
              <w:t>（</w:t>
            </w:r>
            <w:r>
              <w:rPr>
                <w:rFonts w:hint="default"/>
                <w:color w:val="auto"/>
                <w:lang w:val="en-US" w:eastAsia="zh-CN"/>
              </w:rPr>
              <w:t>HJ</w:t>
            </w:r>
            <w:r>
              <w:rPr>
                <w:rFonts w:hint="eastAsia"/>
                <w:color w:val="auto"/>
                <w:lang w:val="en-US" w:eastAsia="zh-CN"/>
              </w:rPr>
              <w:t xml:space="preserve"> </w:t>
            </w:r>
            <w:r>
              <w:rPr>
                <w:rFonts w:hint="default"/>
                <w:color w:val="auto"/>
                <w:lang w:val="en-US" w:eastAsia="zh-CN"/>
              </w:rPr>
              <w:t>610-2016</w:t>
            </w:r>
            <w:r>
              <w:rPr>
                <w:rFonts w:hint="eastAsia"/>
                <w:color w:val="auto"/>
                <w:lang w:val="en-US" w:eastAsia="zh-CN"/>
              </w:rPr>
              <w:t>）</w:t>
            </w:r>
            <w:r>
              <w:rPr>
                <w:rFonts w:hint="default"/>
                <w:color w:val="auto"/>
                <w:lang w:val="en-US" w:eastAsia="zh-CN"/>
              </w:rPr>
              <w:t>要求，对厂区内建构筑物进行分区防控。为了进一步保护地下水资源，本项目在设计上采取以下防渗处理措施</w:t>
            </w:r>
            <w:r>
              <w:rPr>
                <w:rFonts w:hint="eastAsia"/>
                <w:color w:val="auto"/>
                <w:lang w:val="en-US" w:eastAsia="zh-CN"/>
              </w:rPr>
              <w:t>：</w:t>
            </w:r>
          </w:p>
          <w:p>
            <w:pPr>
              <w:pStyle w:val="54"/>
              <w:bidi w:val="0"/>
              <w:rPr>
                <w:rFonts w:hint="default"/>
                <w:color w:val="auto"/>
                <w:lang w:val="en-US" w:eastAsia="zh-CN"/>
              </w:rPr>
            </w:pPr>
            <w:r>
              <w:rPr>
                <w:rFonts w:hint="eastAsia"/>
                <w:color w:val="auto"/>
                <w:lang w:val="en-US" w:eastAsia="zh-CN"/>
              </w:rPr>
              <w:t>（1）</w:t>
            </w:r>
            <w:r>
              <w:rPr>
                <w:rFonts w:hint="default"/>
                <w:color w:val="auto"/>
                <w:lang w:val="en-US" w:eastAsia="zh-CN"/>
              </w:rPr>
              <w:t>重点防渗区</w:t>
            </w:r>
          </w:p>
          <w:p>
            <w:pPr>
              <w:pStyle w:val="54"/>
              <w:bidi w:val="0"/>
              <w:rPr>
                <w:rFonts w:hint="default"/>
                <w:color w:val="auto"/>
                <w:lang w:val="en-US" w:eastAsia="zh-CN"/>
              </w:rPr>
            </w:pPr>
            <w:r>
              <w:rPr>
                <w:rFonts w:hint="eastAsia"/>
                <w:color w:val="auto"/>
                <w:lang w:val="en-US" w:eastAsia="zh-CN"/>
              </w:rPr>
              <w:t>本项目不涉及重金属、持久性有机物污染物，因此不设置重点防渗区。</w:t>
            </w:r>
          </w:p>
          <w:p>
            <w:pPr>
              <w:pStyle w:val="54"/>
              <w:bidi w:val="0"/>
              <w:rPr>
                <w:rFonts w:hint="default"/>
                <w:color w:val="auto"/>
                <w:lang w:val="en-US" w:eastAsia="zh-CN"/>
              </w:rPr>
            </w:pPr>
            <w:r>
              <w:rPr>
                <w:rFonts w:hint="eastAsia"/>
                <w:color w:val="auto"/>
                <w:lang w:val="en-US" w:eastAsia="zh-CN"/>
              </w:rPr>
              <w:t>（2）</w:t>
            </w:r>
            <w:r>
              <w:rPr>
                <w:rFonts w:hint="default"/>
                <w:color w:val="auto"/>
                <w:lang w:val="en-US" w:eastAsia="zh-CN"/>
              </w:rPr>
              <w:t>简单防渗区</w:t>
            </w:r>
          </w:p>
          <w:p>
            <w:pPr>
              <w:pStyle w:val="54"/>
              <w:bidi w:val="0"/>
              <w:rPr>
                <w:rFonts w:hint="default"/>
                <w:color w:val="auto"/>
                <w:lang w:val="en-US" w:eastAsia="zh-CN"/>
              </w:rPr>
            </w:pPr>
            <w:r>
              <w:rPr>
                <w:rFonts w:hint="eastAsia"/>
                <w:color w:val="auto"/>
                <w:lang w:val="en-US" w:eastAsia="zh-CN"/>
              </w:rPr>
              <w:t>对生产区地面</w:t>
            </w:r>
            <w:r>
              <w:rPr>
                <w:rFonts w:hint="default"/>
                <w:color w:val="auto"/>
                <w:lang w:val="en-US" w:eastAsia="zh-CN"/>
              </w:rPr>
              <w:t>采取水泥地面硬化，减少裸露地面。</w:t>
            </w:r>
          </w:p>
          <w:p>
            <w:pPr>
              <w:pStyle w:val="54"/>
              <w:bidi w:val="0"/>
              <w:rPr>
                <w:rFonts w:hint="default"/>
                <w:color w:val="auto"/>
                <w:lang w:val="en-US" w:eastAsia="zh-CN"/>
              </w:rPr>
            </w:pPr>
            <w:r>
              <w:rPr>
                <w:rFonts w:hint="default"/>
                <w:color w:val="auto"/>
                <w:lang w:val="en-US" w:eastAsia="zh-CN"/>
              </w:rPr>
              <w:t>综上所述，本项目主要采取对厂区内构筑物采用防渗措施，可有效避免由于污水下渗造成的</w:t>
            </w:r>
            <w:r>
              <w:rPr>
                <w:rFonts w:hint="eastAsia"/>
                <w:color w:val="auto"/>
                <w:lang w:val="en-US" w:eastAsia="zh-CN"/>
              </w:rPr>
              <w:t>地下水及</w:t>
            </w:r>
            <w:r>
              <w:rPr>
                <w:rFonts w:hint="default"/>
                <w:color w:val="auto"/>
                <w:lang w:val="en-US" w:eastAsia="zh-CN"/>
              </w:rPr>
              <w:t>土壤环境污染</w:t>
            </w:r>
            <w:r>
              <w:rPr>
                <w:rFonts w:hint="eastAsia"/>
                <w:color w:val="auto"/>
                <w:lang w:val="en-US" w:eastAsia="zh-CN"/>
              </w:rPr>
              <w:t>，</w:t>
            </w:r>
            <w:r>
              <w:rPr>
                <w:rFonts w:hint="default"/>
                <w:color w:val="auto"/>
                <w:lang w:val="en-US" w:eastAsia="zh-CN"/>
              </w:rPr>
              <w:t>来减小项目建设对</w:t>
            </w:r>
            <w:r>
              <w:rPr>
                <w:rFonts w:hint="eastAsia"/>
                <w:color w:val="auto"/>
                <w:lang w:val="en-US" w:eastAsia="zh-CN"/>
              </w:rPr>
              <w:t>地下水及</w:t>
            </w:r>
            <w:r>
              <w:rPr>
                <w:rFonts w:hint="default"/>
                <w:color w:val="auto"/>
                <w:lang w:val="en-US" w:eastAsia="zh-CN"/>
              </w:rPr>
              <w:t>土壤的影响。</w:t>
            </w:r>
          </w:p>
          <w:p>
            <w:pPr>
              <w:pStyle w:val="54"/>
              <w:bidi w:val="0"/>
              <w:rPr>
                <w:rFonts w:hint="default"/>
                <w:color w:val="auto"/>
                <w:lang w:val="en-US" w:eastAsia="zh-CN"/>
              </w:rPr>
            </w:pPr>
            <w:r>
              <w:rPr>
                <w:rFonts w:hint="eastAsia"/>
                <w:b/>
                <w:bCs/>
                <w:color w:val="auto"/>
                <w:lang w:val="en-US" w:eastAsia="zh-CN"/>
              </w:rPr>
              <w:t>六、环境风险</w:t>
            </w:r>
          </w:p>
          <w:p>
            <w:pPr>
              <w:pStyle w:val="54"/>
              <w:bidi w:val="0"/>
              <w:rPr>
                <w:rFonts w:hint="eastAsia"/>
                <w:color w:val="auto"/>
                <w:lang w:val="en-US" w:eastAsia="zh-CN"/>
              </w:rPr>
            </w:pPr>
            <w:r>
              <w:rPr>
                <w:rFonts w:hint="eastAsia"/>
                <w:color w:val="auto"/>
                <w:lang w:val="en-US" w:eastAsia="zh-CN"/>
              </w:rPr>
              <w:t>根据《建设项目环境风险评价技术导则》（HJ 169-2018），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pStyle w:val="54"/>
              <w:bidi w:val="0"/>
              <w:rPr>
                <w:rFonts w:hint="eastAsia"/>
                <w:color w:val="auto"/>
                <w:lang w:val="en-US" w:eastAsia="zh-CN"/>
              </w:rPr>
            </w:pPr>
            <w:r>
              <w:rPr>
                <w:rFonts w:hint="eastAsia"/>
                <w:color w:val="auto"/>
                <w:lang w:val="en-US" w:eastAsia="zh-CN"/>
              </w:rPr>
              <w:t>1、环境风险识别</w:t>
            </w:r>
          </w:p>
          <w:p>
            <w:pPr>
              <w:pStyle w:val="54"/>
              <w:bidi w:val="0"/>
              <w:rPr>
                <w:rFonts w:hint="default"/>
                <w:color w:val="auto"/>
                <w:lang w:val="en-US" w:eastAsia="zh-CN"/>
              </w:rPr>
            </w:pPr>
            <w:r>
              <w:rPr>
                <w:rFonts w:hint="eastAsia"/>
                <w:color w:val="auto"/>
                <w:lang w:val="en-US" w:eastAsia="zh-CN"/>
              </w:rPr>
              <w:t>本项目原辅材料及产品不涉及《建设项目环境风险评价技术导则》（HJ 169-2018）附录B中重点关注的危险物质，产生的危险废物涉及建设项目环境风险评价技术导则》（HJ 169-2018）附录B中重点关注的危险物质——381油类物质（矿物油类，如石油、汽油、柴油等；生物柴油等）。</w:t>
            </w:r>
          </w:p>
          <w:p>
            <w:pPr>
              <w:pStyle w:val="54"/>
              <w:bidi w:val="0"/>
              <w:rPr>
                <w:rFonts w:hint="eastAsia"/>
                <w:color w:val="auto"/>
                <w:lang w:val="en-US" w:eastAsia="zh-CN"/>
              </w:rPr>
            </w:pPr>
            <w:r>
              <w:rPr>
                <w:rFonts w:hint="eastAsia"/>
                <w:color w:val="auto"/>
                <w:lang w:val="en-US" w:eastAsia="zh-CN"/>
              </w:rPr>
              <w:t>2、Q值计算</w:t>
            </w:r>
          </w:p>
          <w:p>
            <w:pPr>
              <w:pStyle w:val="54"/>
              <w:bidi w:val="0"/>
              <w:rPr>
                <w:rFonts w:hint="eastAsia"/>
                <w:color w:val="auto"/>
                <w:lang w:val="en-US" w:eastAsia="zh-CN"/>
              </w:rPr>
            </w:pPr>
            <w:r>
              <w:rPr>
                <w:rFonts w:hint="eastAsia"/>
                <w:color w:val="auto"/>
                <w:lang w:val="en-US" w:eastAsia="zh-CN"/>
              </w:rPr>
              <w:t>在不同厂区的同一种物质，按其在厂界内的最大存在总量计算。当只涉及一种危险物质时，计算该物质的总量与其临界量比值，即为Q；当存在多种危险物质时，则按下式计算物质总量与其临界量比值（Q）：</w:t>
            </w:r>
          </w:p>
          <w:p>
            <w:pPr>
              <w:pStyle w:val="54"/>
              <w:bidi w:val="0"/>
              <w:rPr>
                <w:rFonts w:hint="eastAsia"/>
                <w:color w:val="auto"/>
                <w:lang w:val="en-US" w:eastAsia="zh-CN"/>
              </w:rPr>
            </w:pPr>
            <m:oMathPara>
              <m:oMath>
                <m:r>
                  <m:rPr>
                    <m:sty m:val="p"/>
                  </m:rPr>
                  <w:rPr>
                    <w:rFonts w:hint="default" w:ascii="Cambria Math" w:hAnsi="Cambria Math" w:cs="Times New Roman"/>
                    <w:color w:val="auto"/>
                    <w:spacing w:val="-10"/>
                    <w:kern w:val="2"/>
                    <w:sz w:val="24"/>
                    <w:szCs w:val="24"/>
                    <w:lang w:val="en-US" w:eastAsia="zh-CN" w:bidi="ar-SA"/>
                  </w:rPr>
                  <m:t>Q=</m:t>
                </m:r>
                <m:f>
                  <m:fPr>
                    <m:ctrlPr>
                      <w:rPr>
                        <w:rFonts w:hint="default" w:ascii="Cambria Math" w:hAnsi="Cambria Math" w:cs="Times New Roman"/>
                        <w:bCs/>
                        <w:color w:val="auto"/>
                        <w:spacing w:val="-10"/>
                        <w:kern w:val="2"/>
                        <w:sz w:val="24"/>
                        <w:szCs w:val="24"/>
                        <w:lang w:val="en-US" w:eastAsia="zh-CN" w:bidi="ar-SA"/>
                      </w:rPr>
                    </m:ctrlPr>
                  </m:fPr>
                  <m:num>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1</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num>
                  <m:den>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1</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den>
                </m:f>
                <m:r>
                  <m:rPr>
                    <m:sty m:val="p"/>
                  </m:rPr>
                  <w:rPr>
                    <w:rFonts w:hint="default" w:ascii="Cambria Math" w:hAnsi="Cambria Math" w:cs="Times New Roman"/>
                    <w:color w:val="auto"/>
                    <w:spacing w:val="-10"/>
                    <w:kern w:val="2"/>
                    <w:sz w:val="24"/>
                    <w:szCs w:val="24"/>
                    <w:lang w:val="en-US" w:eastAsia="zh-CN" w:bidi="ar-SA"/>
                  </w:rPr>
                  <m:t>+</m:t>
                </m:r>
                <m:f>
                  <m:fPr>
                    <m:ctrlPr>
                      <w:rPr>
                        <w:rFonts w:hint="default" w:ascii="Cambria Math" w:hAnsi="Cambria Math" w:cs="Times New Roman"/>
                        <w:bCs/>
                        <w:color w:val="auto"/>
                        <w:spacing w:val="-10"/>
                        <w:kern w:val="2"/>
                        <w:sz w:val="24"/>
                        <w:szCs w:val="24"/>
                        <w:lang w:val="en-US" w:eastAsia="zh-CN" w:bidi="ar-SA"/>
                      </w:rPr>
                    </m:ctrlPr>
                  </m:fPr>
                  <m:num>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2</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num>
                  <m:den>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2</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den>
                </m:f>
                <m:r>
                  <m:rPr>
                    <m:sty m:val="p"/>
                  </m:rPr>
                  <w:rPr>
                    <w:rFonts w:hint="default" w:ascii="Cambria Math" w:hAnsi="Cambria Math" w:cs="Times New Roman"/>
                    <w:color w:val="auto"/>
                    <w:spacing w:val="-10"/>
                    <w:kern w:val="2"/>
                    <w:sz w:val="24"/>
                    <w:szCs w:val="24"/>
                    <w:lang w:val="en-US" w:eastAsia="zh-CN" w:bidi="ar-SA"/>
                  </w:rPr>
                  <m:t>+...+</m:t>
                </m:r>
                <m:f>
                  <m:fPr>
                    <m:ctrlPr>
                      <w:rPr>
                        <w:rFonts w:hint="default" w:ascii="Cambria Math" w:hAnsi="Cambria Math" w:cs="Times New Roman"/>
                        <w:bCs/>
                        <w:color w:val="auto"/>
                        <w:spacing w:val="-10"/>
                        <w:kern w:val="2"/>
                        <w:sz w:val="24"/>
                        <w:szCs w:val="24"/>
                        <w:lang w:val="en-US" w:eastAsia="zh-CN" w:bidi="ar-SA"/>
                      </w:rPr>
                    </m:ctrlPr>
                  </m:fPr>
                  <m:num>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eastAsia" w:ascii="Cambria Math" w:hAnsi="Cambria Math" w:cs="Times New Roman"/>
                            <w:color w:val="auto"/>
                            <w:spacing w:val="-10"/>
                            <w:kern w:val="2"/>
                            <w:sz w:val="24"/>
                            <w:szCs w:val="24"/>
                            <w:lang w:val="en-US" w:eastAsia="zh-CN" w:bidi="ar-SA"/>
                          </w:rPr>
                          <m:t>n</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num>
                  <m:den>
                    <m:sSub>
                      <m:sSubPr>
                        <m:ctrlPr>
                          <w:rPr>
                            <w:rFonts w:hint="default" w:ascii="Cambria Math" w:hAnsi="Cambria Math" w:cs="Times New Roman"/>
                            <w:bCs/>
                            <w:color w:val="auto"/>
                            <w:spacing w:val="-10"/>
                            <w:kern w:val="2"/>
                            <w:sz w:val="24"/>
                            <w:szCs w:val="24"/>
                            <w:lang w:val="en-US" w:eastAsia="zh-CN" w:bidi="ar-SA"/>
                          </w:rPr>
                        </m:ctrlPr>
                      </m:sSubPr>
                      <m:e>
                        <m:r>
                          <m:rPr>
                            <m:sty m:val="p"/>
                          </m:rPr>
                          <w:rPr>
                            <w:rFonts w:hint="default" w:ascii="Cambria Math" w:hAnsi="Cambria Math" w:cs="Times New Roman"/>
                            <w:color w:val="auto"/>
                            <w:spacing w:val="-10"/>
                            <w:kern w:val="2"/>
                            <w:sz w:val="24"/>
                            <w:szCs w:val="24"/>
                            <w:lang w:val="en-US" w:eastAsia="zh-CN" w:bidi="ar-SA"/>
                          </w:rPr>
                          <m:t>Q</m:t>
                        </m:r>
                        <m:ctrlPr>
                          <w:rPr>
                            <w:rFonts w:hint="default" w:ascii="Cambria Math" w:hAnsi="Cambria Math" w:cs="Times New Roman"/>
                            <w:bCs/>
                            <w:color w:val="auto"/>
                            <w:spacing w:val="-10"/>
                            <w:kern w:val="2"/>
                            <w:sz w:val="24"/>
                            <w:szCs w:val="24"/>
                            <w:lang w:val="en-US" w:eastAsia="zh-CN" w:bidi="ar-SA"/>
                          </w:rPr>
                        </m:ctrlPr>
                      </m:e>
                      <m:sub>
                        <m:r>
                          <m:rPr>
                            <m:sty m:val="p"/>
                          </m:rPr>
                          <w:rPr>
                            <w:rFonts w:hint="default" w:ascii="Cambria Math" w:hAnsi="Cambria Math" w:cs="Times New Roman"/>
                            <w:color w:val="auto"/>
                            <w:spacing w:val="-10"/>
                            <w:kern w:val="2"/>
                            <w:sz w:val="24"/>
                            <w:szCs w:val="24"/>
                            <w:lang w:val="en-US" w:eastAsia="zh-CN" w:bidi="ar-SA"/>
                          </w:rPr>
                          <m:t>n</m:t>
                        </m:r>
                        <m:ctrlPr>
                          <w:rPr>
                            <w:rFonts w:hint="default" w:ascii="Cambria Math" w:hAnsi="Cambria Math" w:cs="Times New Roman"/>
                            <w:bCs/>
                            <w:color w:val="auto"/>
                            <w:spacing w:val="-10"/>
                            <w:kern w:val="2"/>
                            <w:sz w:val="24"/>
                            <w:szCs w:val="24"/>
                            <w:lang w:val="en-US" w:eastAsia="zh-CN" w:bidi="ar-SA"/>
                          </w:rPr>
                        </m:ctrlPr>
                      </m:sub>
                    </m:sSub>
                    <m:ctrlPr>
                      <w:rPr>
                        <w:rFonts w:hint="default" w:ascii="Cambria Math" w:hAnsi="Cambria Math" w:cs="Times New Roman"/>
                        <w:bCs/>
                        <w:color w:val="auto"/>
                        <w:spacing w:val="-10"/>
                        <w:kern w:val="2"/>
                        <w:sz w:val="24"/>
                        <w:szCs w:val="24"/>
                        <w:lang w:val="en-US" w:eastAsia="zh-CN" w:bidi="ar-SA"/>
                      </w:rPr>
                    </m:ctrlPr>
                  </m:den>
                </m:f>
              </m:oMath>
            </m:oMathPara>
          </w:p>
          <w:p>
            <w:pPr>
              <w:pStyle w:val="54"/>
              <w:bidi w:val="0"/>
              <w:rPr>
                <w:rFonts w:hint="eastAsia"/>
                <w:color w:val="auto"/>
                <w:lang w:val="en-US" w:eastAsia="zh-CN"/>
              </w:rPr>
            </w:pPr>
            <w:r>
              <w:rPr>
                <w:rFonts w:hint="eastAsia"/>
                <w:color w:val="auto"/>
                <w:lang w:val="en-US" w:eastAsia="zh-CN"/>
              </w:rPr>
              <w:t>式中：</w:t>
            </w:r>
          </w:p>
          <w:p>
            <w:pPr>
              <w:pStyle w:val="54"/>
              <w:bidi w:val="0"/>
              <w:rPr>
                <w:rFonts w:hint="default"/>
                <w:color w:val="auto"/>
                <w:lang w:val="en-US" w:eastAsia="zh-CN"/>
              </w:rPr>
            </w:pPr>
            <w:r>
              <w:rPr>
                <w:rFonts w:hint="eastAsia"/>
                <w:color w:val="auto"/>
                <w:lang w:val="en-US" w:eastAsia="zh-CN"/>
              </w:rPr>
              <w:t>q</w:t>
            </w:r>
            <w:r>
              <w:rPr>
                <w:rFonts w:hint="eastAsia"/>
                <w:color w:val="auto"/>
                <w:vertAlign w:val="subscript"/>
                <w:lang w:val="en-US" w:eastAsia="zh-CN"/>
              </w:rPr>
              <w:t>1</w:t>
            </w:r>
            <w:r>
              <w:rPr>
                <w:rFonts w:hint="eastAsia"/>
                <w:color w:val="auto"/>
                <w:lang w:val="en-US" w:eastAsia="zh-CN"/>
              </w:rPr>
              <w:t>，q</w:t>
            </w:r>
            <w:r>
              <w:rPr>
                <w:rFonts w:hint="eastAsia"/>
                <w:color w:val="auto"/>
                <w:vertAlign w:val="subscript"/>
                <w:lang w:val="en-US" w:eastAsia="zh-CN"/>
              </w:rPr>
              <w:t>2</w:t>
            </w:r>
            <w:r>
              <w:rPr>
                <w:rFonts w:hint="eastAsia"/>
                <w:color w:val="auto"/>
                <w:lang w:val="en-US" w:eastAsia="zh-CN"/>
              </w:rPr>
              <w:t>，…q</w:t>
            </w:r>
            <w:r>
              <w:rPr>
                <w:rFonts w:hint="eastAsia"/>
                <w:color w:val="auto"/>
                <w:vertAlign w:val="subscript"/>
                <w:lang w:val="en-US" w:eastAsia="zh-CN"/>
              </w:rPr>
              <w:t>n</w:t>
            </w:r>
            <w:r>
              <w:rPr>
                <w:rFonts w:hint="eastAsia"/>
                <w:color w:val="auto"/>
                <w:lang w:val="en-US" w:eastAsia="zh-CN"/>
              </w:rPr>
              <w:t>——每种危险物质的最大存在总量，t；本次计算取2500</w:t>
            </w:r>
          </w:p>
          <w:p>
            <w:pPr>
              <w:pStyle w:val="54"/>
              <w:bidi w:val="0"/>
              <w:rPr>
                <w:rFonts w:hint="default"/>
                <w:color w:val="auto"/>
                <w:lang w:val="en-US" w:eastAsia="zh-CN"/>
              </w:rPr>
            </w:pPr>
            <w:r>
              <w:rPr>
                <w:rFonts w:hint="eastAsia"/>
                <w:color w:val="auto"/>
                <w:lang w:val="en-US" w:eastAsia="zh-CN"/>
              </w:rPr>
              <w:t>Q</w:t>
            </w:r>
            <w:r>
              <w:rPr>
                <w:rFonts w:hint="eastAsia"/>
                <w:color w:val="auto"/>
                <w:vertAlign w:val="subscript"/>
                <w:lang w:val="en-US" w:eastAsia="zh-CN"/>
              </w:rPr>
              <w:t>1</w:t>
            </w:r>
            <w:r>
              <w:rPr>
                <w:rFonts w:hint="eastAsia"/>
                <w:color w:val="auto"/>
                <w:lang w:val="en-US" w:eastAsia="zh-CN"/>
              </w:rPr>
              <w:t>，Q</w:t>
            </w:r>
            <w:r>
              <w:rPr>
                <w:rFonts w:hint="eastAsia"/>
                <w:color w:val="auto"/>
                <w:vertAlign w:val="subscript"/>
                <w:lang w:val="en-US" w:eastAsia="zh-CN"/>
              </w:rPr>
              <w:t>2</w:t>
            </w:r>
            <w:r>
              <w:rPr>
                <w:rFonts w:hint="eastAsia"/>
                <w:color w:val="auto"/>
                <w:lang w:val="en-US" w:eastAsia="zh-CN"/>
              </w:rPr>
              <w:t>，…Q</w:t>
            </w:r>
            <w:r>
              <w:rPr>
                <w:rFonts w:hint="eastAsia"/>
                <w:color w:val="auto"/>
                <w:vertAlign w:val="subscript"/>
                <w:lang w:val="en-US" w:eastAsia="zh-CN"/>
              </w:rPr>
              <w:t>n</w:t>
            </w:r>
            <w:r>
              <w:rPr>
                <w:rFonts w:hint="eastAsia"/>
                <w:color w:val="auto"/>
                <w:lang w:val="en-US" w:eastAsia="zh-CN"/>
              </w:rPr>
              <w:t>——每种危险物质的临界量，t。本次计算取0.1</w:t>
            </w:r>
          </w:p>
          <w:p>
            <w:pPr>
              <w:pStyle w:val="54"/>
              <w:bidi w:val="0"/>
              <w:rPr>
                <w:rFonts w:hint="eastAsia"/>
                <w:color w:val="auto"/>
                <w:lang w:val="en-US" w:eastAsia="zh-CN"/>
              </w:rPr>
            </w:pPr>
            <w:r>
              <w:rPr>
                <w:rFonts w:hint="eastAsia"/>
                <w:color w:val="auto"/>
                <w:lang w:val="en-US" w:eastAsia="zh-CN"/>
              </w:rPr>
              <w:t>当Q＜1时，该项目环境风险潜势为Ⅰ。</w:t>
            </w:r>
          </w:p>
          <w:p>
            <w:pPr>
              <w:pStyle w:val="54"/>
              <w:bidi w:val="0"/>
              <w:rPr>
                <w:rFonts w:hint="eastAsia"/>
                <w:color w:val="auto"/>
                <w:lang w:val="en-US" w:eastAsia="zh-CN"/>
              </w:rPr>
            </w:pPr>
            <w:r>
              <w:rPr>
                <w:rFonts w:hint="eastAsia"/>
                <w:color w:val="auto"/>
                <w:lang w:val="en-US" w:eastAsia="zh-CN"/>
              </w:rPr>
              <w:t>当Q≥1时，将Q值划分为：（1）1≤Q＜10；（2）10≤Q＜100；（3）Q≥100。</w:t>
            </w:r>
          </w:p>
          <w:p>
            <w:pPr>
              <w:pStyle w:val="54"/>
              <w:bidi w:val="0"/>
              <w:rPr>
                <w:rFonts w:hint="eastAsia"/>
                <w:color w:val="auto"/>
                <w:lang w:val="en-US" w:eastAsia="zh-CN"/>
              </w:rPr>
            </w:pPr>
            <w:r>
              <w:rPr>
                <w:rFonts w:hint="eastAsia"/>
                <w:color w:val="auto"/>
                <w:lang w:val="en-US" w:eastAsia="zh-CN"/>
              </w:rPr>
              <w:t>因此本项目Q=0.1/2500=0.00004＜1，故环境风险潜势为Ⅰ。</w:t>
            </w:r>
          </w:p>
          <w:p>
            <w:pPr>
              <w:pStyle w:val="54"/>
              <w:bidi w:val="0"/>
              <w:rPr>
                <w:rFonts w:hint="default"/>
                <w:color w:val="auto"/>
                <w:lang w:val="en-US" w:eastAsia="zh-CN"/>
              </w:rPr>
            </w:pPr>
            <w:r>
              <w:rPr>
                <w:rFonts w:hint="eastAsia"/>
                <w:color w:val="auto"/>
                <w:lang w:val="en-US" w:eastAsia="zh-CN"/>
              </w:rPr>
              <w:t>3、环境风险评价等级判定</w:t>
            </w:r>
          </w:p>
          <w:p>
            <w:pPr>
              <w:pStyle w:val="54"/>
              <w:bidi w:val="0"/>
              <w:rPr>
                <w:rFonts w:hint="default"/>
                <w:color w:val="auto"/>
                <w:lang w:val="en-US" w:eastAsia="zh-CN"/>
              </w:rPr>
            </w:pPr>
            <w:r>
              <w:rPr>
                <w:rFonts w:hint="default"/>
                <w:color w:val="auto"/>
                <w:lang w:val="en-US" w:eastAsia="zh-CN"/>
              </w:rPr>
              <w:t>根据《建设项目环境风险评价技术导则》（HJ 169-2018）危险物质数量与临界量比值Q小于1，环境风险潜势为Ⅰ，评价工作等级为简单分析。</w:t>
            </w:r>
          </w:p>
          <w:p>
            <w:pPr>
              <w:pStyle w:val="54"/>
              <w:bidi w:val="0"/>
              <w:rPr>
                <w:rFonts w:hint="eastAsia"/>
                <w:color w:val="auto"/>
                <w:lang w:val="en-US" w:eastAsia="zh-CN"/>
              </w:rPr>
            </w:pPr>
            <w:r>
              <w:rPr>
                <w:rFonts w:hint="eastAsia"/>
                <w:color w:val="auto"/>
                <w:lang w:val="en-US" w:eastAsia="zh-CN"/>
              </w:rPr>
              <w:t>4、环境风险防范措施</w:t>
            </w:r>
          </w:p>
          <w:p>
            <w:pPr>
              <w:pStyle w:val="54"/>
              <w:bidi w:val="0"/>
              <w:rPr>
                <w:rFonts w:hint="eastAsia"/>
                <w:color w:val="auto"/>
                <w:lang w:val="en-US" w:eastAsia="zh-CN"/>
              </w:rPr>
            </w:pPr>
            <w:r>
              <w:rPr>
                <w:rFonts w:hint="eastAsia"/>
                <w:color w:val="auto"/>
                <w:lang w:val="en-US" w:eastAsia="zh-CN"/>
              </w:rPr>
              <w:t>（1）主要负责人及安全管理必须取得安全合格证。</w:t>
            </w:r>
          </w:p>
          <w:p>
            <w:pPr>
              <w:pStyle w:val="54"/>
              <w:bidi w:val="0"/>
              <w:rPr>
                <w:rFonts w:hint="eastAsia"/>
                <w:color w:val="auto"/>
                <w:lang w:val="en-US" w:eastAsia="zh-CN"/>
              </w:rPr>
            </w:pPr>
            <w:r>
              <w:rPr>
                <w:rFonts w:hint="eastAsia"/>
                <w:color w:val="auto"/>
                <w:lang w:val="en-US" w:eastAsia="zh-CN"/>
              </w:rPr>
              <w:t>（2）应制定站内各类人员安全生产责任制和安全操作规程。</w:t>
            </w:r>
          </w:p>
          <w:p>
            <w:pPr>
              <w:pStyle w:val="54"/>
              <w:bidi w:val="0"/>
              <w:rPr>
                <w:rFonts w:hint="eastAsia"/>
                <w:color w:val="auto"/>
                <w:lang w:val="en-US" w:eastAsia="zh-CN"/>
              </w:rPr>
            </w:pPr>
            <w:r>
              <w:rPr>
                <w:rFonts w:hint="eastAsia"/>
                <w:color w:val="auto"/>
                <w:lang w:val="en-US" w:eastAsia="zh-CN"/>
              </w:rPr>
              <w:t>（3）加强电气等检修作业的管理：</w:t>
            </w:r>
          </w:p>
          <w:p>
            <w:pPr>
              <w:pStyle w:val="54"/>
              <w:bidi w:val="0"/>
              <w:rPr>
                <w:rFonts w:hint="eastAsia"/>
                <w:color w:val="auto"/>
                <w:lang w:val="en-US" w:eastAsia="zh-CN"/>
              </w:rPr>
            </w:pPr>
            <w:r>
              <w:rPr>
                <w:rFonts w:hint="eastAsia"/>
                <w:color w:val="auto"/>
                <w:lang w:val="en-US" w:eastAsia="zh-CN"/>
              </w:rPr>
              <w:t>①电气作业严格执行作业票制度。电工作业人员应经安全技术培训，考试合格，取得相应的资格证书后，才能从事电工作业，禁止非电工作业人员从事任何电工作业。</w:t>
            </w:r>
          </w:p>
          <w:p>
            <w:pPr>
              <w:pStyle w:val="54"/>
              <w:bidi w:val="0"/>
              <w:rPr>
                <w:rFonts w:hint="eastAsia"/>
                <w:color w:val="auto"/>
                <w:lang w:val="en-US" w:eastAsia="zh-CN"/>
              </w:rPr>
            </w:pPr>
            <w:r>
              <w:rPr>
                <w:rFonts w:hint="eastAsia"/>
                <w:color w:val="auto"/>
                <w:lang w:val="en-US" w:eastAsia="zh-CN"/>
              </w:rPr>
              <w:t>（4）对从业人员进行安全培训。</w:t>
            </w:r>
          </w:p>
          <w:p>
            <w:pPr>
              <w:pStyle w:val="54"/>
              <w:bidi w:val="0"/>
              <w:rPr>
                <w:rFonts w:hint="eastAsia"/>
                <w:color w:val="auto"/>
                <w:lang w:val="en-US" w:eastAsia="zh-CN"/>
              </w:rPr>
            </w:pPr>
            <w:r>
              <w:rPr>
                <w:rFonts w:hint="eastAsia"/>
                <w:color w:val="auto"/>
                <w:lang w:val="en-US" w:eastAsia="zh-CN"/>
              </w:rPr>
              <w:t>（5）建立健全各种设备管理制度、管理台帐和技术档案，尤其要完善设备的检、维修管理制度。加强对设备运行的监视、检查、定期维护保养等管理工作。</w:t>
            </w:r>
          </w:p>
          <w:p>
            <w:pPr>
              <w:pStyle w:val="54"/>
              <w:bidi w:val="0"/>
              <w:rPr>
                <w:rFonts w:hint="eastAsia"/>
                <w:color w:val="auto"/>
                <w:lang w:val="en-US" w:eastAsia="zh-CN"/>
              </w:rPr>
            </w:pPr>
            <w:r>
              <w:rPr>
                <w:rFonts w:hint="eastAsia"/>
                <w:color w:val="auto"/>
                <w:lang w:val="en-US" w:eastAsia="zh-CN"/>
              </w:rPr>
              <w:t>（6）冬寒、暑热、风、霜、雨、雪、雷电等，会影响操作人员作出正确的判断和操作，会间接或直接影响到人员的安全和健康。因此，作业场所的温度、采光照明、通风、噪声、空气中有毒、有害物质含量要定期进行检测，重视作业环境及条件的改善，做到清洁、文明生产。</w:t>
            </w:r>
          </w:p>
          <w:p>
            <w:pPr>
              <w:pStyle w:val="54"/>
              <w:bidi w:val="0"/>
              <w:rPr>
                <w:rFonts w:hint="eastAsia"/>
                <w:color w:val="auto"/>
                <w:lang w:val="en-US" w:eastAsia="zh-CN"/>
              </w:rPr>
            </w:pPr>
            <w:r>
              <w:rPr>
                <w:rFonts w:hint="eastAsia"/>
                <w:color w:val="auto"/>
                <w:lang w:val="en-US" w:eastAsia="zh-CN"/>
              </w:rPr>
              <w:t>（7）编制事故应救援预案并组织演练，使每个职工都会使用消防器材，有效地扑救初期火灾。</w:t>
            </w:r>
          </w:p>
          <w:p>
            <w:pPr>
              <w:pStyle w:val="54"/>
              <w:bidi w:val="0"/>
              <w:rPr>
                <w:rFonts w:hint="eastAsia"/>
                <w:color w:val="auto"/>
                <w:lang w:val="en-US" w:eastAsia="zh-CN"/>
              </w:rPr>
            </w:pPr>
            <w:r>
              <w:rPr>
                <w:rFonts w:hint="eastAsia"/>
                <w:color w:val="auto"/>
                <w:lang w:val="en-US" w:eastAsia="zh-CN"/>
              </w:rPr>
              <w:t>（8）根据劳动防护用品配备标准，做好防护用品的配备和发放工作。</w:t>
            </w:r>
          </w:p>
          <w:p>
            <w:pPr>
              <w:pStyle w:val="54"/>
              <w:bidi w:val="0"/>
              <w:rPr>
                <w:rFonts w:hint="eastAsia"/>
                <w:color w:val="auto"/>
                <w:lang w:val="en-US" w:eastAsia="zh-CN"/>
              </w:rPr>
            </w:pPr>
            <w:r>
              <w:rPr>
                <w:rFonts w:hint="eastAsia"/>
                <w:color w:val="auto"/>
                <w:lang w:val="en-US" w:eastAsia="zh-CN"/>
              </w:rPr>
              <w:t>（9）危废贮存库事故风险</w:t>
            </w:r>
          </w:p>
          <w:p>
            <w:pPr>
              <w:pStyle w:val="54"/>
              <w:bidi w:val="0"/>
              <w:rPr>
                <w:rFonts w:hint="eastAsia"/>
                <w:color w:val="auto"/>
                <w:lang w:val="en-US" w:eastAsia="zh-CN"/>
              </w:rPr>
            </w:pPr>
            <w:r>
              <w:rPr>
                <w:rFonts w:hint="eastAsia"/>
                <w:color w:val="auto"/>
                <w:lang w:val="en-US" w:eastAsia="zh-CN"/>
              </w:rPr>
              <w:t>本项目废润滑油包装桶在存放过程中，如桶体发生腐蚀或破裂，桶内危险废物渗出，可能会对周边地下水及土壤环境产生影响。当存在火源时可能导致火灾。危废贮存库发生泄漏时地下水受到污染可能导致区域地下水水质降低或污染周边区域土壤，导致地下水无法被利用，还会导致植物不能正常生长。发生火灾时会导致有毒有害气体散发，引起大气环境污染。本项目区地域空旷，扩散条件较好，发生事故后，及时采取相应的措施，不会对周围环境产生明显影响。</w:t>
            </w:r>
          </w:p>
          <w:p>
            <w:pPr>
              <w:pStyle w:val="54"/>
              <w:bidi w:val="0"/>
              <w:rPr>
                <w:rFonts w:hint="default"/>
                <w:color w:val="auto"/>
                <w:lang w:val="en-US" w:eastAsia="zh-CN"/>
              </w:rPr>
            </w:pPr>
            <w:r>
              <w:rPr>
                <w:rFonts w:hint="eastAsia"/>
                <w:color w:val="auto"/>
                <w:lang w:val="en-US" w:eastAsia="zh-CN"/>
              </w:rPr>
              <w:t>5、</w:t>
            </w:r>
            <w:r>
              <w:rPr>
                <w:rFonts w:hint="default"/>
                <w:color w:val="auto"/>
                <w:lang w:val="en-US" w:eastAsia="zh-CN"/>
              </w:rPr>
              <w:t>环境风险结论</w:t>
            </w:r>
          </w:p>
          <w:p>
            <w:pPr>
              <w:pStyle w:val="54"/>
              <w:bidi w:val="0"/>
              <w:rPr>
                <w:rFonts w:hint="default" w:ascii="Times New Roman" w:hAnsi="Times New Roman" w:eastAsia="宋体" w:cs="Times New Roman"/>
                <w:b w:val="0"/>
                <w:bCs/>
                <w:snapToGrid w:val="0"/>
                <w:color w:val="auto"/>
                <w:szCs w:val="24"/>
                <w:lang w:val="en-US" w:eastAsia="zh-CN"/>
              </w:rPr>
            </w:pPr>
            <w:r>
              <w:rPr>
                <w:rFonts w:hint="eastAsia"/>
                <w:color w:val="auto"/>
                <w:lang w:val="en-US" w:eastAsia="zh-CN"/>
              </w:rPr>
              <w:t>建设单位</w:t>
            </w:r>
            <w:r>
              <w:rPr>
                <w:rFonts w:hint="default"/>
                <w:color w:val="auto"/>
                <w:lang w:val="en-US" w:eastAsia="zh-CN"/>
              </w:rPr>
              <w:t>严格按照国家有关规范标准的要求进行监控和管理，认真落实本次环评提出的对策措施</w:t>
            </w:r>
            <w:r>
              <w:rPr>
                <w:rFonts w:hint="eastAsia"/>
                <w:color w:val="auto"/>
                <w:lang w:val="en-US" w:eastAsia="zh-CN"/>
              </w:rPr>
              <w:t>后</w:t>
            </w:r>
            <w:r>
              <w:rPr>
                <w:rFonts w:hint="default"/>
                <w:color w:val="auto"/>
                <w:lang w:val="en-US" w:eastAsia="zh-CN"/>
              </w:rPr>
              <w:t>，可有效防止项目产生的污染物进入环境，有效降低了对周围环境存在的风险影响。项目环境风险可控。</w:t>
            </w:r>
          </w:p>
          <w:p>
            <w:pPr>
              <w:pStyle w:val="54"/>
              <w:bidi w:val="0"/>
              <w:rPr>
                <w:rFonts w:hint="default"/>
                <w:color w:val="auto"/>
                <w:lang w:val="en-US" w:eastAsia="zh-CN"/>
              </w:rPr>
            </w:pPr>
            <w:r>
              <w:rPr>
                <w:rFonts w:hint="eastAsia"/>
                <w:b/>
                <w:bCs/>
                <w:color w:val="auto"/>
                <w:lang w:val="en-US" w:eastAsia="zh-CN"/>
              </w:rPr>
              <w:t>七、环保“三同时”验收</w:t>
            </w:r>
          </w:p>
          <w:p>
            <w:pPr>
              <w:pStyle w:val="54"/>
              <w:bidi w:val="0"/>
              <w:rPr>
                <w:rFonts w:hint="eastAsia"/>
                <w:color w:val="auto"/>
                <w:lang w:val="en-US" w:eastAsia="zh-CN"/>
              </w:rPr>
            </w:pPr>
            <w:r>
              <w:rPr>
                <w:rFonts w:hint="eastAsia"/>
                <w:color w:val="auto"/>
                <w:lang w:val="en-US" w:eastAsia="zh-CN"/>
              </w:rPr>
              <w:t>根据《建设项目环境保护管理条例》《建设项目竣工环境保护验收管理办法》《建设项目竣工环境保护验收技术指南 污染影响类》的规定，本项目必须进行竣工环境保护验收，及时进行竣工环保验收，环保“三同时”验收一览表如下。</w:t>
            </w:r>
          </w:p>
          <w:p>
            <w:pPr>
              <w:pStyle w:val="26"/>
              <w:bidi w:val="0"/>
              <w:rPr>
                <w:rFonts w:hint="default" w:ascii="Times New Roman" w:hAnsi="Times New Roman" w:eastAsia="宋体" w:cs="Times New Roman"/>
                <w:b w:val="0"/>
                <w:bCs/>
                <w:snapToGrid w:val="0"/>
                <w:color w:val="auto"/>
                <w:szCs w:val="21"/>
                <w:lang w:val="en-US" w:eastAsia="zh-CN"/>
              </w:rPr>
            </w:pPr>
            <w:r>
              <w:rPr>
                <w:rFonts w:hint="eastAsia"/>
                <w:color w:val="auto"/>
                <w:lang w:val="en-US" w:eastAsia="zh-CN"/>
              </w:rPr>
              <w:t>表4-12  环保“三同时”验收一览表</w:t>
            </w:r>
          </w:p>
          <w:tbl>
            <w:tblPr>
              <w:tblStyle w:val="20"/>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58"/>
              <w:gridCol w:w="2130"/>
              <w:gridCol w:w="1966"/>
              <w:gridCol w:w="4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治理项目</w:t>
                  </w:r>
                </w:p>
              </w:tc>
              <w:tc>
                <w:tcPr>
                  <w:tcW w:w="2758"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环保措施</w:t>
                  </w:r>
                </w:p>
              </w:tc>
              <w:tc>
                <w:tcPr>
                  <w:tcW w:w="2130"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验收标准</w:t>
                  </w:r>
                </w:p>
              </w:tc>
              <w:tc>
                <w:tcPr>
                  <w:tcW w:w="196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标准限值</w:t>
                  </w:r>
                </w:p>
              </w:tc>
              <w:tc>
                <w:tcPr>
                  <w:tcW w:w="42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实施时段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6"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废气</w:t>
                  </w:r>
                </w:p>
              </w:tc>
              <w:tc>
                <w:tcPr>
                  <w:tcW w:w="2758"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本项目投料工段在投料口处设计了三面封闭的投料斗，投料斗顶部设计有集气罩，侧面有吸尘管，集气罩吸尘管连接到高效脉冲布袋除尘器对产生的粉尘进行处理后通过1根DA001高度为15m的排气筒排放；磨粉工段产生的粉尘经6台高效脉冲布袋除尘器除尘后通过1根DA002高度为15m的排气筒排放；包装工段以每两台包装机共用一个除尘装置，在包装机易泄露粉尘的位置设计多个吸尘口，1#和2#包装机产生的粉尘通过收集经高效脉冲布袋除尘器处理后通过1根DA003高度为15m的排气筒排放；3#、4#、5#和6#包装机产生的粉尘通过收集经高效脉冲布袋除尘器处理后通过1根DA004高度为15m的排气筒排放。</w:t>
                  </w:r>
                </w:p>
              </w:tc>
              <w:tc>
                <w:tcPr>
                  <w:tcW w:w="2130"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DA001、DA002、DA003、DA004满足</w:t>
                  </w:r>
                  <w:r>
                    <w:rPr>
                      <w:rFonts w:hint="default"/>
                      <w:color w:val="auto"/>
                      <w:lang w:val="en-US" w:eastAsia="zh-CN"/>
                    </w:rPr>
                    <w:t>《大气污染物综合排放标准》（GB 16297-1996）</w:t>
                  </w:r>
                  <w:r>
                    <w:rPr>
                      <w:rFonts w:hint="eastAsia"/>
                      <w:color w:val="auto"/>
                      <w:lang w:val="en-US" w:eastAsia="zh-CN"/>
                    </w:rPr>
                    <w:t>中</w:t>
                  </w:r>
                  <w:r>
                    <w:rPr>
                      <w:rFonts w:hint="default"/>
                      <w:color w:val="auto"/>
                      <w:lang w:val="en-US" w:eastAsia="zh-CN"/>
                    </w:rPr>
                    <w:t>限值</w:t>
                  </w:r>
                  <w:r>
                    <w:rPr>
                      <w:rFonts w:hint="eastAsia"/>
                      <w:color w:val="auto"/>
                      <w:lang w:val="en-US" w:eastAsia="zh-CN"/>
                    </w:rPr>
                    <w:t>要求</w:t>
                  </w:r>
                </w:p>
              </w:tc>
              <w:tc>
                <w:tcPr>
                  <w:tcW w:w="1966" w:type="dxa"/>
                  <w:tcBorders>
                    <w:tl2br w:val="nil"/>
                    <w:tr2bl w:val="nil"/>
                  </w:tcBorders>
                  <w:vAlign w:val="center"/>
                </w:tcPr>
                <w:p>
                  <w:pPr>
                    <w:pStyle w:val="27"/>
                    <w:bidi w:val="0"/>
                    <w:jc w:val="center"/>
                    <w:rPr>
                      <w:rFonts w:hint="default"/>
                      <w:color w:val="auto"/>
                      <w:vertAlign w:val="superscript"/>
                      <w:lang w:val="en-US" w:eastAsia="zh-CN"/>
                    </w:rPr>
                  </w:pPr>
                  <w:r>
                    <w:rPr>
                      <w:rFonts w:hint="eastAsia"/>
                      <w:color w:val="auto"/>
                      <w:lang w:val="en-US" w:eastAsia="zh-CN"/>
                    </w:rPr>
                    <w:t>颗粒物：120mg/m</w:t>
                  </w:r>
                  <w:r>
                    <w:rPr>
                      <w:rFonts w:hint="eastAsia"/>
                      <w:color w:val="auto"/>
                      <w:vertAlign w:val="superscript"/>
                      <w:lang w:val="en-US" w:eastAsia="zh-CN"/>
                    </w:rPr>
                    <w:t>3</w:t>
                  </w:r>
                </w:p>
              </w:tc>
              <w:tc>
                <w:tcPr>
                  <w:tcW w:w="426" w:type="dxa"/>
                  <w:vMerge w:val="restart"/>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环评批复后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l2br w:val="nil"/>
                    <w:tr2bl w:val="nil"/>
                  </w:tcBorders>
                  <w:vAlign w:val="center"/>
                </w:tcPr>
                <w:p>
                  <w:pPr>
                    <w:pStyle w:val="27"/>
                    <w:bidi w:val="0"/>
                    <w:jc w:val="center"/>
                    <w:rPr>
                      <w:rFonts w:hint="eastAsia"/>
                      <w:color w:val="auto"/>
                      <w:lang w:val="en-US" w:eastAsia="zh-CN"/>
                    </w:rPr>
                  </w:pPr>
                </w:p>
              </w:tc>
              <w:tc>
                <w:tcPr>
                  <w:tcW w:w="2758"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加强管理及监测</w:t>
                  </w:r>
                </w:p>
              </w:tc>
              <w:tc>
                <w:tcPr>
                  <w:tcW w:w="2130" w:type="dxa"/>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厂界满足</w:t>
                  </w:r>
                  <w:r>
                    <w:rPr>
                      <w:rFonts w:hint="default"/>
                      <w:color w:val="auto"/>
                      <w:lang w:val="en-US" w:eastAsia="zh-CN"/>
                    </w:rPr>
                    <w:t>《大气污染物综合排放标准》（GB 16297-1996）</w:t>
                  </w:r>
                  <w:r>
                    <w:rPr>
                      <w:rFonts w:hint="eastAsia"/>
                      <w:color w:val="auto"/>
                      <w:lang w:val="en-US" w:eastAsia="zh-CN"/>
                    </w:rPr>
                    <w:t>。</w:t>
                  </w:r>
                </w:p>
              </w:tc>
              <w:tc>
                <w:tcPr>
                  <w:tcW w:w="1966" w:type="dxa"/>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颗粒物：1.0mg/m</w:t>
                  </w:r>
                  <w:r>
                    <w:rPr>
                      <w:rFonts w:hint="eastAsia"/>
                      <w:color w:val="auto"/>
                      <w:vertAlign w:val="superscript"/>
                      <w:lang w:val="en-US" w:eastAsia="zh-CN"/>
                    </w:rPr>
                    <w:t>3</w:t>
                  </w:r>
                </w:p>
              </w:tc>
              <w:tc>
                <w:tcPr>
                  <w:tcW w:w="426" w:type="dxa"/>
                  <w:vMerge w:val="continue"/>
                  <w:tcBorders>
                    <w:tl2br w:val="nil"/>
                    <w:tr2bl w:val="nil"/>
                  </w:tcBorders>
                  <w:vAlign w:val="center"/>
                </w:tcPr>
                <w:p>
                  <w:pPr>
                    <w:pStyle w:val="27"/>
                    <w:bidi w:val="0"/>
                    <w:jc w:val="center"/>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废水</w:t>
                  </w:r>
                </w:p>
              </w:tc>
              <w:tc>
                <w:tcPr>
                  <w:tcW w:w="2758"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本项目运营过程中生活污水不在本项目厂区内产生，依托国投罗钾公司厂区现有污水处理站进行处理。</w:t>
                  </w:r>
                </w:p>
              </w:tc>
              <w:tc>
                <w:tcPr>
                  <w:tcW w:w="2130"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满足《城镇污水处理厂污染物排放标准》（GB 18918-2002）一级A标准</w:t>
                  </w:r>
                </w:p>
              </w:tc>
              <w:tc>
                <w:tcPr>
                  <w:tcW w:w="1966" w:type="dxa"/>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pH：6~9</w:t>
                  </w:r>
                </w:p>
                <w:p>
                  <w:pPr>
                    <w:jc w:val="center"/>
                    <w:rPr>
                      <w:rFonts w:hint="eastAsia"/>
                      <w:color w:val="auto"/>
                      <w:lang w:val="en-US" w:eastAsia="zh-CN"/>
                    </w:rPr>
                  </w:pPr>
                  <w:r>
                    <w:rPr>
                      <w:rFonts w:hint="eastAsia"/>
                      <w:color w:val="auto"/>
                      <w:lang w:val="en-US" w:eastAsia="zh-CN"/>
                    </w:rPr>
                    <w:t>化学需氧量：50mg/L</w:t>
                  </w:r>
                </w:p>
                <w:p>
                  <w:pPr>
                    <w:jc w:val="center"/>
                    <w:rPr>
                      <w:rFonts w:hint="default"/>
                      <w:color w:val="auto"/>
                      <w:lang w:val="en-US" w:eastAsia="zh-CN"/>
                    </w:rPr>
                  </w:pPr>
                  <w:r>
                    <w:rPr>
                      <w:rFonts w:hint="eastAsia"/>
                      <w:color w:val="auto"/>
                      <w:lang w:val="en-US" w:eastAsia="zh-CN"/>
                    </w:rPr>
                    <w:t>生化需氧量：10mg/L</w:t>
                  </w:r>
                </w:p>
                <w:p>
                  <w:pPr>
                    <w:pStyle w:val="27"/>
                    <w:bidi w:val="0"/>
                    <w:jc w:val="center"/>
                    <w:rPr>
                      <w:rFonts w:hint="eastAsia"/>
                      <w:color w:val="auto"/>
                      <w:lang w:val="en-US" w:eastAsia="zh-CN"/>
                    </w:rPr>
                  </w:pPr>
                  <w:r>
                    <w:rPr>
                      <w:rFonts w:hint="eastAsia"/>
                      <w:color w:val="auto"/>
                      <w:lang w:val="en-US" w:eastAsia="zh-CN"/>
                    </w:rPr>
                    <w:t>悬浮物：10mg/L</w:t>
                  </w:r>
                </w:p>
                <w:p>
                  <w:pPr>
                    <w:pStyle w:val="27"/>
                    <w:bidi w:val="0"/>
                    <w:jc w:val="center"/>
                    <w:rPr>
                      <w:rFonts w:hint="eastAsia"/>
                      <w:color w:val="auto"/>
                      <w:lang w:val="en-US" w:eastAsia="zh-CN"/>
                    </w:rPr>
                  </w:pPr>
                  <w:r>
                    <w:rPr>
                      <w:rFonts w:hint="eastAsia"/>
                      <w:color w:val="auto"/>
                      <w:lang w:val="en-US" w:eastAsia="zh-CN"/>
                    </w:rPr>
                    <w:t>动植物油：1mg/L</w:t>
                  </w:r>
                </w:p>
                <w:p>
                  <w:pPr>
                    <w:jc w:val="center"/>
                    <w:rPr>
                      <w:rFonts w:hint="eastAsia"/>
                      <w:color w:val="auto"/>
                      <w:lang w:val="en-US" w:eastAsia="zh-CN"/>
                    </w:rPr>
                  </w:pPr>
                  <w:r>
                    <w:rPr>
                      <w:rFonts w:hint="eastAsia"/>
                      <w:color w:val="auto"/>
                      <w:lang w:val="en-US" w:eastAsia="zh-CN"/>
                    </w:rPr>
                    <w:t>石油类：1mg/L</w:t>
                  </w:r>
                </w:p>
                <w:p>
                  <w:pPr>
                    <w:jc w:val="center"/>
                    <w:rPr>
                      <w:rFonts w:hint="eastAsia"/>
                      <w:color w:val="auto"/>
                      <w:lang w:val="en-US" w:eastAsia="zh-CN"/>
                    </w:rPr>
                  </w:pPr>
                  <w:r>
                    <w:rPr>
                      <w:rFonts w:hint="eastAsia"/>
                      <w:color w:val="auto"/>
                      <w:lang w:val="en-US" w:eastAsia="zh-CN"/>
                    </w:rPr>
                    <w:t>阴离子表面活性剂：0.5mg/L</w:t>
                  </w:r>
                </w:p>
                <w:p>
                  <w:pPr>
                    <w:jc w:val="center"/>
                    <w:rPr>
                      <w:rFonts w:hint="eastAsia"/>
                      <w:color w:val="auto"/>
                      <w:lang w:val="en-US" w:eastAsia="zh-CN"/>
                    </w:rPr>
                  </w:pPr>
                  <w:r>
                    <w:rPr>
                      <w:rFonts w:hint="eastAsia"/>
                      <w:color w:val="auto"/>
                      <w:lang w:val="en-US" w:eastAsia="zh-CN"/>
                    </w:rPr>
                    <w:t>总氮：15mg/L</w:t>
                  </w:r>
                </w:p>
                <w:p>
                  <w:pPr>
                    <w:jc w:val="center"/>
                    <w:rPr>
                      <w:rFonts w:hint="eastAsia"/>
                      <w:color w:val="auto"/>
                      <w:lang w:val="en-US" w:eastAsia="zh-CN"/>
                    </w:rPr>
                  </w:pPr>
                  <w:r>
                    <w:rPr>
                      <w:rFonts w:hint="eastAsia"/>
                      <w:color w:val="auto"/>
                      <w:lang w:val="en-US" w:eastAsia="zh-CN"/>
                    </w:rPr>
                    <w:t>总磷：5（8）mg/L</w:t>
                  </w:r>
                </w:p>
                <w:p>
                  <w:pPr>
                    <w:jc w:val="center"/>
                    <w:rPr>
                      <w:rFonts w:hint="default"/>
                      <w:color w:val="auto"/>
                      <w:lang w:val="en-US" w:eastAsia="zh-CN"/>
                    </w:rPr>
                  </w:pPr>
                  <w:r>
                    <w:rPr>
                      <w:rFonts w:hint="eastAsia"/>
                      <w:color w:val="auto"/>
                      <w:lang w:val="en-US" w:eastAsia="zh-CN"/>
                    </w:rPr>
                    <w:t>色度（稀释倍数）：30</w:t>
                  </w:r>
                </w:p>
                <w:p>
                  <w:pPr>
                    <w:pStyle w:val="27"/>
                    <w:bidi w:val="0"/>
                    <w:jc w:val="center"/>
                    <w:rPr>
                      <w:rFonts w:hint="default"/>
                      <w:color w:val="auto"/>
                      <w:lang w:val="en-US" w:eastAsia="zh-CN"/>
                    </w:rPr>
                  </w:pPr>
                  <w:r>
                    <w:rPr>
                      <w:rFonts w:hint="eastAsia"/>
                      <w:color w:val="auto"/>
                      <w:lang w:val="en-US" w:eastAsia="zh-CN"/>
                    </w:rPr>
                    <w:t>粪大肠菌群：1000个/L</w:t>
                  </w:r>
                </w:p>
              </w:tc>
              <w:tc>
                <w:tcPr>
                  <w:tcW w:w="426" w:type="dxa"/>
                  <w:vMerge w:val="continue"/>
                  <w:tcBorders>
                    <w:tl2br w:val="nil"/>
                    <w:tr2bl w:val="nil"/>
                  </w:tcBorders>
                  <w:vAlign w:val="center"/>
                </w:tcPr>
                <w:p>
                  <w:pPr>
                    <w:pStyle w:val="27"/>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噪声</w:t>
                  </w:r>
                </w:p>
              </w:tc>
              <w:tc>
                <w:tcPr>
                  <w:tcW w:w="2758"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选取低噪声设备、基础减振及消声器等措施。</w:t>
                  </w:r>
                </w:p>
              </w:tc>
              <w:tc>
                <w:tcPr>
                  <w:tcW w:w="2130" w:type="dxa"/>
                  <w:tcBorders>
                    <w:tl2br w:val="nil"/>
                    <w:tr2bl w:val="nil"/>
                  </w:tcBorders>
                  <w:vAlign w:val="center"/>
                </w:tcPr>
                <w:p>
                  <w:pPr>
                    <w:pStyle w:val="27"/>
                    <w:bidi w:val="0"/>
                    <w:jc w:val="center"/>
                    <w:rPr>
                      <w:rFonts w:hint="default"/>
                      <w:color w:val="auto"/>
                      <w:lang w:val="en-US" w:eastAsia="zh-CN"/>
                    </w:rPr>
                  </w:pPr>
                  <w:r>
                    <w:rPr>
                      <w:rFonts w:hint="default"/>
                      <w:color w:val="auto"/>
                      <w:lang w:val="en-US" w:eastAsia="zh-CN"/>
                    </w:rPr>
                    <w:t>《工业企业厂界环境噪声排放标准》（GB12348-2008）中的</w:t>
                  </w:r>
                  <w:r>
                    <w:rPr>
                      <w:rFonts w:hint="eastAsia"/>
                      <w:color w:val="auto"/>
                      <w:lang w:val="en-US" w:eastAsia="zh-CN"/>
                    </w:rPr>
                    <w:t>3</w:t>
                  </w:r>
                  <w:r>
                    <w:rPr>
                      <w:rFonts w:hint="default"/>
                      <w:color w:val="auto"/>
                      <w:lang w:val="en-US" w:eastAsia="zh-CN"/>
                    </w:rPr>
                    <w:t>类标准</w:t>
                  </w:r>
                </w:p>
              </w:tc>
              <w:tc>
                <w:tcPr>
                  <w:tcW w:w="1966" w:type="dxa"/>
                  <w:tcBorders>
                    <w:tl2br w:val="nil"/>
                    <w:tr2bl w:val="nil"/>
                  </w:tcBorders>
                  <w:vAlign w:val="center"/>
                </w:tcPr>
                <w:p>
                  <w:pPr>
                    <w:pStyle w:val="27"/>
                    <w:bidi w:val="0"/>
                    <w:jc w:val="center"/>
                    <w:rPr>
                      <w:rFonts w:hint="eastAsia"/>
                      <w:color w:val="auto"/>
                      <w:lang w:val="en-US" w:eastAsia="zh-CN"/>
                    </w:rPr>
                  </w:pPr>
                  <w:r>
                    <w:rPr>
                      <w:rFonts w:hint="eastAsia"/>
                      <w:color w:val="auto"/>
                      <w:lang w:val="en-US" w:eastAsia="zh-CN"/>
                    </w:rPr>
                    <w:t>昼间65dB（A）</w:t>
                  </w:r>
                </w:p>
                <w:p>
                  <w:pPr>
                    <w:pStyle w:val="27"/>
                    <w:bidi w:val="0"/>
                    <w:jc w:val="center"/>
                    <w:rPr>
                      <w:rFonts w:hint="default"/>
                      <w:color w:val="auto"/>
                      <w:lang w:val="en-US" w:eastAsia="zh-CN"/>
                    </w:rPr>
                  </w:pPr>
                  <w:r>
                    <w:rPr>
                      <w:rFonts w:hint="eastAsia"/>
                      <w:color w:val="auto"/>
                      <w:lang w:val="en-US" w:eastAsia="zh-CN"/>
                    </w:rPr>
                    <w:t>夜间55dB（A）</w:t>
                  </w:r>
                </w:p>
              </w:tc>
              <w:tc>
                <w:tcPr>
                  <w:tcW w:w="426" w:type="dxa"/>
                  <w:vMerge w:val="continue"/>
                  <w:tcBorders>
                    <w:tl2br w:val="nil"/>
                    <w:tr2bl w:val="nil"/>
                  </w:tcBorders>
                  <w:vAlign w:val="center"/>
                </w:tcPr>
                <w:p>
                  <w:pPr>
                    <w:pStyle w:val="27"/>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固废</w:t>
                  </w:r>
                </w:p>
              </w:tc>
              <w:tc>
                <w:tcPr>
                  <w:tcW w:w="2758" w:type="dxa"/>
                  <w:tcBorders>
                    <w:tl2br w:val="nil"/>
                    <w:tr2bl w:val="nil"/>
                  </w:tcBorders>
                  <w:vAlign w:val="center"/>
                </w:tcPr>
                <w:p>
                  <w:pPr>
                    <w:pStyle w:val="27"/>
                    <w:bidi w:val="0"/>
                    <w:jc w:val="center"/>
                    <w:rPr>
                      <w:rFonts w:hint="default"/>
                      <w:color w:val="auto"/>
                      <w:lang w:val="en-US" w:eastAsia="zh-CN"/>
                    </w:rPr>
                  </w:pPr>
                  <w:r>
                    <w:rPr>
                      <w:rFonts w:hint="default" w:ascii="Times New Roman" w:hAnsi="Times New Roman" w:eastAsia="宋体" w:cs="Times New Roman"/>
                      <w:color w:val="auto"/>
                      <w:sz w:val="21"/>
                      <w:szCs w:val="21"/>
                      <w:vertAlign w:val="baseline"/>
                      <w:lang w:val="en-US" w:eastAsia="zh-CN"/>
                    </w:rPr>
                    <w:t>投料除尘器收集的颗粒物通过螺旋输送器送入料斗进入生产工序；超微粉碎机除尘器收集的颗粒物进入封闭式刮板机，输送至包装料仓；包装除尘器收集的颗粒物定期转入料仓重复使用；生活垃圾设垃圾箱，拉运至当地生活垃圾填埋场进行处理</w:t>
                  </w:r>
                  <w:r>
                    <w:rPr>
                      <w:rFonts w:hint="eastAsia" w:cs="Times New Roman"/>
                      <w:color w:val="auto"/>
                      <w:sz w:val="21"/>
                      <w:szCs w:val="21"/>
                      <w:vertAlign w:val="baseline"/>
                      <w:lang w:val="en-US" w:eastAsia="zh-CN"/>
                    </w:rPr>
                    <w:t>；废润滑油暂存于国投罗钾现有危废贮存库储存，定期委托有资质的第三方进行运输和处置。</w:t>
                  </w:r>
                </w:p>
              </w:tc>
              <w:tc>
                <w:tcPr>
                  <w:tcW w:w="2130"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是否按环评要求处置</w:t>
                  </w:r>
                </w:p>
              </w:tc>
              <w:tc>
                <w:tcPr>
                  <w:tcW w:w="1966" w:type="dxa"/>
                  <w:tcBorders>
                    <w:tl2br w:val="nil"/>
                    <w:tr2bl w:val="nil"/>
                  </w:tcBorders>
                  <w:vAlign w:val="center"/>
                </w:tcPr>
                <w:p>
                  <w:pPr>
                    <w:pStyle w:val="27"/>
                    <w:bidi w:val="0"/>
                    <w:jc w:val="center"/>
                    <w:rPr>
                      <w:rFonts w:hint="default"/>
                      <w:color w:val="auto"/>
                      <w:lang w:val="en-US" w:eastAsia="zh-CN"/>
                    </w:rPr>
                  </w:pPr>
                  <w:r>
                    <w:rPr>
                      <w:rFonts w:hint="eastAsia"/>
                      <w:color w:val="auto"/>
                      <w:lang w:val="en-US" w:eastAsia="zh-CN"/>
                    </w:rPr>
                    <w:t>-</w:t>
                  </w:r>
                </w:p>
              </w:tc>
              <w:tc>
                <w:tcPr>
                  <w:tcW w:w="426" w:type="dxa"/>
                  <w:vMerge w:val="continue"/>
                  <w:tcBorders>
                    <w:tl2br w:val="nil"/>
                    <w:tr2bl w:val="nil"/>
                  </w:tcBorders>
                  <w:vAlign w:val="center"/>
                </w:tcPr>
                <w:p>
                  <w:pPr>
                    <w:pStyle w:val="27"/>
                    <w:bidi w:val="0"/>
                    <w:jc w:val="center"/>
                    <w:rPr>
                      <w:rFonts w:hint="default"/>
                      <w:color w:val="auto"/>
                      <w:lang w:val="en-US" w:eastAsia="zh-CN"/>
                    </w:rPr>
                  </w:pPr>
                </w:p>
              </w:tc>
            </w:tr>
          </w:tbl>
          <w:p>
            <w:pPr>
              <w:pStyle w:val="54"/>
              <w:bidi w:val="0"/>
              <w:rPr>
                <w:rFonts w:hint="default"/>
                <w:color w:val="auto"/>
                <w:lang w:val="en-US" w:eastAsia="zh-CN"/>
              </w:rPr>
            </w:pPr>
            <w:r>
              <w:rPr>
                <w:rFonts w:hint="eastAsia"/>
                <w:b/>
                <w:bCs/>
                <w:color w:val="auto"/>
                <w:lang w:val="en-US" w:eastAsia="zh-CN"/>
              </w:rPr>
              <w:t>八、排污许可</w:t>
            </w:r>
          </w:p>
          <w:p>
            <w:pPr>
              <w:pStyle w:val="54"/>
              <w:bidi w:val="0"/>
              <w:rPr>
                <w:rFonts w:hint="default"/>
                <w:color w:val="auto"/>
                <w:lang w:val="en-US" w:eastAsia="zh-CN"/>
              </w:rPr>
            </w:pPr>
            <w:r>
              <w:rPr>
                <w:rFonts w:hint="eastAsia"/>
                <w:color w:val="auto"/>
                <w:lang w:val="en-US" w:eastAsia="zh-CN"/>
              </w:rPr>
              <w:t>2024年4</w:t>
            </w:r>
            <w:r>
              <w:rPr>
                <w:rFonts w:hint="default"/>
                <w:color w:val="auto"/>
                <w:lang w:val="en-US" w:eastAsia="zh-CN"/>
              </w:rPr>
              <w:t>月</w:t>
            </w:r>
            <w:r>
              <w:rPr>
                <w:rFonts w:hint="eastAsia"/>
                <w:color w:val="auto"/>
                <w:lang w:val="en-US" w:eastAsia="zh-CN"/>
              </w:rPr>
              <w:t>8</w:t>
            </w:r>
            <w:r>
              <w:rPr>
                <w:rFonts w:hint="default"/>
                <w:color w:val="auto"/>
                <w:lang w:val="en-US" w:eastAsia="zh-CN"/>
              </w:rPr>
              <w:t>日</w:t>
            </w:r>
            <w:r>
              <w:rPr>
                <w:rFonts w:hint="eastAsia"/>
                <w:color w:val="auto"/>
                <w:lang w:val="en-US" w:eastAsia="zh-CN"/>
              </w:rPr>
              <w:t>中华人民共和国生态环境部公布</w:t>
            </w:r>
            <w:r>
              <w:rPr>
                <w:rFonts w:hint="default"/>
                <w:color w:val="auto"/>
                <w:lang w:val="en-US" w:eastAsia="zh-CN"/>
              </w:rPr>
              <w:t>了《排污许可管理办法》规定了环境保护部依法制定并公布固定污染源排污许可分类管理名录，明确纳入排污许可管理的范围和申领时限。纳入固定污染源排污许可分类管理名录的企业事业单位和其他生产经营者（以下简称排污单位）应当按照规定的时限申请并取得排污许可证。排污单位应当依法持有排污许可证，并按照排污许可证的规定排放污染物。应当取得排污许可证而未取得的，不得排放污染物。对污染物产生量大、排放量大或者环境危害程度高的排污单位实行排污许可重点管理，对其他排污单位实行排污许可简化管理。</w:t>
            </w:r>
          </w:p>
          <w:p>
            <w:pPr>
              <w:pStyle w:val="54"/>
              <w:bidi w:val="0"/>
              <w:rPr>
                <w:rFonts w:hint="default"/>
                <w:color w:val="auto"/>
                <w:lang w:val="en-US" w:eastAsia="zh-CN"/>
              </w:rPr>
            </w:pPr>
            <w:r>
              <w:rPr>
                <w:rFonts w:hint="eastAsia"/>
                <w:color w:val="auto"/>
                <w:lang w:val="en-US" w:eastAsia="zh-CN"/>
              </w:rPr>
              <w:t>根据《固定污染源排污许可分类管理名录（2019版）》中“二十一、化学原料和化学制品制造业26</w:t>
            </w:r>
            <w:r>
              <w:rPr>
                <w:rFonts w:hint="default"/>
                <w:color w:val="auto"/>
                <w:lang w:val="en-US" w:eastAsia="zh-CN"/>
              </w:rPr>
              <w:t>——</w:t>
            </w:r>
            <w:r>
              <w:rPr>
                <w:rFonts w:hint="eastAsia"/>
                <w:color w:val="auto"/>
                <w:lang w:val="en-US" w:eastAsia="zh-CN"/>
              </w:rPr>
              <w:t>46肥料制造262</w:t>
            </w:r>
            <w:r>
              <w:rPr>
                <w:rFonts w:hint="default"/>
                <w:color w:val="auto"/>
                <w:lang w:val="en-US" w:eastAsia="zh-CN"/>
              </w:rPr>
              <w:t>——</w:t>
            </w:r>
            <w:r>
              <w:rPr>
                <w:rFonts w:hint="eastAsia"/>
                <w:color w:val="auto"/>
                <w:lang w:val="en-US" w:eastAsia="zh-CN"/>
              </w:rPr>
              <w:t>其他”执行简化管理。</w:t>
            </w:r>
            <w:r>
              <w:rPr>
                <w:rFonts w:hint="default"/>
                <w:color w:val="auto"/>
                <w:lang w:val="en-US" w:eastAsia="zh-CN"/>
              </w:rPr>
              <w:t>根据《关于做好环境影响评价制度与排污许可衔接相关工作的通知》（环办环评〔2017〕84号），项目应在获得环评审批文件后，按照国家环境保护相关法律法规以及排污许可证申请与核发技术规范要求</w:t>
            </w:r>
            <w:r>
              <w:rPr>
                <w:rFonts w:hint="eastAsia"/>
                <w:color w:val="auto"/>
                <w:lang w:val="en-US" w:eastAsia="zh-CN"/>
              </w:rPr>
              <w:t>申请</w:t>
            </w:r>
            <w:r>
              <w:rPr>
                <w:rFonts w:hint="default"/>
                <w:color w:val="auto"/>
                <w:lang w:val="en-US" w:eastAsia="zh-CN"/>
              </w:rPr>
              <w:t>排污许可证。</w:t>
            </w:r>
          </w:p>
          <w:p>
            <w:pPr>
              <w:pStyle w:val="54"/>
              <w:bidi w:val="0"/>
              <w:rPr>
                <w:rFonts w:hint="default"/>
                <w:color w:val="auto"/>
                <w:lang w:val="en-US" w:eastAsia="zh-CN"/>
              </w:rPr>
            </w:pPr>
            <w:r>
              <w:rPr>
                <w:rFonts w:hint="eastAsia"/>
                <w:b/>
                <w:bCs/>
                <w:color w:val="auto"/>
                <w:lang w:val="en-US" w:eastAsia="zh-CN"/>
              </w:rPr>
              <w:t>九、</w:t>
            </w:r>
            <w:r>
              <w:rPr>
                <w:rFonts w:hint="default"/>
                <w:b/>
                <w:bCs/>
                <w:color w:val="auto"/>
                <w:lang w:val="en-US" w:eastAsia="zh-CN"/>
              </w:rPr>
              <w:t>排放口规范化</w:t>
            </w:r>
          </w:p>
          <w:p>
            <w:pPr>
              <w:pStyle w:val="54"/>
              <w:bidi w:val="0"/>
              <w:rPr>
                <w:rFonts w:hint="default"/>
                <w:color w:val="auto"/>
                <w:lang w:val="en-US" w:eastAsia="zh-CN"/>
              </w:rPr>
            </w:pPr>
            <w:r>
              <w:rPr>
                <w:rFonts w:hint="default"/>
                <w:color w:val="auto"/>
                <w:lang w:val="en-US" w:eastAsia="zh-CN"/>
              </w:rPr>
              <w:t>根据《关于开展排放口规范化整治工作的通知》《排放口规范化整治技术要求（试行）》等规定，排污单位在建设污染治理设施的同时，建设规范化排放口。</w:t>
            </w:r>
          </w:p>
          <w:p>
            <w:pPr>
              <w:pStyle w:val="54"/>
              <w:bidi w:val="0"/>
              <w:rPr>
                <w:rFonts w:hint="default"/>
                <w:color w:val="auto"/>
                <w:lang w:val="en-US" w:eastAsia="zh-CN"/>
              </w:rPr>
            </w:pPr>
            <w:r>
              <w:rPr>
                <w:rFonts w:hint="default"/>
                <w:color w:val="auto"/>
                <w:lang w:val="en-US" w:eastAsia="zh-CN"/>
              </w:rPr>
              <w:t>（1）企业污染物排放口的标志，应按国家《环境保护图形标志—排放口</w:t>
            </w:r>
            <w:r>
              <w:rPr>
                <w:rFonts w:hint="eastAsia"/>
                <w:color w:val="auto"/>
                <w:lang w:val="en-US" w:eastAsia="zh-CN"/>
              </w:rPr>
              <w:t>（</w:t>
            </w:r>
            <w:r>
              <w:rPr>
                <w:rFonts w:hint="default"/>
                <w:color w:val="auto"/>
                <w:lang w:val="en-US" w:eastAsia="zh-CN"/>
              </w:rPr>
              <w:t>源</w:t>
            </w:r>
            <w:r>
              <w:rPr>
                <w:rFonts w:hint="eastAsia"/>
                <w:color w:val="auto"/>
                <w:lang w:val="en-US" w:eastAsia="zh-CN"/>
              </w:rPr>
              <w:t>）</w:t>
            </w:r>
            <w:r>
              <w:rPr>
                <w:rFonts w:hint="default"/>
                <w:color w:val="auto"/>
                <w:lang w:val="en-US" w:eastAsia="zh-CN"/>
              </w:rPr>
              <w:t>》</w:t>
            </w:r>
            <w:r>
              <w:rPr>
                <w:rFonts w:hint="eastAsia"/>
                <w:color w:val="auto"/>
                <w:lang w:val="en-US" w:eastAsia="zh-CN"/>
              </w:rPr>
              <w:t xml:space="preserve">（GB </w:t>
            </w:r>
            <w:r>
              <w:rPr>
                <w:rFonts w:hint="default"/>
                <w:color w:val="auto"/>
                <w:lang w:val="en-US" w:eastAsia="zh-CN"/>
              </w:rPr>
              <w:t>15562.1-1995</w:t>
            </w:r>
            <w:r>
              <w:rPr>
                <w:rFonts w:hint="eastAsia"/>
                <w:color w:val="auto"/>
                <w:lang w:val="en-US" w:eastAsia="zh-CN"/>
              </w:rPr>
              <w:t>）</w:t>
            </w:r>
            <w:r>
              <w:rPr>
                <w:rFonts w:hint="default"/>
                <w:color w:val="auto"/>
                <w:lang w:val="en-US" w:eastAsia="zh-CN"/>
              </w:rPr>
              <w:t>及《环境保护图形标志—固体废物贮存（处置）场》（GB 15562.2-1995）及其修改单的规定，设置国家环保总局统一制作的环境保护图形标志牌。</w:t>
            </w:r>
          </w:p>
          <w:p>
            <w:pPr>
              <w:pStyle w:val="54"/>
              <w:bidi w:val="0"/>
              <w:rPr>
                <w:rFonts w:hint="default"/>
                <w:color w:val="auto"/>
                <w:lang w:val="en-US" w:eastAsia="zh-CN"/>
              </w:rPr>
            </w:pPr>
            <w:r>
              <w:rPr>
                <w:rFonts w:hint="default"/>
                <w:color w:val="auto"/>
                <w:lang w:val="en-US" w:eastAsia="zh-CN"/>
              </w:rPr>
              <w:t>（2）标志牌设置位置应距排污口或采样点较近且醒目处，设置高度一般为标志牌上缘距离地面约2m</w:t>
            </w:r>
            <w:r>
              <w:rPr>
                <w:rFonts w:hint="eastAsia"/>
                <w:color w:val="auto"/>
                <w:lang w:val="en-US" w:eastAsia="zh-CN"/>
              </w:rPr>
              <w:t>。</w:t>
            </w:r>
          </w:p>
          <w:p>
            <w:pPr>
              <w:pStyle w:val="54"/>
              <w:bidi w:val="0"/>
              <w:rPr>
                <w:rFonts w:hint="default"/>
                <w:color w:val="auto"/>
                <w:lang w:val="en-US" w:eastAsia="zh-CN"/>
              </w:rPr>
            </w:pPr>
            <w:r>
              <w:rPr>
                <w:rFonts w:hint="default"/>
                <w:color w:val="auto"/>
                <w:lang w:val="en-US" w:eastAsia="zh-CN"/>
              </w:rPr>
              <w:t>（3）项目应</w:t>
            </w:r>
            <w:r>
              <w:rPr>
                <w:rFonts w:hint="eastAsia"/>
                <w:color w:val="auto"/>
                <w:lang w:val="en-US" w:eastAsia="zh-CN"/>
              </w:rPr>
              <w:t>根据</w:t>
            </w:r>
            <w:r>
              <w:rPr>
                <w:rFonts w:hint="default"/>
                <w:color w:val="auto"/>
                <w:lang w:val="en-US" w:eastAsia="zh-CN"/>
              </w:rPr>
              <w:t>《中华人民共和国规范化排污口标志牌登记证》，并按要求填写有关内容。根据排污口管理档案内容要求，项目投产后，应将上述所有污染排放口名称、位置，以及排放污染物名称、数量、浓度、排放去向等内容进行统计，并登记上报所在地</w:t>
            </w:r>
            <w:r>
              <w:rPr>
                <w:rFonts w:hint="eastAsia"/>
                <w:color w:val="auto"/>
                <w:lang w:val="en-US" w:eastAsia="zh-CN"/>
              </w:rPr>
              <w:t>生态环境主管部门</w:t>
            </w:r>
            <w:r>
              <w:rPr>
                <w:rFonts w:hint="default"/>
                <w:color w:val="auto"/>
                <w:lang w:val="en-US" w:eastAsia="zh-CN"/>
              </w:rPr>
              <w:t>，以便进行验收和排放口的规范化管理，并接受社会监督。</w:t>
            </w:r>
          </w:p>
          <w:p>
            <w:pPr>
              <w:pStyle w:val="26"/>
              <w:bidi w:val="0"/>
              <w:rPr>
                <w:rFonts w:hint="default" w:ascii="Times New Roman" w:hAnsi="Times New Roman" w:eastAsia="宋体" w:cs="Times New Roman"/>
                <w:color w:val="auto"/>
                <w:szCs w:val="21"/>
                <w:lang w:val="en-US" w:eastAsia="zh-CN"/>
              </w:rPr>
            </w:pPr>
            <w:r>
              <w:rPr>
                <w:rFonts w:hint="eastAsia"/>
                <w:color w:val="auto"/>
                <w:lang w:val="en-US" w:eastAsia="zh-CN"/>
              </w:rPr>
              <w:t>表</w:t>
            </w:r>
            <w:r>
              <w:rPr>
                <w:rFonts w:hint="default"/>
                <w:color w:val="auto"/>
                <w:lang w:val="en-US" w:eastAsia="zh-CN"/>
              </w:rPr>
              <w:t>4-1</w:t>
            </w:r>
            <w:r>
              <w:rPr>
                <w:rFonts w:hint="eastAsia"/>
                <w:color w:val="auto"/>
                <w:lang w:val="en-US" w:eastAsia="zh-CN"/>
              </w:rPr>
              <w:t xml:space="preserve">3 </w:t>
            </w:r>
            <w:r>
              <w:rPr>
                <w:rFonts w:hint="default"/>
                <w:color w:val="auto"/>
                <w:lang w:val="en-US" w:eastAsia="zh-CN"/>
              </w:rPr>
              <w:t xml:space="preserve"> 环境保护图形标志形状及颜色一览表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标志名称</w:t>
                  </w:r>
                </w:p>
              </w:tc>
              <w:tc>
                <w:tcPr>
                  <w:tcW w:w="2130"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形状</w:t>
                  </w:r>
                </w:p>
              </w:tc>
              <w:tc>
                <w:tcPr>
                  <w:tcW w:w="2131"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背景颜色</w:t>
                  </w:r>
                </w:p>
              </w:tc>
              <w:tc>
                <w:tcPr>
                  <w:tcW w:w="2131"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图形颜色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警告标志</w:t>
                  </w:r>
                </w:p>
              </w:tc>
              <w:tc>
                <w:tcPr>
                  <w:tcW w:w="2130"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三角形边框</w:t>
                  </w:r>
                </w:p>
              </w:tc>
              <w:tc>
                <w:tcPr>
                  <w:tcW w:w="2131"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黄色</w:t>
                  </w:r>
                </w:p>
              </w:tc>
              <w:tc>
                <w:tcPr>
                  <w:tcW w:w="2131"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黑色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提示标志</w:t>
                  </w:r>
                </w:p>
              </w:tc>
              <w:tc>
                <w:tcPr>
                  <w:tcW w:w="2130"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正方形边框</w:t>
                  </w:r>
                </w:p>
              </w:tc>
              <w:tc>
                <w:tcPr>
                  <w:tcW w:w="2131"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绿色</w:t>
                  </w:r>
                </w:p>
              </w:tc>
              <w:tc>
                <w:tcPr>
                  <w:tcW w:w="2131" w:type="dxa"/>
                  <w:tcBorders>
                    <w:tl2br w:val="nil"/>
                    <w:tr2bl w:val="nil"/>
                  </w:tcBorders>
                  <w:vAlign w:val="center"/>
                </w:tcPr>
                <w:p>
                  <w:pPr>
                    <w:pStyle w:val="27"/>
                    <w:bidi w:val="0"/>
                    <w:rPr>
                      <w:rFonts w:hint="default"/>
                      <w:color w:val="auto"/>
                      <w:lang w:val="en-US" w:eastAsia="zh-CN"/>
                    </w:rPr>
                  </w:pPr>
                  <w:r>
                    <w:rPr>
                      <w:rFonts w:hint="default"/>
                      <w:color w:val="auto"/>
                      <w:lang w:val="en-US" w:eastAsia="zh-CN"/>
                    </w:rPr>
                    <w:t>白色</w:t>
                  </w:r>
                </w:p>
              </w:tc>
            </w:tr>
          </w:tbl>
          <w:p>
            <w:pPr>
              <w:pStyle w:val="26"/>
              <w:bidi w:val="0"/>
              <w:rPr>
                <w:rFonts w:hint="default"/>
                <w:color w:val="auto"/>
                <w:lang w:val="en-US" w:eastAsia="zh-CN"/>
              </w:rPr>
            </w:pPr>
            <w:bookmarkStart w:id="4" w:name="_Ref7057"/>
            <w:r>
              <w:rPr>
                <w:rFonts w:hint="default"/>
                <w:color w:val="auto"/>
              </w:rPr>
              <w:t>表</w:t>
            </w:r>
            <w:bookmarkEnd w:id="4"/>
            <w:r>
              <w:rPr>
                <w:rFonts w:hint="eastAsia"/>
                <w:color w:val="auto"/>
                <w:lang w:val="en-US" w:eastAsia="zh-CN"/>
              </w:rPr>
              <w:t xml:space="preserve">4-14 </w:t>
            </w:r>
            <w:r>
              <w:rPr>
                <w:rFonts w:hint="default"/>
                <w:color w:val="auto"/>
                <w:lang w:val="en-US" w:eastAsia="zh-CN"/>
              </w:rPr>
              <w:t xml:space="preserve"> 环境保护图形符号一览表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63"/>
              <w:gridCol w:w="1837"/>
              <w:gridCol w:w="1450"/>
              <w:gridCol w:w="2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984"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提示图形符号</w:t>
                  </w:r>
                </w:p>
              </w:tc>
              <w:tc>
                <w:tcPr>
                  <w:tcW w:w="1157"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警告图形符号</w:t>
                  </w:r>
                </w:p>
              </w:tc>
              <w:tc>
                <w:tcPr>
                  <w:tcW w:w="913"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名称</w:t>
                  </w:r>
                </w:p>
              </w:tc>
              <w:tc>
                <w:tcPr>
                  <w:tcW w:w="1446"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984"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720090" cy="720090"/>
                        <wp:effectExtent l="0" t="0" r="3810" b="3810"/>
                        <wp:docPr id="6" name="图片 6" descr="175203429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52034295922"/>
                                <pic:cNvPicPr>
                                  <a:picLocks noChangeAspect="1"/>
                                </pic:cNvPicPr>
                              </pic:nvPicPr>
                              <pic:blipFill>
                                <a:blip r:embed="rId27"/>
                                <a:stretch>
                                  <a:fillRect/>
                                </a:stretch>
                              </pic:blipFill>
                              <pic:spPr>
                                <a:xfrm>
                                  <a:off x="0" y="0"/>
                                  <a:ext cx="720090" cy="720090"/>
                                </a:xfrm>
                                <a:prstGeom prst="rect">
                                  <a:avLst/>
                                </a:prstGeom>
                              </pic:spPr>
                            </pic:pic>
                          </a:graphicData>
                        </a:graphic>
                      </wp:inline>
                    </w:drawing>
                  </w:r>
                </w:p>
              </w:tc>
              <w:tc>
                <w:tcPr>
                  <w:tcW w:w="1157"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720090" cy="657860"/>
                        <wp:effectExtent l="0" t="0" r="3810" b="8890"/>
                        <wp:docPr id="7" name="图片 7" descr="175203438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2034383543"/>
                                <pic:cNvPicPr>
                                  <a:picLocks noChangeAspect="1"/>
                                </pic:cNvPicPr>
                              </pic:nvPicPr>
                              <pic:blipFill>
                                <a:blip r:embed="rId28"/>
                                <a:stretch>
                                  <a:fillRect/>
                                </a:stretch>
                              </pic:blipFill>
                              <pic:spPr>
                                <a:xfrm>
                                  <a:off x="0" y="0"/>
                                  <a:ext cx="720090" cy="657860"/>
                                </a:xfrm>
                                <a:prstGeom prst="rect">
                                  <a:avLst/>
                                </a:prstGeom>
                              </pic:spPr>
                            </pic:pic>
                          </a:graphicData>
                        </a:graphic>
                      </wp:inline>
                    </w:drawing>
                  </w:r>
                </w:p>
              </w:tc>
              <w:tc>
                <w:tcPr>
                  <w:tcW w:w="913"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废气排放口</w:t>
                  </w:r>
                </w:p>
              </w:tc>
              <w:tc>
                <w:tcPr>
                  <w:tcW w:w="1446"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表示废气向大气环境排放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2</w:t>
                  </w:r>
                </w:p>
              </w:tc>
              <w:tc>
                <w:tcPr>
                  <w:tcW w:w="984"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720090" cy="760095"/>
                        <wp:effectExtent l="0" t="0" r="3810" b="1905"/>
                        <wp:docPr id="55" name="图片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20090" cy="760095"/>
                                </a:xfrm>
                                <a:prstGeom prst="rect">
                                  <a:avLst/>
                                </a:prstGeom>
                                <a:noFill/>
                                <a:ln>
                                  <a:noFill/>
                                </a:ln>
                              </pic:spPr>
                            </pic:pic>
                          </a:graphicData>
                        </a:graphic>
                      </wp:inline>
                    </w:drawing>
                  </w:r>
                </w:p>
              </w:tc>
              <w:tc>
                <w:tcPr>
                  <w:tcW w:w="1157"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720090" cy="691515"/>
                        <wp:effectExtent l="0" t="0" r="3810" b="1333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20090" cy="691515"/>
                                </a:xfrm>
                                <a:prstGeom prst="rect">
                                  <a:avLst/>
                                </a:prstGeom>
                                <a:noFill/>
                                <a:ln>
                                  <a:noFill/>
                                </a:ln>
                              </pic:spPr>
                            </pic:pic>
                          </a:graphicData>
                        </a:graphic>
                      </wp:inline>
                    </w:drawing>
                  </w:r>
                </w:p>
              </w:tc>
              <w:tc>
                <w:tcPr>
                  <w:tcW w:w="913"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一般固体废物</w:t>
                  </w:r>
                </w:p>
              </w:tc>
              <w:tc>
                <w:tcPr>
                  <w:tcW w:w="1446"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表示一般固体废物贮存、处置场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3</w:t>
                  </w:r>
                </w:p>
              </w:tc>
              <w:tc>
                <w:tcPr>
                  <w:tcW w:w="984"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720090" cy="720090"/>
                        <wp:effectExtent l="0" t="0" r="3810" b="3810"/>
                        <wp:docPr id="5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a:ln>
                                  <a:noFill/>
                                </a:ln>
                              </pic:spPr>
                            </pic:pic>
                          </a:graphicData>
                        </a:graphic>
                      </wp:inline>
                    </w:drawing>
                  </w:r>
                </w:p>
              </w:tc>
              <w:tc>
                <w:tcPr>
                  <w:tcW w:w="1157"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0" distR="0">
                        <wp:extent cx="720090" cy="665480"/>
                        <wp:effectExtent l="0" t="0" r="3810" b="1270"/>
                        <wp:docPr id="5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20090" cy="665480"/>
                                </a:xfrm>
                                <a:prstGeom prst="rect">
                                  <a:avLst/>
                                </a:prstGeom>
                                <a:noFill/>
                                <a:ln>
                                  <a:noFill/>
                                </a:ln>
                              </pic:spPr>
                            </pic:pic>
                          </a:graphicData>
                        </a:graphic>
                      </wp:inline>
                    </w:drawing>
                  </w:r>
                </w:p>
              </w:tc>
              <w:tc>
                <w:tcPr>
                  <w:tcW w:w="913"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噪声排放源</w:t>
                  </w:r>
                </w:p>
              </w:tc>
              <w:tc>
                <w:tcPr>
                  <w:tcW w:w="1446" w:type="pct"/>
                  <w:tcBorders>
                    <w:tl2br w:val="nil"/>
                    <w:tr2bl w:val="nil"/>
                  </w:tcBorders>
                  <w:vAlign w:val="center"/>
                </w:tcPr>
                <w:p>
                  <w:pPr>
                    <w:pStyle w:val="2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表示噪声向外环境排放</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napToGrid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snapToGrid w:val="0"/>
                <w:color w:val="auto"/>
                <w:sz w:val="24"/>
                <w:szCs w:val="24"/>
                <w:lang w:val="en-US" w:eastAsia="zh-CN"/>
              </w:rPr>
            </w:pPr>
          </w:p>
        </w:tc>
      </w:tr>
    </w:tbl>
    <w:p>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5" w:name="_Hlk54167917"/>
      <w:r>
        <w:rPr>
          <w:rFonts w:hint="eastAsia" w:ascii="黑体" w:hAnsi="黑体" w:eastAsia="黑体"/>
          <w:snapToGrid w:val="0"/>
          <w:color w:val="auto"/>
          <w:sz w:val="30"/>
          <w:szCs w:val="30"/>
        </w:rPr>
        <w:t>环境保护措施监督检查清单</w:t>
      </w:r>
      <w:bookmarkEnd w:id="5"/>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p>
            <w:pPr>
              <w:adjustRightInd w:val="0"/>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1755"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w:t>
            </w:r>
            <w:r>
              <w:rPr>
                <w:rFonts w:hint="eastAsia" w:cs="Times New Roman"/>
                <w:color w:val="auto"/>
                <w:sz w:val="21"/>
                <w:szCs w:val="21"/>
                <w:lang w:eastAsia="zh-CN"/>
              </w:rPr>
              <w:t>（</w:t>
            </w:r>
            <w:r>
              <w:rPr>
                <w:rFonts w:hint="default" w:ascii="Times New Roman" w:hAnsi="Times New Roman" w:cs="Times New Roman"/>
                <w:color w:val="auto"/>
                <w:sz w:val="21"/>
                <w:szCs w:val="21"/>
              </w:rPr>
              <w:t>编号、</w:t>
            </w:r>
          </w:p>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r>
              <w:rPr>
                <w:rFonts w:hint="eastAsia" w:cs="Times New Roman"/>
                <w:color w:val="auto"/>
                <w:sz w:val="21"/>
                <w:szCs w:val="21"/>
                <w:lang w:eastAsia="zh-CN"/>
              </w:rPr>
              <w:t>）</w:t>
            </w:r>
            <w:r>
              <w:rPr>
                <w:rFonts w:hint="default" w:ascii="Times New Roman" w:hAnsi="Times New Roman" w:cs="Times New Roman"/>
                <w:color w:val="auto"/>
                <w:sz w:val="21"/>
                <w:szCs w:val="21"/>
              </w:rPr>
              <w:t>/污染源</w:t>
            </w:r>
          </w:p>
        </w:tc>
        <w:tc>
          <w:tcPr>
            <w:tcW w:w="1755"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1755"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环境保护措施</w:t>
            </w:r>
          </w:p>
        </w:tc>
        <w:tc>
          <w:tcPr>
            <w:tcW w:w="1757"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DA001</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颗粒物</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在投料口处设计了三面封闭的投料斗，投料斗顶部设计有集气罩，侧面有吸尘管，集气罩吸尘管连接到高效脉冲布袋除尘器对产生的粉尘进行处理后通过1根DA001高度为15m的排气筒排放</w:t>
            </w:r>
          </w:p>
        </w:tc>
        <w:tc>
          <w:tcPr>
            <w:tcW w:w="1757" w:type="dxa"/>
            <w:vMerge w:val="restart"/>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color w:val="auto"/>
                <w:lang w:val="en-US" w:eastAsia="zh-CN"/>
              </w:rPr>
              <w:t>《大气污染物综合排放标准》（GB 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color w:val="auto"/>
                <w:sz w:val="21"/>
                <w:szCs w:val="21"/>
              </w:rPr>
            </w:pPr>
          </w:p>
        </w:tc>
        <w:tc>
          <w:tcPr>
            <w:tcW w:w="1755" w:type="dxa"/>
            <w:noWrap w:val="0"/>
            <w:vAlign w:val="center"/>
          </w:tcPr>
          <w:p>
            <w:pPr>
              <w:adjustRightInd w:val="0"/>
              <w:snapToGrid w:val="0"/>
              <w:jc w:val="center"/>
              <w:rPr>
                <w:rFonts w:hint="default"/>
                <w:color w:val="auto"/>
                <w:lang w:val="en-US" w:eastAsia="zh-CN"/>
              </w:rPr>
            </w:pPr>
            <w:r>
              <w:rPr>
                <w:rFonts w:hint="eastAsia"/>
                <w:color w:val="auto"/>
                <w:lang w:val="en-US" w:eastAsia="zh-CN"/>
              </w:rPr>
              <w:t>DA002</w:t>
            </w:r>
          </w:p>
        </w:tc>
        <w:tc>
          <w:tcPr>
            <w:tcW w:w="1755" w:type="dxa"/>
            <w:noWrap w:val="0"/>
            <w:vAlign w:val="center"/>
          </w:tcPr>
          <w:p>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颗粒物</w:t>
            </w:r>
          </w:p>
        </w:tc>
        <w:tc>
          <w:tcPr>
            <w:tcW w:w="1755" w:type="dxa"/>
            <w:noWrap w:val="0"/>
            <w:vAlign w:val="center"/>
          </w:tcPr>
          <w:p>
            <w:pPr>
              <w:adjustRightInd w:val="0"/>
              <w:snapToGrid w:val="0"/>
              <w:jc w:val="center"/>
              <w:rPr>
                <w:rFonts w:hint="eastAsia"/>
                <w:color w:val="auto"/>
                <w:lang w:val="en-US" w:eastAsia="zh-CN"/>
              </w:rPr>
            </w:pPr>
            <w:r>
              <w:rPr>
                <w:rFonts w:hint="eastAsia"/>
                <w:color w:val="auto"/>
                <w:lang w:val="en-US" w:eastAsia="zh-CN"/>
              </w:rPr>
              <w:t>产生的粉尘经6台高效脉冲布袋除尘器除尘后通过1根DA002高度为15m的排气筒排放</w:t>
            </w:r>
          </w:p>
        </w:tc>
        <w:tc>
          <w:tcPr>
            <w:tcW w:w="1757" w:type="dxa"/>
            <w:vMerge w:val="continue"/>
            <w:noWrap w:val="0"/>
            <w:vAlign w:val="center"/>
          </w:tcPr>
          <w:p>
            <w:pPr>
              <w:adjustRightInd w:val="0"/>
              <w:snapToGrid w:val="0"/>
              <w:jc w:val="center"/>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color w:val="auto"/>
                <w:sz w:val="21"/>
                <w:szCs w:val="21"/>
              </w:rPr>
            </w:pPr>
          </w:p>
        </w:tc>
        <w:tc>
          <w:tcPr>
            <w:tcW w:w="1755" w:type="dxa"/>
            <w:noWrap w:val="0"/>
            <w:vAlign w:val="center"/>
          </w:tcPr>
          <w:p>
            <w:pPr>
              <w:adjustRightInd w:val="0"/>
              <w:snapToGrid w:val="0"/>
              <w:jc w:val="center"/>
              <w:rPr>
                <w:rFonts w:hint="default"/>
                <w:color w:val="auto"/>
                <w:lang w:val="en-US" w:eastAsia="zh-CN"/>
              </w:rPr>
            </w:pPr>
            <w:r>
              <w:rPr>
                <w:rFonts w:hint="eastAsia"/>
                <w:color w:val="auto"/>
                <w:lang w:val="en-US" w:eastAsia="zh-CN"/>
              </w:rPr>
              <w:t>DA003</w:t>
            </w:r>
          </w:p>
        </w:tc>
        <w:tc>
          <w:tcPr>
            <w:tcW w:w="1755" w:type="dxa"/>
            <w:noWrap w:val="0"/>
            <w:vAlign w:val="center"/>
          </w:tcPr>
          <w:p>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颗粒物</w:t>
            </w:r>
          </w:p>
        </w:tc>
        <w:tc>
          <w:tcPr>
            <w:tcW w:w="1755" w:type="dxa"/>
            <w:noWrap w:val="0"/>
            <w:vAlign w:val="center"/>
          </w:tcPr>
          <w:p>
            <w:pPr>
              <w:adjustRightInd w:val="0"/>
              <w:snapToGrid w:val="0"/>
              <w:jc w:val="center"/>
              <w:rPr>
                <w:rFonts w:hint="eastAsia"/>
                <w:color w:val="auto"/>
                <w:lang w:val="en-US" w:eastAsia="zh-CN"/>
              </w:rPr>
            </w:pPr>
            <w:r>
              <w:rPr>
                <w:rFonts w:hint="eastAsia"/>
                <w:color w:val="auto"/>
                <w:lang w:val="en-US" w:eastAsia="zh-CN"/>
              </w:rPr>
              <w:t>在包装机易泄露粉尘的位置设计多个吸尘口，1#和2#包装机产生的粉尘通过收集经高效脉冲布袋除尘器处理后通过1根DA003高度为15m的排气筒排放</w:t>
            </w:r>
          </w:p>
        </w:tc>
        <w:tc>
          <w:tcPr>
            <w:tcW w:w="1757" w:type="dxa"/>
            <w:vMerge w:val="continue"/>
            <w:noWrap w:val="0"/>
            <w:vAlign w:val="center"/>
          </w:tcPr>
          <w:p>
            <w:pPr>
              <w:adjustRightInd w:val="0"/>
              <w:snapToGrid w:val="0"/>
              <w:jc w:val="center"/>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color w:val="auto"/>
                <w:sz w:val="21"/>
                <w:szCs w:val="21"/>
              </w:rPr>
            </w:pPr>
          </w:p>
        </w:tc>
        <w:tc>
          <w:tcPr>
            <w:tcW w:w="1755" w:type="dxa"/>
            <w:noWrap w:val="0"/>
            <w:vAlign w:val="center"/>
          </w:tcPr>
          <w:p>
            <w:pPr>
              <w:adjustRightInd w:val="0"/>
              <w:snapToGrid w:val="0"/>
              <w:jc w:val="center"/>
              <w:rPr>
                <w:rFonts w:hint="default"/>
                <w:color w:val="auto"/>
                <w:lang w:val="en-US" w:eastAsia="zh-CN"/>
              </w:rPr>
            </w:pPr>
            <w:r>
              <w:rPr>
                <w:rFonts w:hint="eastAsia"/>
                <w:color w:val="auto"/>
                <w:lang w:val="en-US" w:eastAsia="zh-CN"/>
              </w:rPr>
              <w:t>DA004</w:t>
            </w:r>
          </w:p>
        </w:tc>
        <w:tc>
          <w:tcPr>
            <w:tcW w:w="1755" w:type="dxa"/>
            <w:noWrap w:val="0"/>
            <w:vAlign w:val="center"/>
          </w:tcPr>
          <w:p>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颗粒物</w:t>
            </w:r>
          </w:p>
        </w:tc>
        <w:tc>
          <w:tcPr>
            <w:tcW w:w="1755" w:type="dxa"/>
            <w:noWrap w:val="0"/>
            <w:vAlign w:val="center"/>
          </w:tcPr>
          <w:p>
            <w:pPr>
              <w:adjustRightInd w:val="0"/>
              <w:snapToGrid w:val="0"/>
              <w:jc w:val="center"/>
              <w:rPr>
                <w:rFonts w:hint="eastAsia"/>
                <w:color w:val="auto"/>
                <w:lang w:val="en-US" w:eastAsia="zh-CN"/>
              </w:rPr>
            </w:pPr>
            <w:r>
              <w:rPr>
                <w:rFonts w:hint="eastAsia"/>
                <w:color w:val="auto"/>
                <w:lang w:val="en-US" w:eastAsia="zh-CN"/>
              </w:rPr>
              <w:t>在包装机易泄露粉尘的位置设计多个吸尘口，3#、4#、5#和6#包装机产生的粉尘通过收集经高效脉冲布袋除尘器处理后通过1根DA004高度为15m的排气筒排放</w:t>
            </w:r>
          </w:p>
        </w:tc>
        <w:tc>
          <w:tcPr>
            <w:tcW w:w="1757" w:type="dxa"/>
            <w:vMerge w:val="continue"/>
            <w:noWrap w:val="0"/>
            <w:vAlign w:val="center"/>
          </w:tcPr>
          <w:p>
            <w:pPr>
              <w:adjustRightInd w:val="0"/>
              <w:snapToGrid w:val="0"/>
              <w:jc w:val="center"/>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color w:val="auto"/>
                <w:sz w:val="21"/>
                <w:szCs w:val="21"/>
              </w:rPr>
            </w:pPr>
          </w:p>
        </w:tc>
        <w:tc>
          <w:tcPr>
            <w:tcW w:w="1755" w:type="dxa"/>
            <w:noWrap w:val="0"/>
            <w:vAlign w:val="center"/>
          </w:tcPr>
          <w:p>
            <w:pPr>
              <w:adjustRightInd w:val="0"/>
              <w:snapToGrid w:val="0"/>
              <w:jc w:val="center"/>
              <w:rPr>
                <w:rFonts w:hint="default"/>
                <w:color w:val="auto"/>
                <w:lang w:val="en-US" w:eastAsia="zh-CN"/>
              </w:rPr>
            </w:pPr>
            <w:r>
              <w:rPr>
                <w:rFonts w:hint="eastAsia"/>
                <w:color w:val="auto"/>
                <w:lang w:val="en-US" w:eastAsia="zh-CN"/>
              </w:rPr>
              <w:t>厂界</w:t>
            </w:r>
          </w:p>
        </w:tc>
        <w:tc>
          <w:tcPr>
            <w:tcW w:w="1755" w:type="dxa"/>
            <w:noWrap w:val="0"/>
            <w:vAlign w:val="center"/>
          </w:tcPr>
          <w:p>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颗粒物</w:t>
            </w:r>
          </w:p>
        </w:tc>
        <w:tc>
          <w:tcPr>
            <w:tcW w:w="1755" w:type="dxa"/>
            <w:noWrap w:val="0"/>
            <w:vAlign w:val="center"/>
          </w:tcPr>
          <w:p>
            <w:pPr>
              <w:adjustRightInd w:val="0"/>
              <w:snapToGrid w:val="0"/>
              <w:jc w:val="center"/>
              <w:rPr>
                <w:rFonts w:hint="default"/>
                <w:color w:val="auto"/>
                <w:lang w:val="en-US" w:eastAsia="zh-CN"/>
              </w:rPr>
            </w:pPr>
            <w:r>
              <w:rPr>
                <w:rFonts w:hint="eastAsia"/>
                <w:color w:val="auto"/>
                <w:lang w:val="en-US" w:eastAsia="zh-CN"/>
              </w:rPr>
              <w:t>加强管理及监测</w:t>
            </w:r>
          </w:p>
        </w:tc>
        <w:tc>
          <w:tcPr>
            <w:tcW w:w="1757" w:type="dxa"/>
            <w:noWrap w:val="0"/>
            <w:vAlign w:val="center"/>
          </w:tcPr>
          <w:p>
            <w:pPr>
              <w:adjustRightInd w:val="0"/>
              <w:snapToGrid w:val="0"/>
              <w:jc w:val="center"/>
              <w:rPr>
                <w:rFonts w:hint="eastAsia"/>
                <w:color w:val="auto"/>
                <w:lang w:val="en-US" w:eastAsia="zh-CN"/>
              </w:rPr>
            </w:pPr>
            <w:r>
              <w:rPr>
                <w:rFonts w:hint="default"/>
                <w:color w:val="auto"/>
                <w:lang w:val="en-US" w:eastAsia="zh-CN"/>
              </w:rPr>
              <w:t>《大气污染物综合排放标准》（GB 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1755"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olor w:val="auto"/>
                <w:lang w:val="en-US" w:eastAsia="zh-CN"/>
              </w:rPr>
              <w:t>生活污水</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化学需氧量、氨氮、总磷、总氮</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本项目运营过程中生活污水不在本项目厂区内产生，依托国投罗钾公司厂区现有污水处理站进行处理。</w:t>
            </w:r>
          </w:p>
        </w:tc>
        <w:tc>
          <w:tcPr>
            <w:tcW w:w="1757"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《城镇污水处理厂污染物排放标准》（GB 18918-2002）一级A标准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设备噪声</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等效连续A声级</w:t>
            </w:r>
          </w:p>
        </w:tc>
        <w:tc>
          <w:tcPr>
            <w:tcW w:w="1755"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选取低噪声设备、基础减振及消声器等措施。</w:t>
            </w:r>
          </w:p>
        </w:tc>
        <w:tc>
          <w:tcPr>
            <w:tcW w:w="1757"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w:t>
            </w:r>
            <w:r>
              <w:rPr>
                <w:rFonts w:hint="eastAsia" w:cs="Times New Roman"/>
                <w:color w:val="auto"/>
                <w:sz w:val="21"/>
                <w:szCs w:val="21"/>
                <w:lang w:val="en-US" w:eastAsia="zh-CN"/>
              </w:rPr>
              <w:t>工业企业厂界环境噪声排放标准</w:t>
            </w:r>
            <w:r>
              <w:rPr>
                <w:rFonts w:hint="eastAsia" w:cs="Times New Roman"/>
                <w:color w:val="auto"/>
                <w:sz w:val="21"/>
                <w:szCs w:val="21"/>
                <w:lang w:eastAsia="zh-CN"/>
              </w:rPr>
              <w:t>》（</w:t>
            </w:r>
            <w:r>
              <w:rPr>
                <w:rFonts w:hint="eastAsia" w:cs="Times New Roman"/>
                <w:color w:val="auto"/>
                <w:sz w:val="21"/>
                <w:szCs w:val="21"/>
                <w:lang w:val="en-US" w:eastAsia="zh-CN"/>
              </w:rPr>
              <w:t>GB 12348-2008</w:t>
            </w:r>
            <w:r>
              <w:rPr>
                <w:rFonts w:hint="eastAsia" w:cs="Times New Roman"/>
                <w:color w:val="auto"/>
                <w:sz w:val="21"/>
                <w:szCs w:val="21"/>
                <w:lang w:eastAsia="zh-CN"/>
              </w:rPr>
              <w:t>）</w:t>
            </w:r>
            <w:r>
              <w:rPr>
                <w:rFonts w:hint="eastAsia" w:cs="Times New Roman"/>
                <w:color w:val="auto"/>
                <w:sz w:val="21"/>
                <w:szCs w:val="21"/>
                <w:lang w:val="en-US" w:eastAsia="zh-CN"/>
              </w:rPr>
              <w:t>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1755"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55"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55"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57"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vertAlign w:val="baseline"/>
                <w:lang w:val="en-US" w:eastAsia="zh-CN"/>
              </w:rPr>
              <w:t>本项目投料除尘器收集的颗粒物通过螺旋输送器送入料斗进入生产工序；超微粉碎机除尘器收集的颗粒物进入封闭式刮板机，输送至包装料仓；包装除尘器收集的颗粒物定期转入料仓重复使用；生活垃圾设垃圾箱，拉运至当地生活垃圾填埋场进行处理；</w:t>
            </w:r>
            <w:r>
              <w:rPr>
                <w:rFonts w:hint="eastAsia" w:cs="Times New Roman"/>
                <w:color w:val="auto"/>
                <w:sz w:val="21"/>
                <w:szCs w:val="21"/>
                <w:vertAlign w:val="baseline"/>
                <w:lang w:val="en-US" w:eastAsia="zh-CN"/>
              </w:rPr>
              <w:t>废润滑</w:t>
            </w:r>
            <w:r>
              <w:rPr>
                <w:rFonts w:hint="default" w:ascii="Times New Roman" w:hAnsi="Times New Roman" w:eastAsia="宋体" w:cs="Times New Roman"/>
                <w:color w:val="auto"/>
                <w:sz w:val="21"/>
                <w:szCs w:val="21"/>
                <w:vertAlign w:val="baseline"/>
                <w:lang w:val="en-US" w:eastAsia="zh-CN"/>
              </w:rPr>
              <w:t>油暂存于国投罗钾现有危废贮存库储存，定期委托有资质的第三方进行运输和处置。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70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38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pacing w:val="-10"/>
                <w:kern w:val="2"/>
                <w:sz w:val="21"/>
                <w:szCs w:val="21"/>
                <w:lang w:val="en-US" w:eastAsia="zh-CN" w:bidi="ar-SA"/>
              </w:rPr>
              <w:t>简单防渗区：对生产区地面采取水泥地面硬化，减少裸露地面。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0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vertAlign w:val="baseline"/>
                <w:lang w:val="en-US" w:eastAsia="zh-CN"/>
              </w:rPr>
              <w:t>着重以防止和减少污染，保护和改善环境为主，在节约用地的原则下，尽可能布置绿化，并适当考虑美化效果；加大绿化覆盖率。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noWrap w:val="0"/>
            <w:vAlign w:val="center"/>
          </w:tcPr>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w:t>
            </w:r>
          </w:p>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防范措施</w:t>
            </w:r>
          </w:p>
        </w:tc>
        <w:tc>
          <w:tcPr>
            <w:tcW w:w="7022" w:type="dxa"/>
            <w:gridSpan w:val="4"/>
            <w:noWrap w:val="0"/>
            <w:vAlign w:val="center"/>
          </w:tcPr>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防范措施：</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（1）主要负责人及安全管理必须取得安全合格证。</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（2）应制定站内各类人员安全生产责任制和安全操作规程。</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（3）加强电气等检修作业的管理：</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①电气作业严格执行作业票制度。电工作业人员应经安全技术培训，考试合格，取得相应的资格证书后，才能从事电工作业，禁止非电工作业人员从事任何电工作业。</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（4）对从业人员进行安全培训。</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（5）建立健全各种设备管理制度、管理台帐和技术档案，尤其要完善设备的检、维修管理制度。加强对设备运行的监视、检查、定期维护保养等管理工作。</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6）冬寒、暑热、风、霜、雨、雪、雷电等，会影响操作人员作出正确的判断和操作，会间接或直接影响到人员的安全和健康。因此，作业场所的温度、采光照明、通风、噪声、空气中有毒、有害物质含量要定期进行检测，重视作业环境及条件的改善，做到清洁、文明生产。</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（7）编制事故应救援预案并组织演练，使每个职工都会使用消防器材，有效地扑救初期火灾。</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（8）根据劳动防护用品配备标准，做好防护用品的配备和发放工作。</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default" w:cs="Times New Roman"/>
                <w:color w:val="auto"/>
                <w:sz w:val="21"/>
                <w:szCs w:val="21"/>
                <w:lang w:val="en-US" w:eastAsia="zh-CN"/>
              </w:rPr>
            </w:pPr>
            <w:r>
              <w:rPr>
                <w:rFonts w:hint="default" w:cs="Times New Roman"/>
                <w:color w:val="auto"/>
                <w:sz w:val="21"/>
                <w:szCs w:val="21"/>
                <w:lang w:val="en-US" w:eastAsia="zh-CN"/>
              </w:rPr>
              <w:t>（9）危废贮存库事故风险</w:t>
            </w:r>
          </w:p>
          <w:p>
            <w:pPr>
              <w:pStyle w:val="28"/>
              <w:keepNext w:val="0"/>
              <w:keepLines w:val="0"/>
              <w:pageBreakBefore w:val="0"/>
              <w:widowControl w:val="0"/>
              <w:kinsoku/>
              <w:wordWrap/>
              <w:overflowPunct/>
              <w:topLinePunct w:val="0"/>
              <w:autoSpaceDE/>
              <w:autoSpaceDN/>
              <w:bidi w:val="0"/>
              <w:ind w:firstLine="420" w:firstLineChars="200"/>
              <w:textAlignment w:val="auto"/>
              <w:rPr>
                <w:rFonts w:hint="default" w:cs="Times New Roman"/>
                <w:color w:val="auto"/>
                <w:sz w:val="21"/>
                <w:szCs w:val="21"/>
                <w:lang w:val="en-US" w:eastAsia="zh-CN"/>
              </w:rPr>
            </w:pPr>
            <w:r>
              <w:rPr>
                <w:rFonts w:hint="default" w:cs="Times New Roman"/>
                <w:color w:val="auto"/>
                <w:sz w:val="21"/>
                <w:szCs w:val="21"/>
                <w:lang w:val="en-US" w:eastAsia="zh-CN"/>
              </w:rPr>
              <w:t>本项目</w:t>
            </w:r>
            <w:r>
              <w:rPr>
                <w:rFonts w:hint="eastAsia" w:cs="Times New Roman"/>
                <w:color w:val="auto"/>
                <w:sz w:val="21"/>
                <w:szCs w:val="21"/>
                <w:lang w:val="en-US" w:eastAsia="zh-CN"/>
              </w:rPr>
              <w:t>废润滑油</w:t>
            </w:r>
            <w:r>
              <w:rPr>
                <w:rFonts w:hint="default" w:cs="Times New Roman"/>
                <w:color w:val="auto"/>
                <w:sz w:val="21"/>
                <w:szCs w:val="21"/>
                <w:lang w:val="en-US" w:eastAsia="zh-CN"/>
              </w:rPr>
              <w:t>包装桶在存放过程中，如桶体发生腐蚀或破裂，桶内危险废物渗出，可能会对周边地下水及土壤环境产生影响。当存在火源时可能导致火灾。危废贮存库发生泄漏时地下水受到污染可能导致区域地下水水质降低或污染周边区域土壤，导致地下水无法被利用，还会导致植物不能正常生长。发生火灾时会导致有毒有害气体散发，引起大气环境污染。本项目区地域空旷，扩散条件较好，发生事故后，及时采取相应的措施，不会对周围环境产生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778" w:type="dxa"/>
            <w:noWrap w:val="0"/>
            <w:vAlign w:val="center"/>
          </w:tcPr>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022" w:type="dxa"/>
            <w:gridSpan w:val="4"/>
            <w:noWrap w:val="0"/>
            <w:vAlign w:val="center"/>
          </w:tcPr>
          <w:p>
            <w:pPr>
              <w:adjustRightInd w:val="0"/>
              <w:snapToGrid w:val="0"/>
              <w:ind w:firstLine="420" w:firstLineChars="200"/>
              <w:rPr>
                <w:color w:val="auto"/>
              </w:rPr>
            </w:pPr>
            <w:r>
              <w:rPr>
                <w:rFonts w:hint="eastAsia" w:cs="Times New Roman"/>
                <w:color w:val="auto"/>
                <w:sz w:val="21"/>
                <w:szCs w:val="21"/>
                <w:lang w:val="en-US" w:eastAsia="zh-CN"/>
              </w:rPr>
              <w:t>编制</w:t>
            </w:r>
            <w:r>
              <w:rPr>
                <w:rFonts w:hint="default" w:ascii="Times New Roman" w:hAnsi="Times New Roman" w:cs="Times New Roman"/>
                <w:color w:val="auto"/>
                <w:sz w:val="21"/>
                <w:szCs w:val="21"/>
              </w:rPr>
              <w:t>突发环境事件应急预案；在全国排污许可证管理信息平台</w:t>
            </w:r>
            <w:r>
              <w:rPr>
                <w:rFonts w:hint="eastAsia" w:cs="Times New Roman"/>
                <w:color w:val="auto"/>
                <w:sz w:val="21"/>
                <w:szCs w:val="21"/>
                <w:lang w:val="en-US" w:eastAsia="zh-CN"/>
              </w:rPr>
              <w:t>申请</w:t>
            </w:r>
            <w:r>
              <w:rPr>
                <w:rFonts w:hint="default" w:ascii="Times New Roman" w:hAnsi="Times New Roman" w:cs="Times New Roman"/>
                <w:color w:val="auto"/>
                <w:sz w:val="21"/>
                <w:szCs w:val="21"/>
              </w:rPr>
              <w:t>排污</w:t>
            </w:r>
            <w:r>
              <w:rPr>
                <w:rFonts w:hint="eastAsia" w:cs="Times New Roman"/>
                <w:color w:val="auto"/>
                <w:sz w:val="21"/>
                <w:szCs w:val="21"/>
                <w:lang w:val="en-US" w:eastAsia="zh-CN"/>
              </w:rPr>
              <w:t>许可证</w:t>
            </w:r>
            <w:r>
              <w:rPr>
                <w:rFonts w:hint="default" w:ascii="Times New Roman" w:hAnsi="Times New Roman" w:cs="Times New Roman"/>
                <w:color w:val="auto"/>
                <w:sz w:val="21"/>
                <w:szCs w:val="21"/>
              </w:rPr>
              <w:t>；开展本项目的自行监测工作；项目竣工后完成竣工环境保护验收。</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1、排污许可</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固定污染源排污许可分类管理名录（2019版）》中“二十一、化学原料和化学制品制造业26——46肥料制造262——其他”执行简化管理。根据《关于做好环境影响评价制度与排污许可衔接相关工作的通知》（环办环评〔2017〕84号），项目应在获得环评审批文件后，按照国家环境保护相关法律法规以及排污许可证申请与核发技术规范要求申请排污许可证。</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2、排放口、规范化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根据《关于开展排放口规范化整治工作的通知》《排放口规范化整治技术要求（试行）》等规定，排污单位在建设污染治理设施的同时，建设规范化排放口。</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（1）企业污染物排放口的标志，应按国家《环境保护图形标志—排放口（源）》（GB 15562.1-1995）及《环境保护图形标志—固体废物贮存（处置）场》（GB 15562.2-1995）及其修改单的规定，设置国家环保总局统一制作的环境保护图形标志牌。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（2）标志牌设置位置应距排污口或采样点较近且醒目处，设置高度一般为标志牌上缘距离地面约2m。</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项目应根据《中华人民共和国规范化排污口标志牌登记证》，并按要求填写有关内容。根据排污口管理档案内容要求，项目投产后，应将上述所有污染排放口名称、位置，以及排放污染物名称、数量、浓度、排放去向等内容进行统计，并登记上报所在地生态环境主管部门，以便进行验收和排放口的规范化管理，并接受社会监督。</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3、其他要求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（1）建立环境管理台账。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（2）根据监测计划定期进行例行监测。</w:t>
            </w:r>
          </w:p>
          <w:p>
            <w:pPr>
              <w:adjustRightInd w:val="0"/>
              <w:snapToGrid w:val="0"/>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（3）企业运行前，须按照《固定污染源排污许可分类管理名录（2019年版）》的要求</w:t>
            </w:r>
            <w:r>
              <w:rPr>
                <w:rFonts w:hint="eastAsia" w:cs="Times New Roman"/>
                <w:color w:val="auto"/>
                <w:sz w:val="21"/>
                <w:szCs w:val="21"/>
                <w:lang w:val="en-US" w:eastAsia="zh-CN"/>
              </w:rPr>
              <w:t>申请</w:t>
            </w:r>
            <w:r>
              <w:rPr>
                <w:rFonts w:hint="default" w:ascii="Times New Roman" w:hAnsi="Times New Roman" w:eastAsia="宋体" w:cs="Times New Roman"/>
                <w:color w:val="auto"/>
                <w:sz w:val="21"/>
                <w:szCs w:val="21"/>
              </w:rPr>
              <w:t>排污许可证。</w:t>
            </w: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ind w:firstLine="420" w:firstLineChars="200"/>
              <w:rPr>
                <w:rFonts w:hint="default" w:ascii="Times New Roman" w:hAnsi="Times New Roman" w:eastAsia="宋体" w:cs="Times New Roman"/>
                <w:color w:val="auto"/>
                <w:sz w:val="21"/>
                <w:szCs w:val="21"/>
              </w:rPr>
            </w:pPr>
          </w:p>
          <w:p>
            <w:pPr>
              <w:adjustRightInd w:val="0"/>
              <w:snapToGrid w:val="0"/>
              <w:rPr>
                <w:rFonts w:hint="default" w:ascii="Times New Roman" w:hAnsi="Times New Roman" w:eastAsia="宋体" w:cs="Times New Roman"/>
                <w:color w:val="auto"/>
                <w:sz w:val="21"/>
                <w:szCs w:val="21"/>
              </w:rPr>
            </w:pPr>
          </w:p>
        </w:tc>
      </w:tr>
    </w:tbl>
    <w:p>
      <w:pPr>
        <w:pStyle w:val="17"/>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综上所述，本项目符合国家产业政策</w:t>
            </w:r>
            <w:r>
              <w:rPr>
                <w:rFonts w:hint="eastAsia" w:cs="Times New Roman"/>
                <w:color w:val="auto"/>
                <w:sz w:val="24"/>
                <w:szCs w:val="24"/>
                <w:lang w:val="en-US" w:eastAsia="zh-CN"/>
              </w:rPr>
              <w:t>。</w:t>
            </w:r>
            <w:r>
              <w:rPr>
                <w:rFonts w:hint="default" w:ascii="Times New Roman" w:hAnsi="Times New Roman" w:cs="Times New Roman"/>
                <w:color w:val="auto"/>
                <w:sz w:val="24"/>
                <w:szCs w:val="24"/>
              </w:rPr>
              <w:t>项目建成后，对区域的大气、地下水、声环境、土壤环境影响</w:t>
            </w:r>
            <w:r>
              <w:rPr>
                <w:rFonts w:hint="eastAsia" w:cs="Times New Roman"/>
                <w:color w:val="auto"/>
                <w:sz w:val="24"/>
                <w:szCs w:val="24"/>
                <w:lang w:val="en-US" w:eastAsia="zh-CN"/>
              </w:rPr>
              <w:t>相对较小</w:t>
            </w:r>
            <w:r>
              <w:rPr>
                <w:rFonts w:hint="default" w:ascii="Times New Roman" w:hAnsi="Times New Roman" w:cs="Times New Roman"/>
                <w:color w:val="auto"/>
                <w:sz w:val="24"/>
                <w:szCs w:val="24"/>
              </w:rPr>
              <w:t>，不会导致评价区域环境功能明显改变，没有明显的环境制约因素。该项目应严格按照报告表提出的施工期和运营期污染防治及生态保护措施要求，加强环境管理，严格执行环保验收制度，实现污染物达标排放和生态有效保护，将项目对环境的影响降低到最低程度，从环境保护的角度看，该项目的建设是可行的。</w:t>
            </w:r>
          </w:p>
        </w:tc>
      </w:tr>
    </w:tbl>
    <w:p>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bidi w:val="0"/>
        <w:rPr>
          <w:b/>
          <w:bCs/>
          <w:color w:val="auto"/>
          <w:sz w:val="44"/>
          <w:szCs w:val="44"/>
        </w:rPr>
      </w:pPr>
      <w:r>
        <w:rPr>
          <w:rFonts w:hint="eastAsia"/>
          <w:b/>
          <w:bCs/>
          <w:color w:val="auto"/>
          <w:sz w:val="44"/>
          <w:szCs w:val="44"/>
        </w:rPr>
        <w:t>附表</w:t>
      </w:r>
    </w:p>
    <w:p>
      <w:pPr>
        <w:bidi w:val="0"/>
        <w:jc w:val="center"/>
        <w:rPr>
          <w:rFonts w:hint="eastAsia" w:ascii="方正小标宋_GBK" w:hAnsi="黑体" w:eastAsia="方正小标宋_GBK"/>
          <w:snapToGrid w:val="0"/>
          <w:color w:val="auto"/>
          <w:szCs w:val="38"/>
        </w:rPr>
      </w:pPr>
      <w:r>
        <w:rPr>
          <w:rFonts w:hint="eastAsia"/>
          <w:b/>
          <w:bCs/>
          <w:color w:val="auto"/>
          <w:sz w:val="44"/>
          <w:szCs w:val="44"/>
        </w:rPr>
        <w:t>建设项目污染物排放量汇总表</w:t>
      </w:r>
    </w:p>
    <w:tbl>
      <w:tblPr>
        <w:tblStyle w:val="19"/>
        <w:tblW w:w="137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649"/>
        <w:gridCol w:w="1737"/>
        <w:gridCol w:w="1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8" w:type="dxa"/>
            <w:tcBorders>
              <w:tl2br w:val="nil"/>
              <w:tr2bl w:val="nil"/>
            </w:tcBorders>
            <w:noWrap w:val="0"/>
            <w:tcMar>
              <w:left w:w="28" w:type="dxa"/>
              <w:right w:w="28" w:type="dxa"/>
            </w:tcMar>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24"/>
              <w:spacing w:beforeLines="0" w:afterLines="0" w:line="240" w:lineRule="auto"/>
              <w:jc w:val="right"/>
              <w:rPr>
                <w:rFonts w:hint="default" w:ascii="Times New Roman" w:hAnsi="Times New Roman" w:eastAsia="宋体" w:cs="Times New Roman"/>
                <w:snapToGrid w:val="0"/>
                <w:color w:val="auto"/>
                <w:spacing w:val="-6"/>
                <w:kern w:val="21"/>
                <w:sz w:val="21"/>
                <w:szCs w:val="21"/>
              </w:rPr>
            </w:pPr>
            <w:r>
              <w:rPr>
                <w:rFonts w:hint="eastAsia" w:ascii="Times New Roman" w:hAnsi="Times New Roman" w:cs="Times New Roman"/>
                <w:snapToGrid w:val="0"/>
                <w:color w:val="auto"/>
                <w:spacing w:val="-6"/>
                <w:kern w:val="21"/>
                <w:sz w:val="21"/>
                <w:szCs w:val="21"/>
                <w:lang w:val="en-US" w:eastAsia="zh-CN"/>
              </w:rPr>
              <w:t xml:space="preserve">  </w:t>
            </w:r>
          </w:p>
          <w:p>
            <w:pPr>
              <w:pStyle w:val="24"/>
              <w:snapToGrid w:val="0"/>
              <w:spacing w:beforeLines="0" w:afterLines="0" w:line="240" w:lineRule="auto"/>
              <w:jc w:val="left"/>
              <w:rPr>
                <w:rFonts w:hint="eastAsia" w:ascii="Times New Roman" w:hAnsi="Times New Roman" w:cs="Times New Roman"/>
                <w:snapToGrid w:val="0"/>
                <w:color w:val="auto"/>
                <w:spacing w:val="-6"/>
                <w:kern w:val="21"/>
                <w:sz w:val="21"/>
                <w:szCs w:val="21"/>
                <w:lang w:val="en-US" w:eastAsia="zh-CN"/>
              </w:rPr>
            </w:pPr>
          </w:p>
          <w:p>
            <w:pPr>
              <w:pStyle w:val="24"/>
              <w:snapToGrid w:val="0"/>
              <w:spacing w:beforeLines="0" w:afterLines="0" w:line="240" w:lineRule="auto"/>
              <w:jc w:val="left"/>
              <w:rPr>
                <w:rFonts w:hint="eastAsia" w:ascii="Times New Roman" w:hAnsi="Times New Roman" w:cs="Times New Roman"/>
                <w:snapToGrid w:val="0"/>
                <w:color w:val="auto"/>
                <w:spacing w:val="-6"/>
                <w:kern w:val="21"/>
                <w:sz w:val="21"/>
                <w:szCs w:val="21"/>
                <w:lang w:val="en-US" w:eastAsia="zh-CN"/>
              </w:rPr>
            </w:pPr>
          </w:p>
          <w:p>
            <w:pPr>
              <w:pStyle w:val="24"/>
              <w:snapToGrid w:val="0"/>
              <w:spacing w:beforeLines="0" w:afterLines="0" w:line="240" w:lineRule="auto"/>
              <w:ind w:firstLine="198" w:firstLineChars="100"/>
              <w:jc w:val="left"/>
              <mc:AlternateContent>
                <mc:Choice Requires="wpsCustomData">
                  <wpsCustomData:diagonalParaType/>
                </mc:Choice>
              </mc:AlternateContent>
              <w:rPr>
                <w:rFonts w:hint="default" w:ascii="Times New Roman" w:hAnsi="Times New Roman" w:eastAsia="宋体" w:cs="Times New Roman"/>
                <w:snapToGrid w:val="0"/>
                <w:color w:val="auto"/>
                <w:spacing w:val="-6"/>
                <w:kern w:val="21"/>
                <w:sz w:val="21"/>
                <w:szCs w:val="21"/>
              </w:rPr>
            </w:pPr>
            <w:r>
              <w:rPr>
                <w:rFonts w:hint="eastAsia" w:ascii="Times New Roman" w:hAnsi="Times New Roman" w:cs="Times New Roman"/>
                <w:snapToGrid w:val="0"/>
                <w:color w:val="auto"/>
                <w:spacing w:val="-6"/>
                <w:kern w:val="21"/>
                <w:sz w:val="21"/>
                <w:szCs w:val="21"/>
                <w:lang w:val="en-US" w:eastAsia="zh-CN"/>
              </w:rPr>
              <w:t>分</w:t>
            </w:r>
            <w:r>
              <w:rPr>
                <w:rFonts w:hint="default" w:ascii="Times New Roman" w:hAnsi="Times New Roman" w:eastAsia="宋体" w:cs="Times New Roman"/>
                <w:snapToGrid w:val="0"/>
                <w:color w:val="auto"/>
                <w:spacing w:val="-6"/>
                <w:kern w:val="21"/>
                <w:sz w:val="21"/>
                <w:szCs w:val="21"/>
              </w:rPr>
              <w:t>类</w:t>
            </w:r>
          </w:p>
          <w:p>
            <w:pPr>
              <w:pStyle w:val="24"/>
              <w:spacing w:beforeLines="0" w:afterLines="0" w:line="240" w:lineRule="auto"/>
              <w:jc w:val="left"/>
              <w:rPr>
                <w:rFonts w:hint="default" w:ascii="Times New Roman" w:hAnsi="Times New Roman" w:eastAsia="宋体" w:cs="Times New Roman"/>
                <w:snapToGrid w:val="0"/>
                <w:color w:val="auto"/>
                <w:spacing w:val="-6"/>
                <w:kern w:val="21"/>
                <w:sz w:val="21"/>
                <w:szCs w:val="21"/>
              </w:rPr>
            </w:pPr>
          </w:p>
          <w:p>
            <w:pPr>
              <w:pStyle w:val="24"/>
              <w:spacing w:beforeLines="0" w:afterLines="0" w:line="240" w:lineRule="auto"/>
              <w:ind w:firstLine="198" w:firstLineChars="100"/>
              <w:jc w:val="left"/>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项目</w:t>
            </w:r>
          </w:p>
        </w:tc>
        <w:tc>
          <w:tcPr>
            <w:tcW w:w="1417"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污染物名称</w:t>
            </w:r>
          </w:p>
        </w:tc>
        <w:tc>
          <w:tcPr>
            <w:tcW w:w="1701"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①</w:t>
            </w:r>
            <w:r>
              <w:rPr>
                <w:rFonts w:hint="default" w:ascii="Times New Roman" w:hAnsi="Times New Roman" w:eastAsia="宋体" w:cs="Times New Roman"/>
                <w:snapToGrid w:val="0"/>
                <w:color w:val="auto"/>
                <w:spacing w:val="-6"/>
                <w:kern w:val="21"/>
                <w:sz w:val="21"/>
                <w:szCs w:val="21"/>
              </w:rPr>
              <w:fldChar w:fldCharType="end"/>
            </w:r>
          </w:p>
        </w:tc>
        <w:tc>
          <w:tcPr>
            <w:tcW w:w="1276"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许可排放量</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2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snapToGrid w:val="0"/>
                <w:color w:val="auto"/>
                <w:spacing w:val="-6"/>
                <w:kern w:val="21"/>
                <w:sz w:val="21"/>
                <w:szCs w:val="21"/>
              </w:rPr>
              <w:t>②</w:t>
            </w:r>
            <w:r>
              <w:rPr>
                <w:rFonts w:hint="default" w:ascii="Times New Roman" w:hAnsi="Times New Roman" w:eastAsia="宋体" w:cs="Times New Roman"/>
                <w:snapToGrid w:val="0"/>
                <w:color w:val="auto"/>
                <w:spacing w:val="-6"/>
                <w:kern w:val="21"/>
                <w:sz w:val="21"/>
                <w:szCs w:val="21"/>
              </w:rPr>
              <w:fldChar w:fldCharType="end"/>
            </w:r>
          </w:p>
        </w:tc>
        <w:tc>
          <w:tcPr>
            <w:tcW w:w="1701"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在建工程</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③</w:t>
            </w:r>
            <w:r>
              <w:rPr>
                <w:rFonts w:hint="default" w:ascii="Times New Roman" w:hAnsi="Times New Roman" w:eastAsia="宋体" w:cs="Times New Roman"/>
                <w:snapToGrid w:val="0"/>
                <w:color w:val="auto"/>
                <w:spacing w:val="-6"/>
                <w:kern w:val="21"/>
                <w:sz w:val="21"/>
                <w:szCs w:val="21"/>
              </w:rPr>
              <w:fldChar w:fldCharType="end"/>
            </w:r>
          </w:p>
        </w:tc>
        <w:tc>
          <w:tcPr>
            <w:tcW w:w="1559"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本项目</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④</w:t>
            </w:r>
            <w:r>
              <w:rPr>
                <w:rFonts w:hint="default" w:ascii="Times New Roman" w:hAnsi="Times New Roman" w:eastAsia="宋体" w:cs="Times New Roman"/>
                <w:snapToGrid w:val="0"/>
                <w:color w:val="auto"/>
                <w:spacing w:val="-6"/>
                <w:kern w:val="21"/>
                <w:sz w:val="21"/>
                <w:szCs w:val="21"/>
              </w:rPr>
              <w:fldChar w:fldCharType="end"/>
            </w:r>
          </w:p>
        </w:tc>
        <w:tc>
          <w:tcPr>
            <w:tcW w:w="1649"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以新带老削减量</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（新建项目不填）</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⑤</w:t>
            </w:r>
            <w:r>
              <w:rPr>
                <w:rFonts w:hint="default" w:ascii="Times New Roman" w:hAnsi="Times New Roman" w:eastAsia="宋体" w:cs="Times New Roman"/>
                <w:snapToGrid w:val="0"/>
                <w:color w:val="auto"/>
                <w:spacing w:val="-16"/>
                <w:kern w:val="21"/>
                <w:sz w:val="21"/>
                <w:szCs w:val="21"/>
              </w:rPr>
              <w:fldChar w:fldCharType="end"/>
            </w:r>
          </w:p>
        </w:tc>
        <w:tc>
          <w:tcPr>
            <w:tcW w:w="1737"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本项目建成后</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全厂排放量（固体废物产生量）</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⑥</w:t>
            </w:r>
            <w:r>
              <w:rPr>
                <w:rFonts w:hint="default" w:ascii="Times New Roman" w:hAnsi="Times New Roman" w:eastAsia="宋体" w:cs="Times New Roman"/>
                <w:snapToGrid w:val="0"/>
                <w:color w:val="auto"/>
                <w:spacing w:val="-16"/>
                <w:kern w:val="21"/>
                <w:sz w:val="21"/>
                <w:szCs w:val="21"/>
              </w:rPr>
              <w:fldChar w:fldCharType="end"/>
            </w:r>
          </w:p>
        </w:tc>
        <w:tc>
          <w:tcPr>
            <w:tcW w:w="1160" w:type="dxa"/>
            <w:tcBorders>
              <w:tl2br w:val="nil"/>
              <w:tr2bl w:val="nil"/>
            </w:tcBorders>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变化量</w:t>
            </w:r>
          </w:p>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⑦</w:t>
            </w:r>
            <w:r>
              <w:rPr>
                <w:rFonts w:hint="default" w:ascii="Times New Roman" w:hAnsi="Times New Roman" w:eastAsia="宋体" w:cs="Times New Roman"/>
                <w:snapToGrid w:val="0"/>
                <w:color w:val="auto"/>
                <w:spacing w:val="-6"/>
                <w:kern w:val="21"/>
                <w:sz w:val="21"/>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141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snapToGrid w:val="0"/>
                <w:color w:val="auto"/>
                <w:kern w:val="21"/>
                <w:sz w:val="21"/>
                <w:szCs w:val="21"/>
                <w:lang w:val="en-US" w:eastAsia="zh-CN"/>
              </w:rPr>
              <w:t>颗粒物</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6.</w:t>
            </w:r>
            <w:r>
              <w:rPr>
                <w:rFonts w:hint="eastAsia" w:ascii="Times New Roman" w:cs="Times New Roman"/>
                <w:snapToGrid w:val="0"/>
                <w:color w:val="auto"/>
                <w:kern w:val="21"/>
                <w:sz w:val="21"/>
                <w:szCs w:val="21"/>
                <w:lang w:val="en-US" w:eastAsia="zh-CN"/>
              </w:rPr>
              <w:t>374</w:t>
            </w:r>
            <w:r>
              <w:rPr>
                <w:rFonts w:hint="default" w:ascii="Times New Roman" w:hAnsi="Times New Roman" w:eastAsia="宋体" w:cs="Times New Roman"/>
                <w:snapToGrid w:val="0"/>
                <w:color w:val="auto"/>
                <w:kern w:val="21"/>
                <w:sz w:val="21"/>
                <w:szCs w:val="21"/>
                <w:lang w:val="en-US" w:eastAsia="zh-CN"/>
              </w:rPr>
              <w:t>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6.</w:t>
            </w:r>
            <w:r>
              <w:rPr>
                <w:rFonts w:hint="eastAsia" w:ascii="Times New Roman" w:cs="Times New Roman"/>
                <w:snapToGrid w:val="0"/>
                <w:color w:val="auto"/>
                <w:kern w:val="21"/>
                <w:sz w:val="21"/>
                <w:szCs w:val="21"/>
                <w:lang w:val="en-US" w:eastAsia="zh-CN"/>
              </w:rPr>
              <w:t>374</w:t>
            </w:r>
            <w:r>
              <w:rPr>
                <w:rFonts w:hint="default" w:ascii="Times New Roman" w:hAnsi="Times New Roman" w:eastAsia="宋体" w:cs="Times New Roman"/>
                <w:snapToGrid w:val="0"/>
                <w:color w:val="auto"/>
                <w:kern w:val="21"/>
                <w:sz w:val="21"/>
                <w:szCs w:val="21"/>
                <w:lang w:val="en-US" w:eastAsia="zh-CN"/>
              </w:rPr>
              <w:t>t/a</w:t>
            </w:r>
          </w:p>
        </w:tc>
        <w:tc>
          <w:tcPr>
            <w:tcW w:w="1160"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+6.</w:t>
            </w:r>
            <w:r>
              <w:rPr>
                <w:rFonts w:hint="eastAsia" w:ascii="Times New Roman" w:cs="Times New Roman"/>
                <w:snapToGrid w:val="0"/>
                <w:color w:val="auto"/>
                <w:kern w:val="21"/>
                <w:sz w:val="21"/>
                <w:szCs w:val="21"/>
                <w:lang w:val="en-US" w:eastAsia="zh-CN"/>
              </w:rPr>
              <w:t>374</w:t>
            </w:r>
            <w:r>
              <w:rPr>
                <w:rFonts w:hint="default" w:ascii="Times New Roman" w:hAnsi="Times New Roman" w:eastAsia="宋体" w:cs="Times New Roman"/>
                <w:snapToGrid w:val="0"/>
                <w:color w:val="auto"/>
                <w:kern w:val="21"/>
                <w:sz w:val="21"/>
                <w:szCs w:val="21"/>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snapToGrid w:val="0"/>
                <w:color w:val="auto"/>
                <w:kern w:val="21"/>
                <w:sz w:val="21"/>
                <w:szCs w:val="21"/>
                <w:lang w:eastAsia="zh-CN"/>
              </w:rPr>
            </w:pPr>
            <w:r>
              <w:rPr>
                <w:rFonts w:hint="eastAsia" w:ascii="Times New Roman" w:hAnsi="Times New Roman" w:cs="Times New Roman"/>
                <w:snapToGrid w:val="0"/>
                <w:color w:val="auto"/>
                <w:kern w:val="21"/>
                <w:sz w:val="21"/>
                <w:szCs w:val="21"/>
                <w:lang w:eastAsia="zh-CN"/>
              </w:rPr>
              <w:t>废水</w:t>
            </w:r>
          </w:p>
        </w:tc>
        <w:tc>
          <w:tcPr>
            <w:tcW w:w="141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eastAsia" w:ascii="Times New Roman" w:hAnsi="Times New Roman" w:cs="Times New Roman"/>
                <w:snapToGrid w:val="0"/>
                <w:color w:val="auto"/>
                <w:kern w:val="21"/>
                <w:sz w:val="21"/>
                <w:szCs w:val="21"/>
                <w:lang w:val="en-US" w:eastAsia="zh-CN"/>
              </w:rPr>
            </w:pP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ind w:left="420" w:leftChars="0" w:hanging="420" w:hangingChars="200"/>
              <w:textAlignment w:val="auto"/>
              <w:rPr>
                <w:rFonts w:hint="eastAsia" w:ascii="Times New Roman" w:hAnsi="Times New Roman" w:cs="Times New Roman"/>
                <w:snapToGrid w:val="0"/>
                <w:color w:val="auto"/>
                <w:kern w:val="21"/>
                <w:sz w:val="21"/>
                <w:szCs w:val="21"/>
                <w:lang w:val="en-US" w:eastAsia="zh-CN"/>
              </w:rPr>
            </w:pPr>
          </w:p>
        </w:tc>
        <w:tc>
          <w:tcPr>
            <w:tcW w:w="1160"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ind w:left="420" w:leftChars="0" w:hanging="420" w:hangingChars="200"/>
              <w:textAlignment w:val="auto"/>
              <w:rPr>
                <w:rFonts w:hint="eastAsia" w:ascii="Times New Roman" w:hAnsi="Times New Roman" w:cs="Times New Roman"/>
                <w:snapToGrid w:val="0"/>
                <w:color w:val="auto"/>
                <w:kern w:val="21"/>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141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投料工段除尘器收集粉尘</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1.418t/a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1.418t/a</w:t>
            </w:r>
          </w:p>
        </w:tc>
        <w:tc>
          <w:tcPr>
            <w:tcW w:w="1160"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+1.418t/a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41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磨粉工段除尘器收集粉尘</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1253.7t/a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1253.7t/a</w:t>
            </w:r>
          </w:p>
        </w:tc>
        <w:tc>
          <w:tcPr>
            <w:tcW w:w="1160"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+1253.7t/a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41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b/>
                <w:bCs/>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包装工段除尘器收集粉尘</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13.432t/a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13.432t/a</w:t>
            </w:r>
          </w:p>
        </w:tc>
        <w:tc>
          <w:tcPr>
            <w:tcW w:w="1160"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+13.432t/a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l2br w:val="nil"/>
              <w:tr2bl w:val="nil"/>
            </w:tcBorders>
            <w:noWrap w:val="0"/>
            <w:vAlign w:val="center"/>
          </w:tcPr>
          <w:p>
            <w:pPr>
              <w:pStyle w:val="24"/>
              <w:spacing w:beforeLines="0" w:afterLines="0" w:line="240" w:lineRule="auto"/>
              <w:rPr>
                <w:rFonts w:hint="default" w:ascii="Times New Roman" w:hAnsi="Times New Roman" w:eastAsia="宋体" w:cs="Times New Roman"/>
                <w:snapToGrid w:val="0"/>
                <w:color w:val="auto"/>
                <w:kern w:val="21"/>
                <w:sz w:val="21"/>
                <w:szCs w:val="21"/>
              </w:rPr>
            </w:pPr>
          </w:p>
        </w:tc>
        <w:tc>
          <w:tcPr>
            <w:tcW w:w="141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废润滑油</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0.1t/a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0.1t/a</w:t>
            </w:r>
          </w:p>
        </w:tc>
        <w:tc>
          <w:tcPr>
            <w:tcW w:w="1160"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+0.1t/a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l2br w:val="nil"/>
              <w:tr2bl w:val="nil"/>
            </w:tcBorders>
            <w:noWrap w:val="0"/>
            <w:vAlign w:val="center"/>
          </w:tcPr>
          <w:p>
            <w:pPr>
              <w:pStyle w:val="24"/>
              <w:spacing w:beforeLines="0" w:afterLines="0" w:line="240" w:lineRule="auto"/>
              <w:rPr>
                <w:rFonts w:hint="default" w:ascii="Times New Roman" w:hAnsi="Times New Roman" w:eastAsia="宋体" w:cs="Times New Roman"/>
                <w:snapToGrid w:val="0"/>
                <w:color w:val="auto"/>
                <w:kern w:val="21"/>
                <w:sz w:val="21"/>
                <w:szCs w:val="21"/>
              </w:rPr>
            </w:pPr>
          </w:p>
        </w:tc>
        <w:tc>
          <w:tcPr>
            <w:tcW w:w="141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b w:val="0"/>
                <w:bCs/>
                <w:color w:val="auto"/>
                <w:sz w:val="21"/>
                <w:szCs w:val="21"/>
                <w:vertAlign w:val="baseline"/>
                <w:lang w:val="en-US" w:eastAsia="zh-CN"/>
              </w:rPr>
              <w:t>生活垃圾</w:t>
            </w: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lang w:val="en-US" w:eastAsia="zh-CN"/>
              </w:rPr>
            </w:pPr>
          </w:p>
        </w:tc>
        <w:tc>
          <w:tcPr>
            <w:tcW w:w="1276"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01"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559"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2.1t/a</w:t>
            </w:r>
          </w:p>
        </w:tc>
        <w:tc>
          <w:tcPr>
            <w:tcW w:w="1649" w:type="dxa"/>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val="0"/>
              <w:spacing w:beforeLines="0" w:afterLines="0" w:line="240" w:lineRule="auto"/>
              <w:textAlignment w:val="auto"/>
              <w:rPr>
                <w:rFonts w:hint="default" w:ascii="Times New Roman" w:hAnsi="Times New Roman" w:eastAsia="宋体" w:cs="Times New Roman"/>
                <w:snapToGrid w:val="0"/>
                <w:color w:val="auto"/>
                <w:kern w:val="21"/>
                <w:sz w:val="21"/>
                <w:szCs w:val="21"/>
              </w:rPr>
            </w:pPr>
          </w:p>
        </w:tc>
        <w:tc>
          <w:tcPr>
            <w:tcW w:w="1737"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2.1t/a</w:t>
            </w:r>
          </w:p>
        </w:tc>
        <w:tc>
          <w:tcPr>
            <w:tcW w:w="1160" w:type="dxa"/>
            <w:tcBorders>
              <w:tl2br w:val="nil"/>
              <w:tr2bl w:val="nil"/>
            </w:tcBorders>
            <w:noWrap w:val="0"/>
            <w:vAlign w:val="center"/>
          </w:tcPr>
          <w:p>
            <w:pPr>
              <w:pStyle w:val="50"/>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+2.1t/a</w:t>
            </w:r>
          </w:p>
        </w:tc>
      </w:tr>
    </w:tbl>
    <w:p>
      <w:pPr>
        <w:pStyle w:val="24"/>
        <w:keepNext w:val="0"/>
        <w:keepLines w:val="0"/>
        <w:pageBreakBefore w:val="0"/>
        <w:widowControl/>
        <w:kinsoku/>
        <w:wordWrap/>
        <w:overflowPunct/>
        <w:topLinePunct w:val="0"/>
        <w:autoSpaceDE/>
        <w:autoSpaceDN/>
        <w:bidi w:val="0"/>
        <w:adjustRightInd w:val="0"/>
        <w:snapToGrid w:val="0"/>
        <w:spacing w:beforeLines="0" w:afterLines="0" w:line="240" w:lineRule="auto"/>
        <w:jc w:val="left"/>
        <w:textAlignment w:val="auto"/>
        <w:rPr>
          <w:rFonts w:ascii="宋体" w:hAnsi="宋体" w:eastAsia="黑体"/>
          <w:color w:val="auto"/>
        </w:rPr>
      </w:pPr>
      <w:r>
        <w:rPr>
          <w:rFonts w:hint="default" w:ascii="Times New Roman" w:hAnsi="Times New Roman" w:eastAsia="宋体" w:cs="Times New Roman"/>
          <w:snapToGrid w:val="0"/>
          <w:color w:val="auto"/>
          <w:kern w:val="21"/>
          <w:sz w:val="21"/>
          <w:szCs w:val="21"/>
        </w:rPr>
        <w:t>注：</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sz w:val="21"/>
          <w:szCs w:val="21"/>
        </w:rPr>
        <w:t>⑥</w:t>
      </w:r>
      <w:r>
        <w:rPr>
          <w:rFonts w:hint="default" w:ascii="Times New Roman" w:hAnsi="Times New Roman" w:eastAsia="宋体" w:cs="Times New Roman"/>
          <w:snapToGrid w:val="0"/>
          <w:color w:val="auto"/>
          <w:spacing w:val="-16"/>
          <w:kern w:val="21"/>
          <w:sz w:val="21"/>
          <w:szCs w:val="21"/>
        </w:rPr>
        <w:fldChar w:fldCharType="end"/>
      </w:r>
      <w:r>
        <w:rPr>
          <w:rFonts w:hint="default" w:ascii="Times New Roman" w:hAnsi="Times New Roman" w:eastAsia="宋体" w:cs="Times New Roman"/>
          <w:snapToGrid w:val="0"/>
          <w:color w:val="auto"/>
          <w:spacing w:val="-1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snapToGrid w:val="0"/>
          <w:color w:val="auto"/>
          <w:spacing w:val="-6"/>
          <w:kern w:val="21"/>
          <w:sz w:val="21"/>
          <w:szCs w:val="21"/>
        </w:rPr>
        <w:fldChar w:fldCharType="end"/>
      </w:r>
      <w:r>
        <w:rPr>
          <w:rFonts w:hint="default" w:ascii="Times New Roman" w:hAnsi="Times New Roman" w:eastAsia="宋体" w:cs="Times New Roman"/>
          <w:snapToGrid w:val="0"/>
          <w:color w:val="auto"/>
          <w:spacing w:val="-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③</w:t>
      </w:r>
      <w:r>
        <w:rPr>
          <w:rFonts w:hint="default" w:ascii="Times New Roman" w:hAnsi="Times New Roman" w:eastAsia="宋体" w:cs="Times New Roman"/>
          <w:snapToGrid w:val="0"/>
          <w:color w:val="auto"/>
          <w:spacing w:val="-6"/>
          <w:kern w:val="21"/>
          <w:sz w:val="21"/>
          <w:szCs w:val="21"/>
        </w:rPr>
        <w:fldChar w:fldCharType="end"/>
      </w:r>
      <w:r>
        <w:rPr>
          <w:rFonts w:hint="default" w:ascii="Times New Roman" w:hAnsi="Times New Roman" w:eastAsia="宋体" w:cs="Times New Roman"/>
          <w:snapToGrid w:val="0"/>
          <w:color w:val="auto"/>
          <w:spacing w:val="-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④</w:t>
      </w:r>
      <w:r>
        <w:rPr>
          <w:rFonts w:hint="default" w:ascii="Times New Roman" w:hAnsi="Times New Roman" w:eastAsia="宋体" w:cs="Times New Roman"/>
          <w:snapToGrid w:val="0"/>
          <w:color w:val="auto"/>
          <w:spacing w:val="-6"/>
          <w:kern w:val="21"/>
          <w:sz w:val="21"/>
          <w:szCs w:val="21"/>
        </w:rPr>
        <w:fldChar w:fldCharType="end"/>
      </w:r>
      <w:r>
        <w:rPr>
          <w:rFonts w:hint="default" w:ascii="Times New Roman" w:hAnsi="Times New Roman" w:eastAsia="宋体" w:cs="Times New Roman"/>
          <w:snapToGrid w:val="0"/>
          <w:color w:val="auto"/>
          <w:spacing w:val="-6"/>
          <w:kern w:val="21"/>
          <w:sz w:val="21"/>
          <w:szCs w:val="21"/>
        </w:rPr>
        <w:t>-</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sz w:val="21"/>
          <w:szCs w:val="21"/>
        </w:rPr>
        <w:t>⑤</w:t>
      </w:r>
      <w:r>
        <w:rPr>
          <w:rFonts w:hint="default" w:ascii="Times New Roman" w:hAnsi="Times New Roman" w:eastAsia="宋体" w:cs="Times New Roman"/>
          <w:snapToGrid w:val="0"/>
          <w:color w:val="auto"/>
          <w:spacing w:val="-16"/>
          <w:kern w:val="21"/>
          <w:sz w:val="21"/>
          <w:szCs w:val="21"/>
        </w:rPr>
        <w:fldChar w:fldCharType="end"/>
      </w:r>
      <w:r>
        <w:rPr>
          <w:rFonts w:hint="default" w:ascii="Times New Roman" w:hAnsi="Times New Roman" w:eastAsia="宋体" w:cs="Times New Roman"/>
          <w:snapToGrid w:val="0"/>
          <w:color w:val="auto"/>
          <w:spacing w:val="-1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⑦</w:t>
      </w:r>
      <w:r>
        <w:rPr>
          <w:rFonts w:hint="default" w:ascii="Times New Roman" w:hAnsi="Times New Roman" w:eastAsia="宋体" w:cs="Times New Roman"/>
          <w:snapToGrid w:val="0"/>
          <w:color w:val="auto"/>
          <w:spacing w:val="-6"/>
          <w:kern w:val="21"/>
          <w:sz w:val="21"/>
          <w:szCs w:val="21"/>
        </w:rPr>
        <w:fldChar w:fldCharType="end"/>
      </w:r>
      <w:r>
        <w:rPr>
          <w:rFonts w:hint="default" w:ascii="Times New Roman" w:hAnsi="Times New Roman" w:eastAsia="宋体" w:cs="Times New Roman"/>
          <w:snapToGrid w:val="0"/>
          <w:color w:val="auto"/>
          <w:spacing w:val="-6"/>
          <w:kern w:val="21"/>
          <w:sz w:val="21"/>
          <w:szCs w:val="21"/>
        </w:rPr>
        <w:t>=</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sz w:val="21"/>
          <w:szCs w:val="21"/>
        </w:rPr>
        <w:t>⑥</w:t>
      </w:r>
      <w:r>
        <w:rPr>
          <w:rFonts w:hint="default" w:ascii="Times New Roman" w:hAnsi="Times New Roman" w:eastAsia="宋体" w:cs="Times New Roman"/>
          <w:snapToGrid w:val="0"/>
          <w:color w:val="auto"/>
          <w:spacing w:val="-16"/>
          <w:kern w:val="21"/>
          <w:sz w:val="21"/>
          <w:szCs w:val="21"/>
        </w:rPr>
        <w:fldChar w:fldCharType="end"/>
      </w:r>
      <w:r>
        <w:rPr>
          <w:rFonts w:hint="default" w:ascii="Times New Roman" w:hAnsi="Times New Roman" w:eastAsia="宋体" w:cs="Times New Roman"/>
          <w:snapToGrid w:val="0"/>
          <w:color w:val="auto"/>
          <w:spacing w:val="-16"/>
          <w:kern w:val="21"/>
          <w:sz w:val="21"/>
          <w:szCs w:val="21"/>
        </w:rPr>
        <w:t>-</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snapToGrid w:val="0"/>
          <w:color w:val="auto"/>
          <w:spacing w:val="-6"/>
          <w:kern w:val="21"/>
          <w:sz w:val="21"/>
          <w:szCs w:val="21"/>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9</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11</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CFEAE"/>
    <w:multiLevelType w:val="multilevel"/>
    <w:tmpl w:val="C7BCFEAE"/>
    <w:lvl w:ilvl="0" w:tentative="0">
      <w:start w:val="1"/>
      <w:numFmt w:val="chineseCounting"/>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M2E1ZmQ4YTYwOTRiNTcwNTM5OGQ3NGY3ODY1MTM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3BBC"/>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697903"/>
    <w:rsid w:val="027732D9"/>
    <w:rsid w:val="02BE6FA7"/>
    <w:rsid w:val="02F96569"/>
    <w:rsid w:val="02FF5E45"/>
    <w:rsid w:val="03EA7B21"/>
    <w:rsid w:val="05F83EAE"/>
    <w:rsid w:val="063E7D85"/>
    <w:rsid w:val="07293586"/>
    <w:rsid w:val="07295285"/>
    <w:rsid w:val="07636392"/>
    <w:rsid w:val="07770C56"/>
    <w:rsid w:val="08362617"/>
    <w:rsid w:val="084525DB"/>
    <w:rsid w:val="092217DD"/>
    <w:rsid w:val="093A7294"/>
    <w:rsid w:val="0A263993"/>
    <w:rsid w:val="0A2D3AC2"/>
    <w:rsid w:val="0AA755DF"/>
    <w:rsid w:val="0B120D44"/>
    <w:rsid w:val="0B884139"/>
    <w:rsid w:val="0BD27BF6"/>
    <w:rsid w:val="0C3B3C7D"/>
    <w:rsid w:val="0C78633D"/>
    <w:rsid w:val="0CAB2EAE"/>
    <w:rsid w:val="0D0522AA"/>
    <w:rsid w:val="0D621C7D"/>
    <w:rsid w:val="0D635120"/>
    <w:rsid w:val="0E1A0C43"/>
    <w:rsid w:val="0E2F3A0E"/>
    <w:rsid w:val="0E73034D"/>
    <w:rsid w:val="0F13775A"/>
    <w:rsid w:val="0F2F5E2B"/>
    <w:rsid w:val="0F4E652C"/>
    <w:rsid w:val="0F5F45FE"/>
    <w:rsid w:val="0F9A112B"/>
    <w:rsid w:val="10516E53"/>
    <w:rsid w:val="106D2F64"/>
    <w:rsid w:val="10B63710"/>
    <w:rsid w:val="10F10820"/>
    <w:rsid w:val="111C2F7A"/>
    <w:rsid w:val="11665CA1"/>
    <w:rsid w:val="121216F1"/>
    <w:rsid w:val="132B2B42"/>
    <w:rsid w:val="13951726"/>
    <w:rsid w:val="13AE22E9"/>
    <w:rsid w:val="14396509"/>
    <w:rsid w:val="14DD2C3C"/>
    <w:rsid w:val="153966AA"/>
    <w:rsid w:val="16087E1D"/>
    <w:rsid w:val="17701D14"/>
    <w:rsid w:val="17735226"/>
    <w:rsid w:val="17F94E1D"/>
    <w:rsid w:val="189F624C"/>
    <w:rsid w:val="195E28BA"/>
    <w:rsid w:val="19DD1DA0"/>
    <w:rsid w:val="19F75547"/>
    <w:rsid w:val="1A0670B1"/>
    <w:rsid w:val="1A1C66C0"/>
    <w:rsid w:val="1A42393B"/>
    <w:rsid w:val="1A8567D8"/>
    <w:rsid w:val="1AAD45DE"/>
    <w:rsid w:val="1B046F80"/>
    <w:rsid w:val="1B3267B5"/>
    <w:rsid w:val="1B40161D"/>
    <w:rsid w:val="1B441859"/>
    <w:rsid w:val="1B6606B1"/>
    <w:rsid w:val="1C0344C7"/>
    <w:rsid w:val="1C5E7925"/>
    <w:rsid w:val="1C7B4373"/>
    <w:rsid w:val="1CFD070F"/>
    <w:rsid w:val="1D5F6196"/>
    <w:rsid w:val="1D6132A5"/>
    <w:rsid w:val="1D8E56D5"/>
    <w:rsid w:val="1E7A43DA"/>
    <w:rsid w:val="1E8676A5"/>
    <w:rsid w:val="1EA434C0"/>
    <w:rsid w:val="1FE7539E"/>
    <w:rsid w:val="20671BE0"/>
    <w:rsid w:val="20963CB8"/>
    <w:rsid w:val="20A81A1B"/>
    <w:rsid w:val="20B07FB6"/>
    <w:rsid w:val="20B646FB"/>
    <w:rsid w:val="20D67D8D"/>
    <w:rsid w:val="213B74B1"/>
    <w:rsid w:val="215A2310"/>
    <w:rsid w:val="21DE318A"/>
    <w:rsid w:val="21EF5B80"/>
    <w:rsid w:val="22576990"/>
    <w:rsid w:val="22C205C9"/>
    <w:rsid w:val="22F47480"/>
    <w:rsid w:val="23DE1C48"/>
    <w:rsid w:val="240210CD"/>
    <w:rsid w:val="24092228"/>
    <w:rsid w:val="24BF09F7"/>
    <w:rsid w:val="24D1391E"/>
    <w:rsid w:val="252D53FE"/>
    <w:rsid w:val="25EC2D81"/>
    <w:rsid w:val="277057A2"/>
    <w:rsid w:val="27E72793"/>
    <w:rsid w:val="27EB6C32"/>
    <w:rsid w:val="28D35ABE"/>
    <w:rsid w:val="29206EB8"/>
    <w:rsid w:val="29595666"/>
    <w:rsid w:val="29874881"/>
    <w:rsid w:val="29E325E0"/>
    <w:rsid w:val="2A452503"/>
    <w:rsid w:val="2BA936A8"/>
    <w:rsid w:val="2C315A5A"/>
    <w:rsid w:val="2C3471CE"/>
    <w:rsid w:val="2C4B1C25"/>
    <w:rsid w:val="2C842D93"/>
    <w:rsid w:val="2D9E56F5"/>
    <w:rsid w:val="2DA740B3"/>
    <w:rsid w:val="2E291E44"/>
    <w:rsid w:val="2E667F96"/>
    <w:rsid w:val="2E8226AB"/>
    <w:rsid w:val="2FD065E6"/>
    <w:rsid w:val="2FD96870"/>
    <w:rsid w:val="30580BC9"/>
    <w:rsid w:val="30753CCE"/>
    <w:rsid w:val="3089672E"/>
    <w:rsid w:val="311E2ED7"/>
    <w:rsid w:val="315619EE"/>
    <w:rsid w:val="315C449C"/>
    <w:rsid w:val="31A27081"/>
    <w:rsid w:val="31B82709"/>
    <w:rsid w:val="31D05482"/>
    <w:rsid w:val="31E10437"/>
    <w:rsid w:val="32400B34"/>
    <w:rsid w:val="329E6876"/>
    <w:rsid w:val="333015F2"/>
    <w:rsid w:val="334B6320"/>
    <w:rsid w:val="3362003A"/>
    <w:rsid w:val="3374594B"/>
    <w:rsid w:val="33CF4448"/>
    <w:rsid w:val="33D934D4"/>
    <w:rsid w:val="33FE2F6A"/>
    <w:rsid w:val="340E07E5"/>
    <w:rsid w:val="34235BF7"/>
    <w:rsid w:val="352D4728"/>
    <w:rsid w:val="35302844"/>
    <w:rsid w:val="358C5FA8"/>
    <w:rsid w:val="35C15DF1"/>
    <w:rsid w:val="36074A7F"/>
    <w:rsid w:val="36923549"/>
    <w:rsid w:val="36B75FBF"/>
    <w:rsid w:val="36BD0C45"/>
    <w:rsid w:val="37E00298"/>
    <w:rsid w:val="38B302F9"/>
    <w:rsid w:val="38F12CD3"/>
    <w:rsid w:val="38F94775"/>
    <w:rsid w:val="392971ED"/>
    <w:rsid w:val="39325651"/>
    <w:rsid w:val="39396E16"/>
    <w:rsid w:val="3A2A37A7"/>
    <w:rsid w:val="3A504D85"/>
    <w:rsid w:val="3A791ACB"/>
    <w:rsid w:val="3A872856"/>
    <w:rsid w:val="3AC423A7"/>
    <w:rsid w:val="3B3763D1"/>
    <w:rsid w:val="3C2F6E1E"/>
    <w:rsid w:val="3C4F64BA"/>
    <w:rsid w:val="3C530BCC"/>
    <w:rsid w:val="3CDA245A"/>
    <w:rsid w:val="3CE84527"/>
    <w:rsid w:val="3D1E06B7"/>
    <w:rsid w:val="3DE666D2"/>
    <w:rsid w:val="3EDA0523"/>
    <w:rsid w:val="407A6407"/>
    <w:rsid w:val="4200449D"/>
    <w:rsid w:val="42121803"/>
    <w:rsid w:val="423A3BCC"/>
    <w:rsid w:val="424239A9"/>
    <w:rsid w:val="424E57D2"/>
    <w:rsid w:val="42B26C49"/>
    <w:rsid w:val="433A6FE6"/>
    <w:rsid w:val="43480868"/>
    <w:rsid w:val="4350713C"/>
    <w:rsid w:val="436653E0"/>
    <w:rsid w:val="43C4431A"/>
    <w:rsid w:val="44B951CC"/>
    <w:rsid w:val="44CD14E0"/>
    <w:rsid w:val="44F20B0B"/>
    <w:rsid w:val="452E5F4C"/>
    <w:rsid w:val="45612018"/>
    <w:rsid w:val="458946E9"/>
    <w:rsid w:val="45A47C0E"/>
    <w:rsid w:val="46043DCC"/>
    <w:rsid w:val="46577FD6"/>
    <w:rsid w:val="467D3178"/>
    <w:rsid w:val="46D955A7"/>
    <w:rsid w:val="47133957"/>
    <w:rsid w:val="47A07E0C"/>
    <w:rsid w:val="4870272E"/>
    <w:rsid w:val="488C0EB8"/>
    <w:rsid w:val="49DC7715"/>
    <w:rsid w:val="4A023139"/>
    <w:rsid w:val="4A7B576F"/>
    <w:rsid w:val="4AF561A9"/>
    <w:rsid w:val="4BD56EF2"/>
    <w:rsid w:val="4C4A0649"/>
    <w:rsid w:val="4C7E5ECA"/>
    <w:rsid w:val="4C876AA5"/>
    <w:rsid w:val="4D0E00FB"/>
    <w:rsid w:val="4D176606"/>
    <w:rsid w:val="4D950F2D"/>
    <w:rsid w:val="4DEC4FB0"/>
    <w:rsid w:val="4E075D8A"/>
    <w:rsid w:val="4E4B3525"/>
    <w:rsid w:val="4EC00FAD"/>
    <w:rsid w:val="4EE259CC"/>
    <w:rsid w:val="4F9843DC"/>
    <w:rsid w:val="4FA41473"/>
    <w:rsid w:val="4FC62A8C"/>
    <w:rsid w:val="4FE20F0D"/>
    <w:rsid w:val="4FE51552"/>
    <w:rsid w:val="50252CA1"/>
    <w:rsid w:val="50504C4B"/>
    <w:rsid w:val="509C6E7C"/>
    <w:rsid w:val="5162104E"/>
    <w:rsid w:val="516E79EA"/>
    <w:rsid w:val="539B5E18"/>
    <w:rsid w:val="53A039CC"/>
    <w:rsid w:val="53A1505A"/>
    <w:rsid w:val="53B613DC"/>
    <w:rsid w:val="54063E08"/>
    <w:rsid w:val="54063F0A"/>
    <w:rsid w:val="543437E8"/>
    <w:rsid w:val="54F73313"/>
    <w:rsid w:val="54F80955"/>
    <w:rsid w:val="552B174F"/>
    <w:rsid w:val="555170A7"/>
    <w:rsid w:val="5587536D"/>
    <w:rsid w:val="55951937"/>
    <w:rsid w:val="559B174B"/>
    <w:rsid w:val="55CE0CF4"/>
    <w:rsid w:val="56B22A9C"/>
    <w:rsid w:val="570861EB"/>
    <w:rsid w:val="578F21A2"/>
    <w:rsid w:val="57B72A76"/>
    <w:rsid w:val="57C3426C"/>
    <w:rsid w:val="57CE1F93"/>
    <w:rsid w:val="588743D1"/>
    <w:rsid w:val="5887701A"/>
    <w:rsid w:val="58AD0350"/>
    <w:rsid w:val="59C0439F"/>
    <w:rsid w:val="5A1A4F54"/>
    <w:rsid w:val="5A1C233C"/>
    <w:rsid w:val="5A4E21F5"/>
    <w:rsid w:val="5ABE2233"/>
    <w:rsid w:val="5B505D40"/>
    <w:rsid w:val="5BDF5D95"/>
    <w:rsid w:val="5BFE7528"/>
    <w:rsid w:val="5D363649"/>
    <w:rsid w:val="5D3833FF"/>
    <w:rsid w:val="5D7E60D3"/>
    <w:rsid w:val="5E2467F1"/>
    <w:rsid w:val="5EBF76EC"/>
    <w:rsid w:val="5F1A2B43"/>
    <w:rsid w:val="5FB837BB"/>
    <w:rsid w:val="603F0128"/>
    <w:rsid w:val="60CC405A"/>
    <w:rsid w:val="61E215D8"/>
    <w:rsid w:val="621B3775"/>
    <w:rsid w:val="62364782"/>
    <w:rsid w:val="625756A5"/>
    <w:rsid w:val="63236596"/>
    <w:rsid w:val="632B1D2C"/>
    <w:rsid w:val="632F63F2"/>
    <w:rsid w:val="6394356A"/>
    <w:rsid w:val="63C61B2C"/>
    <w:rsid w:val="63D40BE9"/>
    <w:rsid w:val="63FD154B"/>
    <w:rsid w:val="64102431"/>
    <w:rsid w:val="64A5243A"/>
    <w:rsid w:val="64F531DE"/>
    <w:rsid w:val="65373578"/>
    <w:rsid w:val="65FC0ABD"/>
    <w:rsid w:val="671F124A"/>
    <w:rsid w:val="677A33C6"/>
    <w:rsid w:val="679D034D"/>
    <w:rsid w:val="681F6961"/>
    <w:rsid w:val="683A4C24"/>
    <w:rsid w:val="68610A2F"/>
    <w:rsid w:val="68805514"/>
    <w:rsid w:val="68E55E13"/>
    <w:rsid w:val="69316E2F"/>
    <w:rsid w:val="694E2071"/>
    <w:rsid w:val="69766163"/>
    <w:rsid w:val="697A3B33"/>
    <w:rsid w:val="69D44760"/>
    <w:rsid w:val="6A520EC7"/>
    <w:rsid w:val="6AF87E20"/>
    <w:rsid w:val="6B0A6BC6"/>
    <w:rsid w:val="6B322639"/>
    <w:rsid w:val="6BDB3A77"/>
    <w:rsid w:val="6C636C38"/>
    <w:rsid w:val="6CC207BD"/>
    <w:rsid w:val="6D3F2003"/>
    <w:rsid w:val="6D527012"/>
    <w:rsid w:val="6D964B30"/>
    <w:rsid w:val="6DB34098"/>
    <w:rsid w:val="6DB545B6"/>
    <w:rsid w:val="6DE02FB4"/>
    <w:rsid w:val="6E514CED"/>
    <w:rsid w:val="6EB563D5"/>
    <w:rsid w:val="6ED92677"/>
    <w:rsid w:val="6EF305D4"/>
    <w:rsid w:val="6F225983"/>
    <w:rsid w:val="6FFC5590"/>
    <w:rsid w:val="706D1DD0"/>
    <w:rsid w:val="70856B87"/>
    <w:rsid w:val="70D527EE"/>
    <w:rsid w:val="715B5300"/>
    <w:rsid w:val="71D27F8A"/>
    <w:rsid w:val="71D540F9"/>
    <w:rsid w:val="72553024"/>
    <w:rsid w:val="72CB703B"/>
    <w:rsid w:val="73122968"/>
    <w:rsid w:val="731F5D5E"/>
    <w:rsid w:val="73992FB6"/>
    <w:rsid w:val="73C51AD5"/>
    <w:rsid w:val="741E793C"/>
    <w:rsid w:val="745E3944"/>
    <w:rsid w:val="74A04103"/>
    <w:rsid w:val="755D4901"/>
    <w:rsid w:val="75C630A2"/>
    <w:rsid w:val="7635099D"/>
    <w:rsid w:val="76515061"/>
    <w:rsid w:val="77762421"/>
    <w:rsid w:val="77B56B1F"/>
    <w:rsid w:val="77CE1AEE"/>
    <w:rsid w:val="780F09F4"/>
    <w:rsid w:val="78605D1A"/>
    <w:rsid w:val="78A90480"/>
    <w:rsid w:val="794744F9"/>
    <w:rsid w:val="7A364017"/>
    <w:rsid w:val="7A8265E1"/>
    <w:rsid w:val="7B686D42"/>
    <w:rsid w:val="7B841746"/>
    <w:rsid w:val="7C6C5AC7"/>
    <w:rsid w:val="7CC6544B"/>
    <w:rsid w:val="7D0239FF"/>
    <w:rsid w:val="7D5E40CD"/>
    <w:rsid w:val="7DCD56F2"/>
    <w:rsid w:val="7E0230E5"/>
    <w:rsid w:val="7E4435B5"/>
    <w:rsid w:val="7F001CE7"/>
    <w:rsid w:val="7F983D01"/>
    <w:rsid w:val="7FAC29A6"/>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semiHidden/>
    <w:unhideWhenUsed/>
    <w:qFormat/>
    <w:locked/>
    <w:uiPriority w:val="0"/>
    <w:pPr>
      <w:keepNext/>
      <w:keepLines/>
      <w:numPr>
        <w:ilvl w:val="1"/>
        <w:numId w:val="1"/>
      </w:numPr>
      <w:spacing w:beforeLines="0" w:beforeAutospacing="0" w:afterLines="0" w:afterAutospacing="0" w:line="360" w:lineRule="auto"/>
      <w:ind w:left="575" w:hanging="575"/>
      <w:jc w:val="both"/>
      <w:outlineLvl w:val="1"/>
    </w:pPr>
    <w:rPr>
      <w:rFonts w:ascii="黑体" w:hAnsi="黑体" w:eastAsia="黑体" w:cstheme="minorBidi"/>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locked/>
    <w:uiPriority w:val="0"/>
    <w:pPr>
      <w:ind w:firstLine="420"/>
    </w:pPr>
    <w:rPr>
      <w:sz w:val="21"/>
      <w:szCs w:val="20"/>
    </w:rPr>
  </w:style>
  <w:style w:type="paragraph" w:styleId="5">
    <w:name w:val="Body Text First Indent 2"/>
    <w:basedOn w:val="6"/>
    <w:next w:val="7"/>
    <w:qFormat/>
    <w:locked/>
    <w:uiPriority w:val="0"/>
    <w:pPr>
      <w:ind w:firstLine="420" w:firstLineChars="200"/>
    </w:pPr>
  </w:style>
  <w:style w:type="paragraph" w:styleId="6">
    <w:name w:val="Body Text Indent"/>
    <w:basedOn w:val="1"/>
    <w:next w:val="1"/>
    <w:link w:val="29"/>
    <w:qFormat/>
    <w:uiPriority w:val="0"/>
    <w:pPr>
      <w:spacing w:after="120"/>
      <w:ind w:left="420" w:leftChars="200"/>
    </w:pPr>
    <w:rPr>
      <w:kern w:val="0"/>
      <w:sz w:val="24"/>
      <w:szCs w:val="20"/>
    </w:rPr>
  </w:style>
  <w:style w:type="paragraph" w:styleId="7">
    <w:name w:val="Body Text First Indent"/>
    <w:basedOn w:val="8"/>
    <w:next w:val="1"/>
    <w:qFormat/>
    <w:locked/>
    <w:uiPriority w:val="0"/>
    <w:pPr>
      <w:spacing w:after="120" w:line="240" w:lineRule="auto"/>
      <w:ind w:firstLine="420" w:firstLineChars="100"/>
    </w:pPr>
    <w:rPr>
      <w:sz w:val="21"/>
      <w:szCs w:val="24"/>
    </w:rPr>
  </w:style>
  <w:style w:type="paragraph" w:styleId="8">
    <w:name w:val="Body Text"/>
    <w:basedOn w:val="1"/>
    <w:next w:val="9"/>
    <w:link w:val="30"/>
    <w:qFormat/>
    <w:uiPriority w:val="0"/>
    <w:pPr>
      <w:widowControl/>
      <w:snapToGrid w:val="0"/>
      <w:spacing w:before="60" w:after="160" w:line="259" w:lineRule="auto"/>
      <w:ind w:right="113"/>
    </w:pPr>
    <w:rPr>
      <w:kern w:val="0"/>
      <w:sz w:val="18"/>
      <w:szCs w:val="20"/>
    </w:rPr>
  </w:style>
  <w:style w:type="paragraph" w:customStyle="1" w:styleId="9">
    <w:name w:val="Body Text 21"/>
    <w:basedOn w:val="1"/>
    <w:qFormat/>
    <w:uiPriority w:val="0"/>
    <w:pPr>
      <w:spacing w:after="120" w:line="480" w:lineRule="auto"/>
    </w:pPr>
  </w:style>
  <w:style w:type="paragraph" w:styleId="10">
    <w:name w:val="annotation text"/>
    <w:basedOn w:val="1"/>
    <w:link w:val="31"/>
    <w:semiHidden/>
    <w:qFormat/>
    <w:uiPriority w:val="0"/>
    <w:pPr>
      <w:jc w:val="left"/>
    </w:pPr>
    <w:rPr>
      <w:kern w:val="0"/>
      <w:sz w:val="24"/>
      <w:szCs w:val="20"/>
    </w:rPr>
  </w:style>
  <w:style w:type="paragraph" w:styleId="11">
    <w:name w:val="Plain Text"/>
    <w:basedOn w:val="1"/>
    <w:qFormat/>
    <w:locked/>
    <w:uiPriority w:val="0"/>
    <w:rPr>
      <w:rFonts w:ascii="宋体" w:hAnsi="Courier New"/>
    </w:rPr>
  </w:style>
  <w:style w:type="paragraph" w:styleId="12">
    <w:name w:val="Date"/>
    <w:basedOn w:val="1"/>
    <w:next w:val="1"/>
    <w:link w:val="32"/>
    <w:qFormat/>
    <w:uiPriority w:val="0"/>
    <w:pPr>
      <w:ind w:left="100" w:leftChars="2500"/>
    </w:pPr>
    <w:rPr>
      <w:kern w:val="0"/>
      <w:sz w:val="24"/>
      <w:szCs w:val="20"/>
    </w:rPr>
  </w:style>
  <w:style w:type="paragraph" w:styleId="13">
    <w:name w:val="Balloon Text"/>
    <w:basedOn w:val="1"/>
    <w:link w:val="33"/>
    <w:semiHidden/>
    <w:qFormat/>
    <w:uiPriority w:val="0"/>
    <w:rPr>
      <w:kern w:val="0"/>
      <w:sz w:val="18"/>
      <w:szCs w:val="20"/>
    </w:rPr>
  </w:style>
  <w:style w:type="paragraph" w:styleId="14">
    <w:name w:val="footer"/>
    <w:basedOn w:val="1"/>
    <w:link w:val="34"/>
    <w:qFormat/>
    <w:uiPriority w:val="99"/>
    <w:pPr>
      <w:tabs>
        <w:tab w:val="center" w:pos="4153"/>
        <w:tab w:val="right" w:pos="8306"/>
      </w:tabs>
      <w:snapToGrid w:val="0"/>
      <w:jc w:val="left"/>
    </w:pPr>
    <w:rPr>
      <w:kern w:val="0"/>
      <w:sz w:val="18"/>
      <w:szCs w:val="20"/>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List"/>
    <w:basedOn w:val="1"/>
    <w:next w:val="1"/>
    <w:qFormat/>
    <w:locked/>
    <w:uiPriority w:val="0"/>
    <w:pPr>
      <w:ind w:left="200" w:hanging="200" w:hangingChars="200"/>
    </w:pPr>
  </w:style>
  <w:style w:type="paragraph" w:styleId="17">
    <w:name w:val="Normal (Web)"/>
    <w:basedOn w:val="1"/>
    <w:link w:val="36"/>
    <w:qFormat/>
    <w:uiPriority w:val="0"/>
    <w:pPr>
      <w:widowControl/>
      <w:spacing w:beforeAutospacing="0" w:afterAutospacing="0"/>
      <w:jc w:val="left"/>
    </w:pPr>
    <w:rPr>
      <w:rFonts w:ascii="宋体" w:hAnsi="宋体" w:eastAsia="宋体"/>
      <w:kern w:val="0"/>
      <w:sz w:val="24"/>
      <w:szCs w:val="20"/>
    </w:rPr>
  </w:style>
  <w:style w:type="paragraph" w:styleId="18">
    <w:name w:val="annotation subject"/>
    <w:basedOn w:val="10"/>
    <w:next w:val="10"/>
    <w:link w:val="37"/>
    <w:semiHidden/>
    <w:qFormat/>
    <w:uiPriority w:val="0"/>
    <w:rPr>
      <w:b/>
      <w:sz w:val="24"/>
      <w:szCs w:val="20"/>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locked/>
    <w:uiPriority w:val="0"/>
  </w:style>
  <w:style w:type="character" w:styleId="23">
    <w:name w:val="annotation reference"/>
    <w:semiHidden/>
    <w:qFormat/>
    <w:uiPriority w:val="0"/>
    <w:rPr>
      <w:sz w:val="21"/>
    </w:rPr>
  </w:style>
  <w:style w:type="paragraph" w:customStyle="1" w:styleId="24">
    <w:name w:val="表格"/>
    <w:basedOn w:val="16"/>
    <w:link w:val="41"/>
    <w:qFormat/>
    <w:uiPriority w:val="0"/>
    <w:pPr>
      <w:adjustRightInd w:val="0"/>
      <w:snapToGrid w:val="0"/>
      <w:spacing w:beforeLines="10" w:afterLines="10" w:line="259" w:lineRule="auto"/>
      <w:jc w:val="center"/>
    </w:pPr>
    <w:rPr>
      <w:rFonts w:ascii="宋体"/>
      <w:kern w:val="0"/>
      <w:szCs w:val="20"/>
    </w:rPr>
  </w:style>
  <w:style w:type="paragraph" w:customStyle="1" w:styleId="25">
    <w:name w:val="表头"/>
    <w:basedOn w:val="24"/>
    <w:next w:val="1"/>
    <w:qFormat/>
    <w:uiPriority w:val="0"/>
    <w:pPr>
      <w:adjustRightInd w:val="0"/>
      <w:snapToGrid w:val="0"/>
      <w:spacing w:before="60" w:beforeLines="25"/>
      <w:jc w:val="center"/>
      <w:textAlignment w:val="baseline"/>
    </w:pPr>
    <w:rPr>
      <w:rFonts w:hAnsi="宋体" w:eastAsia="仿宋_GB2312"/>
      <w:b/>
      <w:kern w:val="0"/>
      <w:szCs w:val="28"/>
    </w:rPr>
  </w:style>
  <w:style w:type="paragraph" w:customStyle="1" w:styleId="26">
    <w:name w:val="表格名"/>
    <w:basedOn w:val="1"/>
    <w:next w:val="1"/>
    <w:qFormat/>
    <w:uiPriority w:val="0"/>
    <w:pPr>
      <w:adjustRightInd w:val="0"/>
      <w:snapToGrid w:val="0"/>
      <w:spacing w:before="50" w:beforeLines="50"/>
      <w:jc w:val="center"/>
    </w:pPr>
    <w:rPr>
      <w:rFonts w:hint="eastAsia" w:ascii="Times New Roman" w:hAnsi="Times New Roman"/>
      <w:b/>
      <w:color w:val="000000" w:themeColor="text1"/>
      <w:szCs w:val="21"/>
      <w14:textFill>
        <w14:solidFill>
          <w14:schemeClr w14:val="tx1"/>
        </w14:solidFill>
      </w14:textFill>
    </w:rPr>
  </w:style>
  <w:style w:type="paragraph" w:customStyle="1" w:styleId="27">
    <w:name w:val="表格内容"/>
    <w:basedOn w:val="1"/>
    <w:next w:val="1"/>
    <w:qFormat/>
    <w:uiPriority w:val="0"/>
    <w:pPr>
      <w:adjustRightInd w:val="0"/>
      <w:snapToGrid w:val="0"/>
      <w:spacing w:line="240" w:lineRule="auto"/>
      <w:jc w:val="center"/>
    </w:pPr>
    <w:rPr>
      <w:rFonts w:hint="eastAsia" w:ascii="Times New Roman" w:hAnsi="Times New Roman"/>
      <w:bCs/>
      <w:color w:val="000000" w:themeColor="text1"/>
      <w:sz w:val="21"/>
      <w14:textFill>
        <w14:solidFill>
          <w14:schemeClr w14:val="tx1"/>
        </w14:solidFill>
      </w14:textFill>
    </w:rPr>
  </w:style>
  <w:style w:type="paragraph" w:customStyle="1" w:styleId="28">
    <w:name w:val="Char"/>
    <w:basedOn w:val="1"/>
    <w:qFormat/>
    <w:uiPriority w:val="0"/>
    <w:rPr>
      <w:sz w:val="24"/>
    </w:rPr>
  </w:style>
  <w:style w:type="character" w:customStyle="1" w:styleId="29">
    <w:name w:val="正文文本缩进 Char"/>
    <w:link w:val="6"/>
    <w:semiHidden/>
    <w:qFormat/>
    <w:locked/>
    <w:uiPriority w:val="0"/>
    <w:rPr>
      <w:rFonts w:ascii="Times New Roman" w:hAnsi="Times New Roman" w:eastAsia="宋体"/>
      <w:sz w:val="24"/>
    </w:rPr>
  </w:style>
  <w:style w:type="character" w:customStyle="1" w:styleId="30">
    <w:name w:val="正文文本 Char"/>
    <w:link w:val="8"/>
    <w:qFormat/>
    <w:locked/>
    <w:uiPriority w:val="0"/>
    <w:rPr>
      <w:sz w:val="18"/>
    </w:rPr>
  </w:style>
  <w:style w:type="character" w:customStyle="1" w:styleId="31">
    <w:name w:val="批注文字 Char"/>
    <w:link w:val="10"/>
    <w:qFormat/>
    <w:locked/>
    <w:uiPriority w:val="0"/>
    <w:rPr>
      <w:rFonts w:ascii="Times New Roman" w:hAnsi="Times New Roman" w:eastAsia="宋体"/>
      <w:sz w:val="24"/>
    </w:rPr>
  </w:style>
  <w:style w:type="character" w:customStyle="1" w:styleId="32">
    <w:name w:val="日期 Char"/>
    <w:link w:val="12"/>
    <w:qFormat/>
    <w:locked/>
    <w:uiPriority w:val="0"/>
    <w:rPr>
      <w:rFonts w:ascii="Times New Roman" w:hAnsi="Times New Roman" w:eastAsia="宋体"/>
      <w:sz w:val="24"/>
    </w:rPr>
  </w:style>
  <w:style w:type="character" w:customStyle="1" w:styleId="33">
    <w:name w:val="批注框文本 Char"/>
    <w:link w:val="13"/>
    <w:semiHidden/>
    <w:qFormat/>
    <w:locked/>
    <w:uiPriority w:val="0"/>
    <w:rPr>
      <w:rFonts w:ascii="Times New Roman" w:hAnsi="Times New Roman" w:eastAsia="宋体"/>
      <w:sz w:val="18"/>
    </w:rPr>
  </w:style>
  <w:style w:type="character" w:customStyle="1" w:styleId="34">
    <w:name w:val="页脚 Char"/>
    <w:link w:val="14"/>
    <w:qFormat/>
    <w:locked/>
    <w:uiPriority w:val="99"/>
    <w:rPr>
      <w:sz w:val="18"/>
    </w:rPr>
  </w:style>
  <w:style w:type="character" w:customStyle="1" w:styleId="35">
    <w:name w:val="页眉 Char"/>
    <w:link w:val="15"/>
    <w:qFormat/>
    <w:locked/>
    <w:uiPriority w:val="0"/>
    <w:rPr>
      <w:sz w:val="18"/>
    </w:rPr>
  </w:style>
  <w:style w:type="character" w:customStyle="1" w:styleId="36">
    <w:name w:val="普通(网站) Char"/>
    <w:link w:val="17"/>
    <w:qFormat/>
    <w:locked/>
    <w:uiPriority w:val="0"/>
    <w:rPr>
      <w:rFonts w:ascii="宋体" w:hAnsi="宋体" w:eastAsia="宋体"/>
      <w:sz w:val="24"/>
    </w:rPr>
  </w:style>
  <w:style w:type="character" w:customStyle="1" w:styleId="37">
    <w:name w:val="批注主题 Char"/>
    <w:link w:val="18"/>
    <w:semiHidden/>
    <w:qFormat/>
    <w:locked/>
    <w:uiPriority w:val="0"/>
    <w:rPr>
      <w:rFonts w:ascii="Times New Roman" w:hAnsi="Times New Roman" w:eastAsia="宋体"/>
      <w:b/>
      <w:kern w:val="2"/>
      <w:sz w:val="24"/>
    </w:rPr>
  </w:style>
  <w:style w:type="character" w:customStyle="1" w:styleId="38">
    <w:name w:val="批注文字 字符1"/>
    <w:semiHidden/>
    <w:qFormat/>
    <w:uiPriority w:val="0"/>
    <w:rPr>
      <w:rFonts w:ascii="Times New Roman" w:hAnsi="Times New Roman" w:eastAsia="宋体"/>
      <w:sz w:val="24"/>
    </w:rPr>
  </w:style>
  <w:style w:type="character" w:customStyle="1" w:styleId="39">
    <w:name w:val="正文文本 字符1"/>
    <w:semiHidden/>
    <w:qFormat/>
    <w:uiPriority w:val="0"/>
    <w:rPr>
      <w:rFonts w:ascii="Times New Roman" w:hAnsi="Times New Roman" w:eastAsia="宋体"/>
      <w:sz w:val="24"/>
    </w:rPr>
  </w:style>
  <w:style w:type="character" w:customStyle="1" w:styleId="40">
    <w:name w:val="日期 字符"/>
    <w:semiHidden/>
    <w:qFormat/>
    <w:uiPriority w:val="0"/>
    <w:rPr>
      <w:rFonts w:ascii="Times New Roman" w:hAnsi="Times New Roman" w:eastAsia="宋体"/>
      <w:sz w:val="24"/>
    </w:rPr>
  </w:style>
  <w:style w:type="character" w:customStyle="1" w:styleId="41">
    <w:name w:val="表格 Char"/>
    <w:link w:val="24"/>
    <w:qFormat/>
    <w:locked/>
    <w:uiPriority w:val="0"/>
    <w:rPr>
      <w:rFonts w:ascii="宋体"/>
      <w:sz w:val="21"/>
    </w:rPr>
  </w:style>
  <w:style w:type="character" w:customStyle="1" w:styleId="42">
    <w:name w:val="页脚 字符"/>
    <w:basedOn w:val="21"/>
    <w:qFormat/>
    <w:uiPriority w:val="99"/>
  </w:style>
  <w:style w:type="paragraph" w:customStyle="1" w:styleId="4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xl24"/>
    <w:basedOn w:val="1"/>
    <w:qFormat/>
    <w:uiPriority w:val="0"/>
    <w:pPr>
      <w:widowControl/>
      <w:spacing w:before="100" w:beforeAutospacing="1" w:after="100" w:afterAutospacing="1"/>
      <w:jc w:val="center"/>
    </w:pPr>
    <w:rPr>
      <w:rFonts w:ascii="宋体" w:hAnsi="宋体"/>
      <w:kern w:val="0"/>
      <w:sz w:val="24"/>
      <w:szCs w:val="20"/>
    </w:rPr>
  </w:style>
  <w:style w:type="paragraph" w:customStyle="1" w:styleId="46">
    <w:name w:val="表格文字"/>
    <w:basedOn w:val="1"/>
    <w:next w:val="1"/>
    <w:qFormat/>
    <w:uiPriority w:val="0"/>
    <w:pPr>
      <w:jc w:val="center"/>
    </w:pPr>
    <w:rPr>
      <w:rFonts w:ascii="宋体" w:hAnsi="宋体" w:eastAsia="仿宋_GB2312"/>
      <w:kern w:val="44"/>
      <w:sz w:val="24"/>
      <w:szCs w:val="20"/>
    </w:rPr>
  </w:style>
  <w:style w:type="paragraph" w:customStyle="1" w:styleId="47">
    <w:name w:val="Default"/>
    <w:basedOn w:val="48"/>
    <w:next w:val="16"/>
    <w:qFormat/>
    <w:uiPriority w:val="0"/>
    <w:pPr>
      <w:widowControl w:val="0"/>
      <w:autoSpaceDE w:val="0"/>
      <w:autoSpaceDN w:val="0"/>
      <w:adjustRightInd w:val="0"/>
    </w:pPr>
    <w:rPr>
      <w:color w:val="000000"/>
      <w:sz w:val="24"/>
      <w:szCs w:val="24"/>
      <w:lang w:val="en-US" w:eastAsia="zh-CN" w:bidi="ar-SA"/>
    </w:rPr>
  </w:style>
  <w:style w:type="paragraph" w:customStyle="1" w:styleId="48">
    <w:name w:val="纯文本1"/>
    <w:basedOn w:val="1"/>
    <w:qFormat/>
    <w:uiPriority w:val="0"/>
    <w:pPr>
      <w:adjustRightInd w:val="0"/>
    </w:pPr>
    <w:rPr>
      <w:rFonts w:ascii="宋体" w:hAnsi="Courier New"/>
      <w:szCs w:val="20"/>
    </w:rPr>
  </w:style>
  <w:style w:type="paragraph" w:customStyle="1" w:styleId="49">
    <w:name w:val="样式 加粗 居中 行距: 固定值 25 磅"/>
    <w:basedOn w:val="1"/>
    <w:qFormat/>
    <w:uiPriority w:val="0"/>
    <w:pPr>
      <w:spacing w:line="500" w:lineRule="exact"/>
      <w:jc w:val="center"/>
    </w:pPr>
    <w:rPr>
      <w:rFonts w:cs="宋体"/>
      <w:b/>
      <w:bCs/>
      <w:szCs w:val="20"/>
    </w:rPr>
  </w:style>
  <w:style w:type="paragraph" w:customStyle="1" w:styleId="50">
    <w:name w:val="正文(首行缩进)"/>
    <w:basedOn w:val="1"/>
    <w:next w:val="1"/>
    <w:qFormat/>
    <w:uiPriority w:val="0"/>
    <w:pPr>
      <w:tabs>
        <w:tab w:val="left" w:pos="4584"/>
      </w:tabs>
      <w:snapToGrid w:val="0"/>
      <w:spacing w:line="360" w:lineRule="auto"/>
      <w:ind w:firstLine="480"/>
      <w:jc w:val="left"/>
    </w:pPr>
    <w:rPr>
      <w:rFonts w:ascii="宋体" w:hAnsi="宋体" w:eastAsia="宋体"/>
      <w:color w:val="000000"/>
      <w:sz w:val="24"/>
      <w:lang w:val="zh-CN"/>
    </w:rPr>
  </w:style>
  <w:style w:type="paragraph" w:customStyle="1" w:styleId="51">
    <w:name w:val="_Style 2"/>
    <w:basedOn w:val="1"/>
    <w:qFormat/>
    <w:uiPriority w:val="99"/>
    <w:pPr>
      <w:ind w:firstLine="420"/>
    </w:pPr>
    <w:rPr>
      <w:rFonts w:ascii="Calibri" w:hAnsi="Calibri"/>
    </w:rPr>
  </w:style>
  <w:style w:type="paragraph" w:customStyle="1" w:styleId="52">
    <w:name w:val="图片名"/>
    <w:basedOn w:val="1"/>
    <w:next w:val="1"/>
    <w:qFormat/>
    <w:uiPriority w:val="0"/>
    <w:pPr>
      <w:adjustRightInd w:val="0"/>
      <w:snapToGrid w:val="0"/>
      <w:spacing w:after="50" w:afterLines="50" w:line="240" w:lineRule="auto"/>
      <w:jc w:val="center"/>
    </w:pPr>
    <w:rPr>
      <w:rFonts w:hint="eastAsia" w:ascii="Times New Roman" w:hAnsi="Times New Roman"/>
      <w:b/>
      <w:color w:val="auto"/>
      <w:szCs w:val="21"/>
    </w:rPr>
  </w:style>
  <w:style w:type="paragraph" w:customStyle="1" w:styleId="53">
    <w:name w:val="表名"/>
    <w:basedOn w:val="1"/>
    <w:qFormat/>
    <w:uiPriority w:val="0"/>
    <w:pPr>
      <w:spacing w:line="240" w:lineRule="auto"/>
      <w:jc w:val="center"/>
    </w:pPr>
    <w:rPr>
      <w:b/>
      <w:sz w:val="21"/>
    </w:rPr>
  </w:style>
  <w:style w:type="paragraph" w:customStyle="1" w:styleId="54">
    <w:name w:val="A正文"/>
    <w:basedOn w:val="1"/>
    <w:link w:val="55"/>
    <w:qFormat/>
    <w:uiPriority w:val="0"/>
    <w:pPr>
      <w:adjustRightInd w:val="0"/>
      <w:snapToGrid w:val="0"/>
      <w:spacing w:line="360" w:lineRule="auto"/>
      <w:ind w:firstLine="720" w:firstLineChars="200"/>
      <w:jc w:val="both"/>
    </w:pPr>
    <w:rPr>
      <w:rFonts w:ascii="Times New Roman" w:hAnsi="Times New Roman"/>
      <w:color w:val="auto"/>
      <w:sz w:val="24"/>
    </w:rPr>
  </w:style>
  <w:style w:type="character" w:customStyle="1" w:styleId="55">
    <w:name w:val="A正文 Char"/>
    <w:link w:val="54"/>
    <w:qFormat/>
    <w:uiPriority w:val="0"/>
    <w:rPr>
      <w:rFonts w:ascii="Times New Roman" w:hAnsi="Times New Roman"/>
      <w:color w:val="auto"/>
      <w:sz w:val="24"/>
    </w:rPr>
  </w:style>
  <w:style w:type="paragraph" w:customStyle="1" w:styleId="56">
    <w:name w:val="表"/>
    <w:basedOn w:val="1"/>
    <w:qFormat/>
    <w:uiPriority w:val="0"/>
    <w:pPr>
      <w:spacing w:line="240" w:lineRule="auto"/>
      <w:ind w:firstLine="0" w:firstLineChars="0"/>
    </w:pPr>
    <w:rPr>
      <w:rFonts w:ascii="Times New Roman" w:hAnsi="Times New Roman"/>
      <w:sz w:val="21"/>
    </w:rPr>
  </w:style>
  <w:style w:type="character" w:customStyle="1" w:styleId="57">
    <w:name w:val="font21"/>
    <w:basedOn w:val="21"/>
    <w:qFormat/>
    <w:uiPriority w:val="0"/>
    <w:rPr>
      <w:rFonts w:hint="default" w:ascii="Times New Roman" w:hAnsi="Times New Roman" w:cs="Times New Roman"/>
      <w:color w:val="000000"/>
      <w:sz w:val="21"/>
      <w:szCs w:val="21"/>
      <w:u w:val="none"/>
    </w:rPr>
  </w:style>
  <w:style w:type="character" w:customStyle="1" w:styleId="58">
    <w:name w:val="font41"/>
    <w:basedOn w:val="21"/>
    <w:qFormat/>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er" Target="foot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extobjs>
    <extobj name="ECB019B1-382A-4266-B25C-5B523AA43C14-1">
      <extobjdata type="ECB019B1-382A-4266-B25C-5B523AA43C14" data="ewoJIkZpbGVJZCIgOiAiNDM1MjA0NjkxNDgwIiwKCSJHcm91cElkIiA6ICI2NDUyMzI2MDEiLAoJIkltYWdlIiA6ICJpVkJPUncwS0dnb0FBQUFOU1VoRVVnQUFBa1FBQUFFTUNBWUFBQUFsQTZuR0FBQUFBWE5TUjBJQXJzNGM2UUFBSUFCSlJFRlVlSnpzM1hsOEZPWDlCL0RQZDJZM0NVZENpTUJQQlRScVZJeGtkNTVaRlMrcVVpdFdLeW9lRlcrcjFxUGVlTmNMbFhwWEVWSHJWWThXRmUvN3FJcXRDbDQ3c3dreGd0QWFNQ3B5eVJGeTdqN2YzeDg3R3plYlRVaENRdGprKzM2OWVKRjk1cG1aWnphVDNlODhKeUN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"/>
    </extobj>
    <extobj name="ECB019B1-382A-4266-B25C-5B523AA43C14-2">
      <extobjdata type="ECB019B1-382A-4266-B25C-5B523AA43C14" data="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69</Pages>
  <Words>131</Words>
  <Characters>159</Characters>
  <Lines>13</Lines>
  <Paragraphs>3</Paragraphs>
  <TotalTime>32</TotalTime>
  <ScaleCrop>false</ScaleCrop>
  <LinksUpToDate>false</LinksUpToDate>
  <CharactersWithSpaces>230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2020-12-29T02:43:00Z</cp:lastPrinted>
  <dcterms:modified xsi:type="dcterms:W3CDTF">2025-08-28T11:20:11Z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818270C5EB054EDF8544E2F4B665DC1C_13</vt:lpwstr>
  </property>
  <property fmtid="{D5CDD505-2E9C-101B-9397-08002B2CF9AE}" pid="4" name="KSOTemplateDocerSaveRecord">
    <vt:lpwstr>eyJoZGlkIjoiOTZjM2E1ZmQ4YTYwOTRiNTcwNTM5OGQ3NGY3ODY1MTMiLCJ1c2VySWQiOiI1NDMyMjM4MDIifQ==</vt:lpwstr>
  </property>
</Properties>
</file>