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ascii="仿宋_GB2312" w:hAnsi="仿宋_GB2312" w:eastAsia="仿宋_GB2312" w:cs="仿宋_GB2312"/>
          <w:sz w:val="36"/>
          <w:szCs w:val="36"/>
        </w:rPr>
      </w:pPr>
      <w:r>
        <w:drawing>
          <wp:anchor distT="0" distB="0" distL="114300" distR="114300" simplePos="0" relativeHeight="251694080" behindDoc="0" locked="0" layoutInCell="1" allowOverlap="1">
            <wp:simplePos x="0" y="0"/>
            <wp:positionH relativeFrom="column">
              <wp:posOffset>-646430</wp:posOffset>
            </wp:positionH>
            <wp:positionV relativeFrom="paragraph">
              <wp:posOffset>-803275</wp:posOffset>
            </wp:positionV>
            <wp:extent cx="7202805" cy="10073640"/>
            <wp:effectExtent l="0" t="0" r="17145" b="3810"/>
            <wp:wrapNone/>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8"/>
                    <a:stretch>
                      <a:fillRect/>
                    </a:stretch>
                  </pic:blipFill>
                  <pic:spPr>
                    <a:xfrm>
                      <a:off x="0" y="0"/>
                      <a:ext cx="7202805" cy="10073640"/>
                    </a:xfrm>
                    <a:prstGeom prst="rect">
                      <a:avLst/>
                    </a:prstGeom>
                    <a:noFill/>
                    <a:ln>
                      <a:noFill/>
                    </a:ln>
                  </pic:spPr>
                </pic:pic>
              </a:graphicData>
            </a:graphic>
          </wp:anchor>
        </w:drawing>
      </w: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hint="eastAsia" w:ascii="仿宋_GB2312" w:hAnsi="仿宋_GB2312" w:eastAsia="仿宋_GB2312" w:cs="仿宋_GB2312"/>
          <w:sz w:val="36"/>
          <w:szCs w:val="36"/>
        </w:rPr>
      </w:pPr>
    </w:p>
    <w:p>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0"/>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rPr>
          <w:rFonts w:eastAsia="仿宋"/>
          <w:sz w:val="44"/>
          <w:szCs w:val="44"/>
        </w:rPr>
      </w:pPr>
    </w:p>
    <w:p>
      <w:pPr>
        <w:ind w:firstLine="1040"/>
        <w:rPr>
          <w:rFonts w:eastAsia="仿宋"/>
          <w:sz w:val="44"/>
          <w:szCs w:val="44"/>
        </w:rPr>
      </w:pPr>
    </w:p>
    <w:p>
      <w:pPr>
        <w:adjustRightInd w:val="0"/>
        <w:snapToGrid w:val="0"/>
        <w:spacing w:line="360" w:lineRule="auto"/>
        <w:ind w:left="1440" w:hanging="1280" w:hangingChars="400"/>
        <w:jc w:val="left"/>
        <w:rPr>
          <w:rFonts w:hint="eastAsia" w:ascii="仿宋_GB2312" w:eastAsia="仿宋_GB2312"/>
          <w:sz w:val="32"/>
          <w:szCs w:val="32"/>
          <w:u w:val="single"/>
        </w:rPr>
      </w:pPr>
      <w:r>
        <w:rPr>
          <w:rFonts w:hint="eastAsia" w:ascii="仿宋_GB2312" w:eastAsia="仿宋_GB2312"/>
          <w:sz w:val="32"/>
          <w:szCs w:val="32"/>
        </w:rPr>
        <w:t>项目名称：</w:t>
      </w:r>
      <w:r>
        <w:rPr>
          <w:rFonts w:hint="eastAsia" w:ascii="仿宋_GB2312" w:eastAsia="仿宋_GB2312"/>
          <w:sz w:val="32"/>
          <w:szCs w:val="32"/>
          <w:u w:val="single"/>
        </w:rPr>
        <w:t>库尔勒兴盛和祥热力供应有限公司移动式生物质锅炉项目</w:t>
      </w:r>
    </w:p>
    <w:p>
      <w:pPr>
        <w:adjustRightInd w:val="0"/>
        <w:snapToGrid w:val="0"/>
        <w:spacing w:line="360" w:lineRule="auto"/>
        <w:ind w:left="2880" w:hanging="2880" w:hangingChars="900"/>
        <w:rPr>
          <w:rFonts w:hint="default" w:ascii="仿宋_GB2312" w:eastAsia="仿宋_GB2312"/>
          <w:sz w:val="32"/>
          <w:szCs w:val="32"/>
          <w:u w:val="single"/>
          <w:lang w:val="en-US" w:eastAsia="zh-CN"/>
        </w:rPr>
      </w:pPr>
      <w:r>
        <w:rPr>
          <w:rFonts w:hint="eastAsia" w:ascii="仿宋_GB2312" w:eastAsia="仿宋_GB2312"/>
          <w:sz w:val="32"/>
          <w:szCs w:val="32"/>
        </w:rPr>
        <w:t>建设单位（盖章）：</w:t>
      </w:r>
      <w:r>
        <w:rPr>
          <w:rFonts w:hint="eastAsia" w:ascii="仿宋_GB2312" w:eastAsia="仿宋_GB2312"/>
          <w:sz w:val="32"/>
          <w:szCs w:val="32"/>
          <w:u w:val="single"/>
        </w:rPr>
        <w:t>库尔勒兴盛和祥热力供应有限公司</w:t>
      </w:r>
      <w:r>
        <w:rPr>
          <w:rFonts w:hint="eastAsia" w:ascii="仿宋_GB2312" w:eastAsia="仿宋_GB2312"/>
          <w:sz w:val="32"/>
          <w:szCs w:val="32"/>
          <w:u w:val="single"/>
          <w:lang w:val="en-US" w:eastAsia="zh-CN"/>
        </w:rPr>
        <w:t xml:space="preserve">          </w:t>
      </w:r>
    </w:p>
    <w:p>
      <w:pPr>
        <w:adjustRightInd w:val="0"/>
        <w:snapToGrid w:val="0"/>
        <w:spacing w:line="360" w:lineRule="auto"/>
        <w:rPr>
          <w:rFonts w:hint="eastAsia" w:ascii="仿宋_GB2312" w:eastAsia="仿宋_GB2312"/>
          <w:sz w:val="32"/>
          <w:szCs w:val="32"/>
          <w:u w:val="single"/>
          <w:lang w:val="en-US" w:eastAsia="zh-CN"/>
        </w:rPr>
      </w:pPr>
      <w:r>
        <w:rPr>
          <w:rFonts w:hint="eastAsia" w:ascii="仿宋_GB2312" w:eastAsia="仿宋_GB2312"/>
          <w:sz w:val="32"/>
          <w:szCs w:val="32"/>
        </w:rPr>
        <w:t>编制日期：</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2025年8月</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p>
    <w:p>
      <w:pPr>
        <w:adjustRightInd w:val="0"/>
        <w:snapToGrid w:val="0"/>
        <w:spacing w:line="288" w:lineRule="auto"/>
        <w:ind w:firstLine="1040"/>
        <w:rPr>
          <w:rFonts w:ascii="仿宋_GB2312" w:eastAsia="仿宋_GB2312"/>
          <w:sz w:val="36"/>
          <w:szCs w:val="36"/>
          <w:u w:val="single"/>
        </w:rPr>
      </w:pPr>
      <w:bookmarkStart w:id="0"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rPr>
          <w:rFonts w:hint="default" w:ascii="仿宋_GB2312" w:eastAsia="仿宋_GB2312"/>
          <w:sz w:val="36"/>
          <w:szCs w:val="36"/>
          <w:lang w:val="en-US" w:eastAsia="zh-CN"/>
        </w:rPr>
      </w:pPr>
    </w:p>
    <w:p>
      <w:pPr>
        <w:adjustRightInd w:val="0"/>
        <w:snapToGrid w:val="0"/>
        <w:spacing w:line="288" w:lineRule="auto"/>
        <w:ind w:firstLine="1040"/>
        <w:rPr>
          <w:rFonts w:hint="eastAsia" w:ascii="仿宋_GB2312" w:eastAsia="仿宋_GB2312"/>
          <w:sz w:val="36"/>
          <w:szCs w:val="36"/>
        </w:rPr>
      </w:pPr>
    </w:p>
    <w:bookmarkEnd w:id="0"/>
    <w:p>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jc w:val="center"/>
        <w:rPr>
          <w:rFonts w:hint="eastAsia" w:ascii="楷体_GB2312" w:eastAsia="楷体_GB2312"/>
          <w:sz w:val="36"/>
          <w:szCs w:val="36"/>
        </w:rPr>
      </w:pPr>
    </w:p>
    <w:p>
      <w:pPr>
        <w:adjustRightInd w:val="0"/>
        <w:snapToGrid w:val="0"/>
        <w:spacing w:line="288" w:lineRule="auto"/>
        <w:jc w:val="center"/>
        <w:rPr>
          <w:rFonts w:hint="eastAsia" w:ascii="楷体_GB2312" w:eastAsia="楷体_GB2312"/>
          <w:sz w:val="36"/>
          <w:szCs w:val="36"/>
        </w:rPr>
      </w:pPr>
      <w:r>
        <w:drawing>
          <wp:anchor distT="0" distB="0" distL="114300" distR="114300" simplePos="0" relativeHeight="251695104" behindDoc="0" locked="0" layoutInCell="1" allowOverlap="1">
            <wp:simplePos x="0" y="0"/>
            <wp:positionH relativeFrom="column">
              <wp:posOffset>-549275</wp:posOffset>
            </wp:positionH>
            <wp:positionV relativeFrom="paragraph">
              <wp:posOffset>-771525</wp:posOffset>
            </wp:positionV>
            <wp:extent cx="6894195" cy="9585325"/>
            <wp:effectExtent l="0" t="0" r="1905" b="15875"/>
            <wp:wrapNone/>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9"/>
                    <a:stretch>
                      <a:fillRect/>
                    </a:stretch>
                  </pic:blipFill>
                  <pic:spPr>
                    <a:xfrm>
                      <a:off x="0" y="0"/>
                      <a:ext cx="6894195" cy="9585325"/>
                    </a:xfrm>
                    <a:prstGeom prst="rect">
                      <a:avLst/>
                    </a:prstGeom>
                    <a:noFill/>
                    <a:ln>
                      <a:noFill/>
                    </a:ln>
                  </pic:spPr>
                </pic:pic>
              </a:graphicData>
            </a:graphic>
          </wp:anchor>
        </w:drawing>
      </w:r>
    </w:p>
    <w:p>
      <w:pPr>
        <w:adjustRightInd w:val="0"/>
        <w:snapToGrid w:val="0"/>
        <w:spacing w:line="288" w:lineRule="auto"/>
        <w:jc w:val="center"/>
        <w:rPr>
          <w:rFonts w:hint="eastAsia" w:ascii="楷体_GB2312" w:eastAsia="楷体_GB2312"/>
          <w:sz w:val="36"/>
          <w:szCs w:val="36"/>
        </w:rPr>
      </w:pPr>
    </w:p>
    <w:p>
      <w:pPr>
        <w:adjustRightInd w:val="0"/>
        <w:snapToGrid w:val="0"/>
        <w:spacing w:line="288" w:lineRule="auto"/>
        <w:jc w:val="center"/>
        <w:rPr>
          <w:rFonts w:hint="eastAsia" w:ascii="楷体_GB2312" w:eastAsia="楷体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pStyle w:val="2"/>
        <w:rPr>
          <w:rFonts w:hint="eastAsia"/>
        </w:rPr>
        <w:sectPr>
          <w:pgSz w:w="11906" w:h="16838"/>
          <w:pgMar w:top="1701" w:right="1531" w:bottom="1701" w:left="1531" w:header="851" w:footer="1077" w:gutter="0"/>
          <w:pgNumType w:start="3"/>
          <w:cols w:space="720" w:num="1"/>
          <w:docGrid w:linePitch="312" w:charSpace="0"/>
        </w:sectPr>
      </w:pPr>
      <w:r>
        <w:drawing>
          <wp:anchor distT="0" distB="0" distL="114300" distR="114300" simplePos="0" relativeHeight="251696128" behindDoc="0" locked="0" layoutInCell="1" allowOverlap="1">
            <wp:simplePos x="0" y="0"/>
            <wp:positionH relativeFrom="column">
              <wp:posOffset>-471170</wp:posOffset>
            </wp:positionH>
            <wp:positionV relativeFrom="paragraph">
              <wp:posOffset>-435610</wp:posOffset>
            </wp:positionV>
            <wp:extent cx="6560185" cy="8623935"/>
            <wp:effectExtent l="0" t="0" r="12065" b="5715"/>
            <wp:wrapNone/>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0"/>
                    <a:stretch>
                      <a:fillRect/>
                    </a:stretch>
                  </pic:blipFill>
                  <pic:spPr>
                    <a:xfrm>
                      <a:off x="0" y="0"/>
                      <a:ext cx="6560185" cy="8623935"/>
                    </a:xfrm>
                    <a:prstGeom prst="rect">
                      <a:avLst/>
                    </a:prstGeom>
                    <a:noFill/>
                    <a:ln>
                      <a:noFill/>
                    </a:ln>
                  </pic:spPr>
                </pic:pic>
              </a:graphicData>
            </a:graphic>
          </wp:anchor>
        </w:drawing>
      </w:r>
    </w:p>
    <w:p>
      <w:pPr>
        <w:rPr>
          <w:rFonts w:hint="eastAsia"/>
        </w:rPr>
      </w:pPr>
      <w:r>
        <w:drawing>
          <wp:anchor distT="0" distB="0" distL="114300" distR="114300" simplePos="0" relativeHeight="251697152" behindDoc="0" locked="0" layoutInCell="1" allowOverlap="1">
            <wp:simplePos x="0" y="0"/>
            <wp:positionH relativeFrom="column">
              <wp:posOffset>-278765</wp:posOffset>
            </wp:positionH>
            <wp:positionV relativeFrom="paragraph">
              <wp:posOffset>-513715</wp:posOffset>
            </wp:positionV>
            <wp:extent cx="6499860" cy="9110980"/>
            <wp:effectExtent l="0" t="0" r="15240" b="13970"/>
            <wp:wrapNone/>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1"/>
                    <a:stretch>
                      <a:fillRect/>
                    </a:stretch>
                  </pic:blipFill>
                  <pic:spPr>
                    <a:xfrm>
                      <a:off x="0" y="0"/>
                      <a:ext cx="6499860" cy="9110980"/>
                    </a:xfrm>
                    <a:prstGeom prst="rect">
                      <a:avLst/>
                    </a:prstGeom>
                    <a:noFill/>
                    <a:ln>
                      <a:noFill/>
                    </a:ln>
                  </pic:spPr>
                </pic:pic>
              </a:graphicData>
            </a:graphic>
          </wp:anchor>
        </w:drawing>
      </w:r>
    </w:p>
    <w:p>
      <w:pPr>
        <w:adjustRightInd w:val="0"/>
        <w:snapToGrid w:val="0"/>
        <w:spacing w:line="288" w:lineRule="auto"/>
        <w:ind w:firstLine="1040"/>
        <w:rPr>
          <w:rFonts w:ascii="仿宋_GB2312" w:eastAsia="仿宋_GB2312"/>
          <w:sz w:val="36"/>
          <w:szCs w:val="36"/>
        </w:rPr>
        <w:sectPr>
          <w:pgSz w:w="11906" w:h="16838"/>
          <w:pgMar w:top="1701" w:right="1531" w:bottom="1701" w:left="1531" w:header="851" w:footer="1077" w:gutter="0"/>
          <w:pgNumType w:start="3"/>
          <w:cols w:space="720" w:num="1"/>
          <w:docGrid w:linePitch="312" w:charSpace="0"/>
        </w:sectPr>
      </w:pPr>
    </w:p>
    <w:p>
      <w:pPr>
        <w:pStyle w:val="18"/>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一、建设项目基本情况</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56"/>
        <w:gridCol w:w="1926"/>
        <w:gridCol w:w="1637"/>
        <w:gridCol w:w="2212"/>
        <w:gridCol w:w="2639"/>
        <w:tblGridChange w:id="0">
          <w:tblGrid>
            <w:gridCol w:w="456"/>
            <w:gridCol w:w="1965"/>
            <w:gridCol w:w="1627"/>
            <w:gridCol w:w="2195"/>
            <w:gridCol w:w="2627"/>
          </w:tblGrid>
        </w:tblGridChange>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建设项目名称</w:t>
            </w:r>
          </w:p>
        </w:tc>
        <w:tc>
          <w:tcPr>
            <w:tcW w:w="6488" w:type="dxa"/>
            <w:gridSpan w:val="3"/>
            <w:noWrap w:val="0"/>
            <w:vAlign w:val="center"/>
          </w:tcPr>
          <w:p>
            <w:pPr>
              <w:adjustRightInd w:val="0"/>
              <w:snapToGrid w:val="0"/>
              <w:jc w:val="center"/>
              <w:rPr>
                <w:rFonts w:hint="default" w:ascii="Times New Roman" w:hAnsi="Times New Roman"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项目代码</w:t>
            </w:r>
          </w:p>
        </w:tc>
        <w:tc>
          <w:tcPr>
            <w:tcW w:w="6488" w:type="dxa"/>
            <w:gridSpan w:val="3"/>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建设单位联系人</w:t>
            </w:r>
          </w:p>
        </w:tc>
        <w:tc>
          <w:tcPr>
            <w:tcW w:w="1637"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p>
        </w:tc>
        <w:tc>
          <w:tcPr>
            <w:tcW w:w="2212" w:type="dxa"/>
            <w:noWrap w:val="0"/>
            <w:vAlign w:val="center"/>
          </w:tcPr>
          <w:p>
            <w:pPr>
              <w:adjustRightInd w:val="0"/>
              <w:snapToGrid w:val="0"/>
              <w:jc w:val="center"/>
              <w:rPr>
                <w:rFonts w:hint="default" w:ascii="Times New Roman" w:hAnsi="Times New Roman" w:cs="Times New Roman"/>
                <w:sz w:val="24"/>
                <w:szCs w:val="24"/>
              </w:rPr>
            </w:pPr>
          </w:p>
        </w:tc>
        <w:tc>
          <w:tcPr>
            <w:tcW w:w="2639" w:type="dxa"/>
            <w:noWrap w:val="0"/>
            <w:vAlign w:val="center"/>
          </w:tcPr>
          <w:p>
            <w:pPr>
              <w:adjustRightInd w:val="0"/>
              <w:snapToGrid w:val="0"/>
              <w:jc w:val="center"/>
              <w:rPr>
                <w:rFonts w:hint="default" w:ascii="Times New Roman" w:hAnsi="Times New Roman" w:cs="Times New Roman"/>
                <w:sz w:val="24"/>
                <w:szCs w:val="24"/>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建设地点</w:t>
            </w:r>
          </w:p>
        </w:tc>
        <w:tc>
          <w:tcPr>
            <w:tcW w:w="6488" w:type="dxa"/>
            <w:gridSpan w:val="3"/>
            <w:noWrap w:val="0"/>
            <w:vAlign w:val="center"/>
          </w:tcPr>
          <w:p>
            <w:pPr>
              <w:adjustRightInd w:val="0"/>
              <w:snapToGrid w:val="0"/>
              <w:jc w:val="center"/>
              <w:rPr>
                <w:rFonts w:hint="default" w:ascii="Times New Roman" w:hAnsi="Times New Roman" w:eastAsia="宋体" w:cs="Times New Roman"/>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地理坐标</w:t>
            </w:r>
          </w:p>
        </w:tc>
        <w:tc>
          <w:tcPr>
            <w:tcW w:w="6488" w:type="dxa"/>
            <w:gridSpan w:val="3"/>
            <w:noWrap w:val="0"/>
            <w:vAlign w:val="center"/>
          </w:tcPr>
          <w:p>
            <w:pPr>
              <w:jc w:val="center"/>
              <w:rPr>
                <w:rFonts w:hint="default" w:ascii="Times New Roman" w:hAnsi="Times New Roman"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国民经济</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p>
        </w:tc>
        <w:tc>
          <w:tcPr>
            <w:tcW w:w="1637"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p>
        </w:tc>
        <w:tc>
          <w:tcPr>
            <w:tcW w:w="2212" w:type="dxa"/>
            <w:noWrap w:val="0"/>
            <w:vAlign w:val="center"/>
          </w:tcPr>
          <w:p>
            <w:pPr>
              <w:adjustRightInd w:val="0"/>
              <w:snapToGrid w:val="0"/>
              <w:jc w:val="center"/>
              <w:rPr>
                <w:rFonts w:hint="default" w:ascii="Times New Roman" w:hAnsi="Times New Roman" w:cs="Times New Roman"/>
                <w:sz w:val="24"/>
                <w:szCs w:val="24"/>
              </w:rPr>
            </w:pPr>
          </w:p>
        </w:tc>
        <w:tc>
          <w:tcPr>
            <w:tcW w:w="2639"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建设性质</w:t>
            </w:r>
          </w:p>
        </w:tc>
        <w:tc>
          <w:tcPr>
            <w:tcW w:w="1637" w:type="dxa"/>
            <w:noWrap w:val="0"/>
            <w:vAlign w:val="center"/>
          </w:tcPr>
          <w:p>
            <w:pPr>
              <w:jc w:val="left"/>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新建（迁建）</w:t>
            </w:r>
          </w:p>
          <w:p>
            <w:pPr>
              <w:jc w:val="left"/>
              <w:rPr>
                <w:rFonts w:hint="default" w:ascii="Times New Roman" w:hAnsi="Times New Roman" w:cs="Times New Roman"/>
                <w:sz w:val="24"/>
                <w:szCs w:val="24"/>
              </w:rPr>
            </w:pPr>
            <w:r>
              <w:rPr>
                <w:rFonts w:hint="default" w:ascii="Times New Roman" w:hAnsi="Times New Roman" w:cs="Times New Roman"/>
                <w:sz w:val="24"/>
                <w:szCs w:val="24"/>
              </w:rPr>
              <w:t>□改建</w:t>
            </w:r>
          </w:p>
          <w:p>
            <w:pPr>
              <w:jc w:val="left"/>
              <w:rPr>
                <w:rFonts w:hint="default" w:ascii="Times New Roman" w:hAnsi="Times New Roman" w:cs="Times New Roman"/>
                <w:sz w:val="24"/>
                <w:szCs w:val="24"/>
              </w:rPr>
            </w:pPr>
            <w:r>
              <w:rPr>
                <w:rFonts w:hint="default" w:ascii="Times New Roman" w:hAnsi="Times New Roman" w:cs="Times New Roman"/>
                <w:sz w:val="24"/>
                <w:szCs w:val="24"/>
              </w:rPr>
              <w:t>□扩建</w:t>
            </w:r>
          </w:p>
          <w:p>
            <w:pPr>
              <w:jc w:val="left"/>
              <w:rPr>
                <w:rFonts w:hint="default" w:ascii="Times New Roman" w:hAnsi="Times New Roman" w:cs="Times New Roman"/>
                <w:sz w:val="24"/>
                <w:szCs w:val="24"/>
              </w:rPr>
            </w:pPr>
            <w:r>
              <w:rPr>
                <w:rFonts w:hint="default" w:ascii="Times New Roman" w:hAnsi="Times New Roman" w:cs="Times New Roman"/>
                <w:sz w:val="24"/>
                <w:szCs w:val="24"/>
              </w:rPr>
              <w:t>□技术改造</w:t>
            </w:r>
          </w:p>
        </w:tc>
        <w:tc>
          <w:tcPr>
            <w:tcW w:w="2212"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建设项目</w:t>
            </w:r>
            <w:bookmarkStart w:id="6" w:name="_GoBack"/>
            <w:bookmarkEnd w:id="6"/>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申报情形</w:t>
            </w:r>
          </w:p>
        </w:tc>
        <w:tc>
          <w:tcPr>
            <w:tcW w:w="2639" w:type="dxa"/>
            <w:noWrap w:val="0"/>
            <w:vAlign w:val="center"/>
          </w:tcPr>
          <w:p>
            <w:pPr>
              <w:jc w:val="left"/>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首次申报项目             </w:t>
            </w:r>
          </w:p>
          <w:p>
            <w:pPr>
              <w:jc w:val="left"/>
              <w:rPr>
                <w:rFonts w:hint="default" w:ascii="Times New Roman" w:hAnsi="Times New Roman" w:cs="Times New Roman"/>
                <w:sz w:val="24"/>
                <w:szCs w:val="24"/>
              </w:rPr>
            </w:pPr>
            <w:r>
              <w:rPr>
                <w:rFonts w:hint="default" w:ascii="Times New Roman" w:hAnsi="Times New Roman" w:cs="Times New Roman"/>
                <w:sz w:val="24"/>
                <w:szCs w:val="24"/>
              </w:rPr>
              <w:t>□不予批准后再次申报项目</w:t>
            </w:r>
          </w:p>
          <w:p>
            <w:pPr>
              <w:jc w:val="left"/>
              <w:rPr>
                <w:rFonts w:hint="default" w:ascii="Times New Roman" w:hAnsi="Times New Roman" w:cs="Times New Roman"/>
                <w:sz w:val="24"/>
                <w:szCs w:val="24"/>
              </w:rPr>
            </w:pPr>
            <w:r>
              <w:rPr>
                <w:rFonts w:hint="default" w:ascii="Times New Roman" w:hAnsi="Times New Roman" w:cs="Times New Roman"/>
                <w:sz w:val="24"/>
                <w:szCs w:val="24"/>
              </w:rPr>
              <w:t xml:space="preserve">□超五年重新审核项目     </w:t>
            </w:r>
          </w:p>
          <w:p>
            <w:pPr>
              <w:jc w:val="left"/>
              <w:rPr>
                <w:rFonts w:hint="default" w:ascii="Times New Roman" w:hAnsi="Times New Roman" w:cs="Times New Roman"/>
                <w:sz w:val="24"/>
                <w:szCs w:val="24"/>
              </w:rPr>
            </w:pPr>
            <w:r>
              <w:rPr>
                <w:rFonts w:hint="default" w:ascii="Times New Roman" w:hAnsi="Times New Roman" w:cs="Times New Roman"/>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项目审批（核准/</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备案）部门（选填）</w:t>
            </w:r>
          </w:p>
        </w:tc>
        <w:tc>
          <w:tcPr>
            <w:tcW w:w="1637" w:type="dxa"/>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w:t>
            </w:r>
          </w:p>
        </w:tc>
        <w:tc>
          <w:tcPr>
            <w:tcW w:w="2212"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项目审批（核准/</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备案）文号（选填）</w:t>
            </w:r>
          </w:p>
        </w:tc>
        <w:tc>
          <w:tcPr>
            <w:tcW w:w="2639" w:type="dxa"/>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总投资（万元）</w:t>
            </w:r>
          </w:p>
        </w:tc>
        <w:tc>
          <w:tcPr>
            <w:tcW w:w="1637"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40</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环保投资（万元）</w:t>
            </w:r>
          </w:p>
        </w:tc>
        <w:tc>
          <w:tcPr>
            <w:tcW w:w="2639"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环保投资占比（%）</w:t>
            </w:r>
          </w:p>
        </w:tc>
        <w:tc>
          <w:tcPr>
            <w:tcW w:w="1637"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5</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施工工期</w:t>
            </w:r>
          </w:p>
        </w:tc>
        <w:tc>
          <w:tcPr>
            <w:tcW w:w="2639"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是否开工建设</w:t>
            </w:r>
          </w:p>
        </w:tc>
        <w:tc>
          <w:tcPr>
            <w:tcW w:w="1637" w:type="dxa"/>
            <w:noWrap w:val="0"/>
            <w:vAlign w:val="center"/>
          </w:tcPr>
          <w:p>
            <w:pPr>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否</w:t>
            </w:r>
          </w:p>
          <w:p>
            <w:pPr>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rPr>
              <w:t>□是：</w:t>
            </w:r>
            <w:r>
              <w:rPr>
                <w:rFonts w:hint="default" w:ascii="Times New Roman" w:hAnsi="Times New Roman" w:cs="Times New Roman"/>
                <w:sz w:val="24"/>
                <w:szCs w:val="24"/>
                <w:u w:val="single"/>
              </w:rPr>
              <w:t xml:space="preserve">             </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spacing w:val="-6"/>
                <w:sz w:val="24"/>
                <w:szCs w:val="24"/>
              </w:rPr>
            </w:pPr>
            <w:r>
              <w:rPr>
                <w:rFonts w:hint="default" w:ascii="Times New Roman" w:hAnsi="Times New Roman" w:cs="Times New Roman"/>
                <w:spacing w:val="-6"/>
                <w:sz w:val="24"/>
                <w:szCs w:val="24"/>
              </w:rPr>
              <w:t>用地（用海）</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pacing w:val="-6"/>
                <w:sz w:val="24"/>
                <w:szCs w:val="24"/>
              </w:rPr>
              <w:t>面积（m</w:t>
            </w:r>
            <w:r>
              <w:rPr>
                <w:rFonts w:hint="default" w:ascii="Times New Roman" w:hAnsi="Times New Roman" w:cs="Times New Roman"/>
                <w:spacing w:val="-6"/>
                <w:sz w:val="24"/>
                <w:szCs w:val="24"/>
                <w:vertAlign w:val="superscript"/>
              </w:rPr>
              <w:t>2</w:t>
            </w:r>
            <w:r>
              <w:rPr>
                <w:rFonts w:hint="default" w:ascii="Times New Roman" w:hAnsi="Times New Roman" w:cs="Times New Roman"/>
                <w:spacing w:val="-6"/>
                <w:sz w:val="24"/>
                <w:szCs w:val="24"/>
              </w:rPr>
              <w:t>）</w:t>
            </w:r>
          </w:p>
        </w:tc>
        <w:tc>
          <w:tcPr>
            <w:tcW w:w="2639"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lang w:val="en-US" w:eastAsia="zh-CN"/>
              </w:rPr>
              <w:t>1000</w:t>
            </w:r>
            <w:r>
              <w:rPr>
                <w:rFonts w:hint="default" w:ascii="Times New Roman" w:hAnsi="Times New Roman" w:cs="Times New Roman"/>
                <w:spacing w:val="-6"/>
                <w:sz w:val="24"/>
                <w:szCs w:val="24"/>
              </w:rPr>
              <w:t>m</w:t>
            </w:r>
            <w:r>
              <w:rPr>
                <w:rFonts w:hint="default" w:ascii="Times New Roman" w:hAnsi="Times New Roman" w:cs="Times New Roman"/>
                <w:spacing w:val="-6"/>
                <w:sz w:val="24"/>
                <w:szCs w:val="24"/>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gridSpan w:val="2"/>
            <w:noWrap w:val="0"/>
            <w:vAlign w:val="center"/>
          </w:tcPr>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专项评价设置情况</w:t>
            </w:r>
          </w:p>
        </w:tc>
        <w:tc>
          <w:tcPr>
            <w:tcW w:w="6488" w:type="dxa"/>
            <w:gridSpan w:val="3"/>
            <w:noWrap w:val="0"/>
            <w:vAlign w:val="center"/>
          </w:tcPr>
          <w:p>
            <w:pPr>
              <w:autoSpaceDE w:val="0"/>
              <w:autoSpaceDN w:val="0"/>
              <w:adjustRightInd w:val="0"/>
              <w:snapToGrid w:val="0"/>
              <w:jc w:val="center"/>
              <w:rPr>
                <w:rFonts w:hint="eastAsia" w:ascii="Times New Roman" w:hAnsi="Times New Roman" w:eastAsia="宋体" w:cs="Times New Roman"/>
                <w:kern w:val="0"/>
                <w:sz w:val="24"/>
                <w:szCs w:val="24"/>
                <w:lang w:val="en-US" w:eastAsia="zh-CN"/>
              </w:rPr>
            </w:pPr>
            <w:r>
              <w:rPr>
                <w:rFonts w:hint="eastAsia" w:ascii="Times New Roman" w:hAnsi="Times New Roman" w:cs="Times New Roman"/>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gridSpan w:val="2"/>
            <w:noWrap w:val="0"/>
            <w:vAlign w:val="center"/>
          </w:tcPr>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sz w:val="24"/>
                <w:szCs w:val="24"/>
              </w:rPr>
              <w:t>规划情况</w:t>
            </w:r>
          </w:p>
        </w:tc>
        <w:tc>
          <w:tcPr>
            <w:tcW w:w="6488" w:type="dxa"/>
            <w:gridSpan w:val="3"/>
            <w:noWrap w:val="0"/>
            <w:vAlign w:val="center"/>
          </w:tcPr>
          <w:p>
            <w:pPr>
              <w:autoSpaceDE w:val="0"/>
              <w:autoSpaceDN w:val="0"/>
              <w:adjustRightInd w:val="0"/>
              <w:snapToGrid w:val="0"/>
              <w:jc w:val="center"/>
              <w:rPr>
                <w:rFonts w:hint="eastAsia" w:ascii="Times New Roman" w:hAnsi="Times New Roman" w:eastAsia="宋体" w:cs="Times New Roman"/>
                <w:kern w:val="0"/>
                <w:sz w:val="24"/>
                <w:szCs w:val="24"/>
                <w:lang w:val="en-US" w:eastAsia="zh-CN"/>
              </w:rPr>
            </w:pPr>
            <w:r>
              <w:rPr>
                <w:rFonts w:hint="eastAsia" w:ascii="Times New Roman" w:hAnsi="Times New Roman" w:cs="Times New Roman"/>
                <w:kern w:val="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gridSpan w:val="2"/>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规划环境影响</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sz w:val="24"/>
                <w:szCs w:val="24"/>
              </w:rPr>
              <w:t>评价情况</w:t>
            </w:r>
          </w:p>
        </w:tc>
        <w:tc>
          <w:tcPr>
            <w:tcW w:w="6488" w:type="dxa"/>
            <w:gridSpan w:val="3"/>
            <w:noWrap w:val="0"/>
            <w:vAlign w:val="center"/>
          </w:tcPr>
          <w:p>
            <w:pPr>
              <w:autoSpaceDE w:val="0"/>
              <w:autoSpaceDN w:val="0"/>
              <w:adjustRightInd w:val="0"/>
              <w:snapToGrid w:val="0"/>
              <w:jc w:val="center"/>
              <w:rPr>
                <w:rFonts w:hint="eastAsia" w:ascii="Times New Roman" w:hAnsi="Times New Roman" w:eastAsia="宋体" w:cs="Times New Roman"/>
                <w:kern w:val="0"/>
                <w:sz w:val="24"/>
                <w:szCs w:val="24"/>
                <w:lang w:val="en-US" w:eastAsia="zh-CN"/>
              </w:rPr>
            </w:pPr>
            <w:r>
              <w:rPr>
                <w:rFonts w:hint="eastAsia" w:ascii="Times New Roman" w:hAnsi="Times New Roman" w:cs="Times New Roman"/>
                <w:kern w:val="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gridSpan w:val="2"/>
            <w:noWrap w:val="0"/>
            <w:vAlign w:val="center"/>
          </w:tcPr>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规划及规划环境</w:t>
            </w:r>
          </w:p>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影响评价符合性分析</w:t>
            </w:r>
          </w:p>
        </w:tc>
        <w:tc>
          <w:tcPr>
            <w:tcW w:w="6488" w:type="dxa"/>
            <w:gridSpan w:val="3"/>
            <w:noWrap w:val="0"/>
            <w:vAlign w:val="center"/>
          </w:tcPr>
          <w:p>
            <w:pPr>
              <w:autoSpaceDE w:val="0"/>
              <w:autoSpaceDN w:val="0"/>
              <w:adjustRightInd w:val="0"/>
              <w:snapToGrid w:val="0"/>
              <w:jc w:val="center"/>
              <w:rPr>
                <w:rFonts w:hint="eastAsia" w:ascii="Times New Roman" w:hAnsi="Times New Roman" w:eastAsia="宋体" w:cs="Times New Roman"/>
                <w:kern w:val="0"/>
                <w:sz w:val="24"/>
                <w:szCs w:val="24"/>
                <w:lang w:val="en-US" w:eastAsia="zh-CN"/>
              </w:rPr>
            </w:pPr>
            <w:r>
              <w:rPr>
                <w:rFonts w:hint="eastAsia" w:ascii="Times New Roman" w:hAnsi="Times New Roman" w:cs="Times New Roman"/>
                <w:kern w:val="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Change w:id="1" w:author="Administrator" w:date="2025-08-20T20:06:31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blPrExChange>
        </w:tblPrEx>
        <w:trPr>
          <w:trHeight w:val="13378" w:hRule="atLeast"/>
          <w:jc w:val="center"/>
          <w:trPrChange w:id="1" w:author="Administrator" w:date="2025-08-20T20:06:31Z">
            <w:trPr>
              <w:trHeight w:val="13378" w:hRule="atLeast"/>
              <w:jc w:val="center"/>
            </w:trPr>
          </w:trPrChange>
        </w:trPr>
        <w:tc>
          <w:tcPr>
            <w:tcW w:w="456" w:type="dxa"/>
            <w:noWrap w:val="0"/>
            <w:vAlign w:val="center"/>
            <w:tcPrChange w:id="2" w:author="Administrator" w:date="2025-08-20T20:06:31Z">
              <w:tcPr>
                <w:tcW w:w="394" w:type="dxa"/>
                <w:noWrap w:val="0"/>
                <w:vAlign w:val="center"/>
              </w:tcPr>
            </w:tcPrChange>
          </w:tcPr>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其他符合性分析</w:t>
            </w:r>
          </w:p>
        </w:tc>
        <w:tc>
          <w:tcPr>
            <w:tcW w:w="8414" w:type="dxa"/>
            <w:gridSpan w:val="4"/>
            <w:noWrap w:val="0"/>
            <w:vAlign w:val="top"/>
            <w:tcPrChange w:id="3" w:author="Administrator" w:date="2025-08-20T20:06:31Z">
              <w:tcPr>
                <w:tcW w:w="8476" w:type="dxa"/>
                <w:gridSpan w:val="4"/>
                <w:noWrap w:val="0"/>
                <w:vAlign w:val="top"/>
              </w:tcPr>
            </w:tcPrChange>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20" w:lineRule="exact"/>
              <w:ind w:firstLine="482" w:firstLineChars="200"/>
              <w:jc w:val="both"/>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bidi="ar-SA"/>
              </w:rPr>
              <w:t>1、</w:t>
            </w:r>
            <w:r>
              <w:rPr>
                <w:rFonts w:hint="eastAsia" w:ascii="宋体" w:hAnsi="宋体" w:eastAsia="宋体" w:cs="宋体"/>
                <w:b/>
                <w:bCs/>
                <w:kern w:val="0"/>
                <w:sz w:val="24"/>
                <w:szCs w:val="24"/>
                <w:lang w:val="en-US" w:eastAsia="zh-CN"/>
              </w:rPr>
              <w:t>产业政策符合性</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20" w:lineRule="exact"/>
              <w:ind w:firstLine="480" w:firstLineChars="200"/>
              <w:jc w:val="both"/>
              <w:textAlignment w:val="auto"/>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本项目</w:t>
            </w:r>
            <w:r>
              <w:rPr>
                <w:rFonts w:hint="eastAsia" w:ascii="宋体" w:hAnsi="宋体" w:cs="宋体"/>
                <w:b w:val="0"/>
                <w:bCs w:val="0"/>
                <w:color w:val="auto"/>
                <w:kern w:val="0"/>
                <w:sz w:val="24"/>
                <w:szCs w:val="24"/>
                <w:lang w:val="en-US" w:eastAsia="zh-CN" w:bidi="ar-SA"/>
              </w:rPr>
              <w:t>新建生物质锅炉（2.5t/h，卧式生物质链条式蒸汽锅炉），</w:t>
            </w:r>
            <w:r>
              <w:rPr>
                <w:rFonts w:hint="eastAsia" w:ascii="宋体" w:hAnsi="宋体" w:eastAsia="宋体" w:cs="宋体"/>
                <w:b w:val="0"/>
                <w:bCs w:val="0"/>
                <w:color w:val="auto"/>
                <w:kern w:val="0"/>
                <w:sz w:val="24"/>
                <w:szCs w:val="24"/>
                <w:lang w:val="en-US" w:eastAsia="zh-CN" w:bidi="ar-SA"/>
              </w:rPr>
              <w:t>不属于《产业结构调整指导目录（2024年本）》中的</w:t>
            </w:r>
            <w:r>
              <w:rPr>
                <w:rFonts w:hint="eastAsia" w:ascii="宋体" w:hAnsi="宋体" w:cs="宋体"/>
                <w:b w:val="0"/>
                <w:bCs w:val="0"/>
                <w:color w:val="auto"/>
                <w:kern w:val="0"/>
                <w:sz w:val="24"/>
                <w:szCs w:val="24"/>
                <w:lang w:val="en-US" w:eastAsia="zh-CN" w:bidi="ar-SA"/>
              </w:rPr>
              <w:t>限制</w:t>
            </w:r>
            <w:r>
              <w:rPr>
                <w:rFonts w:hint="eastAsia" w:ascii="宋体" w:hAnsi="宋体" w:eastAsia="宋体" w:cs="宋体"/>
                <w:b w:val="0"/>
                <w:bCs w:val="0"/>
                <w:color w:val="auto"/>
                <w:kern w:val="0"/>
                <w:sz w:val="24"/>
                <w:szCs w:val="24"/>
                <w:lang w:val="en-US" w:eastAsia="zh-CN" w:bidi="ar-SA"/>
              </w:rPr>
              <w:t>类</w:t>
            </w:r>
            <w:r>
              <w:rPr>
                <w:rFonts w:hint="eastAsia" w:ascii="宋体" w:hAnsi="宋体" w:cs="宋体"/>
                <w:b w:val="0"/>
                <w:bCs w:val="0"/>
                <w:color w:val="auto"/>
                <w:kern w:val="0"/>
                <w:sz w:val="24"/>
                <w:szCs w:val="24"/>
                <w:lang w:val="en-US" w:eastAsia="zh-CN" w:bidi="ar-SA"/>
              </w:rPr>
              <w:t>“每小时35蒸吨及以下固定炉排式生物质锅炉”、不属于淘汰类“每小时2蒸吨及以下生物质锅炉”</w:t>
            </w:r>
            <w:r>
              <w:rPr>
                <w:rFonts w:hint="eastAsia" w:ascii="宋体" w:hAnsi="宋体" w:eastAsia="宋体" w:cs="宋体"/>
                <w:b w:val="0"/>
                <w:bCs w:val="0"/>
                <w:color w:val="auto"/>
                <w:kern w:val="0"/>
                <w:sz w:val="24"/>
                <w:szCs w:val="24"/>
                <w:lang w:val="en-US" w:eastAsia="zh-CN" w:bidi="ar-SA"/>
              </w:rPr>
              <w:t>，</w:t>
            </w:r>
            <w:r>
              <w:rPr>
                <w:rFonts w:hint="eastAsia" w:ascii="宋体" w:hAnsi="宋体" w:cs="宋体"/>
                <w:b w:val="0"/>
                <w:bCs w:val="0"/>
                <w:color w:val="auto"/>
                <w:kern w:val="0"/>
                <w:sz w:val="24"/>
                <w:szCs w:val="24"/>
                <w:lang w:val="en-US" w:eastAsia="zh-CN" w:bidi="ar-SA"/>
              </w:rPr>
              <w:t>本项目</w:t>
            </w:r>
            <w:r>
              <w:rPr>
                <w:rFonts w:hint="eastAsia" w:ascii="宋体" w:hAnsi="宋体" w:eastAsia="宋体" w:cs="宋体"/>
                <w:b w:val="0"/>
                <w:bCs w:val="0"/>
                <w:color w:val="auto"/>
                <w:kern w:val="0"/>
                <w:sz w:val="24"/>
                <w:szCs w:val="24"/>
                <w:lang w:val="en-US" w:eastAsia="zh-CN" w:bidi="ar-SA"/>
              </w:rPr>
              <w:t>属于允许类，因此本项目建设符合国家产业政策。</w:t>
            </w:r>
          </w:p>
          <w:p>
            <w:pPr>
              <w:pStyle w:val="55"/>
              <w:keepNext w:val="0"/>
              <w:keepLines w:val="0"/>
              <w:pageBreakBefore w:val="0"/>
              <w:widowControl w:val="0"/>
              <w:numPr>
                <w:ilvl w:val="0"/>
                <w:numId w:val="1"/>
              </w:numPr>
              <w:kinsoku/>
              <w:wordWrap/>
              <w:overflowPunct/>
              <w:topLinePunct w:val="0"/>
              <w:bidi w:val="0"/>
              <w:spacing w:line="520" w:lineRule="exact"/>
              <w:ind w:firstLine="482" w:firstLineChars="200"/>
              <w:textAlignment w:val="auto"/>
              <w:rPr>
                <w:rFonts w:hint="eastAsia"/>
                <w:color w:val="auto"/>
                <w:szCs w:val="24"/>
                <w:lang w:val="en-US" w:eastAsia="zh-CN"/>
              </w:rPr>
            </w:pPr>
            <w:r>
              <w:rPr>
                <w:rFonts w:hint="eastAsia" w:ascii="宋体" w:hAnsi="宋体" w:cs="宋体"/>
                <w:color w:val="auto"/>
                <w:sz w:val="24"/>
                <w:szCs w:val="24"/>
                <w:lang w:val="en-US" w:eastAsia="zh-CN"/>
              </w:rPr>
              <w:t>生态环境分区管控要求</w:t>
            </w:r>
            <w:r>
              <w:rPr>
                <w:rFonts w:hint="eastAsia"/>
                <w:color w:val="auto"/>
                <w:szCs w:val="24"/>
                <w:lang w:val="en-US" w:eastAsia="zh-CN"/>
              </w:rPr>
              <w:t>符合性判定</w:t>
            </w:r>
          </w:p>
          <w:p>
            <w:pPr>
              <w:pStyle w:val="3"/>
              <w:keepNext w:val="0"/>
              <w:keepLines w:val="0"/>
              <w:pageBreakBefore w:val="0"/>
              <w:widowControl w:val="0"/>
              <w:kinsoku/>
              <w:wordWrap/>
              <w:overflowPunct/>
              <w:topLinePunct w:val="0"/>
              <w:autoSpaceDE/>
              <w:autoSpaceDN/>
              <w:bidi w:val="0"/>
              <w:adjustRightInd/>
              <w:snapToGrid/>
              <w:spacing w:after="0" w:line="520" w:lineRule="exact"/>
              <w:ind w:left="0" w:leftChars="0" w:firstLine="480" w:firstLineChars="200"/>
              <w:textAlignment w:val="auto"/>
              <w:rPr>
                <w:rFonts w:hint="eastAsia" w:ascii="宋体" w:hAnsi="宋体" w:cs="宋体"/>
                <w:color w:val="auto"/>
                <w:lang w:val="en-US" w:eastAsia="zh-CN"/>
              </w:rPr>
            </w:pPr>
            <w:r>
              <w:rPr>
                <w:rFonts w:hint="eastAsia" w:ascii="宋体" w:hAnsi="宋体" w:cs="宋体"/>
                <w:color w:val="auto"/>
                <w:lang w:val="en-US" w:eastAsia="zh-CN"/>
              </w:rPr>
              <w:t>关于印发《新疆维吾尔自治区生态环境分区管控动态更新成果的通知》（新环环评发〔2024〕157号文），符合性分析如下。</w:t>
            </w:r>
          </w:p>
          <w:p>
            <w:pPr>
              <w:pStyle w:val="3"/>
              <w:keepNext w:val="0"/>
              <w:keepLines w:val="0"/>
              <w:pageBreakBefore w:val="0"/>
              <w:widowControl w:val="0"/>
              <w:kinsoku/>
              <w:wordWrap/>
              <w:overflowPunct/>
              <w:topLinePunct w:val="0"/>
              <w:autoSpaceDE/>
              <w:autoSpaceDN/>
              <w:bidi w:val="0"/>
              <w:adjustRightInd/>
              <w:snapToGrid/>
              <w:spacing w:after="0" w:line="520" w:lineRule="exact"/>
              <w:ind w:left="0" w:leftChars="0" w:firstLine="0" w:firstLineChars="0"/>
              <w:jc w:val="center"/>
              <w:textAlignment w:val="auto"/>
              <w:rPr>
                <w:rFonts w:hint="eastAsia" w:ascii="宋体" w:hAnsi="宋体" w:cs="宋体"/>
                <w:b/>
                <w:bCs/>
                <w:color w:val="auto"/>
                <w:lang w:val="en-US" w:eastAsia="zh-CN"/>
              </w:rPr>
            </w:pPr>
            <w:r>
              <w:rPr>
                <w:rFonts w:hint="eastAsia" w:ascii="宋体" w:hAnsi="宋体" w:cs="宋体"/>
                <w:b/>
                <w:bCs/>
                <w:color w:val="auto"/>
                <w:lang w:val="en-US" w:eastAsia="zh-CN"/>
              </w:rPr>
              <w:t>表1-1    关于印发《新疆维吾尔自治区生态环境分区管控动态更新成果》的通知（新环环评发〔2024〕157号文）符合性分析一览表</w:t>
            </w:r>
          </w:p>
          <w:tbl>
            <w:tblPr>
              <w:tblStyle w:val="21"/>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632"/>
              <w:gridCol w:w="844"/>
              <w:gridCol w:w="3454"/>
              <w:gridCol w:w="2599"/>
              <w:gridCol w:w="6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5" w:hRule="atLeast"/>
                <w:jc w:val="center"/>
              </w:trPr>
              <w:tc>
                <w:tcPr>
                  <w:tcW w:w="3015" w:type="pct"/>
                  <w:gridSpan w:val="3"/>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rPr>
                    <w:t>文件要求</w:t>
                  </w:r>
                </w:p>
              </w:tc>
              <w:tc>
                <w:tcPr>
                  <w:tcW w:w="1589" w:type="pc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rPr>
                    <w:t>本项目</w:t>
                  </w:r>
                </w:p>
              </w:tc>
              <w:tc>
                <w:tcPr>
                  <w:tcW w:w="395" w:type="pc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rPr>
                    <w:t>符合性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68" w:hRule="atLeast"/>
                <w:jc w:val="center"/>
              </w:trPr>
              <w:tc>
                <w:tcPr>
                  <w:tcW w:w="387"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rPr>
                  </w:pPr>
                  <w:r>
                    <w:rPr>
                      <w:rFonts w:hint="eastAsia" w:ascii="宋体" w:hAnsi="宋体" w:eastAsia="宋体" w:cs="宋体"/>
                      <w:iCs/>
                      <w:color w:val="auto"/>
                      <w:kern w:val="0"/>
                      <w:sz w:val="21"/>
                      <w:szCs w:val="21"/>
                      <w:lang w:val="en-US" w:eastAsia="zh-CN"/>
                    </w:rPr>
                    <w:t>空间布局约束</w:t>
                  </w:r>
                </w:p>
              </w:tc>
              <w:tc>
                <w:tcPr>
                  <w:tcW w:w="51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禁止开发建设</w:t>
                  </w:r>
                </w:p>
              </w:tc>
              <w:tc>
                <w:tcPr>
                  <w:tcW w:w="21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禁止新建、扩建《产业结构调整指导目录</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2024年本</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》中淘汰类项目。禁止引入《市场准入负面清单</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2022年版</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》禁止准入类事项。</w:t>
                  </w:r>
                </w:p>
              </w:tc>
              <w:tc>
                <w:tcPr>
                  <w:tcW w:w="1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本项目不属于《产业结构调整指导目录（2024年本）》中的鼓励类、限制类及淘汰类项目，属于允许类，因此本项目建设符合国家产业政策。</w:t>
                  </w:r>
                </w:p>
              </w:tc>
              <w:tc>
                <w:tcPr>
                  <w:tcW w:w="395" w:type="pc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96" w:hRule="atLeast"/>
                <w:jc w:val="center"/>
              </w:trPr>
              <w:tc>
                <w:tcPr>
                  <w:tcW w:w="387" w:type="pct"/>
                  <w:vMerge w:val="continue"/>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lang w:val="en-US" w:eastAsia="zh-CN"/>
                    </w:rPr>
                  </w:pPr>
                </w:p>
              </w:tc>
              <w:tc>
                <w:tcPr>
                  <w:tcW w:w="51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1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禁止在饮用水水源保护区、风景名胜区、自然保护区的核心区和缓冲区、城镇居民区、文化教育科学研究区等人口集中区域以及</w:t>
                  </w:r>
                  <w:r>
                    <w:rPr>
                      <w:rFonts w:hint="eastAsia" w:ascii="宋体" w:hAnsi="宋体" w:eastAsia="宋体" w:cs="宋体"/>
                      <w:color w:val="auto"/>
                      <w:kern w:val="0"/>
                      <w:sz w:val="21"/>
                      <w:szCs w:val="21"/>
                      <w:lang w:eastAsia="zh-CN"/>
                    </w:rPr>
                    <w:t>法律法规</w:t>
                  </w:r>
                  <w:r>
                    <w:rPr>
                      <w:rFonts w:hint="eastAsia" w:ascii="宋体" w:hAnsi="宋体" w:eastAsia="宋体" w:cs="宋体"/>
                      <w:color w:val="auto"/>
                      <w:kern w:val="0"/>
                      <w:sz w:val="21"/>
                      <w:szCs w:val="21"/>
                    </w:rPr>
                    <w:t>规定的其他禁止养殖区域建设畜禽养殖场、养殖小区。</w:t>
                  </w:r>
                </w:p>
              </w:tc>
              <w:tc>
                <w:tcPr>
                  <w:tcW w:w="1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本项目不涉及</w:t>
                  </w:r>
                  <w:r>
                    <w:rPr>
                      <w:rFonts w:hint="eastAsia" w:ascii="宋体" w:hAnsi="宋体" w:eastAsia="宋体" w:cs="宋体"/>
                      <w:color w:val="auto"/>
                      <w:kern w:val="0"/>
                      <w:sz w:val="21"/>
                      <w:szCs w:val="21"/>
                    </w:rPr>
                    <w:t>饮用水水源保护区、风景名胜区、自然保护区的核心区和缓冲区、城镇居民区、文化教育科学研究区等人口集中区域</w:t>
                  </w:r>
                  <w:r>
                    <w:rPr>
                      <w:rFonts w:hint="eastAsia" w:ascii="宋体" w:hAnsi="宋体" w:eastAsia="宋体" w:cs="宋体"/>
                      <w:color w:val="auto"/>
                      <w:kern w:val="0"/>
                      <w:sz w:val="21"/>
                      <w:szCs w:val="21"/>
                      <w:lang w:eastAsia="zh-CN"/>
                    </w:rPr>
                    <w:t>。</w:t>
                  </w:r>
                </w:p>
              </w:tc>
              <w:tc>
                <w:tcPr>
                  <w:tcW w:w="395" w:type="pc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87" w:type="pct"/>
                  <w:vMerge w:val="continue"/>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p>
              </w:tc>
              <w:tc>
                <w:tcPr>
                  <w:tcW w:w="51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eastAsia="zh-CN"/>
                    </w:rPr>
                  </w:pPr>
                </w:p>
              </w:tc>
              <w:tc>
                <w:tcPr>
                  <w:tcW w:w="21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禁止在自治区行政区域内引进能</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水</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耗不符合相关国家标准中准入值要求且污染物排放和环境风险防控不符合国家</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地方</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标准及有关产业准入条件的高污染</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排放</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、高能</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水</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耗、高环境风险的工业项目。</w:t>
                  </w:r>
                </w:p>
              </w:tc>
              <w:tc>
                <w:tcPr>
                  <w:tcW w:w="1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本项目不属于</w:t>
                  </w:r>
                  <w:r>
                    <w:rPr>
                      <w:rFonts w:hint="eastAsia" w:ascii="宋体" w:hAnsi="宋体" w:eastAsia="宋体" w:cs="宋体"/>
                      <w:color w:val="auto"/>
                      <w:kern w:val="0"/>
                      <w:sz w:val="21"/>
                      <w:szCs w:val="21"/>
                    </w:rPr>
                    <w:t>高污染</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排放</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、高能</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水</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耗、高环境风险的工业项目。</w:t>
                  </w:r>
                </w:p>
              </w:tc>
              <w:tc>
                <w:tcPr>
                  <w:tcW w:w="395" w:type="pc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87" w:type="pct"/>
                  <w:vMerge w:val="continue"/>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p>
              </w:tc>
              <w:tc>
                <w:tcPr>
                  <w:tcW w:w="51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eastAsia="zh-CN"/>
                    </w:rPr>
                  </w:pPr>
                </w:p>
              </w:tc>
              <w:tc>
                <w:tcPr>
                  <w:tcW w:w="21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严格执行危险化学品“禁限控”目录，新建危险化学品生产项目必须进入一般或较低安全风险的化工园区</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与其他行业生产装置配套建设的项目除外</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，引导其他石化化工项目在化工园区发展</w:t>
                  </w:r>
                  <w:r>
                    <w:rPr>
                      <w:rFonts w:hint="eastAsia" w:ascii="宋体" w:hAnsi="宋体" w:eastAsia="宋体" w:cs="宋体"/>
                      <w:color w:val="auto"/>
                      <w:kern w:val="0"/>
                      <w:sz w:val="21"/>
                      <w:szCs w:val="21"/>
                      <w:highlight w:val="none"/>
                      <w:lang w:eastAsia="zh-CN"/>
                    </w:rPr>
                    <w:t>。</w:t>
                  </w:r>
                </w:p>
              </w:tc>
              <w:tc>
                <w:tcPr>
                  <w:tcW w:w="1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本项目不属于</w:t>
                  </w:r>
                  <w:r>
                    <w:rPr>
                      <w:rFonts w:hint="eastAsia" w:ascii="宋体" w:hAnsi="宋体" w:eastAsia="宋体" w:cs="宋体"/>
                      <w:color w:val="auto"/>
                      <w:kern w:val="0"/>
                      <w:sz w:val="21"/>
                      <w:szCs w:val="21"/>
                      <w:highlight w:val="none"/>
                    </w:rPr>
                    <w:t>危险化学品生产项目</w:t>
                  </w:r>
                  <w:r>
                    <w:rPr>
                      <w:rFonts w:hint="eastAsia" w:ascii="宋体" w:hAnsi="宋体" w:eastAsia="宋体" w:cs="宋体"/>
                      <w:color w:val="auto"/>
                      <w:kern w:val="0"/>
                      <w:sz w:val="21"/>
                      <w:szCs w:val="21"/>
                      <w:highlight w:val="none"/>
                      <w:lang w:eastAsia="zh-CN"/>
                    </w:rPr>
                    <w:t>。</w:t>
                  </w:r>
                </w:p>
              </w:tc>
              <w:tc>
                <w:tcPr>
                  <w:tcW w:w="395" w:type="pc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lang w:val="en-US" w:eastAsia="zh-CN"/>
                    </w:rPr>
                  </w:pPr>
                </w:p>
              </w:tc>
              <w:tc>
                <w:tcPr>
                  <w:tcW w:w="51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iCs/>
                      <w:color w:val="auto"/>
                      <w:kern w:val="0"/>
                      <w:sz w:val="21"/>
                      <w:szCs w:val="21"/>
                      <w:lang w:val="en-US" w:eastAsia="zh-CN"/>
                    </w:rPr>
                    <w:t>限制开发建设的活动</w:t>
                  </w:r>
                </w:p>
              </w:tc>
              <w:tc>
                <w:tcPr>
                  <w:tcW w:w="21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严格控制缺水地区、水污染严重区域和敏感区域高耗水、高污染行业发展。</w:t>
                  </w:r>
                </w:p>
              </w:tc>
              <w:tc>
                <w:tcPr>
                  <w:tcW w:w="1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本项目不属于</w:t>
                  </w:r>
                  <w:r>
                    <w:rPr>
                      <w:rFonts w:hint="eastAsia" w:ascii="宋体" w:hAnsi="宋体" w:eastAsia="宋体" w:cs="宋体"/>
                      <w:color w:val="auto"/>
                      <w:kern w:val="0"/>
                      <w:sz w:val="21"/>
                      <w:szCs w:val="21"/>
                    </w:rPr>
                    <w:t>高耗水、高污染行业。</w:t>
                  </w:r>
                </w:p>
              </w:tc>
              <w:tc>
                <w:tcPr>
                  <w:tcW w:w="395" w:type="pc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p>
              </w:tc>
              <w:tc>
                <w:tcPr>
                  <w:tcW w:w="51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1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1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本项目未占用基本农田。</w:t>
                  </w:r>
                </w:p>
              </w:tc>
              <w:tc>
                <w:tcPr>
                  <w:tcW w:w="395" w:type="pc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不符合空间布局要求活动的退出要求</w:t>
                  </w:r>
                </w:p>
              </w:tc>
              <w:tc>
                <w:tcPr>
                  <w:tcW w:w="21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任何单位和个人不得在水源涵养区、饮用水水源保护区内和河流、湖泊、水库周围建设重化工、涉重金属等工业污染项目</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对已建成的工业污染项目，当地人民政府应当组织限期搬迁。</w:t>
                  </w:r>
                </w:p>
              </w:tc>
              <w:tc>
                <w:tcPr>
                  <w:tcW w:w="1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本项目为新建项目，不属于</w:t>
                  </w:r>
                  <w:r>
                    <w:rPr>
                      <w:rFonts w:hint="eastAsia" w:ascii="宋体" w:hAnsi="宋体" w:eastAsia="宋体" w:cs="宋体"/>
                      <w:color w:val="auto"/>
                      <w:kern w:val="0"/>
                      <w:sz w:val="21"/>
                      <w:szCs w:val="21"/>
                    </w:rPr>
                    <w:t>重化工、涉重金属等工业污染项目</w:t>
                  </w:r>
                  <w:r>
                    <w:rPr>
                      <w:rFonts w:hint="eastAsia" w:ascii="宋体" w:hAnsi="宋体" w:eastAsia="宋体" w:cs="宋体"/>
                      <w:color w:val="auto"/>
                      <w:kern w:val="0"/>
                      <w:sz w:val="21"/>
                      <w:szCs w:val="21"/>
                      <w:lang w:eastAsia="zh-CN"/>
                    </w:rPr>
                    <w:t>。</w:t>
                  </w:r>
                </w:p>
              </w:tc>
              <w:tc>
                <w:tcPr>
                  <w:tcW w:w="395" w:type="pc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其他</w:t>
                  </w:r>
                  <w:r>
                    <w:rPr>
                      <w:rFonts w:hint="eastAsia" w:ascii="宋体" w:hAnsi="宋体" w:eastAsia="宋体" w:cs="宋体"/>
                      <w:color w:val="auto"/>
                      <w:kern w:val="0"/>
                      <w:sz w:val="21"/>
                      <w:szCs w:val="21"/>
                    </w:rPr>
                    <w:t>布局要求</w:t>
                  </w:r>
                </w:p>
              </w:tc>
              <w:tc>
                <w:tcPr>
                  <w:tcW w:w="21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新建、扩建石化、化工、焦化、有色金属冶炼、平板玻璃项目应布设在依法合规设立并经规划环评的产业园区。</w:t>
                  </w:r>
                </w:p>
              </w:tc>
              <w:tc>
                <w:tcPr>
                  <w:tcW w:w="1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本项目不属于</w:t>
                  </w:r>
                  <w:r>
                    <w:rPr>
                      <w:rFonts w:hint="eastAsia" w:ascii="宋体" w:hAnsi="宋体" w:eastAsia="宋体" w:cs="宋体"/>
                      <w:color w:val="auto"/>
                      <w:kern w:val="0"/>
                      <w:sz w:val="21"/>
                      <w:szCs w:val="21"/>
                    </w:rPr>
                    <w:t>石化、化工、焦化、有色金属冶炼、平板玻璃项目</w:t>
                  </w:r>
                  <w:r>
                    <w:rPr>
                      <w:rFonts w:hint="eastAsia" w:ascii="宋体" w:hAnsi="宋体" w:eastAsia="宋体" w:cs="宋体"/>
                      <w:color w:val="auto"/>
                      <w:kern w:val="0"/>
                      <w:sz w:val="21"/>
                      <w:szCs w:val="21"/>
                      <w:lang w:eastAsia="zh-CN"/>
                    </w:rPr>
                    <w:t>。</w:t>
                  </w:r>
                </w:p>
              </w:tc>
              <w:tc>
                <w:tcPr>
                  <w:tcW w:w="395" w:type="pc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restar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rPr>
                    <w:t>污染物排放管控</w:t>
                  </w:r>
                </w:p>
              </w:tc>
              <w:tc>
                <w:tcPr>
                  <w:tcW w:w="51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污染物削减/替代要求</w:t>
                  </w:r>
                </w:p>
              </w:tc>
              <w:tc>
                <w:tcPr>
                  <w:tcW w:w="21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新、改、扩建重点行业建设项目应符合“三线一单”、</w:t>
                  </w:r>
                  <w:r>
                    <w:rPr>
                      <w:rFonts w:hint="eastAsia" w:ascii="宋体" w:hAnsi="宋体" w:eastAsia="宋体" w:cs="宋体"/>
                      <w:color w:val="auto"/>
                      <w:kern w:val="0"/>
                      <w:sz w:val="21"/>
                      <w:szCs w:val="21"/>
                      <w:lang w:val="en-US" w:eastAsia="zh-CN"/>
                    </w:rPr>
                    <w:t>产</w:t>
                  </w:r>
                  <w:r>
                    <w:rPr>
                      <w:rFonts w:hint="eastAsia" w:ascii="宋体" w:hAnsi="宋体" w:eastAsia="宋体" w:cs="宋体"/>
                      <w:color w:val="auto"/>
                      <w:kern w:val="0"/>
                      <w:sz w:val="21"/>
                      <w:szCs w:val="21"/>
                    </w:rPr>
                    <w:t>业政策、区域环评、规划环评和行业环境准入管控要求。重点区域的新、改、扩建重点行业建设项目应遵循重点重金属污染物排放“减量替代”原则。</w:t>
                  </w:r>
                </w:p>
              </w:tc>
              <w:tc>
                <w:tcPr>
                  <w:tcW w:w="1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本项目属于新建项目，符合《关于印发（巴音郭楞蒙古自治州“三线一单”生态环境分区管控方案）的通知》（巴政办发〔2021〕32号）。本项目不涉及重金属污染物。</w:t>
                  </w:r>
                </w:p>
              </w:tc>
              <w:tc>
                <w:tcPr>
                  <w:tcW w:w="395" w:type="pc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p>
              </w:tc>
              <w:tc>
                <w:tcPr>
                  <w:tcW w:w="51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1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实施重点行业氮氧化物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tc>
              <w:tc>
                <w:tcPr>
                  <w:tcW w:w="1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本项目生物质燃料成袋装，</w:t>
                  </w:r>
                  <w:r>
                    <w:rPr>
                      <w:rFonts w:hint="eastAsia" w:ascii="宋体" w:hAnsi="宋体" w:cs="宋体"/>
                      <w:color w:val="auto"/>
                      <w:kern w:val="0"/>
                      <w:sz w:val="21"/>
                      <w:szCs w:val="21"/>
                      <w:lang w:val="en-US" w:eastAsia="zh-CN"/>
                    </w:rPr>
                    <w:t>锅炉车内</w:t>
                  </w:r>
                  <w:r>
                    <w:rPr>
                      <w:rFonts w:hint="eastAsia" w:ascii="宋体" w:hAnsi="宋体" w:eastAsia="宋体" w:cs="宋体"/>
                      <w:color w:val="auto"/>
                      <w:kern w:val="0"/>
                      <w:sz w:val="21"/>
                      <w:szCs w:val="21"/>
                      <w:lang w:val="en-US" w:eastAsia="zh-CN"/>
                    </w:rPr>
                    <w:t>堆放，生物质锅炉使用成型生物质燃料，烟气经过</w:t>
                  </w:r>
                  <w:r>
                    <w:rPr>
                      <w:rFonts w:hint="eastAsia" w:ascii="宋体" w:hAnsi="宋体" w:cs="宋体"/>
                      <w:color w:val="auto"/>
                      <w:kern w:val="0"/>
                      <w:sz w:val="21"/>
                      <w:szCs w:val="21"/>
                      <w:lang w:val="en-US" w:eastAsia="zh-CN"/>
                    </w:rPr>
                    <w:t>袋式除尘器处理后通过</w:t>
                  </w:r>
                  <w:r>
                    <w:rPr>
                      <w:rFonts w:hint="eastAsia" w:ascii="宋体" w:hAnsi="宋体" w:eastAsia="宋体" w:cs="宋体"/>
                      <w:color w:val="auto"/>
                      <w:kern w:val="0"/>
                      <w:sz w:val="21"/>
                      <w:szCs w:val="21"/>
                      <w:lang w:val="en-US" w:eastAsia="zh-CN"/>
                    </w:rPr>
                    <w:t>一根30m排气筒排放，对大气环境影响较小。</w:t>
                  </w:r>
                </w:p>
              </w:tc>
              <w:tc>
                <w:tcPr>
                  <w:tcW w:w="395" w:type="pc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lang w:val="en-US" w:eastAsia="zh-CN"/>
                    </w:rPr>
                  </w:pPr>
                  <w:r>
                    <w:rPr>
                      <w:rFonts w:hint="eastAsia" w:ascii="宋体" w:hAnsi="宋体" w:eastAsia="宋体" w:cs="宋体"/>
                      <w:iCs/>
                      <w:color w:val="auto"/>
                      <w:kern w:val="0"/>
                      <w:sz w:val="21"/>
                      <w:szCs w:val="21"/>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p>
              </w:tc>
              <w:tc>
                <w:tcPr>
                  <w:tcW w:w="51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1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强化重点区域大气污染联防联控，合理确定产业布局，推动区域内统一产业准入和排放标准。实施水泥行业错峰生产，推进散煤整治、挥发性有机污染物综合治理、钢铁、水泥、焦化和燃煤工业锅炉行业超低排放改造、燃气锅炉低氨燃烧改造、工业园区内轨道运输</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大宗货物“公转铁”</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、柴油货车治理、锅炉</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炉</w:t>
                  </w:r>
                  <w:r>
                    <w:rPr>
                      <w:rFonts w:hint="eastAsia" w:ascii="宋体" w:hAnsi="宋体" w:eastAsia="宋体" w:cs="宋体"/>
                      <w:color w:val="auto"/>
                      <w:kern w:val="0"/>
                      <w:sz w:val="21"/>
                      <w:szCs w:val="21"/>
                      <w:lang w:val="en-US" w:eastAsia="zh-CN"/>
                    </w:rPr>
                    <w:t>窑</w:t>
                  </w:r>
                  <w:r>
                    <w:rPr>
                      <w:rFonts w:hint="eastAsia" w:ascii="宋体" w:hAnsi="宋体" w:eastAsia="宋体" w:cs="宋体"/>
                      <w:color w:val="auto"/>
                      <w:kern w:val="0"/>
                      <w:sz w:val="21"/>
                      <w:szCs w:val="21"/>
                    </w:rPr>
                    <w:t>综合治理等工程项目。全面推行绿色施工，持续推动城市建成区重污染企业搬迁或关闭退出。</w:t>
                  </w:r>
                </w:p>
              </w:tc>
              <w:tc>
                <w:tcPr>
                  <w:tcW w:w="1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本项目位于轮台县，不在库尔勒</w:t>
                  </w:r>
                  <w:r>
                    <w:rPr>
                      <w:rFonts w:hint="eastAsia" w:ascii="宋体" w:hAnsi="宋体" w:eastAsia="宋体" w:cs="宋体"/>
                      <w:color w:val="auto"/>
                      <w:kern w:val="0"/>
                      <w:sz w:val="21"/>
                      <w:szCs w:val="21"/>
                    </w:rPr>
                    <w:t>大气污染联防联控</w:t>
                  </w:r>
                  <w:r>
                    <w:rPr>
                      <w:rFonts w:hint="eastAsia" w:ascii="宋体" w:hAnsi="宋体" w:eastAsia="宋体" w:cs="宋体"/>
                      <w:color w:val="auto"/>
                      <w:kern w:val="0"/>
                      <w:sz w:val="21"/>
                      <w:szCs w:val="21"/>
                      <w:lang w:val="en-US" w:eastAsia="zh-CN"/>
                    </w:rPr>
                    <w:t>区域。</w:t>
                  </w:r>
                </w:p>
              </w:tc>
              <w:tc>
                <w:tcPr>
                  <w:tcW w:w="395" w:type="pc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p>
              </w:tc>
              <w:tc>
                <w:tcPr>
                  <w:tcW w:w="51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1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强化用水定额管理。推进地下水超采综合治理。开展河湖生态流量</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水量</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确定工作，强化生态用水保障。</w:t>
                  </w:r>
                </w:p>
              </w:tc>
              <w:tc>
                <w:tcPr>
                  <w:tcW w:w="1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本项目不涉及地下水开采。</w:t>
                  </w:r>
                </w:p>
              </w:tc>
              <w:tc>
                <w:tcPr>
                  <w:tcW w:w="395" w:type="pc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restar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rPr>
                    <w:t>环境风险防控</w:t>
                  </w:r>
                </w:p>
              </w:tc>
              <w:tc>
                <w:tcPr>
                  <w:tcW w:w="51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联防联控要求</w:t>
                  </w:r>
                </w:p>
              </w:tc>
              <w:tc>
                <w:tcPr>
                  <w:tcW w:w="21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加强新污染物多环境介质协同治理。排放重点管控新污染物的企事业单位应采取污染控制措施，达到相关污染物排放标准及环境质量目标要求</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按照排污许可管理有关要求，依法申领排污许可证或填写排污登记表，并在其中载明执行的污染控制标准要求及采取的污染控制措施。排放重点管控新污染物的企事业单位和其他生产经营者应按照相关法律法规要求，对排放</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污</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口及其周边环境定期开展环境监测，评估环境风险，排查整治环境安全隐患，依法公开新污染物信息，采取措施防范环境风险。土壤污染重点监管单位应严格控制有毒有害物质排放，建立土壤污染隐患排查制度防止有毒有害物质渗漏、流失、扬散。</w:t>
                  </w:r>
                </w:p>
              </w:tc>
              <w:tc>
                <w:tcPr>
                  <w:tcW w:w="1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本项目废气经袋式除尘器处理后经一根30m排气筒排放，炉渣及除尘灰妥善处置，移动锅炉车定期在县镇定期检维修，</w:t>
                  </w:r>
                  <w:r>
                    <w:rPr>
                      <w:rFonts w:hint="eastAsia" w:ascii="宋体" w:hAnsi="宋体" w:eastAsia="宋体" w:cs="宋体"/>
                      <w:color w:val="auto"/>
                      <w:kern w:val="0"/>
                      <w:sz w:val="21"/>
                      <w:szCs w:val="21"/>
                    </w:rPr>
                    <w:t>采取</w:t>
                  </w:r>
                  <w:r>
                    <w:rPr>
                      <w:rFonts w:hint="eastAsia" w:ascii="宋体" w:hAnsi="宋体" w:cs="宋体"/>
                      <w:color w:val="auto"/>
                      <w:kern w:val="0"/>
                      <w:sz w:val="21"/>
                      <w:szCs w:val="21"/>
                      <w:lang w:val="en-US" w:eastAsia="zh-CN"/>
                    </w:rPr>
                    <w:t>以上</w:t>
                  </w:r>
                  <w:r>
                    <w:rPr>
                      <w:rFonts w:hint="eastAsia" w:ascii="宋体" w:hAnsi="宋体" w:eastAsia="宋体" w:cs="宋体"/>
                      <w:color w:val="auto"/>
                      <w:kern w:val="0"/>
                      <w:sz w:val="21"/>
                      <w:szCs w:val="21"/>
                    </w:rPr>
                    <w:t>措施防范环境风险。</w:t>
                  </w:r>
                </w:p>
              </w:tc>
              <w:tc>
                <w:tcPr>
                  <w:tcW w:w="395" w:type="pc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p>
              </w:tc>
              <w:tc>
                <w:tcPr>
                  <w:tcW w:w="51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1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tc>
              <w:tc>
                <w:tcPr>
                  <w:tcW w:w="1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rPr>
                  </w:pPr>
                  <w:r>
                    <w:rPr>
                      <w:rFonts w:hint="eastAsia" w:ascii="宋体" w:hAnsi="宋体" w:eastAsia="宋体" w:cs="宋体"/>
                      <w:color w:val="auto"/>
                      <w:kern w:val="0"/>
                      <w:sz w:val="21"/>
                      <w:szCs w:val="21"/>
                      <w:lang w:val="en-US" w:eastAsia="zh-CN"/>
                    </w:rPr>
                    <w:t>制定详细的安全管理制度。制度应包括锅炉房的进出管理、设备操作规程、事故应急预案等，确保员工能够遵守安全规定。定期进行安全检查。对锅炉房的设备、管道、电器等进行定期检查，发现问题及时修复</w:t>
                  </w:r>
                  <w:r>
                    <w:rPr>
                      <w:rFonts w:hint="eastAsia" w:ascii="宋体" w:hAnsi="宋体" w:cs="宋体"/>
                      <w:color w:val="auto"/>
                      <w:kern w:val="0"/>
                      <w:sz w:val="21"/>
                      <w:szCs w:val="21"/>
                      <w:lang w:val="en-US" w:eastAsia="zh-CN"/>
                    </w:rPr>
                    <w:t>。</w:t>
                  </w:r>
                </w:p>
              </w:tc>
              <w:tc>
                <w:tcPr>
                  <w:tcW w:w="395" w:type="pc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p>
              </w:tc>
              <w:tc>
                <w:tcPr>
                  <w:tcW w:w="51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1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加强火灾隐患排查，注意防止火源、明火等。</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建立完善的灭火设备</w:t>
                  </w:r>
                  <w:r>
                    <w:rPr>
                      <w:rFonts w:hint="eastAsia" w:ascii="宋体" w:hAnsi="宋体" w:cs="宋体"/>
                      <w:color w:val="auto"/>
                      <w:kern w:val="0"/>
                      <w:sz w:val="21"/>
                      <w:szCs w:val="21"/>
                      <w:lang w:val="en-US" w:eastAsia="zh-CN"/>
                    </w:rPr>
                    <w:t>体系，</w:t>
                  </w:r>
                  <w:r>
                    <w:rPr>
                      <w:rFonts w:hint="eastAsia" w:ascii="宋体" w:hAnsi="宋体" w:eastAsia="宋体" w:cs="宋体"/>
                      <w:color w:val="auto"/>
                      <w:kern w:val="0"/>
                      <w:sz w:val="21"/>
                      <w:szCs w:val="21"/>
                      <w:lang w:val="en-US" w:eastAsia="zh-CN"/>
                    </w:rPr>
                    <w:t>保证及时有效</w:t>
                  </w:r>
                  <w:r>
                    <w:rPr>
                      <w:rFonts w:hint="eastAsia" w:ascii="宋体" w:hAnsi="宋体" w:cs="宋体"/>
                      <w:color w:val="auto"/>
                      <w:kern w:val="0"/>
                      <w:sz w:val="21"/>
                      <w:szCs w:val="21"/>
                      <w:lang w:val="en-US" w:eastAsia="zh-CN"/>
                    </w:rPr>
                    <w:t>地</w:t>
                  </w:r>
                  <w:r>
                    <w:rPr>
                      <w:rFonts w:hint="eastAsia" w:ascii="宋体" w:hAnsi="宋体" w:eastAsia="宋体" w:cs="宋体"/>
                      <w:color w:val="auto"/>
                      <w:kern w:val="0"/>
                      <w:sz w:val="21"/>
                      <w:szCs w:val="21"/>
                      <w:lang w:val="en-US" w:eastAsia="zh-CN"/>
                    </w:rPr>
                    <w:t>灭火。</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加强员工消防知识培训，增强消防安全意识。保持锅炉自动控制系统的正常工作，确保运行稳定。定期检查和维护锅炉压力表、安全阀等安全保护设备。加强人员操作培训，确保遵守锅炉使用规程。</w:t>
                  </w:r>
                </w:p>
              </w:tc>
              <w:tc>
                <w:tcPr>
                  <w:tcW w:w="395" w:type="pc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restar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lang w:val="en-US" w:eastAsia="zh-CN"/>
                    </w:rPr>
                  </w:pPr>
                  <w:r>
                    <w:rPr>
                      <w:rFonts w:hint="eastAsia" w:ascii="宋体" w:hAnsi="宋体" w:eastAsia="宋体" w:cs="宋体"/>
                      <w:iCs/>
                      <w:color w:val="auto"/>
                      <w:kern w:val="0"/>
                      <w:sz w:val="21"/>
                      <w:szCs w:val="21"/>
                      <w:lang w:val="en-US" w:eastAsia="zh-CN"/>
                    </w:rPr>
                    <w:t>资源利用要求</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水资源</w:t>
                  </w:r>
                </w:p>
              </w:tc>
              <w:tc>
                <w:tcPr>
                  <w:tcW w:w="21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地下水资源利用实行总量控制和水位控制。取用地下水资源，应当按照国家和自治区有关规定申请取水许可。地下水利用应当以浅层地下水为主。</w:t>
                  </w:r>
                </w:p>
              </w:tc>
              <w:tc>
                <w:tcPr>
                  <w:tcW w:w="1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本项目不涉及地下水开采。</w:t>
                  </w:r>
                </w:p>
              </w:tc>
              <w:tc>
                <w:tcPr>
                  <w:tcW w:w="395" w:type="pc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能源利用</w:t>
                  </w:r>
                </w:p>
              </w:tc>
              <w:tc>
                <w:tcPr>
                  <w:tcW w:w="21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鼓励使用清洁能源或电厂热力、工业余热等替代锅炉、炉</w:t>
                  </w:r>
                  <w:r>
                    <w:rPr>
                      <w:rFonts w:hint="eastAsia" w:ascii="宋体" w:hAnsi="宋体" w:eastAsia="宋体" w:cs="宋体"/>
                      <w:color w:val="auto"/>
                      <w:kern w:val="0"/>
                      <w:sz w:val="21"/>
                      <w:szCs w:val="21"/>
                      <w:lang w:val="en-US" w:eastAsia="zh-CN"/>
                    </w:rPr>
                    <w:t>窑</w:t>
                  </w:r>
                  <w:r>
                    <w:rPr>
                      <w:rFonts w:hint="eastAsia" w:ascii="宋体" w:hAnsi="宋体" w:eastAsia="宋体" w:cs="宋体"/>
                      <w:color w:val="auto"/>
                      <w:kern w:val="0"/>
                      <w:sz w:val="21"/>
                      <w:szCs w:val="21"/>
                    </w:rPr>
                    <w:t>燃料用煤。</w:t>
                  </w:r>
                </w:p>
              </w:tc>
              <w:tc>
                <w:tcPr>
                  <w:tcW w:w="1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本项目燃料不涉及使用燃煤。</w:t>
                  </w:r>
                </w:p>
              </w:tc>
              <w:tc>
                <w:tcPr>
                  <w:tcW w:w="395" w:type="pc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禁燃区要求</w:t>
                  </w:r>
                </w:p>
              </w:tc>
              <w:tc>
                <w:tcPr>
                  <w:tcW w:w="21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在禁燃区内，禁止销售、燃用高污染燃料</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禁止新建、扩建燃用高污染燃料的设施。已建成的，应当在规定期限内改用清洁能源。</w:t>
                  </w:r>
                </w:p>
              </w:tc>
              <w:tc>
                <w:tcPr>
                  <w:tcW w:w="1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本项目不</w:t>
                  </w:r>
                  <w:r>
                    <w:rPr>
                      <w:rFonts w:hint="eastAsia" w:ascii="宋体" w:hAnsi="宋体" w:cs="宋体"/>
                      <w:color w:val="auto"/>
                      <w:kern w:val="0"/>
                      <w:sz w:val="21"/>
                      <w:szCs w:val="21"/>
                      <w:lang w:val="en-US" w:eastAsia="zh-CN"/>
                    </w:rPr>
                    <w:t>在禁燃区</w:t>
                  </w:r>
                  <w:r>
                    <w:rPr>
                      <w:rFonts w:hint="eastAsia" w:ascii="宋体" w:hAnsi="宋体" w:eastAsia="宋体" w:cs="宋体"/>
                      <w:color w:val="auto"/>
                      <w:kern w:val="0"/>
                      <w:sz w:val="21"/>
                      <w:szCs w:val="21"/>
                    </w:rPr>
                    <w:t>。</w:t>
                  </w:r>
                </w:p>
              </w:tc>
              <w:tc>
                <w:tcPr>
                  <w:tcW w:w="395" w:type="pct"/>
                  <w:noWrap w:val="0"/>
                  <w:vAlign w:val="center"/>
                </w:tcPr>
                <w:p>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Cs/>
                      <w:color w:val="auto"/>
                      <w:kern w:val="0"/>
                      <w:sz w:val="21"/>
                      <w:szCs w:val="21"/>
                    </w:rPr>
                  </w:pPr>
                  <w:r>
                    <w:rPr>
                      <w:rFonts w:hint="eastAsia" w:ascii="宋体" w:hAnsi="宋体" w:eastAsia="宋体" w:cs="宋体"/>
                      <w:iCs/>
                      <w:color w:val="auto"/>
                      <w:kern w:val="0"/>
                      <w:sz w:val="21"/>
                      <w:szCs w:val="21"/>
                      <w:lang w:val="en-US" w:eastAsia="zh-CN"/>
                    </w:rPr>
                    <w:t>符合</w:t>
                  </w:r>
                </w:p>
              </w:tc>
            </w:tr>
          </w:tbl>
          <w:p>
            <w:pPr>
              <w:pStyle w:val="3"/>
              <w:keepNext w:val="0"/>
              <w:keepLines w:val="0"/>
              <w:pageBreakBefore w:val="0"/>
              <w:widowControl w:val="0"/>
              <w:kinsoku/>
              <w:wordWrap/>
              <w:overflowPunct/>
              <w:topLinePunct w:val="0"/>
              <w:autoSpaceDE/>
              <w:autoSpaceDN/>
              <w:bidi w:val="0"/>
              <w:adjustRightInd/>
              <w:snapToGrid/>
              <w:spacing w:after="0" w:line="520" w:lineRule="exact"/>
              <w:ind w:left="0" w:leftChars="0" w:firstLine="480" w:firstLineChars="200"/>
              <w:jc w:val="both"/>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根据新疆维吾尔自治区生态环境厅2021年7月发布的关于印发《新疆维吾尔自治区七大片区“三线一单”生态环境分区管控要求）》的通知（新环环评发〔2021〕162号），全区划分为七大片区，包括北疆北部（塔城地区、阿勒泰地区）、伊犁河谷、克奎乌－博州、乌昌石、吐哈、天山南坡（巴州、阿克苏地区）和南疆三地州片区，本工程所在区域属于天山南坡片区，该片区管控要求见表1-2。</w:t>
            </w:r>
          </w:p>
          <w:p>
            <w:pPr>
              <w:pStyle w:val="55"/>
              <w:keepNext w:val="0"/>
              <w:keepLines w:val="0"/>
              <w:pageBreakBefore w:val="0"/>
              <w:widowControl w:val="0"/>
              <w:kinsoku/>
              <w:wordWrap/>
              <w:overflowPunct/>
              <w:topLinePunct w:val="0"/>
              <w:bidi w:val="0"/>
              <w:spacing w:line="520" w:lineRule="exact"/>
              <w:jc w:val="center"/>
              <w:textAlignment w:val="auto"/>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表1-2    新疆维吾尔自治区七大片区“三线一单”生态环境分区管控（天山南坡片区）要求符合性分析表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4305"/>
              <w:gridCol w:w="2429"/>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noWrap w:val="0"/>
                  <w:vAlign w:val="center"/>
                </w:tcPr>
                <w:p>
                  <w:pPr>
                    <w:pStyle w:val="5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管控片区</w:t>
                  </w:r>
                </w:p>
              </w:tc>
              <w:tc>
                <w:tcPr>
                  <w:tcW w:w="2629" w:type="pct"/>
                  <w:noWrap w:val="0"/>
                  <w:vAlign w:val="center"/>
                </w:tcPr>
                <w:p>
                  <w:pPr>
                    <w:pStyle w:val="5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管控要求</w:t>
                  </w:r>
                </w:p>
              </w:tc>
              <w:tc>
                <w:tcPr>
                  <w:tcW w:w="1483" w:type="pct"/>
                  <w:noWrap w:val="0"/>
                  <w:vAlign w:val="center"/>
                </w:tcPr>
                <w:p>
                  <w:pPr>
                    <w:pStyle w:val="5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w:t>
                  </w:r>
                </w:p>
              </w:tc>
              <w:tc>
                <w:tcPr>
                  <w:tcW w:w="476" w:type="pct"/>
                  <w:noWrap w:val="0"/>
                  <w:vAlign w:val="center"/>
                </w:tcPr>
                <w:p>
                  <w:pPr>
                    <w:pStyle w:val="5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Merge w:val="restart"/>
                  <w:noWrap w:val="0"/>
                  <w:vAlign w:val="center"/>
                </w:tcPr>
                <w:p>
                  <w:pPr>
                    <w:pStyle w:val="5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天山南坡片区</w:t>
                  </w:r>
                </w:p>
              </w:tc>
              <w:tc>
                <w:tcPr>
                  <w:tcW w:w="2629" w:type="pct"/>
                  <w:noWrap w:val="0"/>
                  <w:vAlign w:val="center"/>
                </w:tcPr>
                <w:p>
                  <w:pPr>
                    <w:pStyle w:val="5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切实保护托木尔峰和天山南坡中段冰雪水源及生物多样性保护生态功能区内的托木尔峰自然景观、高山冰川、野生动物、森林和草原，合理利用天然草地，稳步推进草原减牧，加强保护区管理，维护自然景观和生物多样性。</w:t>
                  </w:r>
                </w:p>
              </w:tc>
              <w:tc>
                <w:tcPr>
                  <w:tcW w:w="1483" w:type="pct"/>
                  <w:noWrap w:val="0"/>
                  <w:vAlign w:val="center"/>
                </w:tcPr>
                <w:p>
                  <w:pPr>
                    <w:pStyle w:val="5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本项目不涉及该区域</w:t>
                  </w:r>
                  <w:r>
                    <w:rPr>
                      <w:rFonts w:hint="eastAsia" w:ascii="Times New Roman" w:hAnsi="Times New Roman" w:eastAsia="宋体" w:cs="Times New Roman"/>
                      <w:lang w:val="en-US" w:eastAsia="zh-CN"/>
                    </w:rPr>
                    <w:t>。</w:t>
                  </w:r>
                </w:p>
              </w:tc>
              <w:tc>
                <w:tcPr>
                  <w:tcW w:w="476" w:type="pct"/>
                  <w:noWrap w:val="0"/>
                  <w:vAlign w:val="center"/>
                </w:tcPr>
                <w:p>
                  <w:pPr>
                    <w:pStyle w:val="5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Merge w:val="continue"/>
                  <w:noWrap w:val="0"/>
                  <w:vAlign w:val="center"/>
                </w:tcPr>
                <w:p>
                  <w:pPr>
                    <w:pStyle w:val="50"/>
                    <w:bidi w:val="0"/>
                    <w:jc w:val="center"/>
                    <w:rPr>
                      <w:rFonts w:hint="default" w:ascii="Times New Roman" w:hAnsi="Times New Roman" w:eastAsia="宋体" w:cs="Times New Roman"/>
                      <w:lang w:val="en-US" w:eastAsia="zh-CN"/>
                    </w:rPr>
                  </w:pPr>
                </w:p>
              </w:tc>
              <w:tc>
                <w:tcPr>
                  <w:tcW w:w="2629" w:type="pct"/>
                  <w:noWrap w:val="0"/>
                  <w:vAlign w:val="center"/>
                </w:tcPr>
                <w:p>
                  <w:pPr>
                    <w:pStyle w:val="5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重点做好塔里木盆地北缘荒漠化防治。加强荒漠植被及河岸荒漠林保护，规范油气勘探开发作业，建立油田和公路扰动区域工程与生物相结合的防风固沙体系，逐步形成生态屏障。</w:t>
                  </w:r>
                </w:p>
              </w:tc>
              <w:tc>
                <w:tcPr>
                  <w:tcW w:w="1483" w:type="pct"/>
                  <w:noWrap w:val="0"/>
                  <w:vAlign w:val="center"/>
                </w:tcPr>
                <w:p>
                  <w:pPr>
                    <w:pStyle w:val="5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本项目移动锅炉服务</w:t>
                  </w:r>
                  <w:r>
                    <w:rPr>
                      <w:rFonts w:hint="eastAsia" w:cs="Times New Roman"/>
                      <w:lang w:val="en-US" w:eastAsia="zh-CN"/>
                    </w:rPr>
                    <w:t>期间</w:t>
                  </w:r>
                  <w:r>
                    <w:rPr>
                      <w:rFonts w:hint="default" w:ascii="Times New Roman" w:hAnsi="Times New Roman" w:eastAsia="宋体" w:cs="Times New Roman"/>
                      <w:lang w:val="en-US" w:eastAsia="zh-CN"/>
                    </w:rPr>
                    <w:t>尽可能减少</w:t>
                  </w:r>
                  <w:r>
                    <w:rPr>
                      <w:rFonts w:hint="eastAsia" w:ascii="Times New Roman" w:hAnsi="Times New Roman" w:eastAsia="宋体" w:cs="Times New Roman"/>
                      <w:lang w:val="en-US" w:eastAsia="zh-CN"/>
                    </w:rPr>
                    <w:t>对</w:t>
                  </w:r>
                  <w:r>
                    <w:rPr>
                      <w:rFonts w:hint="eastAsia" w:cs="Times New Roman"/>
                      <w:lang w:val="en-US" w:eastAsia="zh-CN"/>
                    </w:rPr>
                    <w:t>荒漠</w:t>
                  </w:r>
                  <w:r>
                    <w:rPr>
                      <w:rFonts w:hint="default" w:ascii="Times New Roman" w:hAnsi="Times New Roman" w:eastAsia="宋体" w:cs="Times New Roman"/>
                      <w:lang w:val="en-US" w:eastAsia="zh-CN"/>
                    </w:rPr>
                    <w:t>植被的破坏</w:t>
                  </w:r>
                  <w:r>
                    <w:rPr>
                      <w:rFonts w:hint="eastAsia" w:ascii="Times New Roman" w:hAnsi="Times New Roman" w:eastAsia="宋体" w:cs="Times New Roman"/>
                      <w:lang w:val="en-US" w:eastAsia="zh-CN"/>
                    </w:rPr>
                    <w:t>。</w:t>
                  </w:r>
                </w:p>
              </w:tc>
              <w:tc>
                <w:tcPr>
                  <w:tcW w:w="476" w:type="pct"/>
                  <w:noWrap w:val="0"/>
                  <w:vAlign w:val="center"/>
                </w:tcPr>
                <w:p>
                  <w:pPr>
                    <w:pStyle w:val="5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Merge w:val="continue"/>
                  <w:noWrap w:val="0"/>
                  <w:vAlign w:val="center"/>
                </w:tcPr>
                <w:p>
                  <w:pPr>
                    <w:pStyle w:val="50"/>
                    <w:bidi w:val="0"/>
                    <w:jc w:val="center"/>
                    <w:rPr>
                      <w:rFonts w:hint="default" w:ascii="Times New Roman" w:hAnsi="Times New Roman" w:eastAsia="宋体" w:cs="Times New Roman"/>
                      <w:lang w:val="en-US" w:eastAsia="zh-CN"/>
                    </w:rPr>
                  </w:pPr>
                </w:p>
              </w:tc>
              <w:tc>
                <w:tcPr>
                  <w:tcW w:w="2629" w:type="pct"/>
                  <w:noWrap w:val="0"/>
                  <w:vAlign w:val="center"/>
                </w:tcPr>
                <w:p>
                  <w:pPr>
                    <w:pStyle w:val="5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推进塔里木河流域用水结构调整，维护塔里木河、博斯腾湖基本生态用水。</w:t>
                  </w:r>
                </w:p>
                <w:p>
                  <w:pPr>
                    <w:pStyle w:val="5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加强塔里木河流域水环境风险管控。加大博斯腾湖污染源头达标排放治理和监督力度，实施博斯腾湖综合治理。</w:t>
                  </w:r>
                </w:p>
              </w:tc>
              <w:tc>
                <w:tcPr>
                  <w:tcW w:w="1483" w:type="pct"/>
                  <w:noWrap w:val="0"/>
                  <w:vAlign w:val="center"/>
                </w:tcPr>
                <w:p>
                  <w:pPr>
                    <w:pStyle w:val="50"/>
                    <w:bidi w:val="0"/>
                    <w:jc w:val="center"/>
                    <w:rPr>
                      <w:rFonts w:hint="default" w:ascii="Times New Roman" w:hAnsi="Times New Roman" w:eastAsia="宋体" w:cs="Times New Roman"/>
                      <w:lang w:val="en-US" w:eastAsia="zh-CN"/>
                    </w:rPr>
                  </w:pPr>
                  <w:r>
                    <w:rPr>
                      <w:rFonts w:hint="eastAsia" w:ascii="Times New Roman" w:hAnsi="Times New Roman" w:cs="Times New Roman"/>
                      <w:b w:val="0"/>
                      <w:bCs w:val="0"/>
                      <w:sz w:val="21"/>
                      <w:szCs w:val="21"/>
                      <w:vertAlign w:val="baseline"/>
                      <w:lang w:val="en-US" w:eastAsia="zh-CN"/>
                    </w:rPr>
                    <w:t>本项目用水</w:t>
                  </w:r>
                  <w:r>
                    <w:rPr>
                      <w:rFonts w:hint="eastAsia" w:cs="Times New Roman"/>
                      <w:b w:val="0"/>
                      <w:bCs w:val="0"/>
                      <w:sz w:val="21"/>
                      <w:szCs w:val="21"/>
                      <w:vertAlign w:val="baseline"/>
                      <w:lang w:val="en-US" w:eastAsia="zh-CN"/>
                    </w:rPr>
                    <w:t>轮南镇拉运</w:t>
                  </w:r>
                  <w:r>
                    <w:rPr>
                      <w:rFonts w:hint="eastAsia" w:ascii="Times New Roman" w:hAnsi="Times New Roman" w:cs="Times New Roman"/>
                      <w:b w:val="0"/>
                      <w:bCs w:val="0"/>
                      <w:sz w:val="21"/>
                      <w:szCs w:val="21"/>
                      <w:vertAlign w:val="baseline"/>
                      <w:lang w:val="en-US" w:eastAsia="zh-CN"/>
                    </w:rPr>
                    <w:t>，产生少量的锅炉排污水用于</w:t>
                  </w:r>
                  <w:r>
                    <w:rPr>
                      <w:rFonts w:hint="eastAsia" w:cs="Times New Roman"/>
                      <w:b w:val="0"/>
                      <w:bCs w:val="0"/>
                      <w:sz w:val="21"/>
                      <w:szCs w:val="21"/>
                      <w:vertAlign w:val="baseline"/>
                      <w:lang w:val="en-US" w:eastAsia="zh-CN"/>
                    </w:rPr>
                    <w:t>油井</w:t>
                  </w:r>
                  <w:r>
                    <w:rPr>
                      <w:rFonts w:hint="eastAsia" w:ascii="Times New Roman" w:hAnsi="Times New Roman" w:cs="Times New Roman"/>
                      <w:b w:val="0"/>
                      <w:bCs w:val="0"/>
                      <w:sz w:val="21"/>
                      <w:szCs w:val="21"/>
                      <w:vertAlign w:val="baseline"/>
                      <w:lang w:val="en-US" w:eastAsia="zh-CN"/>
                    </w:rPr>
                    <w:t>周边抑尘用水。</w:t>
                  </w:r>
                </w:p>
              </w:tc>
              <w:tc>
                <w:tcPr>
                  <w:tcW w:w="476" w:type="pct"/>
                  <w:noWrap w:val="0"/>
                  <w:vAlign w:val="center"/>
                </w:tcPr>
                <w:p>
                  <w:pPr>
                    <w:pStyle w:val="5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Merge w:val="continue"/>
                  <w:noWrap w:val="0"/>
                  <w:vAlign w:val="center"/>
                </w:tcPr>
                <w:p>
                  <w:pPr>
                    <w:pStyle w:val="50"/>
                    <w:bidi w:val="0"/>
                    <w:jc w:val="center"/>
                    <w:rPr>
                      <w:rFonts w:hint="default" w:ascii="Times New Roman" w:hAnsi="Times New Roman" w:eastAsia="宋体" w:cs="Times New Roman"/>
                      <w:lang w:val="en-US" w:eastAsia="zh-CN"/>
                    </w:rPr>
                  </w:pPr>
                </w:p>
              </w:tc>
              <w:tc>
                <w:tcPr>
                  <w:tcW w:w="2629" w:type="pct"/>
                  <w:noWrap w:val="0"/>
                  <w:vAlign w:val="center"/>
                </w:tcPr>
                <w:p>
                  <w:pPr>
                    <w:pStyle w:val="5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加强油（气）资源开发区土壤环境污染综合整治。强化涉重金属行业污染防控与工业废物处理处置。</w:t>
                  </w:r>
                </w:p>
              </w:tc>
              <w:tc>
                <w:tcPr>
                  <w:tcW w:w="1483" w:type="pct"/>
                  <w:noWrap w:val="0"/>
                  <w:vAlign w:val="center"/>
                </w:tcPr>
                <w:p>
                  <w:pPr>
                    <w:pStyle w:val="5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本项目产生的废物均能够得到有效</w:t>
                  </w:r>
                  <w:r>
                    <w:rPr>
                      <w:rFonts w:hint="eastAsia" w:ascii="Times New Roman" w:hAnsi="Times New Roman" w:eastAsia="宋体" w:cs="Times New Roman"/>
                      <w:lang w:val="en-US" w:eastAsia="zh-CN"/>
                    </w:rPr>
                    <w:t>地</w:t>
                  </w:r>
                  <w:r>
                    <w:rPr>
                      <w:rFonts w:hint="default" w:ascii="Times New Roman" w:hAnsi="Times New Roman" w:eastAsia="宋体" w:cs="Times New Roman"/>
                      <w:lang w:val="en-US" w:eastAsia="zh-CN"/>
                    </w:rPr>
                    <w:t>处置</w:t>
                  </w:r>
                  <w:r>
                    <w:rPr>
                      <w:rFonts w:hint="eastAsia" w:ascii="Times New Roman" w:hAnsi="Times New Roman" w:eastAsia="宋体" w:cs="Times New Roman"/>
                      <w:lang w:val="en-US" w:eastAsia="zh-CN"/>
                    </w:rPr>
                    <w:t>并</w:t>
                  </w:r>
                  <w:r>
                    <w:rPr>
                      <w:rFonts w:hint="default" w:ascii="Times New Roman" w:hAnsi="Times New Roman" w:eastAsia="宋体" w:cs="Times New Roman"/>
                      <w:lang w:val="en-US" w:eastAsia="zh-CN"/>
                    </w:rPr>
                    <w:t>由专门的人员收集和清运</w:t>
                  </w:r>
                  <w:r>
                    <w:rPr>
                      <w:rFonts w:hint="eastAsia" w:ascii="Times New Roman" w:hAnsi="Times New Roman" w:eastAsia="宋体" w:cs="Times New Roman"/>
                      <w:lang w:val="en-US" w:eastAsia="zh-CN"/>
                    </w:rPr>
                    <w:t>。</w:t>
                  </w:r>
                </w:p>
              </w:tc>
              <w:tc>
                <w:tcPr>
                  <w:tcW w:w="476" w:type="pct"/>
                  <w:noWrap w:val="0"/>
                  <w:vAlign w:val="center"/>
                </w:tcPr>
                <w:p>
                  <w:pPr>
                    <w:pStyle w:val="5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符合</w:t>
                  </w:r>
                </w:p>
              </w:tc>
            </w:tr>
          </w:tbl>
          <w:p>
            <w:pPr>
              <w:pStyle w:val="3"/>
              <w:keepNext w:val="0"/>
              <w:keepLines w:val="0"/>
              <w:pageBreakBefore w:val="0"/>
              <w:widowControl w:val="0"/>
              <w:kinsoku/>
              <w:wordWrap/>
              <w:overflowPunct/>
              <w:topLinePunct w:val="0"/>
              <w:autoSpaceDE/>
              <w:autoSpaceDN/>
              <w:bidi w:val="0"/>
              <w:adjustRightInd/>
              <w:snapToGrid/>
              <w:spacing w:after="0" w:line="52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本项目燃生物质锅炉使用区域均在轮台县一般管控区，《巴音郭楞蒙古自治州“三线一单”生态环境分区管控动态更新成果（2023）》（巴政办发〔2024〕32号）中“轮台县生态环境准入清单”符合性分析，见表1-3。</w:t>
            </w:r>
          </w:p>
          <w:p>
            <w:pPr>
              <w:pStyle w:val="3"/>
              <w:keepNext w:val="0"/>
              <w:keepLines w:val="0"/>
              <w:pageBreakBefore w:val="0"/>
              <w:widowControl w:val="0"/>
              <w:kinsoku/>
              <w:wordWrap/>
              <w:overflowPunct/>
              <w:topLinePunct w:val="0"/>
              <w:autoSpaceDE/>
              <w:autoSpaceDN/>
              <w:bidi w:val="0"/>
              <w:adjustRightInd/>
              <w:snapToGrid/>
              <w:spacing w:after="0" w:line="520" w:lineRule="exact"/>
              <w:ind w:left="0" w:leftChars="0" w:firstLine="0" w:firstLineChars="0"/>
              <w:jc w:val="center"/>
              <w:textAlignment w:val="auto"/>
              <w:rPr>
                <w:rFonts w:hint="eastAsia" w:ascii="宋体" w:hAnsi="宋体" w:cs="宋体"/>
                <w:b/>
                <w:bCs/>
                <w:color w:val="auto"/>
                <w:lang w:val="en-US" w:eastAsia="zh-CN"/>
              </w:rPr>
            </w:pPr>
            <w:r>
              <w:rPr>
                <w:rFonts w:hint="eastAsia" w:ascii="宋体" w:hAnsi="宋体" w:cs="宋体"/>
                <w:b/>
                <w:bCs/>
                <w:color w:val="auto"/>
                <w:lang w:val="en-US" w:eastAsia="zh-CN"/>
              </w:rPr>
              <w:t>表1-3    项目与“巴州生态环境准入清单”符合性分析一览表</w:t>
            </w:r>
          </w:p>
          <w:tbl>
            <w:tblPr>
              <w:tblStyle w:val="2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28"/>
              <w:gridCol w:w="4870"/>
              <w:gridCol w:w="1956"/>
              <w:gridCol w:w="6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3420" w:type="pct"/>
                  <w:gridSpan w:val="2"/>
                  <w:tcBorders>
                    <w:bottom w:val="single" w:color="auto" w:sz="4" w:space="0"/>
                    <w:tl2br w:val="nil"/>
                    <w:tr2bl w:val="nil"/>
                  </w:tcBorders>
                  <w:noWrap w:val="0"/>
                  <w:vAlign w:val="center"/>
                </w:tcPr>
                <w:p>
                  <w:pPr>
                    <w:pStyle w:val="57"/>
                    <w:bidi w:val="0"/>
                    <w:jc w:val="center"/>
                    <w:rPr>
                      <w:rFonts w:ascii="Times New Roman" w:hAnsi="Times New Roman" w:eastAsia="宋体"/>
                      <w:sz w:val="21"/>
                      <w:szCs w:val="21"/>
                    </w:rPr>
                  </w:pPr>
                  <w:r>
                    <w:rPr>
                      <w:rFonts w:ascii="Times New Roman" w:hAnsi="Times New Roman" w:eastAsia="宋体"/>
                      <w:sz w:val="21"/>
                      <w:szCs w:val="21"/>
                    </w:rPr>
                    <w:t>一般管控单元</w:t>
                  </w:r>
                </w:p>
                <w:p>
                  <w:pPr>
                    <w:pStyle w:val="57"/>
                    <w:bidi w:val="0"/>
                    <w:jc w:val="center"/>
                    <w:rPr>
                      <w:rFonts w:ascii="Times New Roman" w:hAnsi="Times New Roman" w:eastAsia="宋体"/>
                      <w:sz w:val="21"/>
                      <w:szCs w:val="21"/>
                    </w:rPr>
                  </w:pPr>
                  <w:r>
                    <w:rPr>
                      <w:rFonts w:ascii="Times New Roman" w:hAnsi="Times New Roman" w:eastAsia="宋体"/>
                      <w:sz w:val="21"/>
                      <w:szCs w:val="21"/>
                    </w:rPr>
                    <w:t>ZH65282230001</w:t>
                  </w:r>
                </w:p>
                <w:p>
                  <w:pPr>
                    <w:pStyle w:val="57"/>
                    <w:bidi w:val="0"/>
                    <w:jc w:val="center"/>
                    <w:rPr>
                      <w:rFonts w:hint="eastAsia" w:ascii="宋体" w:hAnsi="宋体" w:cs="宋体"/>
                      <w:color w:val="auto"/>
                    </w:rPr>
                  </w:pPr>
                  <w:r>
                    <w:rPr>
                      <w:rFonts w:ascii="Times New Roman" w:hAnsi="Times New Roman" w:eastAsia="宋体"/>
                      <w:sz w:val="21"/>
                      <w:szCs w:val="21"/>
                    </w:rPr>
                    <w:t>轮台县一般管控区</w:t>
                  </w:r>
                </w:p>
              </w:tc>
              <w:tc>
                <w:tcPr>
                  <w:tcW w:w="1195" w:type="pct"/>
                  <w:vMerge w:val="restart"/>
                  <w:tcBorders>
                    <w:tl2br w:val="nil"/>
                    <w:tr2bl w:val="nil"/>
                  </w:tcBorders>
                  <w:noWrap w:val="0"/>
                  <w:vAlign w:val="center"/>
                </w:tcPr>
                <w:p>
                  <w:pPr>
                    <w:pStyle w:val="57"/>
                    <w:bidi w:val="0"/>
                    <w:jc w:val="center"/>
                    <w:rPr>
                      <w:rFonts w:hint="eastAsia" w:ascii="宋体" w:hAnsi="宋体" w:cs="宋体"/>
                      <w:color w:val="auto"/>
                    </w:rPr>
                  </w:pPr>
                  <w:r>
                    <w:rPr>
                      <w:rFonts w:hint="eastAsia" w:ascii="宋体" w:hAnsi="宋体" w:cs="宋体"/>
                      <w:color w:val="auto"/>
                    </w:rPr>
                    <w:t>本项目情况</w:t>
                  </w:r>
                </w:p>
              </w:tc>
              <w:tc>
                <w:tcPr>
                  <w:tcW w:w="384" w:type="pct"/>
                  <w:vMerge w:val="restart"/>
                  <w:tcBorders>
                    <w:tl2br w:val="nil"/>
                    <w:tr2bl w:val="nil"/>
                  </w:tcBorders>
                  <w:noWrap w:val="0"/>
                  <w:vAlign w:val="center"/>
                </w:tcPr>
                <w:p>
                  <w:pPr>
                    <w:pStyle w:val="57"/>
                    <w:bidi w:val="0"/>
                    <w:jc w:val="center"/>
                    <w:rPr>
                      <w:rFonts w:hint="eastAsia" w:ascii="宋体" w:hAnsi="宋体" w:cs="宋体"/>
                      <w:color w:val="auto"/>
                    </w:rPr>
                  </w:pPr>
                  <w:r>
                    <w:rPr>
                      <w:rFonts w:hint="eastAsia" w:ascii="宋体" w:hAnsi="宋体" w:cs="宋体"/>
                      <w:color w:val="auto"/>
                    </w:rPr>
                    <w:t>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3420" w:type="pct"/>
                  <w:gridSpan w:val="2"/>
                  <w:tcBorders>
                    <w:top w:val="single" w:color="auto" w:sz="4" w:space="0"/>
                    <w:tl2br w:val="nil"/>
                    <w:tr2bl w:val="nil"/>
                  </w:tcBorders>
                  <w:noWrap w:val="0"/>
                  <w:vAlign w:val="center"/>
                </w:tcPr>
                <w:p>
                  <w:pPr>
                    <w:pStyle w:val="57"/>
                    <w:bidi w:val="0"/>
                    <w:jc w:val="center"/>
                    <w:rPr>
                      <w:rFonts w:hint="eastAsia" w:ascii="宋体" w:hAnsi="宋体" w:cs="宋体"/>
                      <w:color w:val="auto"/>
                    </w:rPr>
                  </w:pPr>
                  <w:r>
                    <w:rPr>
                      <w:rFonts w:hint="eastAsia" w:ascii="宋体" w:hAnsi="宋体" w:cs="宋体"/>
                      <w:color w:val="auto"/>
                    </w:rPr>
                    <w:t>管控要求</w:t>
                  </w:r>
                </w:p>
              </w:tc>
              <w:tc>
                <w:tcPr>
                  <w:tcW w:w="1195" w:type="pct"/>
                  <w:vMerge w:val="continue"/>
                  <w:tcBorders>
                    <w:tl2br w:val="nil"/>
                    <w:tr2bl w:val="nil"/>
                  </w:tcBorders>
                  <w:noWrap w:val="0"/>
                  <w:vAlign w:val="center"/>
                </w:tcPr>
                <w:p>
                  <w:pPr>
                    <w:pStyle w:val="57"/>
                    <w:bidi w:val="0"/>
                    <w:jc w:val="center"/>
                    <w:rPr>
                      <w:rFonts w:hint="eastAsia" w:ascii="宋体" w:hAnsi="宋体" w:cs="宋体"/>
                      <w:color w:val="auto"/>
                    </w:rPr>
                  </w:pPr>
                </w:p>
              </w:tc>
              <w:tc>
                <w:tcPr>
                  <w:tcW w:w="384" w:type="pct"/>
                  <w:vMerge w:val="continue"/>
                  <w:tcBorders>
                    <w:tl2br w:val="nil"/>
                    <w:tr2bl w:val="nil"/>
                  </w:tcBorders>
                  <w:noWrap w:val="0"/>
                  <w:vAlign w:val="center"/>
                </w:tcPr>
                <w:p>
                  <w:pPr>
                    <w:pStyle w:val="57"/>
                    <w:bidi w:val="0"/>
                    <w:jc w:val="center"/>
                    <w:rPr>
                      <w:rFonts w:hint="eastAsia" w:ascii="宋体" w:hAnsi="宋体" w:cs="宋体"/>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445" w:type="pct"/>
                  <w:tcBorders>
                    <w:tl2br w:val="nil"/>
                    <w:tr2bl w:val="nil"/>
                  </w:tcBorders>
                  <w:noWrap w:val="0"/>
                  <w:vAlign w:val="center"/>
                </w:tcPr>
                <w:p>
                  <w:pPr>
                    <w:pStyle w:val="57"/>
                    <w:bidi w:val="0"/>
                    <w:jc w:val="center"/>
                    <w:rPr>
                      <w:rFonts w:hint="eastAsia" w:ascii="宋体" w:hAnsi="宋体" w:cs="宋体"/>
                      <w:color w:val="auto"/>
                    </w:rPr>
                  </w:pPr>
                  <w:r>
                    <w:rPr>
                      <w:rFonts w:hint="eastAsia" w:ascii="宋体" w:hAnsi="宋体" w:cs="宋体"/>
                      <w:color w:val="auto"/>
                    </w:rPr>
                    <w:t>空间布局约束</w:t>
                  </w:r>
                </w:p>
              </w:tc>
              <w:tc>
                <w:tcPr>
                  <w:tcW w:w="4088" w:type="dxa"/>
                  <w:tcBorders>
                    <w:tl2br w:val="nil"/>
                    <w:tr2bl w:val="nil"/>
                  </w:tcBorders>
                  <w:noWrap w:val="0"/>
                  <w:vAlign w:val="center"/>
                </w:tcPr>
                <w:p>
                  <w:pPr>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1.建设项目用地原则上不得占用基本农田，确需占用基本农田的建设项目须符合《中华人民共和国基本农田保护条例》中相关要求，占用耕地、林地或草地的建设项目须按照国家、自治区相关补偿要求进行补偿。</w:t>
                  </w:r>
                </w:p>
                <w:p>
                  <w:pPr>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2.对违反资源环境法律法规、规划，污染环境、破坏生态、乱采滥挖的露天矿山，依法整治；对污染治理不规范的露天矿山，依法责令停产整治，对拒不停产或擅自恢复生产的依法强制关闭；对责任主体灭失的露天矿山，要加强修复绿化、减尘抑尘。</w:t>
                  </w:r>
                </w:p>
                <w:p>
                  <w:pPr>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3.永久基本农田集中区域禁止规划新建可能造成土壤污染的建设项目。涉及有毒有害物质可能造成土壤污染的新</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改、扩</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建项目，提出并落实土壤和地下水污染防治要求。</w:t>
                  </w:r>
                </w:p>
                <w:p>
                  <w:pPr>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4.严格执行畜禽养殖禁养区规定，根据区域用地和消纳水平，合理确定养殖规模。</w:t>
                  </w:r>
                </w:p>
                <w:p>
                  <w:pPr>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5.禁止向沙漠、滩涂、盐碱地、沼泽地等非法排污、倾倒有毒有害物质。</w:t>
                  </w:r>
                </w:p>
                <w:p>
                  <w:pPr>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kern w:val="0"/>
                      <w:sz w:val="21"/>
                      <w:szCs w:val="21"/>
                    </w:rPr>
                    <w:t>6.禁止利用渗坑、裂隙、溶洞或者采用稀释等方法处置危险废物。</w:t>
                  </w:r>
                </w:p>
              </w:tc>
              <w:tc>
                <w:tcPr>
                  <w:tcW w:w="1195" w:type="pct"/>
                  <w:tcBorders>
                    <w:tl2br w:val="nil"/>
                    <w:tr2bl w:val="nil"/>
                  </w:tcBorders>
                  <w:noWrap w:val="0"/>
                  <w:vAlign w:val="center"/>
                </w:tcPr>
                <w:p>
                  <w:pPr>
                    <w:pStyle w:val="57"/>
                    <w:bidi w:val="0"/>
                    <w:jc w:val="center"/>
                    <w:rPr>
                      <w:rFonts w:hint="default" w:ascii="宋体" w:hAnsi="宋体" w:eastAsia="宋体" w:cs="宋体"/>
                      <w:color w:val="auto"/>
                      <w:lang w:val="en-US" w:eastAsia="zh-CN"/>
                    </w:rPr>
                  </w:pPr>
                  <w:r>
                    <w:rPr>
                      <w:rFonts w:hint="eastAsia" w:ascii="宋体" w:hAnsi="宋体" w:cs="宋体"/>
                      <w:color w:val="auto"/>
                      <w:kern w:val="0"/>
                      <w:sz w:val="21"/>
                      <w:szCs w:val="21"/>
                      <w:lang w:val="en-US" w:eastAsia="zh-CN"/>
                    </w:rPr>
                    <w:t>本项目不占用基本农田、不涉及矿山开采、不涉及</w:t>
                  </w:r>
                  <w:r>
                    <w:rPr>
                      <w:rFonts w:hint="eastAsia" w:ascii="宋体" w:hAnsi="宋体" w:eastAsia="宋体" w:cs="宋体"/>
                      <w:kern w:val="0"/>
                      <w:sz w:val="21"/>
                      <w:szCs w:val="21"/>
                    </w:rPr>
                    <w:t>畜禽养殖</w:t>
                  </w: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不产生</w:t>
                  </w:r>
                  <w:r>
                    <w:rPr>
                      <w:rFonts w:hint="eastAsia" w:ascii="宋体" w:hAnsi="宋体" w:eastAsia="宋体" w:cs="宋体"/>
                      <w:kern w:val="0"/>
                      <w:sz w:val="21"/>
                      <w:szCs w:val="21"/>
                    </w:rPr>
                    <w:t>有毒有害物质</w:t>
                  </w:r>
                  <w:r>
                    <w:rPr>
                      <w:rFonts w:hint="eastAsia" w:ascii="Times New Roman" w:hAnsi="Times New Roman" w:eastAsia="宋体"/>
                      <w:kern w:val="0"/>
                      <w:sz w:val="21"/>
                      <w:szCs w:val="21"/>
                    </w:rPr>
                    <w:t>。</w:t>
                  </w:r>
                </w:p>
              </w:tc>
              <w:tc>
                <w:tcPr>
                  <w:tcW w:w="384" w:type="pct"/>
                  <w:tcBorders>
                    <w:tl2br w:val="nil"/>
                    <w:tr2bl w:val="nil"/>
                  </w:tcBorders>
                  <w:noWrap w:val="0"/>
                  <w:vAlign w:val="center"/>
                </w:tcPr>
                <w:p>
                  <w:pPr>
                    <w:pStyle w:val="57"/>
                    <w:bidi w:val="0"/>
                    <w:jc w:val="center"/>
                    <w:rPr>
                      <w:rFonts w:hint="eastAsia" w:ascii="宋体" w:hAnsi="宋体" w:cs="宋体"/>
                      <w:color w:val="auto"/>
                    </w:rPr>
                  </w:pPr>
                  <w:r>
                    <w:rPr>
                      <w:rFonts w:hint="eastAsia" w:ascii="宋体" w:hAnsi="宋体" w:cs="宋体"/>
                      <w:color w:val="auto"/>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0" w:hRule="atLeast"/>
                <w:jc w:val="center"/>
              </w:trPr>
              <w:tc>
                <w:tcPr>
                  <w:tcW w:w="445" w:type="pct"/>
                  <w:tcBorders>
                    <w:tl2br w:val="nil"/>
                    <w:tr2bl w:val="nil"/>
                  </w:tcBorders>
                  <w:noWrap w:val="0"/>
                  <w:vAlign w:val="center"/>
                </w:tcPr>
                <w:p>
                  <w:pPr>
                    <w:pStyle w:val="57"/>
                    <w:bidi w:val="0"/>
                    <w:jc w:val="center"/>
                    <w:rPr>
                      <w:rFonts w:hint="eastAsia" w:ascii="宋体" w:hAnsi="宋体" w:cs="宋体"/>
                      <w:color w:val="auto"/>
                    </w:rPr>
                  </w:pPr>
                  <w:r>
                    <w:rPr>
                      <w:rFonts w:hint="eastAsia" w:ascii="宋体" w:hAnsi="宋体" w:cs="宋体"/>
                      <w:color w:val="auto"/>
                    </w:rPr>
                    <w:t>污染物排放管控</w:t>
                  </w:r>
                </w:p>
              </w:tc>
              <w:tc>
                <w:tcPr>
                  <w:tcW w:w="4088" w:type="dxa"/>
                  <w:tcBorders>
                    <w:tl2br w:val="nil"/>
                    <w:tr2bl w:val="nil"/>
                  </w:tcBorders>
                  <w:noWrap w:val="0"/>
                  <w:vAlign w:val="center"/>
                </w:tcPr>
                <w:p>
                  <w:pPr>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1.强化畜禽粪污资源化利用，改善养殖场通风环境，提高畜禽粪污综合利用率，减少氨挥发排放。鼓励和支持散养密集区实行畜禽粪污分户收集、集中处理。</w:t>
                  </w:r>
                </w:p>
                <w:p>
                  <w:pPr>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2.严格控制林地、草地、园地农药使用量，禁止使用高毒、高残留农药。</w:t>
                  </w:r>
                </w:p>
                <w:p>
                  <w:pPr>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3.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p>
                  <w:pPr>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4.对化学品生产企业、工业集聚区、尾矿库、矿山开采区、危险废物处置场、垃圾填埋场等地下水污染源及周边区域，逐步开展地下水环境状况调查评估，加强风险管控。</w:t>
                  </w:r>
                </w:p>
                <w:p>
                  <w:pPr>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5.严控土壤重金属污染，加强油（气）田开发土壤污染防治，以历史遗留工业企业污染场地为重点，开展土壤污染风险管控与修复工程。</w:t>
                  </w:r>
                </w:p>
                <w:p>
                  <w:pPr>
                    <w:spacing w:line="240" w:lineRule="auto"/>
                    <w:ind w:firstLine="0" w:firstLineChars="0"/>
                    <w:jc w:val="center"/>
                    <w:rPr>
                      <w:rFonts w:hint="eastAsia" w:ascii="宋体" w:hAnsi="宋体" w:eastAsia="宋体" w:cs="宋体"/>
                      <w:color w:val="auto"/>
                    </w:rPr>
                  </w:pPr>
                  <w:r>
                    <w:rPr>
                      <w:rFonts w:hint="eastAsia" w:ascii="宋体" w:hAnsi="宋体" w:eastAsia="宋体" w:cs="宋体"/>
                      <w:kern w:val="0"/>
                      <w:sz w:val="21"/>
                      <w:szCs w:val="21"/>
                    </w:rPr>
                    <w:t>6.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tc>
              <w:tc>
                <w:tcPr>
                  <w:tcW w:w="1195" w:type="pct"/>
                  <w:tcBorders>
                    <w:tl2br w:val="nil"/>
                    <w:tr2bl w:val="nil"/>
                  </w:tcBorders>
                  <w:noWrap w:val="0"/>
                  <w:vAlign w:val="center"/>
                </w:tcPr>
                <w:p>
                  <w:pPr>
                    <w:pStyle w:val="57"/>
                    <w:bidi w:val="0"/>
                    <w:jc w:val="center"/>
                    <w:rPr>
                      <w:rFonts w:hint="eastAsia" w:ascii="宋体" w:hAnsi="宋体" w:eastAsia="宋体" w:cs="宋体"/>
                      <w:color w:val="auto"/>
                      <w:lang w:val="en-US" w:eastAsia="zh-CN"/>
                    </w:rPr>
                  </w:pPr>
                  <w:r>
                    <w:rPr>
                      <w:rFonts w:hint="eastAsia" w:ascii="Times New Roman" w:hAnsi="Times New Roman" w:eastAsia="宋体"/>
                      <w:kern w:val="0"/>
                      <w:sz w:val="21"/>
                      <w:szCs w:val="21"/>
                      <w:lang w:val="en-US" w:eastAsia="zh-CN"/>
                    </w:rPr>
                    <w:t>本项目不产生畜禽粪污、不使用农药化肥、无地下水、土壤污染途径、不涉及重金属污染、不涉及农村厕所。</w:t>
                  </w:r>
                </w:p>
              </w:tc>
              <w:tc>
                <w:tcPr>
                  <w:tcW w:w="384" w:type="pct"/>
                  <w:tcBorders>
                    <w:tl2br w:val="nil"/>
                    <w:tr2bl w:val="nil"/>
                  </w:tcBorders>
                  <w:noWrap w:val="0"/>
                  <w:vAlign w:val="center"/>
                </w:tcPr>
                <w:p>
                  <w:pPr>
                    <w:pStyle w:val="57"/>
                    <w:bidi w:val="0"/>
                    <w:jc w:val="center"/>
                    <w:rPr>
                      <w:rFonts w:hint="eastAsia" w:ascii="宋体" w:hAnsi="宋体" w:cs="宋体"/>
                      <w:color w:val="auto"/>
                      <w:lang w:val="en-US" w:eastAsia="zh-CN"/>
                    </w:rPr>
                  </w:pPr>
                  <w:r>
                    <w:rPr>
                      <w:rFonts w:hint="eastAsia" w:ascii="宋体" w:hAnsi="宋体" w:cs="宋体"/>
                      <w:color w:val="auto"/>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0" w:hRule="atLeast"/>
                <w:jc w:val="center"/>
              </w:trPr>
              <w:tc>
                <w:tcPr>
                  <w:tcW w:w="445" w:type="pct"/>
                  <w:tcBorders>
                    <w:tl2br w:val="nil"/>
                    <w:tr2bl w:val="nil"/>
                  </w:tcBorders>
                  <w:noWrap w:val="0"/>
                  <w:vAlign w:val="center"/>
                </w:tcPr>
                <w:p>
                  <w:pPr>
                    <w:pStyle w:val="57"/>
                    <w:bidi w:val="0"/>
                    <w:jc w:val="center"/>
                    <w:rPr>
                      <w:rFonts w:hint="eastAsia" w:ascii="宋体" w:hAnsi="宋体" w:eastAsia="宋体" w:cs="宋体"/>
                      <w:color w:val="auto"/>
                      <w:lang w:val="en-US" w:eastAsia="zh-CN"/>
                    </w:rPr>
                  </w:pPr>
                  <w:r>
                    <w:rPr>
                      <w:rFonts w:hint="eastAsia" w:ascii="宋体" w:hAnsi="宋体" w:cs="宋体"/>
                      <w:color w:val="auto"/>
                      <w:lang w:val="en-US" w:eastAsia="zh-CN"/>
                    </w:rPr>
                    <w:t>环境风险防控</w:t>
                  </w:r>
                </w:p>
              </w:tc>
              <w:tc>
                <w:tcPr>
                  <w:tcW w:w="4088" w:type="dxa"/>
                  <w:tcBorders>
                    <w:tl2br w:val="nil"/>
                    <w:tr2bl w:val="nil"/>
                  </w:tcBorders>
                  <w:noWrap w:val="0"/>
                  <w:vAlign w:val="center"/>
                </w:tcPr>
                <w:p>
                  <w:pPr>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1.加强对矿山、油田等矿产资源开采影响区域内未利用地的环境监管，发现土壤污染问题的，要坚决查处，并及时督促有关单位采取有效防治措施消除或减轻污染。</w:t>
                  </w:r>
                </w:p>
                <w:p>
                  <w:pPr>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2.对排查出的危库和病库以及风险评估有严重环境安全隐患的尾矿库，要求企业完善污染治理设施、进行治理和修复。全面整治历史遗留尾矿库，完善覆膜、压土、排洪、堤坝加固等隐患治理和闭库措施。</w:t>
                  </w:r>
                </w:p>
                <w:p>
                  <w:pPr>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kern w:val="0"/>
                      <w:sz w:val="21"/>
                      <w:szCs w:val="21"/>
                    </w:rPr>
                    <w:t>3.依法推行农用地分类管理制度，强化受污染耕地安全利用和风险管控。因地制宜制定实施安全利用方案，鼓励采取种植结构调整等措施，确保受污染耕地全部实现安全利用。</w:t>
                  </w:r>
                </w:p>
              </w:tc>
              <w:tc>
                <w:tcPr>
                  <w:tcW w:w="1195" w:type="pct"/>
                  <w:tcBorders>
                    <w:tl2br w:val="nil"/>
                    <w:tr2bl w:val="nil"/>
                  </w:tcBorders>
                  <w:noWrap w:val="0"/>
                  <w:vAlign w:val="center"/>
                </w:tcPr>
                <w:p>
                  <w:pPr>
                    <w:pStyle w:val="57"/>
                    <w:bidi w:val="0"/>
                    <w:jc w:val="center"/>
                    <w:rPr>
                      <w:rFonts w:hint="eastAsia" w:ascii="宋体" w:hAnsi="宋体" w:cs="宋体"/>
                      <w:color w:val="auto"/>
                      <w:lang w:val="en-US" w:eastAsia="zh-CN"/>
                    </w:rPr>
                  </w:pPr>
                  <w:r>
                    <w:rPr>
                      <w:rFonts w:hint="eastAsia" w:ascii="Times New Roman" w:hAnsi="Times New Roman" w:eastAsia="宋体"/>
                      <w:kern w:val="0"/>
                      <w:sz w:val="21"/>
                      <w:szCs w:val="21"/>
                      <w:lang w:val="en-US" w:eastAsia="zh-CN"/>
                    </w:rPr>
                    <w:t>本项目不涉及矿山开采及农用地。</w:t>
                  </w:r>
                </w:p>
              </w:tc>
              <w:tc>
                <w:tcPr>
                  <w:tcW w:w="384" w:type="pct"/>
                  <w:tcBorders>
                    <w:tl2br w:val="nil"/>
                    <w:tr2bl w:val="nil"/>
                  </w:tcBorders>
                  <w:noWrap w:val="0"/>
                  <w:vAlign w:val="center"/>
                </w:tcPr>
                <w:p>
                  <w:pPr>
                    <w:pStyle w:val="57"/>
                    <w:bidi w:val="0"/>
                    <w:jc w:val="center"/>
                    <w:rPr>
                      <w:rFonts w:hint="eastAsia" w:ascii="宋体" w:hAnsi="宋体" w:cs="宋体"/>
                      <w:color w:val="auto"/>
                      <w:lang w:val="en-US" w:eastAsia="zh-CN"/>
                    </w:rPr>
                  </w:pPr>
                  <w:r>
                    <w:rPr>
                      <w:rFonts w:hint="eastAsia" w:ascii="宋体" w:hAnsi="宋体" w:cs="宋体"/>
                      <w:color w:val="auto"/>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445" w:type="pct"/>
                  <w:tcBorders>
                    <w:tl2br w:val="nil"/>
                    <w:tr2bl w:val="nil"/>
                  </w:tcBorders>
                  <w:noWrap w:val="0"/>
                  <w:vAlign w:val="center"/>
                </w:tcPr>
                <w:p>
                  <w:pPr>
                    <w:pStyle w:val="57"/>
                    <w:bidi w:val="0"/>
                    <w:jc w:val="center"/>
                    <w:rPr>
                      <w:rFonts w:hint="eastAsia" w:ascii="宋体" w:hAnsi="宋体" w:cs="宋体"/>
                      <w:color w:val="auto"/>
                      <w:lang w:val="en-US" w:eastAsia="zh-CN"/>
                    </w:rPr>
                  </w:pPr>
                  <w:r>
                    <w:rPr>
                      <w:rFonts w:hint="eastAsia" w:ascii="宋体" w:hAnsi="宋体" w:cs="宋体"/>
                      <w:color w:val="auto"/>
                      <w:lang w:val="en-US" w:eastAsia="zh-CN"/>
                    </w:rPr>
                    <w:t>资源利用效率</w:t>
                  </w:r>
                </w:p>
              </w:tc>
              <w:tc>
                <w:tcPr>
                  <w:tcW w:w="4088" w:type="dxa"/>
                  <w:tcBorders>
                    <w:tl2br w:val="nil"/>
                    <w:tr2bl w:val="nil"/>
                  </w:tcBorders>
                  <w:noWrap w:val="0"/>
                  <w:vAlign w:val="center"/>
                </w:tcPr>
                <w:p>
                  <w:pPr>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1.全面推进秸秆综合利用，鼓励秸秆资源化、饲料化、肥料化利用，推动秸秆还田与离田收集。</w:t>
                  </w:r>
                </w:p>
                <w:p>
                  <w:pPr>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2.减少化肥农药使用量，增加有机肥使用量，实现化肥农药使用量负增长。</w:t>
                  </w:r>
                </w:p>
                <w:p>
                  <w:pPr>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kern w:val="0"/>
                      <w:sz w:val="21"/>
                      <w:szCs w:val="21"/>
                    </w:rPr>
                    <w:t>3.推广渠道防渗、管道输水、喷灌、微灌等节水灌溉技术，完善灌溉用水计量设施。推进规模化高效节水灌溉，推广农作物节水抗旱技术。建立灌区墒情测报网络，提高农业用水效率，降低农业用水比重。</w:t>
                  </w:r>
                </w:p>
              </w:tc>
              <w:tc>
                <w:tcPr>
                  <w:tcW w:w="1195" w:type="pct"/>
                  <w:tcBorders>
                    <w:tl2br w:val="nil"/>
                    <w:tr2bl w:val="nil"/>
                  </w:tcBorders>
                  <w:noWrap w:val="0"/>
                  <w:vAlign w:val="center"/>
                </w:tcPr>
                <w:p>
                  <w:pPr>
                    <w:pStyle w:val="57"/>
                    <w:bidi w:val="0"/>
                    <w:jc w:val="center"/>
                    <w:rPr>
                      <w:rFonts w:hint="default" w:ascii="宋体" w:hAnsi="宋体" w:cs="宋体"/>
                      <w:color w:val="auto"/>
                      <w:lang w:val="en-US" w:eastAsia="zh-CN"/>
                    </w:rPr>
                  </w:pPr>
                  <w:r>
                    <w:rPr>
                      <w:rFonts w:hint="eastAsia" w:ascii="宋体" w:hAnsi="宋体" w:cs="宋体"/>
                      <w:color w:val="auto"/>
                      <w:lang w:val="en-US" w:eastAsia="zh-CN"/>
                    </w:rPr>
                    <w:t>本项目不涉及农业。</w:t>
                  </w:r>
                </w:p>
                <w:p>
                  <w:pPr>
                    <w:pStyle w:val="57"/>
                    <w:bidi w:val="0"/>
                    <w:jc w:val="center"/>
                    <w:rPr>
                      <w:rFonts w:hint="eastAsia" w:ascii="宋体" w:hAnsi="宋体" w:cs="宋体"/>
                      <w:color w:val="auto"/>
                      <w:lang w:val="en-US" w:eastAsia="zh-CN"/>
                    </w:rPr>
                  </w:pPr>
                  <w:r>
                    <w:rPr>
                      <w:rFonts w:hint="eastAsia" w:ascii="宋体" w:hAnsi="宋体" w:cs="宋体"/>
                      <w:color w:val="auto"/>
                      <w:lang w:val="en-US" w:eastAsia="zh-CN"/>
                    </w:rPr>
                    <w:t>软化废水及锅炉排污水属于清净下水，用于周边洒水抑尘。</w:t>
                  </w:r>
                </w:p>
              </w:tc>
              <w:tc>
                <w:tcPr>
                  <w:tcW w:w="384" w:type="pct"/>
                  <w:tcBorders>
                    <w:tl2br w:val="nil"/>
                    <w:tr2bl w:val="nil"/>
                  </w:tcBorders>
                  <w:noWrap w:val="0"/>
                  <w:vAlign w:val="center"/>
                </w:tcPr>
                <w:p>
                  <w:pPr>
                    <w:pStyle w:val="57"/>
                    <w:bidi w:val="0"/>
                    <w:jc w:val="center"/>
                    <w:rPr>
                      <w:rFonts w:hint="eastAsia" w:ascii="宋体" w:hAnsi="宋体" w:cs="宋体"/>
                      <w:color w:val="auto"/>
                      <w:lang w:val="en-US" w:eastAsia="zh-CN"/>
                    </w:rPr>
                  </w:pPr>
                  <w:r>
                    <w:rPr>
                      <w:rFonts w:hint="eastAsia" w:ascii="宋体" w:hAnsi="宋体" w:cs="宋体"/>
                      <w:color w:val="auto"/>
                      <w:lang w:val="en-US" w:eastAsia="zh-CN"/>
                    </w:rPr>
                    <w:t>/</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20" w:lineRule="exact"/>
              <w:ind w:firstLine="482" w:firstLineChars="200"/>
              <w:jc w:val="both"/>
              <w:textAlignment w:val="auto"/>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bidi="ar-SA"/>
              </w:rPr>
              <w:t>3</w:t>
            </w:r>
            <w:r>
              <w:rPr>
                <w:rFonts w:hint="default" w:ascii="Times New Roman" w:hAnsi="Times New Roman" w:cs="Times New Roman"/>
                <w:b/>
                <w:bCs/>
                <w:kern w:val="0"/>
                <w:sz w:val="24"/>
                <w:szCs w:val="24"/>
                <w:lang w:val="en-US" w:eastAsia="zh-CN" w:bidi="ar-SA"/>
              </w:rPr>
              <w:t>、</w:t>
            </w:r>
            <w:r>
              <w:rPr>
                <w:rFonts w:hint="eastAsia" w:ascii="Times New Roman" w:hAnsi="Times New Roman" w:cs="Times New Roman"/>
                <w:b/>
                <w:bCs/>
                <w:kern w:val="0"/>
                <w:sz w:val="24"/>
                <w:szCs w:val="24"/>
                <w:lang w:val="en-US" w:eastAsia="zh-CN"/>
              </w:rPr>
              <w:t>与《巴音郭楞蒙古自治州生态环境“十四五”规划》的符合性分析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20" w:lineRule="exact"/>
              <w:ind w:firstLine="480" w:firstLineChars="200"/>
              <w:jc w:val="both"/>
              <w:textAlignment w:val="auto"/>
              <w:rPr>
                <w:rFonts w:hint="default" w:ascii="Times New Roman" w:hAnsi="Times New Roman" w:eastAsia="宋体" w:cs="Times New Roman"/>
                <w:b w:val="0"/>
                <w:bCs w:val="0"/>
                <w:kern w:val="0"/>
                <w:sz w:val="24"/>
                <w:szCs w:val="24"/>
                <w:lang w:val="en-US" w:eastAsia="zh-CN" w:bidi="ar-SA"/>
              </w:rPr>
            </w:pPr>
            <w:r>
              <w:rPr>
                <w:rFonts w:hint="default" w:ascii="Times New Roman" w:hAnsi="Times New Roman" w:eastAsia="宋体" w:cs="Times New Roman"/>
                <w:b w:val="0"/>
                <w:bCs w:val="0"/>
                <w:kern w:val="0"/>
                <w:sz w:val="24"/>
                <w:szCs w:val="24"/>
                <w:lang w:val="en-US" w:eastAsia="zh-CN" w:bidi="ar-SA"/>
              </w:rPr>
              <w:t>持续推进能源清洁化利用。加大民用散煤清洁化治理。到2022年，禁燃区逐步由县级及以上城市建成区扩展到近郊。禁燃区内禁止使用散煤等高污染燃料，采用清洁能源，宜气则气宜电则电，逐步实现禁燃区内无煤化。禁燃区外，逐步推行清洁能源替代散煤。持续推进清洁供暖，因地制宜制定实施自治州清洁取暖方案，逐步提高清洁取暖面积占比。加强建筑节能改造，积极创建绿色建筑行动，到2025年，当年城镇新建民用建筑中绿色建筑面积占比达到100%，新建民用建筑严格执行强制性节能标准，执行率达到100%。</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20" w:lineRule="exact"/>
              <w:ind w:firstLine="480" w:firstLineChars="200"/>
              <w:jc w:val="both"/>
              <w:textAlignment w:val="auto"/>
              <w:rPr>
                <w:rFonts w:hint="default" w:ascii="Times New Roman" w:hAnsi="Times New Roman" w:eastAsia="宋体" w:cs="Times New Roman"/>
                <w:b w:val="0"/>
                <w:bCs w:val="0"/>
                <w:kern w:val="0"/>
                <w:sz w:val="24"/>
                <w:szCs w:val="24"/>
                <w:lang w:val="en-US" w:eastAsia="zh-CN" w:bidi="ar-SA"/>
              </w:rPr>
            </w:pPr>
            <w:r>
              <w:rPr>
                <w:rFonts w:hint="default" w:ascii="Times New Roman" w:hAnsi="Times New Roman" w:eastAsia="宋体" w:cs="Times New Roman"/>
                <w:b w:val="0"/>
                <w:bCs w:val="0"/>
                <w:kern w:val="0"/>
                <w:sz w:val="24"/>
                <w:szCs w:val="24"/>
                <w:lang w:val="en-US" w:eastAsia="zh-CN" w:bidi="ar-SA"/>
              </w:rPr>
              <w:t>本项目为新建</w:t>
            </w:r>
            <w:r>
              <w:rPr>
                <w:rFonts w:hint="eastAsia" w:ascii="Times New Roman" w:hAnsi="Times New Roman" w:eastAsia="宋体" w:cs="Times New Roman"/>
                <w:b w:val="0"/>
                <w:bCs w:val="0"/>
                <w:kern w:val="0"/>
                <w:sz w:val="24"/>
                <w:szCs w:val="24"/>
                <w:lang w:val="en-US" w:eastAsia="zh-CN" w:bidi="ar-SA"/>
              </w:rPr>
              <w:t>燃生物质</w:t>
            </w:r>
            <w:r>
              <w:rPr>
                <w:rFonts w:hint="default" w:ascii="Times New Roman" w:hAnsi="Times New Roman" w:eastAsia="宋体" w:cs="Times New Roman"/>
                <w:b w:val="0"/>
                <w:bCs w:val="0"/>
                <w:kern w:val="0"/>
                <w:sz w:val="24"/>
                <w:szCs w:val="24"/>
                <w:lang w:val="en-US" w:eastAsia="zh-CN" w:bidi="ar-SA"/>
              </w:rPr>
              <w:t>蒸汽锅炉项目，不采用煤为燃料，由于本项目锅炉为移动锅炉，携带天然气及液化气极不安全便捷</w:t>
            </w:r>
            <w:r>
              <w:rPr>
                <w:rFonts w:hint="eastAsia" w:ascii="Times New Roman" w:hAnsi="Times New Roman" w:eastAsia="宋体" w:cs="Times New Roman"/>
                <w:b w:val="0"/>
                <w:bCs w:val="0"/>
                <w:kern w:val="0"/>
                <w:sz w:val="24"/>
                <w:szCs w:val="24"/>
                <w:lang w:val="en-US" w:eastAsia="zh-CN" w:bidi="ar-SA"/>
              </w:rPr>
              <w:t>，燃油成本过高</w:t>
            </w:r>
            <w:r>
              <w:rPr>
                <w:rFonts w:hint="default" w:ascii="Times New Roman" w:hAnsi="Times New Roman" w:eastAsia="宋体" w:cs="Times New Roman"/>
                <w:b w:val="0"/>
                <w:bCs w:val="0"/>
                <w:kern w:val="0"/>
                <w:sz w:val="24"/>
                <w:szCs w:val="24"/>
                <w:lang w:val="en-US" w:eastAsia="zh-CN" w:bidi="ar-SA"/>
              </w:rPr>
              <w:t>，故采用</w:t>
            </w:r>
            <w:r>
              <w:rPr>
                <w:rFonts w:hint="eastAsia" w:ascii="Times New Roman" w:hAnsi="Times New Roman" w:eastAsia="宋体" w:cs="Times New Roman"/>
                <w:b w:val="0"/>
                <w:bCs w:val="0"/>
                <w:kern w:val="0"/>
                <w:sz w:val="24"/>
                <w:szCs w:val="24"/>
                <w:lang w:val="en-US" w:eastAsia="zh-CN" w:bidi="ar-SA"/>
              </w:rPr>
              <w:t>生物质</w:t>
            </w:r>
            <w:r>
              <w:rPr>
                <w:rFonts w:hint="default" w:ascii="Times New Roman" w:hAnsi="Times New Roman" w:eastAsia="宋体" w:cs="Times New Roman"/>
                <w:b w:val="0"/>
                <w:bCs w:val="0"/>
                <w:kern w:val="0"/>
                <w:sz w:val="24"/>
                <w:szCs w:val="24"/>
                <w:lang w:val="en-US" w:eastAsia="zh-CN" w:bidi="ar-SA"/>
              </w:rPr>
              <w:t>为燃料，各项污染物严格执行《锅炉大气污染物排放标准》</w:t>
            </w:r>
            <w:r>
              <w:rPr>
                <w:rFonts w:hint="eastAsia" w:ascii="Times New Roman" w:hAnsi="Times New Roman" w:eastAsia="宋体" w:cs="Times New Roman"/>
                <w:b w:val="0"/>
                <w:bCs w:val="0"/>
                <w:kern w:val="0"/>
                <w:sz w:val="24"/>
                <w:szCs w:val="24"/>
                <w:lang w:val="en-US" w:eastAsia="zh-CN" w:bidi="ar-SA"/>
              </w:rPr>
              <w:t>（</w:t>
            </w:r>
            <w:r>
              <w:rPr>
                <w:rFonts w:hint="default" w:ascii="Times New Roman" w:hAnsi="Times New Roman" w:eastAsia="宋体" w:cs="Times New Roman"/>
                <w:b w:val="0"/>
                <w:bCs w:val="0"/>
                <w:kern w:val="0"/>
                <w:sz w:val="24"/>
                <w:szCs w:val="24"/>
                <w:lang w:val="en-US" w:eastAsia="zh-CN" w:bidi="ar-SA"/>
              </w:rPr>
              <w:t>GB13271-2014</w:t>
            </w:r>
            <w:r>
              <w:rPr>
                <w:rFonts w:hint="eastAsia" w:ascii="Times New Roman" w:hAnsi="Times New Roman" w:eastAsia="宋体" w:cs="Times New Roman"/>
                <w:b w:val="0"/>
                <w:bCs w:val="0"/>
                <w:kern w:val="0"/>
                <w:sz w:val="24"/>
                <w:szCs w:val="24"/>
                <w:lang w:val="en-US" w:eastAsia="zh-CN" w:bidi="ar-SA"/>
              </w:rPr>
              <w:t>）</w:t>
            </w:r>
            <w:r>
              <w:rPr>
                <w:rFonts w:hint="default" w:ascii="Times New Roman" w:hAnsi="Times New Roman" w:eastAsia="宋体" w:cs="Times New Roman"/>
                <w:b w:val="0"/>
                <w:bCs w:val="0"/>
                <w:kern w:val="0"/>
                <w:sz w:val="24"/>
                <w:szCs w:val="24"/>
                <w:lang w:val="en-US" w:eastAsia="zh-CN" w:bidi="ar-SA"/>
              </w:rPr>
              <w:t>中表2</w:t>
            </w:r>
            <w:r>
              <w:rPr>
                <w:rFonts w:hint="eastAsia" w:ascii="Times New Roman" w:hAnsi="Times New Roman" w:eastAsia="宋体" w:cs="Times New Roman"/>
                <w:b w:val="0"/>
                <w:bCs w:val="0"/>
                <w:kern w:val="0"/>
                <w:sz w:val="24"/>
                <w:szCs w:val="24"/>
                <w:lang w:val="en-US" w:eastAsia="zh-CN" w:bidi="ar-SA"/>
              </w:rPr>
              <w:t>燃煤</w:t>
            </w:r>
            <w:r>
              <w:rPr>
                <w:rFonts w:hint="default" w:ascii="Times New Roman" w:hAnsi="Times New Roman" w:eastAsia="宋体" w:cs="Times New Roman"/>
                <w:b w:val="0"/>
                <w:bCs w:val="0"/>
                <w:kern w:val="0"/>
                <w:sz w:val="24"/>
                <w:szCs w:val="24"/>
                <w:lang w:val="en-US" w:eastAsia="zh-CN" w:bidi="ar-SA"/>
              </w:rPr>
              <w:t>锅炉排放限值的要求。符合《巴音郭楞蒙古自治州生态环境</w:t>
            </w:r>
            <w:r>
              <w:rPr>
                <w:rFonts w:hint="eastAsia" w:ascii="Times New Roman" w:hAnsi="Times New Roman" w:eastAsia="宋体" w:cs="Times New Roman"/>
                <w:b w:val="0"/>
                <w:bCs w:val="0"/>
                <w:kern w:val="0"/>
                <w:sz w:val="24"/>
                <w:szCs w:val="24"/>
                <w:lang w:val="en-US" w:eastAsia="zh-CN" w:bidi="ar-SA"/>
              </w:rPr>
              <w:t>“</w:t>
            </w:r>
            <w:r>
              <w:rPr>
                <w:rFonts w:hint="default" w:ascii="Times New Roman" w:hAnsi="Times New Roman" w:eastAsia="宋体" w:cs="Times New Roman"/>
                <w:b w:val="0"/>
                <w:bCs w:val="0"/>
                <w:kern w:val="0"/>
                <w:sz w:val="24"/>
                <w:szCs w:val="24"/>
                <w:lang w:val="en-US" w:eastAsia="zh-CN" w:bidi="ar-SA"/>
              </w:rPr>
              <w:t>十四五</w:t>
            </w:r>
            <w:r>
              <w:rPr>
                <w:rFonts w:hint="eastAsia" w:ascii="Times New Roman" w:hAnsi="Times New Roman" w:eastAsia="宋体" w:cs="Times New Roman"/>
                <w:b w:val="0"/>
                <w:bCs w:val="0"/>
                <w:kern w:val="0"/>
                <w:sz w:val="24"/>
                <w:szCs w:val="24"/>
                <w:lang w:val="en-US" w:eastAsia="zh-CN" w:bidi="ar-SA"/>
              </w:rPr>
              <w:t>”</w:t>
            </w:r>
            <w:r>
              <w:rPr>
                <w:rFonts w:hint="default" w:ascii="Times New Roman" w:hAnsi="Times New Roman" w:eastAsia="宋体" w:cs="Times New Roman"/>
                <w:b w:val="0"/>
                <w:bCs w:val="0"/>
                <w:kern w:val="0"/>
                <w:sz w:val="24"/>
                <w:szCs w:val="24"/>
                <w:lang w:val="en-US" w:eastAsia="zh-CN" w:bidi="ar-SA"/>
              </w:rPr>
              <w:t>规划》的要求。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20" w:lineRule="exact"/>
              <w:ind w:firstLine="482" w:firstLineChars="200"/>
              <w:jc w:val="both"/>
              <w:textAlignment w:val="auto"/>
              <w:rPr>
                <w:rFonts w:hint="eastAsia" w:ascii="Times New Roman" w:hAnsi="Times New Roman" w:eastAsia="宋体" w:cs="Times New Roman"/>
                <w:b/>
                <w:bCs/>
                <w:kern w:val="0"/>
                <w:sz w:val="24"/>
                <w:szCs w:val="24"/>
                <w:lang w:val="en-US" w:eastAsia="zh-CN" w:bidi="ar-SA"/>
              </w:rPr>
            </w:pPr>
            <w:r>
              <w:rPr>
                <w:rFonts w:hint="eastAsia" w:ascii="Times New Roman" w:hAnsi="Times New Roman" w:eastAsia="宋体" w:cs="Times New Roman"/>
                <w:b/>
                <w:bCs/>
                <w:kern w:val="0"/>
                <w:sz w:val="24"/>
                <w:szCs w:val="24"/>
                <w:lang w:val="en-US" w:eastAsia="zh-CN" w:bidi="ar-SA"/>
              </w:rPr>
              <w:t>4、其他符合性分析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20" w:lineRule="exact"/>
              <w:ind w:firstLine="482" w:firstLineChars="200"/>
              <w:jc w:val="center"/>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表1-4      环境管理政策相符性分析</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3638"/>
              <w:gridCol w:w="2934"/>
              <w:gridCol w:w="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文件</w:t>
                  </w:r>
                </w:p>
              </w:tc>
              <w:tc>
                <w:tcPr>
                  <w:tcW w:w="2223"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环境管理政策要求</w:t>
                  </w:r>
                </w:p>
              </w:tc>
              <w:tc>
                <w:tcPr>
                  <w:tcW w:w="1793"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本项目情况</w:t>
                  </w:r>
                </w:p>
              </w:tc>
              <w:tc>
                <w:tcPr>
                  <w:tcW w:w="337"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color w:val="000000"/>
                      <w:sz w:val="21"/>
                      <w:szCs w:val="21"/>
                    </w:rPr>
                    <w:t>《新疆维吾尔自治区环境保护条例》</w:t>
                  </w:r>
                </w:p>
              </w:tc>
              <w:tc>
                <w:tcPr>
                  <w:tcW w:w="2223"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color w:val="000000"/>
                      <w:sz w:val="21"/>
                      <w:szCs w:val="21"/>
                    </w:rPr>
                    <w:t>县级以上人民政府可以根据环境质量的需要，划定并公布高污染燃料禁燃区。在禁燃区内，禁止销售、燃用原煤、粉煤各种可燃废物等高污染燃料</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禁止新建、扩建燃用高污染燃料的设施，已建设成的，应当在规定的期限内改用清洁能源</w:t>
                  </w:r>
                  <w:r>
                    <w:rPr>
                      <w:rFonts w:hint="eastAsia" w:ascii="宋体" w:hAnsi="宋体" w:eastAsia="宋体" w:cs="宋体"/>
                      <w:b w:val="0"/>
                      <w:bCs w:val="0"/>
                      <w:color w:val="000000"/>
                      <w:sz w:val="21"/>
                      <w:szCs w:val="21"/>
                      <w:lang w:eastAsia="zh-CN"/>
                    </w:rPr>
                    <w:t>。</w:t>
                  </w:r>
                </w:p>
              </w:tc>
              <w:tc>
                <w:tcPr>
                  <w:tcW w:w="1793"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本项目</w:t>
                  </w:r>
                  <w:r>
                    <w:rPr>
                      <w:rFonts w:hint="eastAsia" w:ascii="宋体" w:hAnsi="宋体" w:cs="宋体"/>
                      <w:b w:val="0"/>
                      <w:bCs w:val="0"/>
                      <w:sz w:val="21"/>
                      <w:szCs w:val="21"/>
                      <w:vertAlign w:val="baseline"/>
                      <w:lang w:val="en-US" w:eastAsia="zh-CN"/>
                    </w:rPr>
                    <w:t>不在禁燃区</w:t>
                  </w:r>
                  <w:r>
                    <w:rPr>
                      <w:rFonts w:hint="eastAsia" w:ascii="宋体" w:hAnsi="宋体" w:eastAsia="宋体" w:cs="宋体"/>
                      <w:b w:val="0"/>
                      <w:bCs w:val="0"/>
                      <w:sz w:val="21"/>
                      <w:szCs w:val="21"/>
                      <w:vertAlign w:val="baseline"/>
                      <w:lang w:val="en-US" w:eastAsia="zh-CN"/>
                    </w:rPr>
                    <w:t>，符合《新疆维吾尔自治区环境保护条例》中的要求。</w:t>
                  </w:r>
                </w:p>
              </w:tc>
              <w:tc>
                <w:tcPr>
                  <w:tcW w:w="337"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color w:val="000000"/>
                      <w:sz w:val="21"/>
                      <w:szCs w:val="21"/>
                    </w:rPr>
                    <w:t>《新疆维吾尔自治区大气污染防治工作方案》</w:t>
                  </w:r>
                </w:p>
              </w:tc>
              <w:tc>
                <w:tcPr>
                  <w:tcW w:w="2223"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color w:val="auto"/>
                      <w:sz w:val="21"/>
                      <w:szCs w:val="21"/>
                    </w:rPr>
                    <w:t>实施燃煤锅炉整治。加快热力和燃气管网建设，通过热电联产、集中供热等工程建设，到2017年底，除必要保留的以外全区城市建成区基本淘汰每小时10蒸吨及以下燃煤锅炉，禁止新建每小时20蒸吨以下燃煤锅炉。2017年底前，在化工、造纸、印染、制革、制药等产业集聚区，通过集中建设热电联产机组逐步淘汰分散燃煤锅炉。在有条件的地区，因地制宜推行地源热泵供暖。在供热供气管网不能覆盖的地区，改用电、新能源或洁净煤，推广应用高效节能环保型锅炉。新建冶金、建材、化工等项目按要求实现余热余压综合利用。</w:t>
                  </w:r>
                </w:p>
              </w:tc>
              <w:tc>
                <w:tcPr>
                  <w:tcW w:w="1793"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本项目为新建生物质蒸汽锅炉项目，不采用煤为燃料。符合《新疆维吾尔自治区大气污染防治工作方案》的要求</w:t>
                  </w:r>
                  <w:r>
                    <w:rPr>
                      <w:rFonts w:hint="eastAsia" w:ascii="宋体" w:hAnsi="宋体" w:cs="宋体"/>
                      <w:b w:val="0"/>
                      <w:bCs w:val="0"/>
                      <w:sz w:val="21"/>
                      <w:szCs w:val="21"/>
                      <w:vertAlign w:val="baseline"/>
                      <w:lang w:val="en-US" w:eastAsia="zh-CN"/>
                    </w:rPr>
                    <w:t>。</w:t>
                  </w:r>
                </w:p>
              </w:tc>
              <w:tc>
                <w:tcPr>
                  <w:tcW w:w="337"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rPr>
                    <w:t>《巴音郭楞蒙古自治州大气污染防治办法》</w:t>
                  </w:r>
                </w:p>
              </w:tc>
              <w:tc>
                <w:tcPr>
                  <w:tcW w:w="2223"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rPr>
                    <w:t>第二十六条 自治州、各县</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市</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人民政府应当推进城市建成区、工业园区实行集中供热，使用清洁燃料，限期淘汰不符合自治区、自治州规定规模的燃煤锅炉。</w:t>
                  </w:r>
                </w:p>
              </w:tc>
              <w:tc>
                <w:tcPr>
                  <w:tcW w:w="1793" w:type="pct"/>
                  <w:noWrap w:val="0"/>
                  <w:vAlign w:val="center"/>
                </w:tcPr>
                <w:p>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本项目为新建生物质蒸汽锅炉项目，不采用煤为燃料，由于本项目锅炉为移动锅炉，携带天然气及液化气极不安全便捷，燃油成本过高，故采用生物质为燃料，各项污染物严格执行《锅炉大气污染物排放标准》（GB13271-2014）中表2燃煤锅炉排放限值的要求。符合《巴音郭楞蒙古自治州大气污染防治办法》的要求。</w:t>
                  </w:r>
                </w:p>
              </w:tc>
              <w:tc>
                <w:tcPr>
                  <w:tcW w:w="337" w:type="pct"/>
                  <w:noWrap w:val="0"/>
                  <w:vAlign w:val="center"/>
                </w:tcPr>
                <w:p>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noWrap w:val="0"/>
                  <w:vAlign w:val="center"/>
                </w:tcPr>
                <w:p>
                  <w:pPr>
                    <w:jc w:val="center"/>
                    <w:rPr>
                      <w:rFonts w:hint="eastAsia" w:ascii="宋体" w:hAnsi="宋体" w:eastAsia="宋体" w:cs="宋体"/>
                      <w:b w:val="0"/>
                      <w:bCs w:val="0"/>
                      <w:sz w:val="21"/>
                      <w:szCs w:val="21"/>
                      <w:lang w:eastAsia="zh-CN"/>
                    </w:rPr>
                  </w:pPr>
                  <w:r>
                    <w:rPr>
                      <w:rFonts w:hint="eastAsia" w:ascii="宋体" w:hAnsi="宋体" w:cs="宋体"/>
                      <w:b w:val="0"/>
                      <w:bCs w:val="0"/>
                      <w:sz w:val="21"/>
                      <w:szCs w:val="21"/>
                      <w:lang w:eastAsia="zh-CN"/>
                    </w:rPr>
                    <w:t>《自治州大气污染防治三年攻坚行动方案（2023－2025年）》（巴政发〔2023〕27号）</w:t>
                  </w:r>
                </w:p>
              </w:tc>
              <w:tc>
                <w:tcPr>
                  <w:tcW w:w="2223" w:type="pct"/>
                  <w:noWrap w:val="0"/>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严格项目准入。严把高耗能、高排放、低水平项目准入关口，严格落实国家产业规划、产业政策、“三线一单”、规划环评，以及产能置换、煤炭消费减量替代、区域污染物消减要求，对不符合规定的项目坚决停批停建。加强已审批高耗能高排放项目环评文件审查，动态更新管理台账。库尔勒大气污染联防联控区严禁新增钢铁、水泥熟料、平板玻璃、炼油产能。其他地区钢铁、水泥熟料、平板玻璃、炼油、电解铝等新建、扩建项目严格实施产能等量置换要求。</w:t>
                  </w:r>
                </w:p>
              </w:tc>
              <w:tc>
                <w:tcPr>
                  <w:tcW w:w="1793"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本项目不属于</w:t>
                  </w:r>
                  <w:r>
                    <w:rPr>
                      <w:rFonts w:hint="eastAsia" w:ascii="宋体" w:hAnsi="宋体" w:eastAsia="宋体" w:cs="宋体"/>
                      <w:b w:val="0"/>
                      <w:bCs w:val="0"/>
                      <w:sz w:val="21"/>
                      <w:szCs w:val="21"/>
                    </w:rPr>
                    <w:t>高耗能、高排放、低水平项目</w:t>
                  </w:r>
                  <w:r>
                    <w:rPr>
                      <w:rFonts w:hint="eastAsia" w:ascii="宋体" w:hAnsi="宋体" w:cs="宋体"/>
                      <w:b w:val="0"/>
                      <w:bCs w:val="0"/>
                      <w:sz w:val="21"/>
                      <w:szCs w:val="21"/>
                      <w:lang w:eastAsia="zh-CN"/>
                    </w:rPr>
                    <w:t>。</w:t>
                  </w:r>
                </w:p>
              </w:tc>
              <w:tc>
                <w:tcPr>
                  <w:tcW w:w="337"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noWrap w:val="0"/>
                  <w:vAlign w:val="center"/>
                </w:tcPr>
                <w:p>
                  <w:pPr>
                    <w:jc w:val="center"/>
                    <w:rPr>
                      <w:rFonts w:hint="eastAsia" w:ascii="宋体" w:hAnsi="宋体" w:cs="宋体"/>
                      <w:b w:val="0"/>
                      <w:bCs w:val="0"/>
                      <w:sz w:val="21"/>
                      <w:szCs w:val="21"/>
                      <w:lang w:eastAsia="zh-CN"/>
                    </w:rPr>
                  </w:pPr>
                </w:p>
              </w:tc>
              <w:tc>
                <w:tcPr>
                  <w:tcW w:w="2223" w:type="pct"/>
                  <w:noWrap w:val="0"/>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加快重点行业落后产能退出。以钢铁、电力、水泥、煤炭、石油石化、平板玻璃、建材、有色金属等行业为重点，依据《新疆维吾尔自治区淘汰落后产能综合标准体系（2021年本）》规定，促使一批能耗、环保、安全、技术达不到标准和生产不合格产品或淘汰类产能等落后产能依法依规关停</w:t>
                  </w:r>
                  <w:r>
                    <w:rPr>
                      <w:rFonts w:hint="eastAsia" w:ascii="宋体" w:hAnsi="宋体" w:cs="宋体"/>
                      <w:b w:val="0"/>
                      <w:bCs w:val="0"/>
                      <w:sz w:val="21"/>
                      <w:szCs w:val="21"/>
                      <w:lang w:eastAsia="zh-CN"/>
                    </w:rPr>
                    <w:t>退出</w:t>
                  </w:r>
                  <w:r>
                    <w:rPr>
                      <w:rFonts w:hint="eastAsia" w:ascii="宋体" w:hAnsi="宋体" w:eastAsia="宋体" w:cs="宋体"/>
                      <w:b w:val="0"/>
                      <w:bCs w:val="0"/>
                      <w:sz w:val="21"/>
                      <w:szCs w:val="21"/>
                    </w:rPr>
                    <w:t>，产业结构得到持续优化升级。</w:t>
                  </w:r>
                </w:p>
              </w:tc>
              <w:tc>
                <w:tcPr>
                  <w:tcW w:w="1793"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本项目不属于</w:t>
                  </w:r>
                  <w:r>
                    <w:rPr>
                      <w:rFonts w:hint="eastAsia" w:ascii="宋体" w:hAnsi="宋体" w:eastAsia="宋体" w:cs="宋体"/>
                      <w:b w:val="0"/>
                      <w:bCs w:val="0"/>
                      <w:sz w:val="21"/>
                      <w:szCs w:val="21"/>
                    </w:rPr>
                    <w:t>落后产能</w:t>
                  </w:r>
                  <w:r>
                    <w:rPr>
                      <w:rFonts w:hint="eastAsia" w:ascii="宋体" w:hAnsi="宋体" w:cs="宋体"/>
                      <w:b w:val="0"/>
                      <w:bCs w:val="0"/>
                      <w:sz w:val="21"/>
                      <w:szCs w:val="21"/>
                      <w:lang w:eastAsia="zh-CN"/>
                    </w:rPr>
                    <w:t>。</w:t>
                  </w:r>
                </w:p>
              </w:tc>
              <w:tc>
                <w:tcPr>
                  <w:tcW w:w="337"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noWrap w:val="0"/>
                  <w:vAlign w:val="center"/>
                </w:tcPr>
                <w:p>
                  <w:pPr>
                    <w:jc w:val="center"/>
                    <w:rPr>
                      <w:rFonts w:hint="eastAsia" w:ascii="宋体" w:hAnsi="宋体" w:cs="宋体"/>
                      <w:b w:val="0"/>
                      <w:bCs w:val="0"/>
                      <w:sz w:val="21"/>
                      <w:szCs w:val="21"/>
                      <w:lang w:eastAsia="zh-CN"/>
                    </w:rPr>
                  </w:pPr>
                </w:p>
              </w:tc>
              <w:tc>
                <w:tcPr>
                  <w:tcW w:w="2223" w:type="pct"/>
                  <w:noWrap w:val="0"/>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3.持续排查整治“散乱污”企业。巩固“散乱污”企业整治成果，加强动态管理，保持高压态势。</w:t>
                  </w:r>
                </w:p>
              </w:tc>
              <w:tc>
                <w:tcPr>
                  <w:tcW w:w="1793" w:type="pct"/>
                  <w:noWrap w:val="0"/>
                  <w:vAlign w:val="center"/>
                </w:tcPr>
                <w:p>
                  <w:pPr>
                    <w:jc w:val="center"/>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本项目严格控制移动锅炉的运动轨迹，不允许出现在城市建成区，试用期间定期监测。不属于</w:t>
                  </w:r>
                  <w:r>
                    <w:rPr>
                      <w:rFonts w:hint="eastAsia" w:ascii="宋体" w:hAnsi="宋体" w:eastAsia="宋体" w:cs="宋体"/>
                      <w:b w:val="0"/>
                      <w:bCs w:val="0"/>
                      <w:sz w:val="21"/>
                      <w:szCs w:val="21"/>
                    </w:rPr>
                    <w:t>“散乱污”企业。</w:t>
                  </w:r>
                </w:p>
              </w:tc>
              <w:tc>
                <w:tcPr>
                  <w:tcW w:w="337"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noWrap w:val="0"/>
                  <w:vAlign w:val="center"/>
                </w:tcPr>
                <w:p>
                  <w:pPr>
                    <w:jc w:val="center"/>
                    <w:rPr>
                      <w:rFonts w:hint="eastAsia" w:ascii="宋体" w:hAnsi="宋体" w:cs="宋体"/>
                      <w:b w:val="0"/>
                      <w:bCs w:val="0"/>
                      <w:sz w:val="21"/>
                      <w:szCs w:val="21"/>
                      <w:lang w:eastAsia="zh-CN"/>
                    </w:rPr>
                  </w:pPr>
                </w:p>
              </w:tc>
              <w:tc>
                <w:tcPr>
                  <w:tcW w:w="2223" w:type="pct"/>
                  <w:noWrap w:val="0"/>
                  <w:vAlign w:val="center"/>
                </w:tcPr>
                <w:p>
                  <w:pPr>
                    <w:jc w:val="center"/>
                    <w:rPr>
                      <w:rFonts w:hint="eastAsia" w:ascii="宋体" w:hAnsi="宋体" w:eastAsia="宋体" w:cs="宋体"/>
                      <w:b w:val="0"/>
                      <w:bCs w:val="0"/>
                      <w:sz w:val="21"/>
                      <w:szCs w:val="21"/>
                    </w:rPr>
                  </w:pPr>
                  <w:r>
                    <w:rPr>
                      <w:rFonts w:ascii="Times New Roman" w:hAnsi="Times New Roman" w:eastAsia="Times New Roman" w:cs="Times New Roman"/>
                      <w:b w:val="0"/>
                      <w:bCs w:val="0"/>
                      <w:spacing w:val="5"/>
                    </w:rPr>
                    <w:t>4.</w:t>
                  </w:r>
                  <w:r>
                    <w:rPr>
                      <w:b w:val="0"/>
                      <w:bCs w:val="0"/>
                      <w:spacing w:val="5"/>
                    </w:rPr>
                    <w:t>加强能耗“双控”管理。</w:t>
                  </w:r>
                  <w:r>
                    <w:rPr>
                      <w:spacing w:val="5"/>
                    </w:rPr>
                    <w:t>合理控制煤电装机规模，有序淘</w:t>
                  </w:r>
                  <w:r>
                    <w:rPr>
                      <w:spacing w:val="6"/>
                    </w:rPr>
                    <w:t>汰煤电落后产能，全面实施公用和自备煤电（热电）机组节能降</w:t>
                  </w:r>
                  <w:r>
                    <w:rPr>
                      <w:spacing w:val="5"/>
                    </w:rPr>
                    <w:t>碳改造、灵活性改造、供热改造“三改联动”，加快煤电机组由</w:t>
                  </w:r>
                  <w:r>
                    <w:rPr>
                      <w:spacing w:val="1"/>
                    </w:rPr>
                    <w:t>主体电源向基础性和调节性电源转型。</w:t>
                  </w:r>
                </w:p>
              </w:tc>
              <w:tc>
                <w:tcPr>
                  <w:tcW w:w="1793"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本项目不属于</w:t>
                  </w:r>
                  <w:r>
                    <w:rPr>
                      <w:rFonts w:hint="eastAsia"/>
                      <w:spacing w:val="5"/>
                      <w:lang w:val="en-US" w:eastAsia="zh-CN"/>
                    </w:rPr>
                    <w:t>热电联产项目。</w:t>
                  </w:r>
                </w:p>
              </w:tc>
              <w:tc>
                <w:tcPr>
                  <w:tcW w:w="337"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noWrap w:val="0"/>
                  <w:vAlign w:val="center"/>
                </w:tcPr>
                <w:p>
                  <w:pPr>
                    <w:jc w:val="center"/>
                    <w:rPr>
                      <w:rFonts w:hint="eastAsia" w:ascii="宋体" w:hAnsi="宋体" w:cs="宋体"/>
                      <w:b w:val="0"/>
                      <w:bCs w:val="0"/>
                      <w:sz w:val="21"/>
                      <w:szCs w:val="21"/>
                      <w:lang w:eastAsia="zh-CN"/>
                    </w:rPr>
                  </w:pPr>
                </w:p>
              </w:tc>
              <w:tc>
                <w:tcPr>
                  <w:tcW w:w="2223" w:type="pct"/>
                  <w:noWrap w:val="0"/>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加大燃煤锅炉污染治理，确保脱硫脱硝除尘设施运行正常，实现大气污染物稳定达标排放。2023年，全面淘汰县级建成区35蒸吨/小时及以下燃煤锅炉。</w:t>
                  </w:r>
                </w:p>
              </w:tc>
              <w:tc>
                <w:tcPr>
                  <w:tcW w:w="1793"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cs="宋体"/>
                      <w:b w:val="0"/>
                      <w:bCs w:val="0"/>
                      <w:sz w:val="21"/>
                      <w:szCs w:val="21"/>
                      <w:lang w:val="en-US" w:eastAsia="zh-CN"/>
                    </w:rPr>
                    <w:t>本项目不属于</w:t>
                  </w:r>
                  <w:r>
                    <w:rPr>
                      <w:rFonts w:hint="eastAsia" w:ascii="宋体" w:hAnsi="宋体" w:eastAsia="宋体" w:cs="宋体"/>
                      <w:b w:val="0"/>
                      <w:bCs w:val="0"/>
                      <w:sz w:val="21"/>
                      <w:szCs w:val="21"/>
                    </w:rPr>
                    <w:t>燃煤锅炉</w:t>
                  </w:r>
                  <w:r>
                    <w:rPr>
                      <w:rFonts w:hint="eastAsia" w:ascii="宋体" w:hAnsi="宋体" w:cs="宋体"/>
                      <w:b w:val="0"/>
                      <w:bCs w:val="0"/>
                      <w:sz w:val="21"/>
                      <w:szCs w:val="21"/>
                      <w:lang w:eastAsia="zh-CN"/>
                    </w:rPr>
                    <w:t>。</w:t>
                  </w:r>
                </w:p>
              </w:tc>
              <w:tc>
                <w:tcPr>
                  <w:tcW w:w="337"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noWrap w:val="0"/>
                  <w:vAlign w:val="center"/>
                </w:tcPr>
                <w:p>
                  <w:pPr>
                    <w:jc w:val="center"/>
                    <w:rPr>
                      <w:rFonts w:hint="eastAsia" w:ascii="宋体" w:hAnsi="宋体" w:cs="宋体"/>
                      <w:b w:val="0"/>
                      <w:bCs w:val="0"/>
                      <w:sz w:val="21"/>
                      <w:szCs w:val="21"/>
                      <w:lang w:eastAsia="zh-CN"/>
                    </w:rPr>
                  </w:pPr>
                  <w:r>
                    <w:rPr>
                      <w:rFonts w:hint="eastAsia" w:ascii="宋体" w:hAnsi="宋体" w:cs="宋体"/>
                      <w:b w:val="0"/>
                      <w:bCs w:val="0"/>
                      <w:sz w:val="21"/>
                      <w:szCs w:val="21"/>
                      <w:lang w:eastAsia="zh-CN"/>
                    </w:rPr>
                    <w:t>《新疆维吾尔自治区2025年空气质量持续改善行动实施方案》（新政办发〔2024〕58号）</w:t>
                  </w:r>
                </w:p>
              </w:tc>
              <w:tc>
                <w:tcPr>
                  <w:tcW w:w="2223" w:type="pct"/>
                  <w:noWrap w:val="0"/>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一）坚决遏制高耗能、高排放、低水平项目盲目上马。新改扩建项目严格落实国家和自治区产业规划、产业政策、生态环境分区管控方案、规划环评、项目环评、节能审查、产能置换、重点污染物总量控制、污染物排放区域削减、碳排放达峰目标等相关要求，原则上采用清洁运输方式，达到能效标杆水平、环保绩效A级水平。</w:t>
                  </w:r>
                </w:p>
              </w:tc>
              <w:tc>
                <w:tcPr>
                  <w:tcW w:w="1793"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本项目不属于</w:t>
                  </w:r>
                  <w:r>
                    <w:rPr>
                      <w:rFonts w:hint="eastAsia" w:ascii="宋体" w:hAnsi="宋体" w:eastAsia="宋体" w:cs="宋体"/>
                      <w:b w:val="0"/>
                      <w:bCs w:val="0"/>
                      <w:sz w:val="21"/>
                      <w:szCs w:val="21"/>
                    </w:rPr>
                    <w:t>高耗能、高排放、低水平项目</w:t>
                  </w:r>
                  <w:r>
                    <w:rPr>
                      <w:rFonts w:hint="eastAsia" w:ascii="宋体" w:hAnsi="宋体" w:cs="宋体"/>
                      <w:b w:val="0"/>
                      <w:bCs w:val="0"/>
                      <w:sz w:val="21"/>
                      <w:szCs w:val="21"/>
                      <w:lang w:eastAsia="zh-CN"/>
                    </w:rPr>
                    <w:t>。</w:t>
                  </w:r>
                </w:p>
              </w:tc>
              <w:tc>
                <w:tcPr>
                  <w:tcW w:w="337"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noWrap w:val="0"/>
                  <w:vAlign w:val="center"/>
                </w:tcPr>
                <w:p>
                  <w:pPr>
                    <w:jc w:val="center"/>
                    <w:rPr>
                      <w:rFonts w:hint="eastAsia" w:ascii="宋体" w:hAnsi="宋体" w:cs="宋体"/>
                      <w:b w:val="0"/>
                      <w:bCs w:val="0"/>
                      <w:sz w:val="21"/>
                      <w:szCs w:val="21"/>
                      <w:lang w:eastAsia="zh-CN"/>
                    </w:rPr>
                  </w:pPr>
                </w:p>
              </w:tc>
              <w:tc>
                <w:tcPr>
                  <w:tcW w:w="2223" w:type="pct"/>
                  <w:noWrap w:val="0"/>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（二）退出重点行业落后产能。严格执行《产业结构调整指导目录》，依法依规淘汰落后产能。联防联控区进一步提高落后产能能耗、环保、质量、安全、技术等要求，逐步退出限制类涉气行业工艺和装备。</w:t>
                  </w:r>
                </w:p>
              </w:tc>
              <w:tc>
                <w:tcPr>
                  <w:tcW w:w="1793"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本项目新建生物质锅炉（2.5t/h），不属于《产业结构调整指导目录（2024年本）》中的限制类“每小时35蒸吨及以下固定炉排式生物质锅炉”、不属于淘汰类“每小时2蒸吨及以下生物质锅炉”，本项目属于允许类，因此本项目建设符合国家产业政策。</w:t>
                  </w:r>
                </w:p>
              </w:tc>
              <w:tc>
                <w:tcPr>
                  <w:tcW w:w="337"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noWrap w:val="0"/>
                  <w:vAlign w:val="center"/>
                </w:tcPr>
                <w:p>
                  <w:pPr>
                    <w:jc w:val="center"/>
                    <w:rPr>
                      <w:rFonts w:hint="eastAsia" w:ascii="宋体" w:hAnsi="宋体" w:cs="宋体"/>
                      <w:b w:val="0"/>
                      <w:bCs w:val="0"/>
                      <w:sz w:val="21"/>
                      <w:szCs w:val="21"/>
                      <w:lang w:eastAsia="zh-CN"/>
                    </w:rPr>
                  </w:pPr>
                </w:p>
              </w:tc>
              <w:tc>
                <w:tcPr>
                  <w:tcW w:w="2223" w:type="pct"/>
                  <w:noWrap w:val="0"/>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三）推进传统产业集群升级改造。推动传统产业集群升级发展，开展产业集群专项治理，依法淘汰关停一批、搬迁入园一批、就地改造一批、做优做强一批，因地制宜建设集中供热中心、集中喷涂中心、活性炭集中再生中心和有机溶剂集中回收处置中心。</w:t>
                  </w:r>
                </w:p>
              </w:tc>
              <w:tc>
                <w:tcPr>
                  <w:tcW w:w="1793" w:type="pct"/>
                  <w:noWrap w:val="0"/>
                  <w:vAlign w:val="center"/>
                </w:tcPr>
                <w:p>
                  <w:pPr>
                    <w:jc w:val="center"/>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本项目不使用有机溶剂。</w:t>
                  </w:r>
                </w:p>
              </w:tc>
              <w:tc>
                <w:tcPr>
                  <w:tcW w:w="337"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noWrap w:val="0"/>
                  <w:vAlign w:val="center"/>
                </w:tcPr>
                <w:p>
                  <w:pPr>
                    <w:jc w:val="center"/>
                    <w:rPr>
                      <w:rFonts w:hint="eastAsia" w:ascii="宋体" w:hAnsi="宋体" w:cs="宋体"/>
                      <w:b w:val="0"/>
                      <w:bCs w:val="0"/>
                      <w:sz w:val="21"/>
                      <w:szCs w:val="21"/>
                      <w:lang w:eastAsia="zh-CN"/>
                    </w:rPr>
                  </w:pPr>
                </w:p>
              </w:tc>
              <w:tc>
                <w:tcPr>
                  <w:tcW w:w="2223" w:type="pct"/>
                  <w:noWrap w:val="0"/>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（四）大力发展新能源和清洁能源。推进风电光伏等清洁能源基地建设，构建新型电力系统。</w:t>
                  </w:r>
                </w:p>
              </w:tc>
              <w:tc>
                <w:tcPr>
                  <w:tcW w:w="1793"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本项目不属于</w:t>
                  </w:r>
                  <w:r>
                    <w:rPr>
                      <w:rFonts w:hint="eastAsia" w:ascii="宋体" w:hAnsi="宋体" w:eastAsia="宋体" w:cs="宋体"/>
                      <w:b w:val="0"/>
                      <w:bCs w:val="0"/>
                      <w:sz w:val="21"/>
                      <w:szCs w:val="21"/>
                    </w:rPr>
                    <w:t>风电光伏等清洁能源基地建设</w:t>
                  </w:r>
                  <w:r>
                    <w:rPr>
                      <w:rFonts w:hint="eastAsia" w:ascii="宋体" w:hAnsi="宋体" w:cs="宋体"/>
                      <w:b w:val="0"/>
                      <w:bCs w:val="0"/>
                      <w:sz w:val="21"/>
                      <w:szCs w:val="21"/>
                      <w:lang w:eastAsia="zh-CN"/>
                    </w:rPr>
                    <w:t>。</w:t>
                  </w:r>
                </w:p>
              </w:tc>
              <w:tc>
                <w:tcPr>
                  <w:tcW w:w="337"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noWrap w:val="0"/>
                  <w:vAlign w:val="center"/>
                </w:tcPr>
                <w:p>
                  <w:pPr>
                    <w:jc w:val="center"/>
                    <w:rPr>
                      <w:rFonts w:hint="eastAsia" w:ascii="宋体" w:hAnsi="宋体" w:cs="宋体"/>
                      <w:b w:val="0"/>
                      <w:bCs w:val="0"/>
                      <w:sz w:val="21"/>
                      <w:szCs w:val="21"/>
                      <w:lang w:eastAsia="zh-CN"/>
                    </w:rPr>
                  </w:pPr>
                </w:p>
              </w:tc>
              <w:tc>
                <w:tcPr>
                  <w:tcW w:w="2223" w:type="pct"/>
                  <w:noWrap w:val="0"/>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五）严格合理控制煤炭消费总量。在保障能源安全供应前提下，联防联控区合理控制新改扩建用煤项目；不得将使用石油焦、焦炭、兰炭等高污染燃料作为煤炭减量替代措施。完善联防联控区煤炭消费减量替代管理，煤矸石、原料用煤不纳入煤炭消费总量。高质量建设国家大型煤电煤化工基地，原则上不再新增自备燃煤机组，推进现有自备燃煤机组清洁能源替代。</w:t>
                  </w:r>
                </w:p>
              </w:tc>
              <w:tc>
                <w:tcPr>
                  <w:tcW w:w="1793" w:type="pct"/>
                  <w:noWrap w:val="0"/>
                  <w:vAlign w:val="center"/>
                </w:tcPr>
                <w:p>
                  <w:pPr>
                    <w:jc w:val="center"/>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本项目不使用燃煤。</w:t>
                  </w:r>
                </w:p>
              </w:tc>
              <w:tc>
                <w:tcPr>
                  <w:tcW w:w="337"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noWrap w:val="0"/>
                  <w:vAlign w:val="center"/>
                </w:tcPr>
                <w:p>
                  <w:pPr>
                    <w:jc w:val="center"/>
                    <w:rPr>
                      <w:rFonts w:hint="eastAsia" w:ascii="宋体" w:hAnsi="宋体" w:cs="宋体"/>
                      <w:b w:val="0"/>
                      <w:bCs w:val="0"/>
                      <w:sz w:val="21"/>
                      <w:szCs w:val="21"/>
                      <w:lang w:eastAsia="zh-CN"/>
                    </w:rPr>
                  </w:pPr>
                </w:p>
              </w:tc>
              <w:tc>
                <w:tcPr>
                  <w:tcW w:w="2223" w:type="pct"/>
                  <w:noWrap w:val="0"/>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六）持续开展燃煤锅炉综合整治。县级及以上城市建成区原则上不再新建35蒸吨/小时及以下燃煤锅炉。到2025年，基本淘汰10蒸吨/小时及以下的燃煤锅炉，联防联控区基本淘汰65蒸吨/小时以下的燃煤锅炉；基本完成65蒸吨/小时及以上燃煤锅炉超低排放改造，联防联控区2024年完成。</w:t>
                  </w:r>
                </w:p>
              </w:tc>
              <w:tc>
                <w:tcPr>
                  <w:tcW w:w="1793" w:type="pct"/>
                  <w:noWrap w:val="0"/>
                  <w:vAlign w:val="center"/>
                </w:tcPr>
                <w:p>
                  <w:pPr>
                    <w:jc w:val="center"/>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本项目不使用燃煤。</w:t>
                  </w:r>
                </w:p>
              </w:tc>
              <w:tc>
                <w:tcPr>
                  <w:tcW w:w="337"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noWrap w:val="0"/>
                  <w:vAlign w:val="center"/>
                </w:tcPr>
                <w:p>
                  <w:pPr>
                    <w:jc w:val="center"/>
                    <w:rPr>
                      <w:rFonts w:hint="eastAsia" w:ascii="宋体" w:hAnsi="宋体" w:cs="宋体"/>
                      <w:b w:val="0"/>
                      <w:bCs w:val="0"/>
                      <w:sz w:val="21"/>
                      <w:szCs w:val="21"/>
                      <w:lang w:eastAsia="zh-CN"/>
                    </w:rPr>
                  </w:pPr>
                </w:p>
              </w:tc>
              <w:tc>
                <w:tcPr>
                  <w:tcW w:w="2223" w:type="pct"/>
                  <w:noWrap w:val="0"/>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七）持续推进工业炉窑清洁能源替代。有序推进以电代煤，稳妥推进以气代煤。联防联控区原则上不再新增燃料类煤气发生炉，新改扩建加热炉、热处理炉、干燥炉、熔化炉原则上采用清洁低碳能源；安全稳妥推进使用高污染燃料的工业炉窑改用工业余热、电能、天然气等；燃料类煤气发生炉实行清洁能源替代，或因地制宜采取园区（集群）集中供气、分散使用方式；逐步淘汰固定床间歇式煤气发生炉。</w:t>
                  </w:r>
                </w:p>
              </w:tc>
              <w:tc>
                <w:tcPr>
                  <w:tcW w:w="1793" w:type="pct"/>
                  <w:noWrap w:val="0"/>
                  <w:vAlign w:val="center"/>
                </w:tcPr>
                <w:p>
                  <w:pPr>
                    <w:jc w:val="center"/>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本项目不使用工业炉窑。</w:t>
                  </w:r>
                </w:p>
              </w:tc>
              <w:tc>
                <w:tcPr>
                  <w:tcW w:w="337"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noWrap w:val="0"/>
                  <w:vAlign w:val="center"/>
                </w:tcPr>
                <w:p>
                  <w:pPr>
                    <w:jc w:val="center"/>
                    <w:rPr>
                      <w:rFonts w:hint="eastAsia" w:ascii="宋体" w:hAnsi="宋体" w:cs="宋体"/>
                      <w:b w:val="0"/>
                      <w:bCs w:val="0"/>
                      <w:sz w:val="21"/>
                      <w:szCs w:val="21"/>
                      <w:lang w:eastAsia="zh-CN"/>
                    </w:rPr>
                  </w:pPr>
                </w:p>
              </w:tc>
              <w:tc>
                <w:tcPr>
                  <w:tcW w:w="2223" w:type="pct"/>
                  <w:noWrap w:val="0"/>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（八）持续推进散煤治理。加强天然气、电力等清洁能源保供，因地制宜成片推进清洁取暖改造，加强改造后运行管理。</w:t>
                  </w:r>
                </w:p>
              </w:tc>
              <w:tc>
                <w:tcPr>
                  <w:tcW w:w="1793" w:type="pct"/>
                  <w:noWrap w:val="0"/>
                  <w:vAlign w:val="center"/>
                </w:tcPr>
                <w:p>
                  <w:pPr>
                    <w:jc w:val="center"/>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移动锅炉主要在油区使用，无天然气、电力供给，油价起伏较高，所以使用生物质成型燃料，使用袋式除尘器后，污染物排放量较少。</w:t>
                  </w:r>
                </w:p>
              </w:tc>
              <w:tc>
                <w:tcPr>
                  <w:tcW w:w="337" w:type="pct"/>
                  <w:noWrap w:val="0"/>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符合</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b/>
                <w:bCs/>
                <w:kern w:val="0"/>
                <w:sz w:val="24"/>
                <w:szCs w:val="24"/>
                <w:lang w:val="en-US" w:eastAsia="zh-CN" w:bidi="ar-SA"/>
              </w:rPr>
            </w:pPr>
          </w:p>
        </w:tc>
      </w:tr>
    </w:tbl>
    <w:p>
      <w:pPr>
        <w:spacing w:line="360" w:lineRule="auto"/>
        <w:outlineLvl w:val="0"/>
        <w:rPr>
          <w:rFonts w:hint="default" w:ascii="Times New Roman" w:hAnsi="Times New Roman" w:eastAsia="黑体" w:cs="Times New Roman"/>
          <w:sz w:val="30"/>
        </w:rPr>
        <w:sectPr>
          <w:footerReference r:id="rId5" w:type="default"/>
          <w:pgSz w:w="11906" w:h="16838"/>
          <w:pgMar w:top="1701" w:right="1531" w:bottom="1701" w:left="1531" w:header="851" w:footer="1077" w:gutter="0"/>
          <w:pgNumType w:fmt="numberInDash" w:start="1"/>
          <w:cols w:space="720" w:num="1"/>
          <w:docGrid w:linePitch="312" w:charSpace="0"/>
        </w:sectPr>
      </w:pPr>
    </w:p>
    <w:p>
      <w:pPr>
        <w:pStyle w:val="18"/>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二、建设项目工程分析</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84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7" w:hRule="atLeast"/>
          <w:jc w:val="center"/>
        </w:trPr>
        <w:tc>
          <w:tcPr>
            <w:tcW w:w="492" w:type="dxa"/>
            <w:noWrap w:val="0"/>
            <w:vAlign w:val="center"/>
          </w:tcPr>
          <w:p>
            <w:pPr>
              <w:pStyle w:val="18"/>
              <w:adjustRightInd w:val="0"/>
              <w:snapToGrid w:val="0"/>
              <w:spacing w:before="0" w:beforeAutospacing="0" w:after="0" w:afterAutospacing="0"/>
              <w:jc w:val="center"/>
              <w:rPr>
                <w:rFonts w:hint="default" w:ascii="Times New Roman" w:hAnsi="Times New Roman" w:cs="Times New Roman"/>
                <w:sz w:val="24"/>
                <w:szCs w:val="24"/>
              </w:rPr>
            </w:pPr>
            <w:r>
              <w:rPr>
                <w:rFonts w:hint="default" w:ascii="Times New Roman" w:hAnsi="Times New Roman" w:cs="Times New Roman"/>
                <w:sz w:val="24"/>
                <w:szCs w:val="24"/>
              </w:rPr>
              <w:t>建设内容</w:t>
            </w:r>
          </w:p>
        </w:tc>
        <w:tc>
          <w:tcPr>
            <w:tcW w:w="8492" w:type="dxa"/>
            <w:noWrap w:val="0"/>
            <w:vAlign w:val="top"/>
          </w:tcPr>
          <w:p>
            <w:pPr>
              <w:pStyle w:val="5"/>
              <w:pageBreakBefore w:val="0"/>
              <w:widowControl w:val="0"/>
              <w:numPr>
                <w:ilvl w:val="0"/>
                <w:numId w:val="0"/>
              </w:numPr>
              <w:kinsoku/>
              <w:wordWrap/>
              <w:overflowPunct/>
              <w:topLinePunct w:val="0"/>
              <w:autoSpaceDE/>
              <w:autoSpaceDN/>
              <w:bidi w:val="0"/>
              <w:spacing w:beforeLines="0" w:afterLines="0" w:line="520" w:lineRule="exact"/>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一、项目背景</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ascii="Arial" w:hAnsi="Arial" w:eastAsia="Arial" w:cs="Arial"/>
                <w:i w:val="0"/>
                <w:iCs w:val="0"/>
                <w:caps w:val="0"/>
                <w:color w:val="333333"/>
                <w:spacing w:val="0"/>
                <w:sz w:val="24"/>
                <w:szCs w:val="24"/>
                <w:shd w:val="clear" w:fill="FFFFFF"/>
              </w:rPr>
            </w:pPr>
            <w:r>
              <w:rPr>
                <w:rFonts w:ascii="Arial" w:hAnsi="Arial" w:eastAsia="Arial" w:cs="Arial"/>
                <w:i w:val="0"/>
                <w:iCs w:val="0"/>
                <w:caps w:val="0"/>
                <w:color w:val="333333"/>
                <w:spacing w:val="0"/>
                <w:sz w:val="24"/>
                <w:szCs w:val="24"/>
                <w:shd w:val="clear" w:fill="FFFFFF"/>
              </w:rPr>
              <w:t>油田使用蒸汽加热主要用于降低油品粘度、促进流动性和开采效率，同时保障生产安全和设备正常运行。低温环境下，油品（如原油、稠油）粘度增大，流动性差，导致装卸、运输及开采困难。蒸汽加热可降低粘度，提升流动性，例如稠油注蒸汽开采通过高温蒸汽使原油</w:t>
            </w:r>
            <w:r>
              <w:rPr>
                <w:rFonts w:hint="eastAsia" w:ascii="Arial" w:hAnsi="Arial" w:eastAsia="宋体" w:cs="Arial"/>
                <w:i w:val="0"/>
                <w:iCs w:val="0"/>
                <w:caps w:val="0"/>
                <w:color w:val="333333"/>
                <w:spacing w:val="0"/>
                <w:sz w:val="24"/>
                <w:szCs w:val="24"/>
                <w:shd w:val="clear" w:fill="FFFFFF"/>
                <w:lang w:eastAsia="zh-CN"/>
              </w:rPr>
              <w:t>黏度</w:t>
            </w:r>
            <w:r>
              <w:rPr>
                <w:rFonts w:ascii="Arial" w:hAnsi="Arial" w:eastAsia="Arial" w:cs="Arial"/>
                <w:i w:val="0"/>
                <w:iCs w:val="0"/>
                <w:caps w:val="0"/>
                <w:color w:val="333333"/>
                <w:spacing w:val="0"/>
                <w:sz w:val="24"/>
                <w:szCs w:val="24"/>
                <w:shd w:val="clear" w:fill="FFFFFF"/>
              </w:rPr>
              <w:t>降低90%以上，便于从油井中流出。冬季低温可能导致设备凝固或管道堵塞，蒸汽加热用于防冻保护，例如储油罐采用蒸汽盘管系统维持原油流动性，防止凝固；长输管道通过蒸汽伴热系统保持原油温度（50-70℃），减少输送中断风险。在稠油热采中，高温蒸汽（300℃以上）能软化沥青和石蜡沉淀物，消除井底堵塞，单井日产量可提升5-8倍；同时蒸汽辅助重力泄油技术使超稠油开采成为可能，采收率从25%提升至60%。相比电加热，蒸汽加热系统节能40%。‌</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eastAsia" w:ascii="宋体" w:hAnsi="宋体" w:eastAsia="宋体" w:cs="宋体"/>
                <w:b w:val="0"/>
                <w:bCs w:val="0"/>
                <w:i w:val="0"/>
                <w:iCs w:val="0"/>
                <w:sz w:val="24"/>
                <w:szCs w:val="24"/>
                <w:lang w:val="en-US" w:eastAsia="zh-CN"/>
              </w:rPr>
            </w:pPr>
            <w:r>
              <w:rPr>
                <w:rFonts w:hint="eastAsia" w:ascii="宋体" w:hAnsi="宋体" w:eastAsia="宋体" w:cs="宋体"/>
                <w:b w:val="0"/>
                <w:bCs w:val="0"/>
                <w:i w:val="0"/>
                <w:iCs w:val="0"/>
                <w:sz w:val="24"/>
                <w:szCs w:val="24"/>
                <w:lang w:val="en-US" w:eastAsia="zh-CN"/>
              </w:rPr>
              <w:t>移动锅炉可快速部署至油田新开发区或边远井位，缩短试采注汽周期，提高勘探效率。</w:t>
            </w:r>
            <w:r>
              <w:rPr>
                <w:rFonts w:ascii="Arial" w:hAnsi="Arial" w:eastAsia="Arial" w:cs="Arial"/>
                <w:i w:val="0"/>
                <w:iCs w:val="0"/>
                <w:caps w:val="0"/>
                <w:color w:val="333333"/>
                <w:spacing w:val="0"/>
                <w:sz w:val="24"/>
                <w:szCs w:val="24"/>
                <w:shd w:val="clear" w:fill="FFFFFF"/>
              </w:rPr>
              <w:t>移动锅炉无需固定锅炉房建设，仅需简单装配供水、供汽管道即可投入使用，显著减少前期投入。油田勘探常面临道路、电力等基础设施不足的情况，移动锅炉可依托汽车运输至偏远区域，突破场地限制。对于边缘井或单罐井等特殊井位，移动锅炉能快速调整部署方案，优化资源配置，增强采收率。</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按照《中华人民共和国环境保护法</w:t>
            </w:r>
            <w:r>
              <w:rPr>
                <w:rFonts w:hint="eastAsia" w:ascii="宋体" w:hAnsi="宋体" w:cs="宋体"/>
                <w:color w:val="auto"/>
                <w:kern w:val="0"/>
                <w:sz w:val="24"/>
                <w:szCs w:val="24"/>
                <w:lang w:val="en-US" w:eastAsia="zh-CN"/>
              </w:rPr>
              <w:t>》《</w:t>
            </w:r>
            <w:r>
              <w:rPr>
                <w:rFonts w:hint="eastAsia" w:ascii="宋体" w:hAnsi="宋体" w:eastAsia="宋体" w:cs="宋体"/>
                <w:color w:val="auto"/>
                <w:kern w:val="0"/>
                <w:sz w:val="24"/>
                <w:szCs w:val="24"/>
                <w:lang w:val="en-US" w:eastAsia="zh-CN"/>
              </w:rPr>
              <w:t>建设项目环境保护管理条例》和《建设项目环境影响评价分类管理名录（2021）》等有关法律法规规定，项目属《名录》所列“四十一、电力、热力生产和供应业－热力生产和供应工程（包括建设单位自建自用的供热工程）－使用其他高污染燃料的”，本项目应编制环境影响报告表。受建设单位委托，新疆领畅环保科技有限公司承担了本项目的环境影响评价工作。接受委托后，环评单位在现场踏勘和资料收集的基础上。编制完成了《</w:t>
            </w:r>
            <w:r>
              <w:rPr>
                <w:rFonts w:hint="default" w:ascii="Times New Roman" w:hAnsi="Times New Roman" w:cs="Times New Roman"/>
                <w:sz w:val="24"/>
                <w:szCs w:val="24"/>
              </w:rPr>
              <w:t>库尔勒兴盛和祥热力供应有限公司移动式生物质锅炉项目</w:t>
            </w:r>
            <w:r>
              <w:rPr>
                <w:rFonts w:hint="eastAsia" w:ascii="宋体" w:hAnsi="宋体" w:eastAsia="宋体" w:cs="宋体"/>
                <w:color w:val="auto"/>
                <w:kern w:val="0"/>
                <w:sz w:val="24"/>
                <w:szCs w:val="24"/>
                <w:lang w:val="en-US" w:eastAsia="zh-CN"/>
              </w:rPr>
              <w:t>环境影响报告表》，审批后作为生态环境部门和该企业进行环境管理的依据。</w:t>
            </w:r>
          </w:p>
          <w:p>
            <w:pPr>
              <w:pageBreakBefore w:val="0"/>
              <w:widowControl w:val="0"/>
              <w:numPr>
                <w:ilvl w:val="0"/>
                <w:numId w:val="0"/>
              </w:numPr>
              <w:kinsoku/>
              <w:wordWrap/>
              <w:overflowPunct/>
              <w:topLinePunct w:val="0"/>
              <w:autoSpaceDE/>
              <w:autoSpaceDN/>
              <w:bidi w:val="0"/>
              <w:spacing w:line="520" w:lineRule="exact"/>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kern w:val="2"/>
                <w:sz w:val="24"/>
                <w:szCs w:val="24"/>
                <w:lang w:val="en-US" w:eastAsia="zh-CN" w:bidi="ar-SA"/>
              </w:rPr>
              <w:t>二、</w:t>
            </w:r>
            <w:r>
              <w:rPr>
                <w:rFonts w:hint="eastAsia" w:ascii="宋体" w:hAnsi="宋体" w:eastAsia="宋体" w:cs="宋体"/>
                <w:b/>
                <w:bCs/>
                <w:sz w:val="24"/>
                <w:szCs w:val="24"/>
                <w:lang w:val="en-US" w:eastAsia="zh-CN"/>
              </w:rPr>
              <w:t>建设内容</w:t>
            </w:r>
          </w:p>
          <w:p>
            <w:pPr>
              <w:pageBreakBefore w:val="0"/>
              <w:widowControl w:val="0"/>
              <w:numPr>
                <w:ilvl w:val="0"/>
                <w:numId w:val="0"/>
              </w:numPr>
              <w:kinsoku/>
              <w:wordWrap/>
              <w:overflowPunct/>
              <w:topLinePunct w:val="0"/>
              <w:autoSpaceDE/>
              <w:autoSpaceDN/>
              <w:bidi w:val="0"/>
              <w:spacing w:line="52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本项目新购置</w:t>
            </w: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台移动式燃生物质锅炉，为石油管线进行加热。</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表2-1     项目组成一览表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1635"/>
              <w:gridCol w:w="5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465" w:type="pct"/>
                  <w:gridSpan w:val="2"/>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工程内容</w:t>
                  </w:r>
                </w:p>
              </w:tc>
              <w:tc>
                <w:tcPr>
                  <w:tcW w:w="3534" w:type="pct"/>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项目组成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76" w:type="pct"/>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主体工程</w:t>
                  </w:r>
                </w:p>
              </w:tc>
              <w:tc>
                <w:tcPr>
                  <w:tcW w:w="988" w:type="pct"/>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移动锅炉</w:t>
                  </w:r>
                </w:p>
              </w:tc>
              <w:tc>
                <w:tcPr>
                  <w:tcW w:w="3534" w:type="pct"/>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新购置</w:t>
                  </w:r>
                  <w:r>
                    <w:rPr>
                      <w:rFonts w:hint="eastAsia" w:cs="Times New Roman"/>
                      <w:b w:val="0"/>
                      <w:bCs w:val="0"/>
                      <w:sz w:val="21"/>
                      <w:szCs w:val="21"/>
                      <w:vertAlign w:val="baseline"/>
                      <w:lang w:val="en-US" w:eastAsia="zh-CN"/>
                    </w:rPr>
                    <w:t>1</w:t>
                  </w:r>
                  <w:r>
                    <w:rPr>
                      <w:rFonts w:hint="default" w:ascii="Times New Roman" w:hAnsi="Times New Roman" w:cs="Times New Roman"/>
                      <w:b w:val="0"/>
                      <w:bCs w:val="0"/>
                      <w:sz w:val="21"/>
                      <w:szCs w:val="21"/>
                      <w:vertAlign w:val="baseline"/>
                      <w:lang w:val="en-US" w:eastAsia="zh-CN"/>
                    </w:rPr>
                    <w:t>台</w:t>
                  </w:r>
                  <w:r>
                    <w:rPr>
                      <w:rFonts w:hint="eastAsia" w:ascii="Times New Roman" w:hAnsi="Times New Roman" w:cs="Times New Roman"/>
                      <w:b w:val="0"/>
                      <w:bCs w:val="0"/>
                      <w:sz w:val="21"/>
                      <w:szCs w:val="21"/>
                      <w:vertAlign w:val="baseline"/>
                      <w:lang w:val="en-US" w:eastAsia="zh-CN"/>
                    </w:rPr>
                    <w:t>2.5</w:t>
                  </w:r>
                  <w:r>
                    <w:rPr>
                      <w:rFonts w:hint="default" w:ascii="Times New Roman" w:hAnsi="Times New Roman" w:cs="Times New Roman"/>
                      <w:b w:val="0"/>
                      <w:bCs w:val="0"/>
                      <w:sz w:val="21"/>
                      <w:szCs w:val="21"/>
                      <w:vertAlign w:val="baseline"/>
                      <w:lang w:val="en-US" w:eastAsia="zh-CN"/>
                    </w:rPr>
                    <w:t>t/h的移动式生物质锅炉，锅炉燃料为</w:t>
                  </w:r>
                  <w:r>
                    <w:rPr>
                      <w:rFonts w:hint="eastAsia" w:ascii="Times New Roman" w:hAnsi="Times New Roman" w:cs="Times New Roman"/>
                      <w:b w:val="0"/>
                      <w:bCs w:val="0"/>
                      <w:sz w:val="21"/>
                      <w:szCs w:val="21"/>
                      <w:vertAlign w:val="baseline"/>
                      <w:lang w:val="en-US" w:eastAsia="zh-CN"/>
                    </w:rPr>
                    <w:t>生物质。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76" w:type="pct"/>
                  <w:vMerge w:val="restart"/>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公用工程</w:t>
                  </w:r>
                </w:p>
              </w:tc>
              <w:tc>
                <w:tcPr>
                  <w:tcW w:w="988" w:type="pct"/>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供水</w:t>
                  </w:r>
                </w:p>
              </w:tc>
              <w:tc>
                <w:tcPr>
                  <w:tcW w:w="3534" w:type="pct"/>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车辆拉运</w:t>
                  </w:r>
                  <w:r>
                    <w:rPr>
                      <w:rFonts w:hint="eastAsia" w:ascii="Times New Roman" w:hAnsi="Times New Roman"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76" w:type="pct"/>
                  <w:vMerge w:val="continue"/>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988" w:type="pct"/>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排水</w:t>
                  </w:r>
                </w:p>
              </w:tc>
              <w:tc>
                <w:tcPr>
                  <w:tcW w:w="3534" w:type="pct"/>
                  <w:noWrap w:val="0"/>
                  <w:vAlign w:val="center"/>
                </w:tcPr>
                <w:p>
                  <w:pPr>
                    <w:pageBreakBefore w:val="0"/>
                    <w:numPr>
                      <w:ilvl w:val="0"/>
                      <w:numId w:val="0"/>
                    </w:numPr>
                    <w:kinsoku/>
                    <w:overflowPunct/>
                    <w:topLinePunct w:val="0"/>
                    <w:bidi w:val="0"/>
                    <w:spacing w:line="240" w:lineRule="auto"/>
                    <w:jc w:val="center"/>
                    <w:textAlignment w:val="auto"/>
                    <w:rPr>
                      <w:rFonts w:hint="default"/>
                      <w:lang w:val="en-US" w:eastAsia="zh-CN"/>
                    </w:rPr>
                  </w:pPr>
                  <w:r>
                    <w:rPr>
                      <w:rFonts w:hint="eastAsia"/>
                      <w:lang w:val="en-US" w:eastAsia="zh-CN"/>
                    </w:rPr>
                    <w:t>锅炉排污水用于油区周边洒水降尘。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76" w:type="pct"/>
                  <w:vMerge w:val="restart"/>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环保工程</w:t>
                  </w:r>
                </w:p>
              </w:tc>
              <w:tc>
                <w:tcPr>
                  <w:tcW w:w="988" w:type="pct"/>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废气治理</w:t>
                  </w:r>
                </w:p>
              </w:tc>
              <w:tc>
                <w:tcPr>
                  <w:tcW w:w="3534" w:type="pct"/>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宋体" w:hAnsi="宋体" w:eastAsia="宋体" w:cs="宋体"/>
                      <w:color w:val="auto"/>
                      <w:kern w:val="0"/>
                      <w:sz w:val="21"/>
                      <w:szCs w:val="21"/>
                      <w:lang w:val="en-US" w:eastAsia="zh-CN"/>
                    </w:rPr>
                    <w:t>生物质锅炉使用成型生物质燃料，烟气经过</w:t>
                  </w:r>
                  <w:r>
                    <w:rPr>
                      <w:rFonts w:hint="eastAsia" w:ascii="宋体" w:hAnsi="宋体" w:cs="宋体"/>
                      <w:color w:val="auto"/>
                      <w:kern w:val="0"/>
                      <w:sz w:val="21"/>
                      <w:szCs w:val="21"/>
                      <w:lang w:val="en-US" w:eastAsia="zh-CN"/>
                    </w:rPr>
                    <w:t>袋式除尘器处理后通过</w:t>
                  </w:r>
                  <w:r>
                    <w:rPr>
                      <w:rFonts w:hint="eastAsia" w:cs="Times New Roman"/>
                      <w:b w:val="0"/>
                      <w:bCs w:val="0"/>
                      <w:sz w:val="21"/>
                      <w:szCs w:val="21"/>
                      <w:vertAlign w:val="baseline"/>
                      <w:lang w:val="en-US" w:eastAsia="zh-CN"/>
                    </w:rPr>
                    <w:t>一根</w:t>
                  </w:r>
                  <w:r>
                    <w:rPr>
                      <w:rFonts w:hint="eastAsia" w:ascii="Times New Roman" w:hAnsi="Times New Roman" w:cs="Times New Roman"/>
                      <w:b w:val="0"/>
                      <w:bCs w:val="0"/>
                      <w:sz w:val="21"/>
                      <w:szCs w:val="21"/>
                      <w:vertAlign w:val="baseline"/>
                      <w:lang w:val="en-US" w:eastAsia="zh-CN"/>
                    </w:rPr>
                    <w:t>30</w:t>
                  </w:r>
                  <w:r>
                    <w:rPr>
                      <w:rFonts w:hint="default" w:ascii="Times New Roman" w:hAnsi="Times New Roman" w:cs="Times New Roman"/>
                      <w:b w:val="0"/>
                      <w:bCs w:val="0"/>
                      <w:sz w:val="21"/>
                      <w:szCs w:val="21"/>
                      <w:vertAlign w:val="baseline"/>
                      <w:lang w:val="en-US" w:eastAsia="zh-CN"/>
                    </w:rPr>
                    <w:t>米排气筒</w:t>
                  </w:r>
                  <w:r>
                    <w:rPr>
                      <w:rFonts w:hint="eastAsia" w:ascii="Times New Roman" w:hAnsi="Times New Roman" w:cs="Times New Roman"/>
                      <w:b w:val="0"/>
                      <w:bCs w:val="0"/>
                      <w:sz w:val="21"/>
                      <w:szCs w:val="21"/>
                      <w:vertAlign w:val="baseline"/>
                      <w:lang w:val="en-US" w:eastAsia="zh-CN"/>
                    </w:rPr>
                    <w:t>（</w:t>
                  </w:r>
                  <w:r>
                    <w:rPr>
                      <w:rFonts w:hint="default" w:ascii="Times New Roman" w:hAnsi="Times New Roman" w:cs="Times New Roman"/>
                      <w:b w:val="0"/>
                      <w:bCs w:val="0"/>
                      <w:sz w:val="21"/>
                      <w:szCs w:val="21"/>
                      <w:vertAlign w:val="baseline"/>
                      <w:lang w:val="en-US" w:eastAsia="zh-CN"/>
                    </w:rPr>
                    <w:t>可拆卸式排</w:t>
                  </w:r>
                  <w:r>
                    <w:rPr>
                      <w:rFonts w:hint="eastAsia" w:ascii="Times New Roman" w:hAnsi="Times New Roman" w:cs="Times New Roman"/>
                      <w:b w:val="0"/>
                      <w:bCs w:val="0"/>
                      <w:sz w:val="21"/>
                      <w:szCs w:val="21"/>
                      <w:vertAlign w:val="baseline"/>
                      <w:lang w:val="en-US" w:eastAsia="zh-CN"/>
                    </w:rPr>
                    <w:t>气筒）</w:t>
                  </w:r>
                  <w:r>
                    <w:rPr>
                      <w:rFonts w:hint="default" w:ascii="Times New Roman" w:hAnsi="Times New Roman" w:cs="Times New Roman"/>
                      <w:b w:val="0"/>
                      <w:bCs w:val="0"/>
                      <w:sz w:val="21"/>
                      <w:szCs w:val="21"/>
                      <w:vertAlign w:val="baseline"/>
                      <w:lang w:val="en-US" w:eastAsia="zh-CN"/>
                    </w:rPr>
                    <w:t>排放</w:t>
                  </w:r>
                  <w:r>
                    <w:rPr>
                      <w:rFonts w:hint="eastAsia" w:ascii="Times New Roman" w:hAnsi="Times New Roman"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76" w:type="pct"/>
                  <w:vMerge w:val="continue"/>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988" w:type="pct"/>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废水治理</w:t>
                  </w:r>
                </w:p>
              </w:tc>
              <w:tc>
                <w:tcPr>
                  <w:tcW w:w="3534" w:type="pct"/>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锅炉排污水</w:t>
                  </w:r>
                  <w:r>
                    <w:rPr>
                      <w:rFonts w:hint="default" w:ascii="Times New Roman" w:hAnsi="Times New Roman" w:cs="Times New Roman"/>
                      <w:b w:val="0"/>
                      <w:bCs w:val="0"/>
                      <w:sz w:val="21"/>
                      <w:szCs w:val="21"/>
                      <w:vertAlign w:val="baseline"/>
                      <w:lang w:val="en-US" w:eastAsia="zh-CN"/>
                    </w:rPr>
                    <w:t>用于油区周边洒水降尘</w:t>
                  </w:r>
                  <w:r>
                    <w:rPr>
                      <w:rFonts w:hint="eastAsia" w:ascii="Times New Roman" w:hAnsi="Times New Roman"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76" w:type="pct"/>
                  <w:vMerge w:val="continue"/>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988" w:type="pct"/>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噪声治理</w:t>
                  </w:r>
                </w:p>
              </w:tc>
              <w:tc>
                <w:tcPr>
                  <w:tcW w:w="3534" w:type="pct"/>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sz w:val="21"/>
                      <w:szCs w:val="21"/>
                      <w:lang w:val="en-US" w:eastAsia="zh-CN"/>
                    </w:rPr>
                    <w:t>对鼓风机进行减振处理。采用弹簧隔振器对鼓、引风机进行减振，每台鼓、引风机底座安装隔振器，同时考虑鼓、引风机的进、排风连接的金属风管必须加软连接，防止风机的振动通过金属管道引起振动噪声。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76" w:type="pct"/>
                  <w:vMerge w:val="continue"/>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988" w:type="pct"/>
                  <w:noWrap w:val="0"/>
                  <w:vAlign w:val="center"/>
                </w:tcPr>
                <w:p>
                  <w:pPr>
                    <w:pageBreakBefore w:val="0"/>
                    <w:numPr>
                      <w:ilvl w:val="0"/>
                      <w:numId w:val="0"/>
                    </w:numPr>
                    <w:kinsoku/>
                    <w:overflowPunct/>
                    <w:topLinePunct w:val="0"/>
                    <w:bidi w:val="0"/>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固废治理</w:t>
                  </w:r>
                </w:p>
              </w:tc>
              <w:tc>
                <w:tcPr>
                  <w:tcW w:w="3534" w:type="pct"/>
                  <w:noWrap w:val="0"/>
                  <w:vAlign w:val="center"/>
                </w:tcPr>
                <w:p>
                  <w:pPr>
                    <w:pageBreakBefore w:val="0"/>
                    <w:numPr>
                      <w:ilvl w:val="0"/>
                      <w:numId w:val="0"/>
                    </w:numPr>
                    <w:kinsoku/>
                    <w:overflowPunct/>
                    <w:topLinePunct w:val="0"/>
                    <w:bidi w:val="0"/>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锅炉在外界修理厂维修保养，本项目不单独储存危废；</w:t>
                  </w:r>
                  <w:r>
                    <w:rPr>
                      <w:rFonts w:hint="eastAsia" w:ascii="宋体" w:hAnsi="宋体" w:cs="宋体"/>
                      <w:b w:val="0"/>
                      <w:bCs w:val="0"/>
                      <w:sz w:val="21"/>
                      <w:szCs w:val="21"/>
                      <w:vertAlign w:val="baseline"/>
                      <w:lang w:val="en-US" w:eastAsia="zh-CN"/>
                    </w:rPr>
                    <w:t>炉渣和袋式除尘器的除尘灰收集装袋，拉运至轮南镇</w:t>
                  </w:r>
                  <w:r>
                    <w:rPr>
                      <w:rFonts w:hint="eastAsia" w:ascii="宋体" w:hAnsi="宋体" w:eastAsia="宋体" w:cs="宋体"/>
                      <w:b w:val="0"/>
                      <w:bCs w:val="0"/>
                      <w:sz w:val="21"/>
                      <w:szCs w:val="21"/>
                      <w:vertAlign w:val="baseline"/>
                      <w:lang w:val="en-US" w:eastAsia="zh-CN"/>
                    </w:rPr>
                    <w:t>交由种植户作为基肥使用或拉运至一般固废填埋场进行处理</w:t>
                  </w:r>
                  <w:r>
                    <w:rPr>
                      <w:rFonts w:hint="eastAsia" w:ascii="宋体" w:hAnsi="宋体" w:cs="宋体"/>
                      <w:b w:val="0"/>
                      <w:bCs w:val="0"/>
                      <w:sz w:val="21"/>
                      <w:szCs w:val="21"/>
                      <w:vertAlign w:val="baseline"/>
                      <w:lang w:val="en-US" w:eastAsia="zh-CN"/>
                    </w:rPr>
                    <w:t>；</w:t>
                  </w:r>
                  <w:r>
                    <w:rPr>
                      <w:rFonts w:hint="eastAsia"/>
                    </w:rPr>
                    <w:t>生活垃圾依托油区环卫部门清运处理</w:t>
                  </w:r>
                  <w:r>
                    <w:rPr>
                      <w:rFonts w:hint="eastAsia"/>
                      <w:lang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kern w:val="2"/>
                <w:sz w:val="24"/>
                <w:szCs w:val="24"/>
                <w:lang w:val="en-US" w:eastAsia="zh-CN" w:bidi="ar-SA"/>
              </w:rPr>
              <w:t>三、</w:t>
            </w:r>
            <w:r>
              <w:rPr>
                <w:rFonts w:hint="eastAsia" w:ascii="宋体" w:hAnsi="宋体" w:eastAsia="宋体" w:cs="宋体"/>
                <w:b/>
                <w:bCs/>
                <w:sz w:val="24"/>
                <w:szCs w:val="24"/>
                <w:lang w:val="en-US" w:eastAsia="zh-CN"/>
              </w:rPr>
              <w:t>主要设备</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val="0"/>
                <w:sz w:val="24"/>
                <w:lang w:val="en-US"/>
              </w:rPr>
            </w:pPr>
            <w:r>
              <w:rPr>
                <w:rFonts w:hint="eastAsia" w:ascii="宋体" w:hAnsi="宋体" w:eastAsia="宋体" w:cs="宋体"/>
                <w:b w:val="0"/>
                <w:bCs w:val="0"/>
                <w:sz w:val="24"/>
              </w:rPr>
              <w:t>本项目主要</w:t>
            </w:r>
            <w:r>
              <w:rPr>
                <w:rFonts w:hint="eastAsia" w:ascii="宋体" w:hAnsi="宋体" w:eastAsia="宋体" w:cs="宋体"/>
                <w:b w:val="0"/>
                <w:bCs w:val="0"/>
                <w:sz w:val="24"/>
                <w:lang w:eastAsia="zh-CN"/>
              </w:rPr>
              <w:t>生产</w:t>
            </w:r>
            <w:r>
              <w:rPr>
                <w:rFonts w:hint="eastAsia" w:ascii="宋体" w:hAnsi="宋体" w:eastAsia="宋体" w:cs="宋体"/>
                <w:b w:val="0"/>
                <w:bCs w:val="0"/>
                <w:sz w:val="24"/>
              </w:rPr>
              <w:t>设施</w:t>
            </w:r>
            <w:r>
              <w:rPr>
                <w:rFonts w:hint="eastAsia" w:ascii="宋体" w:hAnsi="宋体" w:eastAsia="宋体" w:cs="宋体"/>
                <w:b w:val="0"/>
                <w:bCs w:val="0"/>
                <w:sz w:val="24"/>
                <w:lang w:eastAsia="zh-CN"/>
              </w:rPr>
              <w:t>见表</w:t>
            </w:r>
            <w:r>
              <w:rPr>
                <w:rFonts w:hint="eastAsia" w:ascii="宋体" w:hAnsi="宋体" w:eastAsia="宋体" w:cs="宋体"/>
                <w:b w:val="0"/>
                <w:bCs w:val="0"/>
                <w:sz w:val="24"/>
                <w:lang w:val="en-US" w:eastAsia="zh-CN"/>
              </w:rPr>
              <w:t>2-2。</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表2-2      主要生产设施一览表</w:t>
            </w:r>
          </w:p>
          <w:tbl>
            <w:tblPr>
              <w:tblStyle w:val="21"/>
              <w:tblW w:w="498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181"/>
              <w:gridCol w:w="5104"/>
              <w:gridCol w:w="642"/>
              <w:gridCol w:w="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45" w:type="pct"/>
                  <w:noWrap w:val="0"/>
                  <w:vAlign w:val="center"/>
                </w:tcPr>
                <w:p>
                  <w:pPr>
                    <w:pageBreakBefore w:val="0"/>
                    <w:kinsoku/>
                    <w:overflowPunct/>
                    <w:topLinePunct w:val="0"/>
                    <w:bidi w:val="0"/>
                    <w:adjustRightInd w:val="0"/>
                    <w:snapToGrid w:val="0"/>
                    <w:ind w:right="-1"/>
                    <w:contextualSpacing/>
                    <w:jc w:val="center"/>
                    <w:textAlignment w:val="auto"/>
                    <w:rPr>
                      <w:szCs w:val="21"/>
                    </w:rPr>
                  </w:pPr>
                  <w:r>
                    <w:rPr>
                      <w:szCs w:val="21"/>
                    </w:rPr>
                    <w:t>序号</w:t>
                  </w:r>
                </w:p>
              </w:tc>
              <w:tc>
                <w:tcPr>
                  <w:tcW w:w="716" w:type="pct"/>
                  <w:noWrap w:val="0"/>
                  <w:vAlign w:val="center"/>
                </w:tcPr>
                <w:p>
                  <w:pPr>
                    <w:pageBreakBefore w:val="0"/>
                    <w:kinsoku/>
                    <w:overflowPunct/>
                    <w:topLinePunct w:val="0"/>
                    <w:bidi w:val="0"/>
                    <w:adjustRightInd w:val="0"/>
                    <w:snapToGrid w:val="0"/>
                    <w:ind w:right="-1"/>
                    <w:contextualSpacing/>
                    <w:jc w:val="center"/>
                    <w:textAlignment w:val="auto"/>
                    <w:rPr>
                      <w:szCs w:val="21"/>
                    </w:rPr>
                  </w:pPr>
                  <w:r>
                    <w:rPr>
                      <w:szCs w:val="21"/>
                    </w:rPr>
                    <w:t>名称</w:t>
                  </w:r>
                </w:p>
              </w:tc>
              <w:tc>
                <w:tcPr>
                  <w:tcW w:w="3095" w:type="pct"/>
                  <w:noWrap w:val="0"/>
                  <w:vAlign w:val="center"/>
                </w:tcPr>
                <w:p>
                  <w:pPr>
                    <w:pageBreakBefore w:val="0"/>
                    <w:kinsoku/>
                    <w:overflowPunct/>
                    <w:topLinePunct w:val="0"/>
                    <w:bidi w:val="0"/>
                    <w:adjustRightInd w:val="0"/>
                    <w:snapToGrid w:val="0"/>
                    <w:ind w:right="-1"/>
                    <w:contextualSpacing/>
                    <w:jc w:val="center"/>
                    <w:textAlignment w:val="auto"/>
                    <w:rPr>
                      <w:szCs w:val="21"/>
                    </w:rPr>
                  </w:pPr>
                  <w:r>
                    <w:rPr>
                      <w:szCs w:val="21"/>
                    </w:rPr>
                    <w:t>技术规格</w:t>
                  </w:r>
                </w:p>
              </w:tc>
              <w:tc>
                <w:tcPr>
                  <w:tcW w:w="389" w:type="pct"/>
                  <w:noWrap w:val="0"/>
                  <w:vAlign w:val="center"/>
                </w:tcPr>
                <w:p>
                  <w:pPr>
                    <w:pageBreakBefore w:val="0"/>
                    <w:kinsoku/>
                    <w:overflowPunct/>
                    <w:topLinePunct w:val="0"/>
                    <w:bidi w:val="0"/>
                    <w:adjustRightInd w:val="0"/>
                    <w:snapToGrid w:val="0"/>
                    <w:ind w:right="-1"/>
                    <w:contextualSpacing/>
                    <w:jc w:val="center"/>
                    <w:textAlignment w:val="auto"/>
                    <w:rPr>
                      <w:szCs w:val="21"/>
                    </w:rPr>
                  </w:pPr>
                  <w:r>
                    <w:rPr>
                      <w:szCs w:val="21"/>
                    </w:rPr>
                    <w:t>单位</w:t>
                  </w:r>
                </w:p>
              </w:tc>
              <w:tc>
                <w:tcPr>
                  <w:tcW w:w="353" w:type="pct"/>
                  <w:noWrap w:val="0"/>
                  <w:vAlign w:val="center"/>
                </w:tcPr>
                <w:p>
                  <w:pPr>
                    <w:pageBreakBefore w:val="0"/>
                    <w:kinsoku/>
                    <w:overflowPunct/>
                    <w:topLinePunct w:val="0"/>
                    <w:bidi w:val="0"/>
                    <w:adjustRightInd w:val="0"/>
                    <w:snapToGrid w:val="0"/>
                    <w:ind w:right="-1"/>
                    <w:contextualSpacing/>
                    <w:jc w:val="center"/>
                    <w:textAlignment w:val="auto"/>
                    <w:rPr>
                      <w:szCs w:val="21"/>
                    </w:rPr>
                  </w:pPr>
                  <w:r>
                    <w:rPr>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45" w:type="pct"/>
                  <w:noWrap w:val="0"/>
                  <w:vAlign w:val="center"/>
                </w:tcPr>
                <w:p>
                  <w:pPr>
                    <w:pageBreakBefore w:val="0"/>
                    <w:kinsoku/>
                    <w:overflowPunct/>
                    <w:topLinePunct w:val="0"/>
                    <w:bidi w:val="0"/>
                    <w:adjustRightInd w:val="0"/>
                    <w:snapToGrid w:val="0"/>
                    <w:ind w:right="-1"/>
                    <w:contextualSpacing/>
                    <w:jc w:val="center"/>
                    <w:textAlignment w:val="auto"/>
                    <w:rPr>
                      <w:rFonts w:hint="default"/>
                      <w:szCs w:val="21"/>
                      <w:lang w:val="en-US" w:eastAsia="zh-CN"/>
                    </w:rPr>
                  </w:pPr>
                  <w:r>
                    <w:rPr>
                      <w:rFonts w:hint="eastAsia"/>
                      <w:szCs w:val="21"/>
                      <w:lang w:val="en-US" w:eastAsia="zh-CN"/>
                    </w:rPr>
                    <w:t>1</w:t>
                  </w:r>
                </w:p>
              </w:tc>
              <w:tc>
                <w:tcPr>
                  <w:tcW w:w="716" w:type="pct"/>
                  <w:noWrap w:val="0"/>
                  <w:vAlign w:val="center"/>
                </w:tcPr>
                <w:p>
                  <w:pPr>
                    <w:pageBreakBefore w:val="0"/>
                    <w:kinsoku/>
                    <w:overflowPunct/>
                    <w:topLinePunct w:val="0"/>
                    <w:bidi w:val="0"/>
                    <w:adjustRightInd w:val="0"/>
                    <w:snapToGrid w:val="0"/>
                    <w:ind w:right="-1"/>
                    <w:contextualSpacing/>
                    <w:jc w:val="center"/>
                    <w:textAlignment w:val="auto"/>
                    <w:rPr>
                      <w:rFonts w:hint="default" w:eastAsia="宋体"/>
                      <w:szCs w:val="21"/>
                      <w:lang w:val="en-US" w:eastAsia="zh-CN"/>
                    </w:rPr>
                  </w:pPr>
                  <w:r>
                    <w:rPr>
                      <w:rFonts w:hint="eastAsia"/>
                      <w:szCs w:val="21"/>
                      <w:lang w:val="en-US" w:eastAsia="zh-CN"/>
                    </w:rPr>
                    <w:t>锅炉</w:t>
                  </w:r>
                </w:p>
              </w:tc>
              <w:tc>
                <w:tcPr>
                  <w:tcW w:w="3095" w:type="pct"/>
                  <w:noWrap w:val="0"/>
                  <w:vAlign w:val="center"/>
                </w:tcPr>
                <w:p>
                  <w:pPr>
                    <w:pageBreakBefore w:val="0"/>
                    <w:kinsoku/>
                    <w:overflowPunct/>
                    <w:topLinePunct w:val="0"/>
                    <w:bidi w:val="0"/>
                    <w:adjustRightInd w:val="0"/>
                    <w:snapToGrid w:val="0"/>
                    <w:ind w:right="-1"/>
                    <w:contextualSpacing/>
                    <w:jc w:val="center"/>
                    <w:textAlignment w:val="auto"/>
                    <w:rPr>
                      <w:rFonts w:hint="eastAsia" w:eastAsia="宋体"/>
                      <w:szCs w:val="21"/>
                      <w:lang w:val="en-US" w:eastAsia="zh-CN"/>
                    </w:rPr>
                  </w:pPr>
                  <w:r>
                    <w:rPr>
                      <w:rFonts w:hint="eastAsia" w:eastAsia="宋体"/>
                      <w:szCs w:val="21"/>
                      <w:lang w:val="en-US" w:eastAsia="zh-CN"/>
                    </w:rPr>
                    <w:t>卧式生物质链条式蒸汽锅炉</w:t>
                  </w:r>
                </w:p>
              </w:tc>
              <w:tc>
                <w:tcPr>
                  <w:tcW w:w="389" w:type="pct"/>
                  <w:noWrap w:val="0"/>
                  <w:vAlign w:val="center"/>
                </w:tcPr>
                <w:p>
                  <w:pPr>
                    <w:pageBreakBefore w:val="0"/>
                    <w:kinsoku/>
                    <w:overflowPunct/>
                    <w:topLinePunct w:val="0"/>
                    <w:bidi w:val="0"/>
                    <w:adjustRightInd w:val="0"/>
                    <w:snapToGrid w:val="0"/>
                    <w:ind w:right="-1"/>
                    <w:contextualSpacing/>
                    <w:jc w:val="center"/>
                    <w:textAlignment w:val="auto"/>
                    <w:rPr>
                      <w:rFonts w:hint="eastAsia" w:eastAsia="宋体"/>
                      <w:szCs w:val="21"/>
                      <w:lang w:val="en-US" w:eastAsia="zh-CN"/>
                    </w:rPr>
                  </w:pPr>
                  <w:r>
                    <w:rPr>
                      <w:rFonts w:hint="eastAsia"/>
                      <w:szCs w:val="21"/>
                      <w:lang w:val="en-US" w:eastAsia="zh-CN"/>
                    </w:rPr>
                    <w:t>台</w:t>
                  </w:r>
                </w:p>
              </w:tc>
              <w:tc>
                <w:tcPr>
                  <w:tcW w:w="353" w:type="pct"/>
                  <w:noWrap w:val="0"/>
                  <w:vAlign w:val="center"/>
                </w:tcPr>
                <w:p>
                  <w:pPr>
                    <w:pageBreakBefore w:val="0"/>
                    <w:kinsoku/>
                    <w:overflowPunct/>
                    <w:topLinePunct w:val="0"/>
                    <w:bidi w:val="0"/>
                    <w:adjustRightInd w:val="0"/>
                    <w:snapToGrid w:val="0"/>
                    <w:ind w:right="-1"/>
                    <w:contextualSpacing/>
                    <w:jc w:val="center"/>
                    <w:textAlignment w:val="auto"/>
                    <w:rPr>
                      <w:rFonts w:hint="default" w:eastAsia="宋体"/>
                      <w:szCs w:val="21"/>
                      <w:lang w:val="en-US" w:eastAsia="zh-CN"/>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45" w:type="pct"/>
                  <w:noWrap w:val="0"/>
                  <w:vAlign w:val="center"/>
                </w:tcPr>
                <w:p>
                  <w:pPr>
                    <w:pageBreakBefore w:val="0"/>
                    <w:kinsoku/>
                    <w:overflowPunct/>
                    <w:topLinePunct w:val="0"/>
                    <w:bidi w:val="0"/>
                    <w:adjustRightInd w:val="0"/>
                    <w:snapToGrid w:val="0"/>
                    <w:ind w:right="-1"/>
                    <w:contextualSpacing/>
                    <w:jc w:val="center"/>
                    <w:textAlignment w:val="auto"/>
                    <w:rPr>
                      <w:rFonts w:hint="default"/>
                      <w:szCs w:val="21"/>
                      <w:lang w:val="en-US" w:eastAsia="zh-CN"/>
                    </w:rPr>
                  </w:pPr>
                  <w:r>
                    <w:rPr>
                      <w:rFonts w:hint="eastAsia"/>
                      <w:szCs w:val="21"/>
                      <w:lang w:val="en-US" w:eastAsia="zh-CN"/>
                    </w:rPr>
                    <w:t>2</w:t>
                  </w:r>
                </w:p>
              </w:tc>
              <w:tc>
                <w:tcPr>
                  <w:tcW w:w="716" w:type="pct"/>
                  <w:noWrap w:val="0"/>
                  <w:vAlign w:val="center"/>
                </w:tcPr>
                <w:p>
                  <w:pPr>
                    <w:pageBreakBefore w:val="0"/>
                    <w:kinsoku/>
                    <w:overflowPunct/>
                    <w:topLinePunct w:val="0"/>
                    <w:bidi w:val="0"/>
                    <w:adjustRightInd w:val="0"/>
                    <w:snapToGrid w:val="0"/>
                    <w:ind w:right="-1"/>
                    <w:contextualSpacing/>
                    <w:jc w:val="center"/>
                    <w:textAlignment w:val="auto"/>
                    <w:rPr>
                      <w:rFonts w:hint="default" w:eastAsia="宋体"/>
                      <w:szCs w:val="21"/>
                      <w:lang w:val="en-US" w:eastAsia="zh-CN"/>
                    </w:rPr>
                  </w:pPr>
                  <w:r>
                    <w:rPr>
                      <w:rFonts w:hint="eastAsia" w:eastAsia="宋体"/>
                      <w:szCs w:val="21"/>
                      <w:lang w:val="en-US" w:eastAsia="zh-CN"/>
                    </w:rPr>
                    <w:t>水箱</w:t>
                  </w:r>
                </w:p>
              </w:tc>
              <w:tc>
                <w:tcPr>
                  <w:tcW w:w="3095" w:type="pct"/>
                  <w:noWrap w:val="0"/>
                  <w:vAlign w:val="center"/>
                </w:tcPr>
                <w:p>
                  <w:pPr>
                    <w:pageBreakBefore w:val="0"/>
                    <w:kinsoku/>
                    <w:overflowPunct/>
                    <w:topLinePunct w:val="0"/>
                    <w:bidi w:val="0"/>
                    <w:adjustRightInd w:val="0"/>
                    <w:snapToGrid w:val="0"/>
                    <w:ind w:right="-1"/>
                    <w:contextualSpacing/>
                    <w:jc w:val="center"/>
                    <w:textAlignment w:val="auto"/>
                    <w:rPr>
                      <w:rFonts w:hint="default" w:eastAsia="宋体"/>
                      <w:szCs w:val="21"/>
                      <w:lang w:val="en-US" w:eastAsia="zh-CN"/>
                    </w:rPr>
                  </w:pPr>
                  <w:r>
                    <w:rPr>
                      <w:rFonts w:hint="eastAsia"/>
                      <w:szCs w:val="21"/>
                      <w:lang w:val="en-US" w:eastAsia="zh-CN"/>
                    </w:rPr>
                    <w:t>7.2m</w:t>
                  </w:r>
                  <w:r>
                    <w:rPr>
                      <w:rFonts w:hint="eastAsia"/>
                      <w:szCs w:val="21"/>
                      <w:vertAlign w:val="superscript"/>
                      <w:lang w:val="en-US" w:eastAsia="zh-CN"/>
                    </w:rPr>
                    <w:t>3</w:t>
                  </w:r>
                </w:p>
              </w:tc>
              <w:tc>
                <w:tcPr>
                  <w:tcW w:w="389" w:type="pct"/>
                  <w:noWrap w:val="0"/>
                  <w:vAlign w:val="center"/>
                </w:tcPr>
                <w:p>
                  <w:pPr>
                    <w:pageBreakBefore w:val="0"/>
                    <w:kinsoku/>
                    <w:overflowPunct/>
                    <w:topLinePunct w:val="0"/>
                    <w:bidi w:val="0"/>
                    <w:adjustRightInd w:val="0"/>
                    <w:snapToGrid w:val="0"/>
                    <w:ind w:right="-1"/>
                    <w:contextualSpacing/>
                    <w:jc w:val="center"/>
                    <w:textAlignment w:val="auto"/>
                    <w:rPr>
                      <w:rFonts w:hint="eastAsia" w:eastAsia="宋体"/>
                      <w:szCs w:val="21"/>
                      <w:lang w:val="en-US" w:eastAsia="zh-CN"/>
                    </w:rPr>
                  </w:pPr>
                  <w:r>
                    <w:rPr>
                      <w:rFonts w:hint="eastAsia"/>
                      <w:szCs w:val="21"/>
                      <w:lang w:val="en-US" w:eastAsia="zh-CN"/>
                    </w:rPr>
                    <w:t>个</w:t>
                  </w:r>
                </w:p>
              </w:tc>
              <w:tc>
                <w:tcPr>
                  <w:tcW w:w="353" w:type="pct"/>
                  <w:noWrap w:val="0"/>
                  <w:vAlign w:val="center"/>
                </w:tcPr>
                <w:p>
                  <w:pPr>
                    <w:pageBreakBefore w:val="0"/>
                    <w:kinsoku/>
                    <w:overflowPunct/>
                    <w:topLinePunct w:val="0"/>
                    <w:bidi w:val="0"/>
                    <w:adjustRightInd w:val="0"/>
                    <w:snapToGrid w:val="0"/>
                    <w:ind w:right="-1"/>
                    <w:contextualSpacing/>
                    <w:jc w:val="center"/>
                    <w:textAlignment w:val="auto"/>
                    <w:rPr>
                      <w:rFonts w:hint="default" w:eastAsia="宋体"/>
                      <w:szCs w:val="21"/>
                      <w:lang w:val="en-US" w:eastAsia="zh-CN"/>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45" w:type="pct"/>
                  <w:noWrap w:val="0"/>
                  <w:vAlign w:val="center"/>
                </w:tcPr>
                <w:p>
                  <w:pPr>
                    <w:pageBreakBefore w:val="0"/>
                    <w:kinsoku/>
                    <w:overflowPunct/>
                    <w:topLinePunct w:val="0"/>
                    <w:bidi w:val="0"/>
                    <w:adjustRightInd w:val="0"/>
                    <w:snapToGrid w:val="0"/>
                    <w:ind w:right="-1"/>
                    <w:contextualSpacing/>
                    <w:jc w:val="center"/>
                    <w:textAlignment w:val="auto"/>
                    <w:rPr>
                      <w:rFonts w:hint="default"/>
                      <w:szCs w:val="21"/>
                      <w:lang w:val="en-US" w:eastAsia="zh-CN"/>
                    </w:rPr>
                  </w:pPr>
                  <w:r>
                    <w:rPr>
                      <w:rFonts w:hint="eastAsia"/>
                      <w:szCs w:val="21"/>
                      <w:lang w:val="en-US" w:eastAsia="zh-CN"/>
                    </w:rPr>
                    <w:t>3</w:t>
                  </w:r>
                </w:p>
              </w:tc>
              <w:tc>
                <w:tcPr>
                  <w:tcW w:w="716" w:type="pct"/>
                  <w:noWrap w:val="0"/>
                  <w:vAlign w:val="center"/>
                </w:tcPr>
                <w:p>
                  <w:pPr>
                    <w:pageBreakBefore w:val="0"/>
                    <w:kinsoku/>
                    <w:overflowPunct/>
                    <w:topLinePunct w:val="0"/>
                    <w:bidi w:val="0"/>
                    <w:adjustRightInd w:val="0"/>
                    <w:snapToGrid w:val="0"/>
                    <w:ind w:right="-1"/>
                    <w:contextualSpacing/>
                    <w:jc w:val="center"/>
                    <w:textAlignment w:val="auto"/>
                    <w:rPr>
                      <w:rFonts w:hint="eastAsia" w:eastAsia="宋体"/>
                      <w:szCs w:val="21"/>
                      <w:lang w:val="en-US" w:eastAsia="zh-CN"/>
                    </w:rPr>
                  </w:pPr>
                  <w:r>
                    <w:rPr>
                      <w:rFonts w:hint="eastAsia" w:eastAsia="宋体"/>
                      <w:szCs w:val="21"/>
                      <w:lang w:val="en-US" w:eastAsia="zh-CN"/>
                    </w:rPr>
                    <w:t>燃烧器</w:t>
                  </w:r>
                </w:p>
              </w:tc>
              <w:tc>
                <w:tcPr>
                  <w:tcW w:w="3095" w:type="pct"/>
                  <w:noWrap w:val="0"/>
                  <w:vAlign w:val="center"/>
                </w:tcPr>
                <w:p>
                  <w:pPr>
                    <w:pageBreakBefore w:val="0"/>
                    <w:kinsoku/>
                    <w:overflowPunct/>
                    <w:topLinePunct w:val="0"/>
                    <w:bidi w:val="0"/>
                    <w:adjustRightInd w:val="0"/>
                    <w:snapToGrid w:val="0"/>
                    <w:ind w:right="-1"/>
                    <w:contextualSpacing/>
                    <w:jc w:val="center"/>
                    <w:textAlignment w:val="auto"/>
                    <w:rPr>
                      <w:szCs w:val="21"/>
                    </w:rPr>
                  </w:pPr>
                  <w:r>
                    <w:rPr>
                      <w:rFonts w:hint="eastAsia"/>
                      <w:szCs w:val="21"/>
                      <w:lang w:val="en-US" w:eastAsia="zh-CN"/>
                    </w:rPr>
                    <w:t>HQ-LM-4.2</w:t>
                  </w:r>
                </w:p>
              </w:tc>
              <w:tc>
                <w:tcPr>
                  <w:tcW w:w="389" w:type="pct"/>
                  <w:noWrap w:val="0"/>
                  <w:vAlign w:val="center"/>
                </w:tcPr>
                <w:p>
                  <w:pPr>
                    <w:pageBreakBefore w:val="0"/>
                    <w:kinsoku/>
                    <w:overflowPunct/>
                    <w:topLinePunct w:val="0"/>
                    <w:bidi w:val="0"/>
                    <w:adjustRightInd w:val="0"/>
                    <w:snapToGrid w:val="0"/>
                    <w:ind w:right="-1"/>
                    <w:contextualSpacing/>
                    <w:jc w:val="center"/>
                    <w:textAlignment w:val="auto"/>
                    <w:rPr>
                      <w:rFonts w:hint="eastAsia" w:eastAsia="宋体"/>
                      <w:szCs w:val="21"/>
                      <w:lang w:val="en-US" w:eastAsia="zh-CN"/>
                    </w:rPr>
                  </w:pPr>
                  <w:r>
                    <w:rPr>
                      <w:rFonts w:hint="eastAsia"/>
                      <w:szCs w:val="21"/>
                      <w:lang w:val="en-US" w:eastAsia="zh-CN"/>
                    </w:rPr>
                    <w:t>个</w:t>
                  </w:r>
                </w:p>
              </w:tc>
              <w:tc>
                <w:tcPr>
                  <w:tcW w:w="353" w:type="pct"/>
                  <w:noWrap w:val="0"/>
                  <w:vAlign w:val="center"/>
                </w:tcPr>
                <w:p>
                  <w:pPr>
                    <w:pageBreakBefore w:val="0"/>
                    <w:kinsoku/>
                    <w:overflowPunct/>
                    <w:topLinePunct w:val="0"/>
                    <w:bidi w:val="0"/>
                    <w:adjustRightInd w:val="0"/>
                    <w:snapToGrid w:val="0"/>
                    <w:ind w:right="-1"/>
                    <w:contextualSpacing/>
                    <w:jc w:val="center"/>
                    <w:textAlignment w:val="auto"/>
                    <w:rPr>
                      <w:rFonts w:hint="default" w:eastAsia="宋体"/>
                      <w:szCs w:val="21"/>
                      <w:lang w:val="en-US" w:eastAsia="zh-CN"/>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45" w:type="pct"/>
                  <w:noWrap w:val="0"/>
                  <w:vAlign w:val="center"/>
                </w:tcPr>
                <w:p>
                  <w:pPr>
                    <w:pageBreakBefore w:val="0"/>
                    <w:kinsoku/>
                    <w:overflowPunct/>
                    <w:topLinePunct w:val="0"/>
                    <w:bidi w:val="0"/>
                    <w:adjustRightInd w:val="0"/>
                    <w:snapToGrid w:val="0"/>
                    <w:ind w:right="-1"/>
                    <w:contextualSpacing/>
                    <w:jc w:val="center"/>
                    <w:textAlignment w:val="auto"/>
                    <w:rPr>
                      <w:rFonts w:hint="default"/>
                      <w:szCs w:val="21"/>
                      <w:lang w:val="en-US" w:eastAsia="zh-CN"/>
                    </w:rPr>
                  </w:pPr>
                  <w:r>
                    <w:rPr>
                      <w:rFonts w:hint="eastAsia"/>
                      <w:szCs w:val="21"/>
                      <w:lang w:val="en-US" w:eastAsia="zh-CN"/>
                    </w:rPr>
                    <w:t>4</w:t>
                  </w:r>
                </w:p>
              </w:tc>
              <w:tc>
                <w:tcPr>
                  <w:tcW w:w="716" w:type="pct"/>
                  <w:noWrap w:val="0"/>
                  <w:vAlign w:val="center"/>
                </w:tcPr>
                <w:p>
                  <w:pPr>
                    <w:pageBreakBefore w:val="0"/>
                    <w:kinsoku/>
                    <w:overflowPunct/>
                    <w:topLinePunct w:val="0"/>
                    <w:bidi w:val="0"/>
                    <w:adjustRightInd w:val="0"/>
                    <w:snapToGrid w:val="0"/>
                    <w:ind w:right="-1"/>
                    <w:contextualSpacing/>
                    <w:jc w:val="center"/>
                    <w:textAlignment w:val="auto"/>
                    <w:rPr>
                      <w:rFonts w:hint="default" w:eastAsia="宋体"/>
                      <w:szCs w:val="21"/>
                      <w:lang w:val="en-US" w:eastAsia="zh-CN"/>
                    </w:rPr>
                  </w:pPr>
                  <w:r>
                    <w:rPr>
                      <w:rFonts w:hint="eastAsia" w:eastAsia="宋体"/>
                      <w:szCs w:val="21"/>
                      <w:lang w:val="en-US" w:eastAsia="zh-CN"/>
                    </w:rPr>
                    <w:t>热水</w:t>
                  </w:r>
                  <w:r>
                    <w:rPr>
                      <w:rFonts w:hint="default" w:eastAsia="宋体"/>
                      <w:szCs w:val="21"/>
                      <w:lang w:val="en-US" w:eastAsia="zh-CN"/>
                    </w:rPr>
                    <w:t>循环泵</w:t>
                  </w:r>
                </w:p>
              </w:tc>
              <w:tc>
                <w:tcPr>
                  <w:tcW w:w="3095" w:type="pct"/>
                  <w:noWrap w:val="0"/>
                  <w:vAlign w:val="center"/>
                </w:tcPr>
                <w:p>
                  <w:pPr>
                    <w:pageBreakBefore w:val="0"/>
                    <w:kinsoku/>
                    <w:overflowPunct/>
                    <w:topLinePunct w:val="0"/>
                    <w:bidi w:val="0"/>
                    <w:adjustRightInd w:val="0"/>
                    <w:snapToGrid w:val="0"/>
                    <w:ind w:right="-1"/>
                    <w:contextualSpacing/>
                    <w:jc w:val="center"/>
                    <w:textAlignment w:val="auto"/>
                    <w:rPr>
                      <w:rFonts w:hint="default" w:eastAsia="宋体"/>
                      <w:szCs w:val="21"/>
                      <w:lang w:val="en-US" w:eastAsia="zh-CN"/>
                    </w:rPr>
                  </w:pPr>
                  <w:r>
                    <w:rPr>
                      <w:rFonts w:hint="eastAsia" w:eastAsia="宋体"/>
                      <w:szCs w:val="21"/>
                      <w:lang w:eastAsia="zh-CN"/>
                    </w:rPr>
                    <w:t>IRG50-100</w:t>
                  </w:r>
                  <w:r>
                    <w:rPr>
                      <w:rFonts w:hint="eastAsia"/>
                      <w:szCs w:val="21"/>
                      <w:lang w:eastAsia="zh-CN"/>
                    </w:rPr>
                    <w:t>,</w:t>
                  </w:r>
                  <w:r>
                    <w:rPr>
                      <w:rFonts w:hint="eastAsia" w:eastAsia="宋体"/>
                      <w:szCs w:val="21"/>
                      <w:lang w:val="en-US" w:eastAsia="zh-CN"/>
                    </w:rPr>
                    <w:t>6m</w:t>
                  </w:r>
                  <w:r>
                    <w:rPr>
                      <w:rFonts w:hint="eastAsia" w:eastAsia="宋体"/>
                      <w:szCs w:val="21"/>
                      <w:lang w:val="en-US" w:eastAsia="zh-CN"/>
                    </w:rPr>
                    <w:object>
                      <v:shape id="_x0000_i1025" o:spt="75" type="#_x0000_t75" style="height:15pt;width:6.95pt;" o:ole="t" filled="f" o:preferrelative="t" stroked="f" coordsize="21600,21600">
                        <v:path/>
                        <v:fill on="f" focussize="0,0"/>
                        <v:stroke on="f"/>
                        <v:imagedata r:id="rId13" o:title=""/>
                        <o:lock v:ext="edit" grouping="f" rotation="f" text="f" aspectratio="t"/>
                        <w10:wrap type="none"/>
                        <w10:anchorlock/>
                      </v:shape>
                      <o:OLEObject Type="Embed" ProgID="Equation.3" ShapeID="_x0000_i1025" DrawAspect="Content" ObjectID="_1468075725" r:id="rId12">
                        <o:LockedField>false</o:LockedField>
                      </o:OLEObject>
                    </w:object>
                  </w:r>
                  <w:r>
                    <w:rPr>
                      <w:rFonts w:hint="eastAsia" w:eastAsia="宋体"/>
                      <w:szCs w:val="21"/>
                      <w:lang w:val="en-US" w:eastAsia="zh-CN"/>
                    </w:rPr>
                    <w:t>/h</w:t>
                  </w:r>
                </w:p>
              </w:tc>
              <w:tc>
                <w:tcPr>
                  <w:tcW w:w="389" w:type="pct"/>
                  <w:noWrap w:val="0"/>
                  <w:vAlign w:val="center"/>
                </w:tcPr>
                <w:p>
                  <w:pPr>
                    <w:pageBreakBefore w:val="0"/>
                    <w:kinsoku/>
                    <w:overflowPunct/>
                    <w:topLinePunct w:val="0"/>
                    <w:bidi w:val="0"/>
                    <w:adjustRightInd w:val="0"/>
                    <w:snapToGrid w:val="0"/>
                    <w:ind w:right="-1"/>
                    <w:contextualSpacing/>
                    <w:jc w:val="center"/>
                    <w:textAlignment w:val="auto"/>
                    <w:rPr>
                      <w:rFonts w:hint="eastAsia" w:eastAsia="宋体"/>
                      <w:szCs w:val="21"/>
                      <w:lang w:val="en-US" w:eastAsia="zh-CN"/>
                    </w:rPr>
                  </w:pPr>
                  <w:r>
                    <w:rPr>
                      <w:rFonts w:hint="eastAsia"/>
                      <w:szCs w:val="21"/>
                      <w:lang w:val="en-US" w:eastAsia="zh-CN"/>
                    </w:rPr>
                    <w:t>个</w:t>
                  </w:r>
                </w:p>
              </w:tc>
              <w:tc>
                <w:tcPr>
                  <w:tcW w:w="353" w:type="pct"/>
                  <w:noWrap w:val="0"/>
                  <w:vAlign w:val="center"/>
                </w:tcPr>
                <w:p>
                  <w:pPr>
                    <w:pageBreakBefore w:val="0"/>
                    <w:kinsoku/>
                    <w:overflowPunct/>
                    <w:topLinePunct w:val="0"/>
                    <w:bidi w:val="0"/>
                    <w:adjustRightInd w:val="0"/>
                    <w:snapToGrid w:val="0"/>
                    <w:ind w:right="-1"/>
                    <w:contextualSpacing/>
                    <w:jc w:val="center"/>
                    <w:textAlignment w:val="auto"/>
                    <w:rPr>
                      <w:rFonts w:hint="eastAsia" w:eastAsia="宋体"/>
                      <w:szCs w:val="21"/>
                      <w:lang w:val="en-US" w:eastAsia="zh-CN"/>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45" w:type="pct"/>
                  <w:noWrap w:val="0"/>
                  <w:vAlign w:val="center"/>
                </w:tcPr>
                <w:p>
                  <w:pPr>
                    <w:pageBreakBefore w:val="0"/>
                    <w:kinsoku/>
                    <w:overflowPunct/>
                    <w:topLinePunct w:val="0"/>
                    <w:bidi w:val="0"/>
                    <w:adjustRightInd w:val="0"/>
                    <w:snapToGrid w:val="0"/>
                    <w:ind w:right="-1"/>
                    <w:contextualSpacing/>
                    <w:jc w:val="center"/>
                    <w:textAlignment w:val="auto"/>
                    <w:rPr>
                      <w:rFonts w:hint="default"/>
                      <w:szCs w:val="21"/>
                      <w:lang w:val="en-US" w:eastAsia="zh-CN"/>
                    </w:rPr>
                  </w:pPr>
                  <w:r>
                    <w:rPr>
                      <w:rFonts w:hint="eastAsia"/>
                      <w:szCs w:val="21"/>
                      <w:lang w:val="en-US" w:eastAsia="zh-CN"/>
                    </w:rPr>
                    <w:t>5</w:t>
                  </w:r>
                </w:p>
              </w:tc>
              <w:tc>
                <w:tcPr>
                  <w:tcW w:w="716" w:type="pct"/>
                  <w:noWrap w:val="0"/>
                  <w:vAlign w:val="center"/>
                </w:tcPr>
                <w:p>
                  <w:pPr>
                    <w:pageBreakBefore w:val="0"/>
                    <w:kinsoku/>
                    <w:overflowPunct/>
                    <w:topLinePunct w:val="0"/>
                    <w:bidi w:val="0"/>
                    <w:adjustRightInd w:val="0"/>
                    <w:snapToGrid w:val="0"/>
                    <w:ind w:right="-1"/>
                    <w:contextualSpacing/>
                    <w:jc w:val="center"/>
                    <w:textAlignment w:val="auto"/>
                    <w:rPr>
                      <w:rFonts w:hint="eastAsia" w:eastAsia="宋体"/>
                      <w:szCs w:val="21"/>
                      <w:lang w:val="en-US" w:eastAsia="zh-CN"/>
                    </w:rPr>
                  </w:pPr>
                  <w:r>
                    <w:rPr>
                      <w:rFonts w:hint="eastAsia" w:eastAsia="宋体"/>
                      <w:szCs w:val="21"/>
                      <w:lang w:val="en-US" w:eastAsia="zh-CN"/>
                    </w:rPr>
                    <w:t>引风机</w:t>
                  </w:r>
                </w:p>
              </w:tc>
              <w:tc>
                <w:tcPr>
                  <w:tcW w:w="3095" w:type="pct"/>
                  <w:noWrap w:val="0"/>
                  <w:vAlign w:val="center"/>
                </w:tcPr>
                <w:p>
                  <w:pPr>
                    <w:pageBreakBefore w:val="0"/>
                    <w:kinsoku/>
                    <w:overflowPunct/>
                    <w:topLinePunct w:val="0"/>
                    <w:bidi w:val="0"/>
                    <w:adjustRightInd w:val="0"/>
                    <w:snapToGrid w:val="0"/>
                    <w:ind w:right="-1"/>
                    <w:contextualSpacing/>
                    <w:jc w:val="center"/>
                    <w:textAlignment w:val="auto"/>
                    <w:rPr>
                      <w:rFonts w:hint="eastAsia" w:eastAsia="宋体"/>
                      <w:szCs w:val="21"/>
                      <w:lang w:val="en-US" w:eastAsia="zh-CN"/>
                    </w:rPr>
                  </w:pPr>
                  <w:r>
                    <w:rPr>
                      <w:rFonts w:hint="eastAsia" w:eastAsia="宋体"/>
                      <w:szCs w:val="21"/>
                      <w:lang w:val="en-US" w:eastAsia="zh-CN"/>
                    </w:rPr>
                    <w:t>Y6-41-7.1C</w:t>
                  </w:r>
                  <w:r>
                    <w:rPr>
                      <w:rFonts w:hint="eastAsia"/>
                      <w:szCs w:val="21"/>
                      <w:lang w:val="en-US" w:eastAsia="zh-CN"/>
                    </w:rPr>
                    <w:t>,</w:t>
                  </w:r>
                  <w:r>
                    <w:rPr>
                      <w:rFonts w:hint="eastAsia" w:eastAsia="宋体"/>
                      <w:szCs w:val="21"/>
                      <w:lang w:val="en-US" w:eastAsia="zh-CN"/>
                    </w:rPr>
                    <w:t>14898</w:t>
                  </w:r>
                  <w:r>
                    <w:rPr>
                      <w:rFonts w:hint="eastAsia"/>
                      <w:szCs w:val="21"/>
                      <w:lang w:val="en-US" w:eastAsia="zh-CN"/>
                    </w:rPr>
                    <w:t>～</w:t>
                  </w:r>
                  <w:r>
                    <w:rPr>
                      <w:rFonts w:hint="eastAsia" w:eastAsia="宋体"/>
                      <w:szCs w:val="21"/>
                      <w:lang w:val="en-US" w:eastAsia="zh-CN"/>
                    </w:rPr>
                    <w:t>5728m</w:t>
                  </w:r>
                  <w:r>
                    <w:rPr>
                      <w:rFonts w:hint="eastAsia" w:eastAsia="宋体"/>
                      <w:szCs w:val="21"/>
                      <w:lang w:val="en-US" w:eastAsia="zh-CN"/>
                    </w:rPr>
                    <w:object>
                      <v:shape id="_x0000_i1026" o:spt="75" type="#_x0000_t75" style="height:15pt;width:6.95pt;" o:ole="t" filled="f" o:preferrelative="t" stroked="f" coordsize="21600,21600">
                        <v:path/>
                        <v:fill on="f" focussize="0,0"/>
                        <v:stroke on="f"/>
                        <v:imagedata r:id="rId13" o:title=""/>
                        <o:lock v:ext="edit" grouping="f" rotation="f" text="f" aspectratio="t"/>
                        <w10:wrap type="none"/>
                        <w10:anchorlock/>
                      </v:shape>
                      <o:OLEObject Type="Embed" ProgID="Equation.3" ShapeID="_x0000_i1026" DrawAspect="Content" ObjectID="_1468075726" r:id="rId14">
                        <o:LockedField>false</o:LockedField>
                      </o:OLEObject>
                    </w:object>
                  </w:r>
                  <w:r>
                    <w:rPr>
                      <w:rFonts w:hint="eastAsia" w:eastAsia="宋体"/>
                      <w:szCs w:val="21"/>
                      <w:lang w:val="en-US" w:eastAsia="zh-CN"/>
                    </w:rPr>
                    <w:t>/h</w:t>
                  </w:r>
                </w:p>
              </w:tc>
              <w:tc>
                <w:tcPr>
                  <w:tcW w:w="389" w:type="pct"/>
                  <w:noWrap w:val="0"/>
                  <w:vAlign w:val="center"/>
                </w:tcPr>
                <w:p>
                  <w:pPr>
                    <w:pageBreakBefore w:val="0"/>
                    <w:kinsoku/>
                    <w:overflowPunct/>
                    <w:topLinePunct w:val="0"/>
                    <w:bidi w:val="0"/>
                    <w:adjustRightInd w:val="0"/>
                    <w:snapToGrid w:val="0"/>
                    <w:ind w:right="-1"/>
                    <w:contextualSpacing/>
                    <w:jc w:val="center"/>
                    <w:textAlignment w:val="auto"/>
                    <w:rPr>
                      <w:rFonts w:hint="default" w:eastAsia="宋体"/>
                      <w:szCs w:val="21"/>
                      <w:lang w:val="en-US" w:eastAsia="zh-CN"/>
                    </w:rPr>
                  </w:pPr>
                  <w:r>
                    <w:rPr>
                      <w:rFonts w:hint="eastAsia"/>
                      <w:szCs w:val="21"/>
                      <w:lang w:val="en-US" w:eastAsia="zh-CN"/>
                    </w:rPr>
                    <w:t>台</w:t>
                  </w:r>
                </w:p>
              </w:tc>
              <w:tc>
                <w:tcPr>
                  <w:tcW w:w="353" w:type="pct"/>
                  <w:noWrap w:val="0"/>
                  <w:vAlign w:val="center"/>
                </w:tcPr>
                <w:p>
                  <w:pPr>
                    <w:pageBreakBefore w:val="0"/>
                    <w:kinsoku/>
                    <w:overflowPunct/>
                    <w:topLinePunct w:val="0"/>
                    <w:bidi w:val="0"/>
                    <w:adjustRightInd w:val="0"/>
                    <w:snapToGrid w:val="0"/>
                    <w:ind w:right="-1"/>
                    <w:contextualSpacing/>
                    <w:jc w:val="center"/>
                    <w:textAlignment w:val="auto"/>
                    <w:rPr>
                      <w:rFonts w:hint="eastAsia" w:eastAsia="宋体"/>
                      <w:szCs w:val="21"/>
                      <w:lang w:val="en-US" w:eastAsia="zh-CN"/>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445" w:type="pct"/>
                  <w:noWrap w:val="0"/>
                  <w:vAlign w:val="center"/>
                </w:tcPr>
                <w:p>
                  <w:pPr>
                    <w:pageBreakBefore w:val="0"/>
                    <w:kinsoku/>
                    <w:overflowPunct/>
                    <w:topLinePunct w:val="0"/>
                    <w:bidi w:val="0"/>
                    <w:adjustRightInd w:val="0"/>
                    <w:snapToGrid w:val="0"/>
                    <w:ind w:right="-1"/>
                    <w:contextualSpacing/>
                    <w:jc w:val="center"/>
                    <w:textAlignment w:val="auto"/>
                    <w:rPr>
                      <w:rFonts w:hint="default"/>
                      <w:szCs w:val="21"/>
                      <w:lang w:val="en-US" w:eastAsia="zh-CN"/>
                    </w:rPr>
                  </w:pPr>
                  <w:r>
                    <w:rPr>
                      <w:rFonts w:hint="eastAsia"/>
                      <w:szCs w:val="21"/>
                      <w:lang w:val="en-US" w:eastAsia="zh-CN"/>
                    </w:rPr>
                    <w:t>6</w:t>
                  </w:r>
                </w:p>
              </w:tc>
              <w:tc>
                <w:tcPr>
                  <w:tcW w:w="716" w:type="pct"/>
                  <w:noWrap w:val="0"/>
                  <w:vAlign w:val="center"/>
                </w:tcPr>
                <w:p>
                  <w:pPr>
                    <w:pageBreakBefore w:val="0"/>
                    <w:kinsoku/>
                    <w:overflowPunct/>
                    <w:topLinePunct w:val="0"/>
                    <w:bidi w:val="0"/>
                    <w:adjustRightInd w:val="0"/>
                    <w:snapToGrid w:val="0"/>
                    <w:ind w:right="-1"/>
                    <w:contextualSpacing/>
                    <w:jc w:val="center"/>
                    <w:textAlignment w:val="auto"/>
                    <w:rPr>
                      <w:rFonts w:hint="default" w:eastAsia="宋体"/>
                      <w:szCs w:val="21"/>
                      <w:lang w:val="en-US" w:eastAsia="zh-CN"/>
                    </w:rPr>
                  </w:pPr>
                  <w:r>
                    <w:rPr>
                      <w:rFonts w:hint="default" w:eastAsia="宋体"/>
                      <w:szCs w:val="21"/>
                      <w:lang w:val="en-US" w:eastAsia="zh-CN"/>
                    </w:rPr>
                    <w:t>分气缸</w:t>
                  </w:r>
                </w:p>
              </w:tc>
              <w:tc>
                <w:tcPr>
                  <w:tcW w:w="3095" w:type="pct"/>
                  <w:noWrap w:val="0"/>
                  <w:vAlign w:val="center"/>
                </w:tcPr>
                <w:p>
                  <w:pPr>
                    <w:pageBreakBefore w:val="0"/>
                    <w:kinsoku/>
                    <w:overflowPunct/>
                    <w:topLinePunct w:val="0"/>
                    <w:bidi w:val="0"/>
                    <w:adjustRightInd w:val="0"/>
                    <w:snapToGrid w:val="0"/>
                    <w:ind w:right="-1"/>
                    <w:contextualSpacing/>
                    <w:jc w:val="center"/>
                    <w:textAlignment w:val="auto"/>
                    <w:rPr>
                      <w:rFonts w:hint="default" w:eastAsia="宋体"/>
                      <w:szCs w:val="21"/>
                      <w:lang w:val="en-US" w:eastAsia="zh-CN"/>
                    </w:rPr>
                  </w:pPr>
                  <w:r>
                    <w:rPr>
                      <w:rFonts w:hint="eastAsia" w:eastAsia="宋体"/>
                      <w:szCs w:val="21"/>
                      <w:lang w:val="en-US" w:eastAsia="zh-CN"/>
                    </w:rPr>
                    <w:t>Ф273，额定工作压力1.25MPa，193额定工作温度℃</w:t>
                  </w:r>
                </w:p>
              </w:tc>
              <w:tc>
                <w:tcPr>
                  <w:tcW w:w="389" w:type="pct"/>
                  <w:noWrap w:val="0"/>
                  <w:vAlign w:val="center"/>
                </w:tcPr>
                <w:p>
                  <w:pPr>
                    <w:pageBreakBefore w:val="0"/>
                    <w:kinsoku/>
                    <w:overflowPunct/>
                    <w:topLinePunct w:val="0"/>
                    <w:bidi w:val="0"/>
                    <w:adjustRightInd w:val="0"/>
                    <w:snapToGrid w:val="0"/>
                    <w:ind w:right="-1"/>
                    <w:contextualSpacing/>
                    <w:jc w:val="center"/>
                    <w:textAlignment w:val="auto"/>
                    <w:rPr>
                      <w:rFonts w:hint="eastAsia" w:eastAsia="宋体"/>
                      <w:szCs w:val="21"/>
                      <w:lang w:val="en-US" w:eastAsia="zh-CN"/>
                    </w:rPr>
                  </w:pPr>
                  <w:r>
                    <w:rPr>
                      <w:rFonts w:hint="eastAsia"/>
                      <w:szCs w:val="21"/>
                      <w:lang w:val="en-US" w:eastAsia="zh-CN"/>
                    </w:rPr>
                    <w:t>台</w:t>
                  </w:r>
                </w:p>
              </w:tc>
              <w:tc>
                <w:tcPr>
                  <w:tcW w:w="353" w:type="pct"/>
                  <w:noWrap w:val="0"/>
                  <w:vAlign w:val="center"/>
                </w:tcPr>
                <w:p>
                  <w:pPr>
                    <w:pageBreakBefore w:val="0"/>
                    <w:kinsoku/>
                    <w:overflowPunct/>
                    <w:topLinePunct w:val="0"/>
                    <w:bidi w:val="0"/>
                    <w:adjustRightInd w:val="0"/>
                    <w:snapToGrid w:val="0"/>
                    <w:ind w:right="-1"/>
                    <w:contextualSpacing/>
                    <w:jc w:val="center"/>
                    <w:textAlignment w:val="auto"/>
                    <w:rPr>
                      <w:rFonts w:hint="eastAsia" w:eastAsia="宋体"/>
                      <w:szCs w:val="21"/>
                      <w:lang w:val="en-US" w:eastAsia="zh-CN"/>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445" w:type="pct"/>
                  <w:noWrap w:val="0"/>
                  <w:vAlign w:val="center"/>
                </w:tcPr>
                <w:p>
                  <w:pPr>
                    <w:pageBreakBefore w:val="0"/>
                    <w:kinsoku/>
                    <w:overflowPunct/>
                    <w:topLinePunct w:val="0"/>
                    <w:bidi w:val="0"/>
                    <w:adjustRightInd w:val="0"/>
                    <w:snapToGrid w:val="0"/>
                    <w:ind w:right="-1"/>
                    <w:contextualSpacing/>
                    <w:jc w:val="center"/>
                    <w:textAlignment w:val="auto"/>
                    <w:rPr>
                      <w:rFonts w:hint="default"/>
                      <w:szCs w:val="21"/>
                      <w:lang w:val="en-US" w:eastAsia="zh-CN"/>
                    </w:rPr>
                  </w:pPr>
                  <w:r>
                    <w:rPr>
                      <w:rFonts w:hint="eastAsia"/>
                      <w:szCs w:val="21"/>
                      <w:lang w:val="en-US" w:eastAsia="zh-CN"/>
                    </w:rPr>
                    <w:t>8</w:t>
                  </w:r>
                </w:p>
              </w:tc>
              <w:tc>
                <w:tcPr>
                  <w:tcW w:w="716" w:type="pct"/>
                  <w:noWrap w:val="0"/>
                  <w:vAlign w:val="center"/>
                </w:tcPr>
                <w:p>
                  <w:pPr>
                    <w:pageBreakBefore w:val="0"/>
                    <w:kinsoku/>
                    <w:overflowPunct/>
                    <w:topLinePunct w:val="0"/>
                    <w:bidi w:val="0"/>
                    <w:adjustRightInd w:val="0"/>
                    <w:snapToGrid w:val="0"/>
                    <w:ind w:right="-1"/>
                    <w:contextualSpacing/>
                    <w:jc w:val="center"/>
                    <w:textAlignment w:val="auto"/>
                    <w:rPr>
                      <w:rFonts w:hint="default" w:eastAsia="宋体"/>
                      <w:szCs w:val="21"/>
                      <w:lang w:val="en-US" w:eastAsia="zh-CN"/>
                    </w:rPr>
                  </w:pPr>
                  <w:r>
                    <w:rPr>
                      <w:rFonts w:hint="eastAsia"/>
                      <w:szCs w:val="21"/>
                      <w:lang w:val="en-US" w:eastAsia="zh-CN"/>
                    </w:rPr>
                    <w:t>运水车</w:t>
                  </w:r>
                </w:p>
              </w:tc>
              <w:tc>
                <w:tcPr>
                  <w:tcW w:w="3095" w:type="pct"/>
                  <w:noWrap w:val="0"/>
                  <w:vAlign w:val="center"/>
                </w:tcPr>
                <w:p>
                  <w:pPr>
                    <w:pageBreakBefore w:val="0"/>
                    <w:kinsoku/>
                    <w:overflowPunct/>
                    <w:topLinePunct w:val="0"/>
                    <w:bidi w:val="0"/>
                    <w:adjustRightInd w:val="0"/>
                    <w:snapToGrid w:val="0"/>
                    <w:ind w:right="-1"/>
                    <w:contextualSpacing/>
                    <w:jc w:val="center"/>
                    <w:textAlignment w:val="auto"/>
                    <w:rPr>
                      <w:rFonts w:hint="default" w:eastAsia="宋体"/>
                      <w:szCs w:val="21"/>
                      <w:lang w:val="en-US" w:eastAsia="zh-CN"/>
                    </w:rPr>
                  </w:pPr>
                  <w:r>
                    <w:rPr>
                      <w:rFonts w:hint="eastAsia"/>
                      <w:szCs w:val="21"/>
                      <w:lang w:val="en-US" w:eastAsia="zh-CN"/>
                    </w:rPr>
                    <w:t>10t</w:t>
                  </w:r>
                </w:p>
              </w:tc>
              <w:tc>
                <w:tcPr>
                  <w:tcW w:w="389" w:type="pct"/>
                  <w:noWrap w:val="0"/>
                  <w:vAlign w:val="center"/>
                </w:tcPr>
                <w:p>
                  <w:pPr>
                    <w:pageBreakBefore w:val="0"/>
                    <w:kinsoku/>
                    <w:overflowPunct/>
                    <w:topLinePunct w:val="0"/>
                    <w:bidi w:val="0"/>
                    <w:adjustRightInd w:val="0"/>
                    <w:snapToGrid w:val="0"/>
                    <w:ind w:right="-1"/>
                    <w:contextualSpacing/>
                    <w:jc w:val="center"/>
                    <w:textAlignment w:val="auto"/>
                    <w:rPr>
                      <w:rFonts w:hint="default"/>
                      <w:szCs w:val="21"/>
                      <w:lang w:val="en-US" w:eastAsia="zh-CN"/>
                    </w:rPr>
                  </w:pPr>
                  <w:r>
                    <w:rPr>
                      <w:rFonts w:hint="eastAsia"/>
                      <w:szCs w:val="21"/>
                      <w:lang w:val="en-US" w:eastAsia="zh-CN"/>
                    </w:rPr>
                    <w:t>辆</w:t>
                  </w:r>
                </w:p>
              </w:tc>
              <w:tc>
                <w:tcPr>
                  <w:tcW w:w="353" w:type="pct"/>
                  <w:noWrap w:val="0"/>
                  <w:vAlign w:val="center"/>
                </w:tcPr>
                <w:p>
                  <w:pPr>
                    <w:pageBreakBefore w:val="0"/>
                    <w:kinsoku/>
                    <w:overflowPunct/>
                    <w:topLinePunct w:val="0"/>
                    <w:bidi w:val="0"/>
                    <w:adjustRightInd w:val="0"/>
                    <w:snapToGrid w:val="0"/>
                    <w:ind w:right="-1"/>
                    <w:contextualSpacing/>
                    <w:jc w:val="center"/>
                    <w:textAlignment w:val="auto"/>
                    <w:rPr>
                      <w:rFonts w:hint="default"/>
                      <w:szCs w:val="21"/>
                      <w:lang w:val="en-US" w:eastAsia="zh-CN"/>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445" w:type="pct"/>
                  <w:noWrap w:val="0"/>
                  <w:vAlign w:val="center"/>
                </w:tcPr>
                <w:p>
                  <w:pPr>
                    <w:pageBreakBefore w:val="0"/>
                    <w:kinsoku/>
                    <w:overflowPunct/>
                    <w:topLinePunct w:val="0"/>
                    <w:bidi w:val="0"/>
                    <w:adjustRightInd w:val="0"/>
                    <w:snapToGrid w:val="0"/>
                    <w:ind w:right="-1"/>
                    <w:contextualSpacing/>
                    <w:jc w:val="center"/>
                    <w:textAlignment w:val="auto"/>
                    <w:rPr>
                      <w:rFonts w:hint="default"/>
                      <w:szCs w:val="21"/>
                      <w:lang w:val="en-US" w:eastAsia="zh-CN"/>
                    </w:rPr>
                  </w:pPr>
                  <w:r>
                    <w:rPr>
                      <w:rFonts w:hint="eastAsia"/>
                      <w:szCs w:val="21"/>
                      <w:lang w:val="en-US" w:eastAsia="zh-CN"/>
                    </w:rPr>
                    <w:t>9</w:t>
                  </w:r>
                </w:p>
              </w:tc>
              <w:tc>
                <w:tcPr>
                  <w:tcW w:w="716" w:type="pct"/>
                  <w:noWrap w:val="0"/>
                  <w:vAlign w:val="center"/>
                </w:tcPr>
                <w:p>
                  <w:pPr>
                    <w:pageBreakBefore w:val="0"/>
                    <w:kinsoku/>
                    <w:overflowPunct/>
                    <w:topLinePunct w:val="0"/>
                    <w:bidi w:val="0"/>
                    <w:adjustRightInd w:val="0"/>
                    <w:snapToGrid w:val="0"/>
                    <w:ind w:right="-1"/>
                    <w:contextualSpacing/>
                    <w:jc w:val="center"/>
                    <w:textAlignment w:val="auto"/>
                    <w:rPr>
                      <w:rFonts w:hint="eastAsia"/>
                      <w:szCs w:val="21"/>
                      <w:lang w:val="en-US" w:eastAsia="zh-CN"/>
                    </w:rPr>
                  </w:pPr>
                  <w:r>
                    <w:rPr>
                      <w:rFonts w:hint="eastAsia"/>
                      <w:szCs w:val="21"/>
                      <w:lang w:val="en-US" w:eastAsia="zh-CN"/>
                    </w:rPr>
                    <w:t>蓄水罐</w:t>
                  </w:r>
                </w:p>
              </w:tc>
              <w:tc>
                <w:tcPr>
                  <w:tcW w:w="3095" w:type="pct"/>
                  <w:noWrap w:val="0"/>
                  <w:vAlign w:val="center"/>
                </w:tcPr>
                <w:p>
                  <w:pPr>
                    <w:pageBreakBefore w:val="0"/>
                    <w:kinsoku/>
                    <w:overflowPunct/>
                    <w:topLinePunct w:val="0"/>
                    <w:bidi w:val="0"/>
                    <w:adjustRightInd w:val="0"/>
                    <w:snapToGrid w:val="0"/>
                    <w:ind w:right="-1"/>
                    <w:contextualSpacing/>
                    <w:jc w:val="center"/>
                    <w:textAlignment w:val="auto"/>
                    <w:rPr>
                      <w:rFonts w:hint="default"/>
                      <w:szCs w:val="21"/>
                      <w:lang w:val="en-US" w:eastAsia="zh-CN"/>
                    </w:rPr>
                  </w:pPr>
                  <w:r>
                    <w:rPr>
                      <w:rFonts w:hint="eastAsia"/>
                      <w:szCs w:val="21"/>
                      <w:lang w:val="en-US" w:eastAsia="zh-CN"/>
                    </w:rPr>
                    <w:t>5t</w:t>
                  </w:r>
                </w:p>
              </w:tc>
              <w:tc>
                <w:tcPr>
                  <w:tcW w:w="389" w:type="pct"/>
                  <w:noWrap w:val="0"/>
                  <w:vAlign w:val="center"/>
                </w:tcPr>
                <w:p>
                  <w:pPr>
                    <w:pageBreakBefore w:val="0"/>
                    <w:kinsoku/>
                    <w:overflowPunct/>
                    <w:topLinePunct w:val="0"/>
                    <w:bidi w:val="0"/>
                    <w:adjustRightInd w:val="0"/>
                    <w:snapToGrid w:val="0"/>
                    <w:ind w:right="-1"/>
                    <w:contextualSpacing/>
                    <w:jc w:val="center"/>
                    <w:textAlignment w:val="auto"/>
                    <w:rPr>
                      <w:rFonts w:hint="default"/>
                      <w:szCs w:val="21"/>
                      <w:lang w:val="en-US" w:eastAsia="zh-CN"/>
                    </w:rPr>
                  </w:pPr>
                  <w:r>
                    <w:rPr>
                      <w:rFonts w:hint="eastAsia"/>
                      <w:szCs w:val="21"/>
                      <w:lang w:val="en-US" w:eastAsia="zh-CN"/>
                    </w:rPr>
                    <w:t>个</w:t>
                  </w:r>
                </w:p>
              </w:tc>
              <w:tc>
                <w:tcPr>
                  <w:tcW w:w="353" w:type="pct"/>
                  <w:noWrap w:val="0"/>
                  <w:vAlign w:val="center"/>
                </w:tcPr>
                <w:p>
                  <w:pPr>
                    <w:pageBreakBefore w:val="0"/>
                    <w:kinsoku/>
                    <w:overflowPunct/>
                    <w:topLinePunct w:val="0"/>
                    <w:bidi w:val="0"/>
                    <w:adjustRightInd w:val="0"/>
                    <w:snapToGrid w:val="0"/>
                    <w:ind w:right="-1"/>
                    <w:contextualSpacing/>
                    <w:jc w:val="center"/>
                    <w:textAlignment w:val="auto"/>
                    <w:rPr>
                      <w:rFonts w:hint="default"/>
                      <w:szCs w:val="21"/>
                      <w:lang w:val="en-US" w:eastAsia="zh-CN"/>
                    </w:rPr>
                  </w:pPr>
                  <w:r>
                    <w:rPr>
                      <w:rFonts w:hint="eastAsia"/>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445" w:type="pct"/>
                  <w:noWrap w:val="0"/>
                  <w:vAlign w:val="center"/>
                </w:tcPr>
                <w:p>
                  <w:pPr>
                    <w:pageBreakBefore w:val="0"/>
                    <w:kinsoku/>
                    <w:overflowPunct/>
                    <w:topLinePunct w:val="0"/>
                    <w:bidi w:val="0"/>
                    <w:adjustRightInd w:val="0"/>
                    <w:snapToGrid w:val="0"/>
                    <w:ind w:right="-1"/>
                    <w:contextualSpacing/>
                    <w:jc w:val="center"/>
                    <w:textAlignment w:val="auto"/>
                    <w:rPr>
                      <w:rFonts w:hint="default"/>
                      <w:szCs w:val="21"/>
                      <w:lang w:val="en-US" w:eastAsia="zh-CN"/>
                    </w:rPr>
                  </w:pPr>
                  <w:r>
                    <w:rPr>
                      <w:rFonts w:hint="eastAsia"/>
                      <w:szCs w:val="21"/>
                      <w:lang w:val="en-US" w:eastAsia="zh-CN"/>
                    </w:rPr>
                    <w:t>10</w:t>
                  </w:r>
                </w:p>
              </w:tc>
              <w:tc>
                <w:tcPr>
                  <w:tcW w:w="716" w:type="pct"/>
                  <w:noWrap w:val="0"/>
                  <w:vAlign w:val="center"/>
                </w:tcPr>
                <w:p>
                  <w:pPr>
                    <w:pageBreakBefore w:val="0"/>
                    <w:kinsoku/>
                    <w:overflowPunct/>
                    <w:topLinePunct w:val="0"/>
                    <w:bidi w:val="0"/>
                    <w:adjustRightInd w:val="0"/>
                    <w:snapToGrid w:val="0"/>
                    <w:ind w:right="-1"/>
                    <w:contextualSpacing/>
                    <w:jc w:val="center"/>
                    <w:textAlignment w:val="auto"/>
                    <w:rPr>
                      <w:rFonts w:hint="default"/>
                      <w:szCs w:val="21"/>
                      <w:lang w:val="en-US" w:eastAsia="zh-CN"/>
                    </w:rPr>
                  </w:pPr>
                  <w:r>
                    <w:rPr>
                      <w:rFonts w:hint="eastAsia"/>
                      <w:szCs w:val="21"/>
                      <w:lang w:val="en-US" w:eastAsia="zh-CN"/>
                    </w:rPr>
                    <w:t>移动锅炉车辆</w:t>
                  </w:r>
                </w:p>
              </w:tc>
              <w:tc>
                <w:tcPr>
                  <w:tcW w:w="3095" w:type="pct"/>
                  <w:noWrap w:val="0"/>
                  <w:vAlign w:val="center"/>
                </w:tcPr>
                <w:p>
                  <w:pPr>
                    <w:pageBreakBefore w:val="0"/>
                    <w:kinsoku/>
                    <w:overflowPunct/>
                    <w:topLinePunct w:val="0"/>
                    <w:bidi w:val="0"/>
                    <w:adjustRightInd w:val="0"/>
                    <w:snapToGrid w:val="0"/>
                    <w:ind w:right="-1"/>
                    <w:contextualSpacing/>
                    <w:jc w:val="center"/>
                    <w:textAlignment w:val="auto"/>
                    <w:rPr>
                      <w:rFonts w:hint="default"/>
                      <w:szCs w:val="21"/>
                      <w:lang w:val="en-US" w:eastAsia="zh-CN"/>
                    </w:rPr>
                  </w:pPr>
                  <w:r>
                    <w:rPr>
                      <w:rFonts w:hint="eastAsia"/>
                      <w:szCs w:val="21"/>
                      <w:lang w:val="en-US" w:eastAsia="zh-CN"/>
                    </w:rPr>
                    <w:t>11.2L/100km</w:t>
                  </w:r>
                </w:p>
              </w:tc>
              <w:tc>
                <w:tcPr>
                  <w:tcW w:w="642" w:type="dxa"/>
                  <w:noWrap w:val="0"/>
                  <w:vAlign w:val="center"/>
                </w:tcPr>
                <w:p>
                  <w:pPr>
                    <w:pageBreakBefore w:val="0"/>
                    <w:kinsoku/>
                    <w:overflowPunct/>
                    <w:topLinePunct w:val="0"/>
                    <w:bidi w:val="0"/>
                    <w:adjustRightInd w:val="0"/>
                    <w:snapToGrid w:val="0"/>
                    <w:ind w:right="-1" w:rightChars="0"/>
                    <w:contextualSpacing/>
                    <w:jc w:val="center"/>
                    <w:textAlignment w:val="auto"/>
                    <w:rPr>
                      <w:rFonts w:hint="eastAsia"/>
                      <w:szCs w:val="21"/>
                      <w:lang w:val="en-US" w:eastAsia="zh-CN"/>
                    </w:rPr>
                  </w:pPr>
                  <w:r>
                    <w:rPr>
                      <w:rFonts w:hint="eastAsia"/>
                      <w:szCs w:val="21"/>
                      <w:lang w:val="en-US" w:eastAsia="zh-CN"/>
                    </w:rPr>
                    <w:t>辆</w:t>
                  </w:r>
                </w:p>
              </w:tc>
              <w:tc>
                <w:tcPr>
                  <w:tcW w:w="582" w:type="dxa"/>
                  <w:noWrap w:val="0"/>
                  <w:vAlign w:val="center"/>
                </w:tcPr>
                <w:p>
                  <w:pPr>
                    <w:pageBreakBefore w:val="0"/>
                    <w:kinsoku/>
                    <w:overflowPunct/>
                    <w:topLinePunct w:val="0"/>
                    <w:bidi w:val="0"/>
                    <w:adjustRightInd w:val="0"/>
                    <w:snapToGrid w:val="0"/>
                    <w:ind w:right="-1" w:rightChars="0"/>
                    <w:contextualSpacing/>
                    <w:jc w:val="center"/>
                    <w:textAlignment w:val="auto"/>
                    <w:rPr>
                      <w:rFonts w:hint="eastAsia"/>
                      <w:szCs w:val="21"/>
                      <w:lang w:val="en-US" w:eastAsia="zh-CN"/>
                    </w:rPr>
                  </w:pPr>
                  <w:r>
                    <w:rPr>
                      <w:rFonts w:hint="eastAsia"/>
                      <w:szCs w:val="21"/>
                      <w:lang w:val="en-US" w:eastAsia="zh-CN"/>
                    </w:rPr>
                    <w:t>1</w:t>
                  </w:r>
                </w:p>
              </w:tc>
            </w:tr>
          </w:tbl>
          <w:p>
            <w:pPr>
              <w:pStyle w:val="5"/>
              <w:keepNext/>
              <w:keepLines/>
              <w:pageBreakBefore w:val="0"/>
              <w:widowControl w:val="0"/>
              <w:kinsoku/>
              <w:wordWrap/>
              <w:overflowPunct/>
              <w:topLinePunct w:val="0"/>
              <w:autoSpaceDE/>
              <w:autoSpaceDN/>
              <w:bidi w:val="0"/>
              <w:adjustRightInd/>
              <w:snapToGrid/>
              <w:spacing w:before="0" w:beforeAutospacing="0" w:after="0" w:afterLines="0" w:afterAutospacing="0" w:line="520" w:lineRule="exact"/>
              <w:ind w:firstLine="482" w:firstLineChars="200"/>
              <w:textAlignment w:val="auto"/>
              <w:rPr>
                <w:rFonts w:hint="default"/>
                <w:b/>
                <w:bCs/>
                <w:kern w:val="2"/>
                <w:sz w:val="24"/>
                <w:szCs w:val="24"/>
                <w:lang w:val="en-US" w:eastAsia="zh-CN" w:bidi="ar-SA"/>
              </w:rPr>
            </w:pPr>
            <w:r>
              <w:rPr>
                <w:rFonts w:hint="eastAsia"/>
                <w:b/>
                <w:bCs/>
                <w:kern w:val="2"/>
                <w:sz w:val="24"/>
                <w:szCs w:val="24"/>
                <w:lang w:val="en-US" w:eastAsia="zh-CN" w:bidi="ar-SA"/>
              </w:rPr>
              <w:t>四、产品方案</w:t>
            </w:r>
          </w:p>
          <w:p>
            <w:pPr>
              <w:pStyle w:val="5"/>
              <w:keepNext/>
              <w:keepLines/>
              <w:pageBreakBefore w:val="0"/>
              <w:widowControl w:val="0"/>
              <w:kinsoku/>
              <w:wordWrap/>
              <w:overflowPunct/>
              <w:topLinePunct w:val="0"/>
              <w:autoSpaceDE/>
              <w:autoSpaceDN/>
              <w:bidi w:val="0"/>
              <w:adjustRightInd/>
              <w:snapToGrid/>
              <w:spacing w:before="0" w:beforeAutospacing="0" w:after="0" w:afterLines="0" w:afterAutospacing="0" w:line="520" w:lineRule="exact"/>
              <w:ind w:firstLine="480" w:firstLineChars="200"/>
              <w:textAlignment w:val="auto"/>
              <w:rPr>
                <w:rFonts w:hint="eastAsia" w:eastAsia="宋体" w:cs="Times New Roman"/>
                <w:b w:val="0"/>
                <w:bCs w:val="0"/>
                <w:sz w:val="24"/>
                <w:szCs w:val="32"/>
                <w:lang w:val="en-US" w:eastAsia="zh-CN"/>
              </w:rPr>
            </w:pPr>
            <w:r>
              <w:rPr>
                <w:rFonts w:hint="eastAsia" w:eastAsia="宋体" w:cs="Times New Roman"/>
                <w:b w:val="0"/>
                <w:bCs w:val="0"/>
                <w:sz w:val="24"/>
                <w:szCs w:val="32"/>
                <w:lang w:val="en-US" w:eastAsia="zh-CN"/>
              </w:rPr>
              <w:t>本项目产品方案见下表。</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sz w:val="24"/>
                <w:szCs w:val="24"/>
                <w:lang w:val="en-US" w:eastAsia="zh-CN"/>
              </w:rPr>
            </w:pPr>
            <w:r>
              <w:rPr>
                <w:rFonts w:hint="eastAsia" w:ascii="Times New Roman" w:hAnsi="Times New Roman" w:eastAsia="宋体" w:cs="Times New Roman"/>
                <w:b/>
                <w:bCs/>
                <w:kern w:val="0"/>
                <w:sz w:val="24"/>
                <w:szCs w:val="24"/>
                <w:lang w:val="en-US" w:eastAsia="zh-CN" w:bidi="ar-SA"/>
              </w:rPr>
              <w:t>表2-3    建设产品方案</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1653"/>
              <w:gridCol w:w="1654"/>
              <w:gridCol w:w="1653"/>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54" w:type="dxa"/>
                  <w:noWrap w:val="0"/>
                  <w:vAlign w:val="center"/>
                </w:tcPr>
                <w:p>
                  <w:pPr>
                    <w:jc w:val="center"/>
                    <w:rPr>
                      <w:rFonts w:hint="default"/>
                      <w:vertAlign w:val="baseline"/>
                      <w:lang w:val="en-US" w:eastAsia="zh-CN"/>
                    </w:rPr>
                  </w:pPr>
                  <w:r>
                    <w:rPr>
                      <w:rFonts w:hint="eastAsia"/>
                      <w:vertAlign w:val="baseline"/>
                      <w:lang w:val="en-US" w:eastAsia="zh-CN"/>
                    </w:rPr>
                    <w:t>序号</w:t>
                  </w:r>
                </w:p>
              </w:tc>
              <w:tc>
                <w:tcPr>
                  <w:tcW w:w="1656" w:type="dxa"/>
                  <w:noWrap w:val="0"/>
                  <w:vAlign w:val="center"/>
                </w:tcPr>
                <w:p>
                  <w:pPr>
                    <w:jc w:val="center"/>
                    <w:rPr>
                      <w:rFonts w:hint="default"/>
                      <w:vertAlign w:val="baseline"/>
                      <w:lang w:val="en-US" w:eastAsia="zh-CN"/>
                    </w:rPr>
                  </w:pPr>
                  <w:r>
                    <w:rPr>
                      <w:rFonts w:hint="eastAsia"/>
                      <w:vertAlign w:val="baseline"/>
                      <w:lang w:val="en-US" w:eastAsia="zh-CN"/>
                    </w:rPr>
                    <w:t>名称</w:t>
                  </w:r>
                </w:p>
              </w:tc>
              <w:tc>
                <w:tcPr>
                  <w:tcW w:w="1656" w:type="dxa"/>
                  <w:noWrap w:val="0"/>
                  <w:vAlign w:val="center"/>
                </w:tcPr>
                <w:p>
                  <w:pPr>
                    <w:jc w:val="center"/>
                    <w:rPr>
                      <w:rFonts w:hint="default"/>
                      <w:vertAlign w:val="baseline"/>
                      <w:lang w:val="en-US" w:eastAsia="zh-CN"/>
                    </w:rPr>
                  </w:pPr>
                  <w:r>
                    <w:rPr>
                      <w:rFonts w:hint="eastAsia"/>
                      <w:vertAlign w:val="baseline"/>
                      <w:lang w:val="en-US" w:eastAsia="zh-CN"/>
                    </w:rPr>
                    <w:t>产生量</w:t>
                  </w:r>
                </w:p>
              </w:tc>
              <w:tc>
                <w:tcPr>
                  <w:tcW w:w="1656" w:type="dxa"/>
                  <w:noWrap w:val="0"/>
                  <w:vAlign w:val="center"/>
                </w:tcPr>
                <w:p>
                  <w:pPr>
                    <w:jc w:val="center"/>
                    <w:rPr>
                      <w:rFonts w:hint="default"/>
                      <w:vertAlign w:val="baseline"/>
                      <w:lang w:val="en-US" w:eastAsia="zh-CN"/>
                    </w:rPr>
                  </w:pPr>
                  <w:r>
                    <w:rPr>
                      <w:rFonts w:hint="eastAsia"/>
                      <w:vertAlign w:val="baseline"/>
                      <w:lang w:val="en-US" w:eastAsia="zh-CN"/>
                    </w:rPr>
                    <w:t>单位</w:t>
                  </w:r>
                </w:p>
              </w:tc>
              <w:tc>
                <w:tcPr>
                  <w:tcW w:w="1657" w:type="dxa"/>
                  <w:noWrap w:val="0"/>
                  <w:vAlign w:val="center"/>
                </w:tcPr>
                <w:p>
                  <w:pPr>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54" w:type="dxa"/>
                  <w:noWrap w:val="0"/>
                  <w:vAlign w:val="center"/>
                </w:tcPr>
                <w:p>
                  <w:pPr>
                    <w:jc w:val="center"/>
                    <w:rPr>
                      <w:rFonts w:hint="default"/>
                      <w:vertAlign w:val="baseline"/>
                      <w:lang w:val="en-US" w:eastAsia="zh-CN"/>
                    </w:rPr>
                  </w:pPr>
                  <w:r>
                    <w:rPr>
                      <w:rFonts w:hint="eastAsia"/>
                      <w:vertAlign w:val="baseline"/>
                      <w:lang w:val="en-US" w:eastAsia="zh-CN"/>
                    </w:rPr>
                    <w:t>1</w:t>
                  </w:r>
                </w:p>
              </w:tc>
              <w:tc>
                <w:tcPr>
                  <w:tcW w:w="1656" w:type="dxa"/>
                  <w:noWrap w:val="0"/>
                  <w:vAlign w:val="center"/>
                </w:tcPr>
                <w:p>
                  <w:pPr>
                    <w:jc w:val="center"/>
                    <w:rPr>
                      <w:rFonts w:hint="default"/>
                      <w:vertAlign w:val="baseline"/>
                      <w:lang w:val="en-US" w:eastAsia="zh-CN"/>
                    </w:rPr>
                  </w:pPr>
                  <w:r>
                    <w:rPr>
                      <w:rFonts w:hint="eastAsia"/>
                      <w:vertAlign w:val="baseline"/>
                      <w:lang w:val="en-US" w:eastAsia="zh-CN"/>
                    </w:rPr>
                    <w:t>蒸汽</w:t>
                  </w:r>
                </w:p>
              </w:tc>
              <w:tc>
                <w:tcPr>
                  <w:tcW w:w="1656" w:type="dxa"/>
                  <w:noWrap w:val="0"/>
                  <w:vAlign w:val="center"/>
                </w:tcPr>
                <w:p>
                  <w:pPr>
                    <w:jc w:val="center"/>
                    <w:rPr>
                      <w:rFonts w:hint="default"/>
                      <w:vertAlign w:val="baseline"/>
                      <w:lang w:val="en-US" w:eastAsia="zh-CN"/>
                    </w:rPr>
                  </w:pPr>
                  <w:r>
                    <w:rPr>
                      <w:rFonts w:hint="eastAsia"/>
                      <w:vertAlign w:val="baseline"/>
                      <w:lang w:val="en-US" w:eastAsia="zh-CN"/>
                    </w:rPr>
                    <w:t>3000</w:t>
                  </w:r>
                </w:p>
              </w:tc>
              <w:tc>
                <w:tcPr>
                  <w:tcW w:w="1656" w:type="dxa"/>
                  <w:noWrap w:val="0"/>
                  <w:vAlign w:val="center"/>
                </w:tcPr>
                <w:p>
                  <w:pPr>
                    <w:jc w:val="center"/>
                    <w:rPr>
                      <w:rFonts w:hint="eastAsia"/>
                      <w:vertAlign w:val="baseline"/>
                      <w:lang w:val="en-US" w:eastAsia="zh-CN"/>
                    </w:rPr>
                  </w:pPr>
                  <w:r>
                    <w:rPr>
                      <w:rFonts w:hint="eastAsia"/>
                      <w:vertAlign w:val="baseline"/>
                      <w:lang w:val="en-US" w:eastAsia="zh-CN"/>
                    </w:rPr>
                    <w:t>t/a</w:t>
                  </w:r>
                </w:p>
              </w:tc>
              <w:tc>
                <w:tcPr>
                  <w:tcW w:w="1657" w:type="dxa"/>
                  <w:noWrap w:val="0"/>
                  <w:vAlign w:val="center"/>
                </w:tcPr>
                <w:p>
                  <w:pPr>
                    <w:jc w:val="center"/>
                    <w:rPr>
                      <w:rFonts w:hint="default"/>
                      <w:vertAlign w:val="baseline"/>
                      <w:lang w:val="en-US" w:eastAsia="zh-CN"/>
                    </w:rPr>
                  </w:pPr>
                  <w:r>
                    <w:rPr>
                      <w:rFonts w:hint="eastAsia"/>
                      <w:vertAlign w:val="baseline"/>
                      <w:lang w:val="en-US" w:eastAsia="zh-CN"/>
                    </w:rPr>
                    <w:t>140</w:t>
                  </w:r>
                  <w:r>
                    <w:rPr>
                      <w:rFonts w:hint="default" w:ascii="Times New Roman" w:hAnsi="Times New Roman" w:cs="Times New Roman"/>
                      <w:vertAlign w:val="baseline"/>
                      <w:lang w:val="en-US" w:eastAsia="zh-CN"/>
                    </w:rPr>
                    <w:t>℃</w:t>
                  </w:r>
                </w:p>
              </w:tc>
            </w:tr>
          </w:tbl>
          <w:p>
            <w:pPr>
              <w:pStyle w:val="5"/>
              <w:pageBreakBefore w:val="0"/>
              <w:widowControl w:val="0"/>
              <w:kinsoku/>
              <w:wordWrap/>
              <w:overflowPunct/>
              <w:topLinePunct w:val="0"/>
              <w:autoSpaceDE/>
              <w:autoSpaceDN/>
              <w:bidi w:val="0"/>
              <w:adjustRightInd/>
              <w:snapToGrid/>
              <w:spacing w:beforeLines="0" w:beforeAutospacing="0" w:afterLines="0" w:afterAutospacing="0" w:line="520" w:lineRule="exact"/>
              <w:ind w:firstLine="482" w:firstLineChars="200"/>
              <w:textAlignment w:val="auto"/>
              <w:rPr>
                <w:rFonts w:hint="eastAsia" w:ascii="Times New Roman" w:hAnsi="Times New Roman" w:eastAsia="宋体" w:cs="Times New Roman"/>
                <w:b/>
                <w:bCs/>
                <w:sz w:val="24"/>
                <w:szCs w:val="32"/>
                <w:lang w:val="en-US" w:eastAsia="zh-CN"/>
              </w:rPr>
            </w:pPr>
            <w:r>
              <w:rPr>
                <w:rFonts w:hint="eastAsia" w:eastAsia="宋体" w:cs="Times New Roman"/>
                <w:b/>
                <w:bCs/>
                <w:sz w:val="24"/>
                <w:szCs w:val="32"/>
                <w:lang w:val="en-US" w:eastAsia="zh-CN"/>
              </w:rPr>
              <w:t>五</w:t>
            </w:r>
            <w:r>
              <w:rPr>
                <w:rFonts w:hint="eastAsia" w:ascii="Times New Roman" w:hAnsi="Times New Roman" w:eastAsia="宋体" w:cs="Times New Roman"/>
                <w:b/>
                <w:bCs/>
                <w:sz w:val="24"/>
                <w:szCs w:val="32"/>
                <w:lang w:val="en-US" w:eastAsia="zh-CN"/>
              </w:rPr>
              <w:t>、主要原辅材料和能源消耗</w:t>
            </w:r>
          </w:p>
          <w:p>
            <w:pPr>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本项目原辅材料消耗见表2-4。</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Times New Roman" w:hAnsi="Times New Roman" w:eastAsia="宋体" w:cs="Times New Roman"/>
                <w:b/>
                <w:bCs/>
                <w:kern w:val="0"/>
                <w:sz w:val="24"/>
                <w:szCs w:val="24"/>
                <w:lang w:val="en-US" w:eastAsia="zh-CN" w:bidi="ar-SA"/>
              </w:rPr>
            </w:pPr>
            <w:r>
              <w:rPr>
                <w:rFonts w:hint="eastAsia" w:ascii="Times New Roman" w:hAnsi="Times New Roman" w:eastAsia="宋体" w:cs="Times New Roman"/>
                <w:b/>
                <w:bCs/>
                <w:kern w:val="0"/>
                <w:sz w:val="24"/>
                <w:szCs w:val="24"/>
                <w:lang w:val="en-US" w:eastAsia="zh-CN" w:bidi="ar-SA"/>
              </w:rPr>
              <w:t>表2-4     项目主要原辅材料、能源消耗和来源一览表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1938"/>
              <w:gridCol w:w="769"/>
              <w:gridCol w:w="1392"/>
              <w:gridCol w:w="3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301" w:type="pct"/>
                  <w:noWrap w:val="0"/>
                  <w:vAlign w:val="center"/>
                </w:tcPr>
                <w:p>
                  <w:pPr>
                    <w:numPr>
                      <w:ilvl w:val="0"/>
                      <w:numId w:val="0"/>
                    </w:numPr>
                    <w:spacing w:line="240" w:lineRule="auto"/>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序号</w:t>
                  </w:r>
                </w:p>
              </w:tc>
              <w:tc>
                <w:tcPr>
                  <w:tcW w:w="1172" w:type="pct"/>
                  <w:noWrap w:val="0"/>
                  <w:vAlign w:val="center"/>
                </w:tcPr>
                <w:p>
                  <w:pPr>
                    <w:numPr>
                      <w:ilvl w:val="0"/>
                      <w:numId w:val="0"/>
                    </w:numPr>
                    <w:spacing w:line="240" w:lineRule="auto"/>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名称</w:t>
                  </w:r>
                </w:p>
              </w:tc>
              <w:tc>
                <w:tcPr>
                  <w:tcW w:w="465" w:type="pct"/>
                  <w:noWrap w:val="0"/>
                  <w:vAlign w:val="center"/>
                </w:tcPr>
                <w:p>
                  <w:pPr>
                    <w:numPr>
                      <w:ilvl w:val="0"/>
                      <w:numId w:val="0"/>
                    </w:numPr>
                    <w:spacing w:line="240" w:lineRule="auto"/>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单位</w:t>
                  </w:r>
                </w:p>
              </w:tc>
              <w:tc>
                <w:tcPr>
                  <w:tcW w:w="842" w:type="pct"/>
                  <w:noWrap w:val="0"/>
                  <w:vAlign w:val="center"/>
                </w:tcPr>
                <w:p>
                  <w:pPr>
                    <w:numPr>
                      <w:ilvl w:val="0"/>
                      <w:numId w:val="0"/>
                    </w:numPr>
                    <w:spacing w:line="240" w:lineRule="auto"/>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用量</w:t>
                  </w:r>
                </w:p>
              </w:tc>
              <w:tc>
                <w:tcPr>
                  <w:tcW w:w="2217" w:type="pct"/>
                  <w:noWrap w:val="0"/>
                  <w:vAlign w:val="center"/>
                </w:tcPr>
                <w:p>
                  <w:pPr>
                    <w:numPr>
                      <w:ilvl w:val="0"/>
                      <w:numId w:val="0"/>
                    </w:numPr>
                    <w:spacing w:line="240" w:lineRule="auto"/>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301" w:type="pct"/>
                  <w:noWrap w:val="0"/>
                  <w:vAlign w:val="center"/>
                </w:tcPr>
                <w:p>
                  <w:pPr>
                    <w:numPr>
                      <w:ilvl w:val="0"/>
                      <w:numId w:val="0"/>
                    </w:numPr>
                    <w:spacing w:line="240" w:lineRule="auto"/>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1</w:t>
                  </w:r>
                </w:p>
              </w:tc>
              <w:tc>
                <w:tcPr>
                  <w:tcW w:w="1172" w:type="pct"/>
                  <w:noWrap w:val="0"/>
                  <w:vAlign w:val="center"/>
                </w:tcPr>
                <w:p>
                  <w:pPr>
                    <w:numPr>
                      <w:ilvl w:val="0"/>
                      <w:numId w:val="0"/>
                    </w:numPr>
                    <w:spacing w:line="240" w:lineRule="auto"/>
                    <w:ind w:left="0" w:leftChars="0" w:firstLine="0" w:firstLineChars="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水</w:t>
                  </w:r>
                </w:p>
              </w:tc>
              <w:tc>
                <w:tcPr>
                  <w:tcW w:w="465" w:type="pct"/>
                  <w:noWrap w:val="0"/>
                  <w:vAlign w:val="center"/>
                </w:tcPr>
                <w:p>
                  <w:pPr>
                    <w:numPr>
                      <w:ilvl w:val="0"/>
                      <w:numId w:val="0"/>
                    </w:numPr>
                    <w:spacing w:line="240" w:lineRule="auto"/>
                    <w:ind w:left="0" w:leftChars="0" w:firstLine="0" w:firstLineChars="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m</w:t>
                  </w:r>
                  <w:r>
                    <w:rPr>
                      <w:rFonts w:hint="eastAsia"/>
                      <w:b w:val="0"/>
                      <w:bCs w:val="0"/>
                      <w:sz w:val="21"/>
                      <w:szCs w:val="21"/>
                      <w:vertAlign w:val="superscript"/>
                      <w:lang w:val="en-US" w:eastAsia="zh-CN"/>
                    </w:rPr>
                    <w:t>3</w:t>
                  </w:r>
                </w:p>
              </w:tc>
              <w:tc>
                <w:tcPr>
                  <w:tcW w:w="842" w:type="pct"/>
                  <w:noWrap w:val="0"/>
                  <w:vAlign w:val="center"/>
                </w:tcPr>
                <w:p>
                  <w:pPr>
                    <w:numPr>
                      <w:ilvl w:val="0"/>
                      <w:numId w:val="0"/>
                    </w:numPr>
                    <w:spacing w:line="240" w:lineRule="auto"/>
                    <w:ind w:left="0" w:leftChars="0" w:firstLine="0" w:firstLineChars="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3000</w:t>
                  </w:r>
                </w:p>
              </w:tc>
              <w:tc>
                <w:tcPr>
                  <w:tcW w:w="2217" w:type="pct"/>
                  <w:noWrap w:val="0"/>
                  <w:vAlign w:val="center"/>
                </w:tcPr>
                <w:p>
                  <w:pPr>
                    <w:numPr>
                      <w:ilvl w:val="0"/>
                      <w:numId w:val="0"/>
                    </w:numPr>
                    <w:spacing w:line="240" w:lineRule="auto"/>
                    <w:ind w:left="0" w:leftChars="0" w:firstLine="0" w:firstLineChars="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轮南镇拉运。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301" w:type="pct"/>
                  <w:noWrap w:val="0"/>
                  <w:vAlign w:val="center"/>
                </w:tcPr>
                <w:p>
                  <w:pPr>
                    <w:numPr>
                      <w:ilvl w:val="0"/>
                      <w:numId w:val="0"/>
                    </w:numPr>
                    <w:spacing w:line="240" w:lineRule="auto"/>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2</w:t>
                  </w:r>
                </w:p>
              </w:tc>
              <w:tc>
                <w:tcPr>
                  <w:tcW w:w="1172" w:type="pct"/>
                  <w:noWrap w:val="0"/>
                  <w:vAlign w:val="center"/>
                </w:tcPr>
                <w:p>
                  <w:pPr>
                    <w:numPr>
                      <w:ilvl w:val="0"/>
                      <w:numId w:val="0"/>
                    </w:numPr>
                    <w:spacing w:line="240" w:lineRule="auto"/>
                    <w:ind w:left="0" w:leftChars="0" w:firstLine="0" w:firstLineChars="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生物质成型燃料</w:t>
                  </w:r>
                </w:p>
              </w:tc>
              <w:tc>
                <w:tcPr>
                  <w:tcW w:w="465" w:type="pct"/>
                  <w:noWrap w:val="0"/>
                  <w:vAlign w:val="center"/>
                </w:tcPr>
                <w:p>
                  <w:pPr>
                    <w:numPr>
                      <w:ilvl w:val="0"/>
                      <w:numId w:val="0"/>
                    </w:numPr>
                    <w:spacing w:line="240" w:lineRule="auto"/>
                    <w:ind w:left="0" w:leftChars="0" w:firstLine="0" w:firstLineChars="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t/a</w:t>
                  </w:r>
                </w:p>
              </w:tc>
              <w:tc>
                <w:tcPr>
                  <w:tcW w:w="842" w:type="pct"/>
                  <w:noWrap w:val="0"/>
                  <w:vAlign w:val="center"/>
                </w:tcPr>
                <w:p>
                  <w:pPr>
                    <w:numPr>
                      <w:ilvl w:val="0"/>
                      <w:numId w:val="0"/>
                    </w:numPr>
                    <w:spacing w:line="240" w:lineRule="auto"/>
                    <w:ind w:left="0" w:leftChars="0" w:firstLine="0" w:firstLineChars="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540</w:t>
                  </w:r>
                </w:p>
              </w:tc>
              <w:tc>
                <w:tcPr>
                  <w:tcW w:w="2217" w:type="pct"/>
                  <w:noWrap w:val="0"/>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成型颗粒，袋装暂存在油区生活区，移动锅炉车每日携带。</w:t>
                  </w:r>
                </w:p>
                <w:p>
                  <w:pPr>
                    <w:numPr>
                      <w:ilvl w:val="0"/>
                      <w:numId w:val="0"/>
                    </w:numPr>
                    <w:jc w:val="center"/>
                    <w:rPr>
                      <w:rFonts w:hint="eastAsia"/>
                      <w:szCs w:val="21"/>
                      <w:lang w:val="en-US" w:eastAsia="zh-CN"/>
                    </w:rPr>
                  </w:pPr>
                  <w:r>
                    <w:rPr>
                      <w:rFonts w:hint="eastAsia"/>
                      <w:szCs w:val="21"/>
                      <w:lang w:val="en-US" w:eastAsia="zh-CN"/>
                    </w:rPr>
                    <w:t>收到基全硫：0.018%，干基全硫0.02%，空干基灰分5.05%，干基灰分5.26%，空干基挥发分75.83%，收到基低位热量4044Kcal/kg。见附件生物质颗粒成分分析。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01" w:type="pct"/>
                  <w:noWrap w:val="0"/>
                  <w:vAlign w:val="center"/>
                </w:tcPr>
                <w:p>
                  <w:pPr>
                    <w:numPr>
                      <w:ilvl w:val="0"/>
                      <w:numId w:val="0"/>
                    </w:numPr>
                    <w:spacing w:line="240" w:lineRule="auto"/>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3</w:t>
                  </w:r>
                </w:p>
              </w:tc>
              <w:tc>
                <w:tcPr>
                  <w:tcW w:w="1172" w:type="pct"/>
                  <w:noWrap w:val="0"/>
                  <w:vAlign w:val="center"/>
                </w:tcPr>
                <w:p>
                  <w:pPr>
                    <w:numPr>
                      <w:ilvl w:val="0"/>
                      <w:numId w:val="0"/>
                    </w:numPr>
                    <w:spacing w:line="240" w:lineRule="auto"/>
                    <w:ind w:left="0" w:leftChars="0" w:firstLine="0" w:firstLineChars="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车辆用柴油</w:t>
                  </w:r>
                </w:p>
              </w:tc>
              <w:tc>
                <w:tcPr>
                  <w:tcW w:w="465" w:type="pct"/>
                  <w:noWrap w:val="0"/>
                  <w:vAlign w:val="center"/>
                </w:tcPr>
                <w:p>
                  <w:pPr>
                    <w:numPr>
                      <w:ilvl w:val="0"/>
                      <w:numId w:val="0"/>
                    </w:numPr>
                    <w:spacing w:line="240" w:lineRule="auto"/>
                    <w:ind w:left="0" w:leftChars="0" w:firstLine="0" w:firstLineChars="0"/>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t/a</w:t>
                  </w:r>
                </w:p>
              </w:tc>
              <w:tc>
                <w:tcPr>
                  <w:tcW w:w="842" w:type="pct"/>
                  <w:noWrap w:val="0"/>
                  <w:vAlign w:val="center"/>
                </w:tcPr>
                <w:p>
                  <w:pPr>
                    <w:numPr>
                      <w:ilvl w:val="0"/>
                      <w:numId w:val="0"/>
                    </w:numPr>
                    <w:spacing w:line="240" w:lineRule="auto"/>
                    <w:ind w:left="0" w:leftChars="0" w:firstLine="0" w:firstLineChars="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0.281</w:t>
                  </w:r>
                </w:p>
              </w:tc>
              <w:tc>
                <w:tcPr>
                  <w:tcW w:w="2217" w:type="pct"/>
                  <w:noWrap w:val="0"/>
                  <w:vAlign w:val="center"/>
                </w:tcPr>
                <w:p>
                  <w:pPr>
                    <w:numPr>
                      <w:ilvl w:val="0"/>
                      <w:numId w:val="0"/>
                    </w:numPr>
                    <w:spacing w:line="240" w:lineRule="auto"/>
                    <w:ind w:left="0" w:leftChars="0" w:firstLine="0" w:firstLineChars="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运水车定期从轮南镇拉运，柴油使用塑胶柴油桶，不在临时区域暂存。</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sz w:val="24"/>
                <w:lang w:val="en-US" w:eastAsia="zh-CN"/>
              </w:rPr>
            </w:pPr>
            <w:r>
              <w:rPr>
                <w:rFonts w:hint="eastAsia" w:ascii="Times New Roman" w:hAnsi="Times New Roman" w:eastAsia="宋体"/>
                <w:b/>
                <w:color w:val="000000"/>
                <w:sz w:val="24"/>
                <w:szCs w:val="24"/>
                <w:lang w:eastAsia="zh-CN"/>
              </w:rPr>
              <w:drawing>
                <wp:anchor distT="0" distB="0" distL="114300" distR="114300" simplePos="0" relativeHeight="251672576" behindDoc="1" locked="0" layoutInCell="1" allowOverlap="1">
                  <wp:simplePos x="0" y="0"/>
                  <wp:positionH relativeFrom="column">
                    <wp:posOffset>104140</wp:posOffset>
                  </wp:positionH>
                  <wp:positionV relativeFrom="paragraph">
                    <wp:posOffset>549910</wp:posOffset>
                  </wp:positionV>
                  <wp:extent cx="5251450" cy="2014220"/>
                  <wp:effectExtent l="0" t="0" r="0" b="0"/>
                  <wp:wrapNone/>
                  <wp:docPr id="14" name="ECB019B1-382A-4266-B25C-5B523AA43C14-1" descr="C:/Users/Administrator/AppData/Local/Temp/wps.KQgXx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1" descr="C:/Users/Administrator/AppData/Local/Temp/wps.KQgXxYwps"/>
                          <pic:cNvPicPr>
                            <a:picLocks noChangeAspect="1"/>
                          </pic:cNvPicPr>
                        </pic:nvPicPr>
                        <pic:blipFill>
                          <a:blip r:embed="rId15"/>
                          <a:stretch>
                            <a:fillRect/>
                          </a:stretch>
                        </pic:blipFill>
                        <pic:spPr>
                          <a:xfrm>
                            <a:off x="0" y="0"/>
                            <a:ext cx="5251450" cy="201422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Times New Roman" w:hAnsi="Times New Roman"/>
                <w:b/>
                <w:color w:val="000000"/>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Times New Roman" w:hAnsi="Times New Roman"/>
                <w:b/>
                <w:color w:val="000000"/>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Times New Roman" w:hAnsi="Times New Roman" w:eastAsia="宋体"/>
                <w:b/>
                <w:color w:val="000000"/>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Times New Roman" w:hAnsi="Times New Roman"/>
                <w:b/>
                <w:color w:val="000000"/>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Times New Roman" w:hAnsi="Times New Roman"/>
                <w:b/>
                <w:color w:val="000000"/>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Times New Roman" w:hAnsi="Times New Roman"/>
                <w:b/>
                <w:color w:val="000000"/>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Times New Roman" w:hAnsi="Times New Roman"/>
                <w:b/>
                <w:color w:val="000000"/>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Times New Roman" w:hAnsi="Times New Roman"/>
                <w:b/>
                <w:color w:val="000000"/>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b/>
                <w:color w:val="000000"/>
                <w:sz w:val="24"/>
                <w:szCs w:val="24"/>
                <w:lang w:val="en-US" w:eastAsia="zh-CN"/>
              </w:rPr>
            </w:pPr>
            <w:r>
              <w:rPr>
                <w:rFonts w:hint="eastAsia" w:ascii="Times New Roman" w:hAnsi="Times New Roman"/>
                <w:b/>
                <w:color w:val="000000"/>
                <w:sz w:val="24"/>
                <w:szCs w:val="24"/>
              </w:rPr>
              <w:t>图</w:t>
            </w:r>
            <w:r>
              <w:rPr>
                <w:rFonts w:hint="eastAsia" w:ascii="Times New Roman" w:hAnsi="Times New Roman"/>
                <w:b/>
                <w:color w:val="000000"/>
                <w:sz w:val="24"/>
                <w:szCs w:val="24"/>
                <w:lang w:val="en-US" w:eastAsia="zh-CN"/>
              </w:rPr>
              <w:t>2-1     锅炉</w:t>
            </w:r>
            <w:r>
              <w:rPr>
                <w:rFonts w:hint="eastAsia" w:ascii="Times New Roman" w:hAnsi="Times New Roman"/>
                <w:b/>
                <w:color w:val="000000"/>
                <w:sz w:val="24"/>
                <w:szCs w:val="24"/>
              </w:rPr>
              <w:t>水平衡示意图</w:t>
            </w:r>
            <w:r>
              <w:rPr>
                <w:rFonts w:hint="eastAsia" w:ascii="Times New Roman" w:hAnsi="Times New Roman" w:eastAsia="宋体" w:cs="Times New Roman"/>
                <w:b/>
                <w:color w:val="000000"/>
                <w:sz w:val="24"/>
                <w:szCs w:val="24"/>
                <w:lang w:val="en-US" w:eastAsia="zh-CN"/>
              </w:rPr>
              <w:t xml:space="preserve">    单位：t/a</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kern w:val="2"/>
                <w:sz w:val="24"/>
                <w:szCs w:val="24"/>
                <w:lang w:val="en-US" w:eastAsia="zh-CN" w:bidi="ar-SA"/>
              </w:rPr>
              <w:t>五、</w:t>
            </w:r>
            <w:r>
              <w:rPr>
                <w:rFonts w:hint="eastAsia" w:ascii="宋体" w:hAnsi="宋体" w:eastAsia="宋体" w:cs="宋体"/>
                <w:b/>
                <w:bCs/>
                <w:sz w:val="24"/>
                <w:szCs w:val="24"/>
                <w:lang w:val="en-US" w:eastAsia="zh-CN"/>
              </w:rPr>
              <w:t>劳动定员及工作制度</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宋体" w:hAnsi="宋体" w:eastAsia="宋体" w:cs="宋体"/>
                <w:b/>
                <w:bCs/>
                <w:sz w:val="24"/>
                <w:szCs w:val="24"/>
                <w:lang w:val="en-US" w:eastAsia="zh-CN"/>
              </w:rPr>
            </w:pPr>
            <w:r>
              <w:rPr>
                <w:rFonts w:hint="eastAsia" w:ascii="宋体" w:hAnsi="宋体" w:eastAsia="宋体" w:cs="宋体"/>
                <w:color w:val="000000"/>
                <w:sz w:val="24"/>
              </w:rPr>
              <w:t>本项目配置总人数为</w:t>
            </w:r>
            <w:r>
              <w:rPr>
                <w:rFonts w:hint="eastAsia" w:ascii="宋体" w:hAnsi="宋体" w:cs="宋体"/>
                <w:color w:val="000000"/>
                <w:sz w:val="24"/>
                <w:lang w:val="en-US" w:eastAsia="zh-CN"/>
              </w:rPr>
              <w:t>3</w:t>
            </w:r>
            <w:r>
              <w:rPr>
                <w:rFonts w:hint="eastAsia" w:ascii="宋体" w:hAnsi="宋体" w:eastAsia="宋体" w:cs="宋体"/>
                <w:color w:val="000000"/>
                <w:sz w:val="24"/>
              </w:rPr>
              <w:t>人</w:t>
            </w:r>
            <w:r>
              <w:rPr>
                <w:rFonts w:hint="eastAsia" w:ascii="宋体" w:hAnsi="宋体" w:eastAsia="宋体" w:cs="宋体"/>
                <w:color w:val="000000"/>
                <w:sz w:val="24"/>
                <w:lang w:val="en-US" w:eastAsia="zh-CN"/>
              </w:rPr>
              <w:t>。</w:t>
            </w:r>
            <w:r>
              <w:rPr>
                <w:rFonts w:hint="eastAsia" w:ascii="宋体" w:hAnsi="宋体" w:eastAsia="宋体" w:cs="宋体"/>
                <w:color w:val="000000"/>
                <w:sz w:val="24"/>
              </w:rPr>
              <w:t>年</w:t>
            </w:r>
            <w:r>
              <w:rPr>
                <w:rFonts w:hint="eastAsia" w:ascii="宋体" w:hAnsi="宋体" w:eastAsia="宋体" w:cs="宋体"/>
                <w:color w:val="000000"/>
                <w:sz w:val="24"/>
                <w:lang w:val="en-US" w:eastAsia="zh-CN"/>
              </w:rPr>
              <w:t>工作</w:t>
            </w:r>
            <w:r>
              <w:rPr>
                <w:rFonts w:hint="eastAsia" w:ascii="宋体" w:hAnsi="宋体" w:eastAsia="宋体" w:cs="宋体"/>
                <w:color w:val="000000"/>
                <w:sz w:val="24"/>
              </w:rPr>
              <w:t>约</w:t>
            </w:r>
            <w:r>
              <w:rPr>
                <w:rFonts w:hint="eastAsia" w:ascii="宋体" w:hAnsi="宋体" w:eastAsia="宋体" w:cs="宋体"/>
                <w:color w:val="000000"/>
                <w:sz w:val="24"/>
                <w:lang w:val="en-US" w:eastAsia="zh-CN"/>
              </w:rPr>
              <w:t>150</w:t>
            </w:r>
            <w:r>
              <w:rPr>
                <w:rFonts w:hint="eastAsia" w:ascii="宋体" w:hAnsi="宋体" w:eastAsia="宋体" w:cs="宋体"/>
                <w:color w:val="000000"/>
                <w:sz w:val="24"/>
              </w:rPr>
              <w:t>天，</w:t>
            </w:r>
            <w:r>
              <w:rPr>
                <w:rFonts w:hint="eastAsia" w:ascii="宋体" w:hAnsi="宋体" w:eastAsia="宋体" w:cs="宋体"/>
                <w:color w:val="000000"/>
                <w:sz w:val="24"/>
                <w:lang w:val="en-US" w:eastAsia="zh-CN"/>
              </w:rPr>
              <w:t>8h工作制</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锅炉平均运行1200h。</w:t>
            </w:r>
            <w:r>
              <w:rPr>
                <w:rFonts w:hint="eastAsia" w:ascii="宋体" w:hAnsi="宋体" w:cs="宋体"/>
                <w:color w:val="000000"/>
                <w:sz w:val="24"/>
                <w:lang w:val="en-US" w:eastAsia="zh-CN"/>
              </w:rPr>
              <w:t>移动锅炉车一周更换一次服务地点。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32"/>
                <w:lang w:val="en-US" w:eastAsia="zh-CN"/>
              </w:rPr>
              <w:t>六</w:t>
            </w:r>
            <w:r>
              <w:rPr>
                <w:rFonts w:hint="eastAsia" w:ascii="宋体" w:hAnsi="宋体" w:eastAsia="宋体" w:cs="宋体"/>
                <w:b/>
                <w:bCs/>
                <w:kern w:val="2"/>
                <w:sz w:val="24"/>
                <w:szCs w:val="24"/>
                <w:lang w:val="en-US" w:eastAsia="zh-CN" w:bidi="ar-SA"/>
              </w:rPr>
              <w:t>、</w:t>
            </w:r>
            <w:r>
              <w:rPr>
                <w:rFonts w:hint="eastAsia" w:ascii="宋体" w:hAnsi="宋体" w:eastAsia="宋体" w:cs="宋体"/>
                <w:b/>
                <w:bCs/>
                <w:sz w:val="24"/>
                <w:szCs w:val="24"/>
                <w:lang w:val="en-US" w:eastAsia="zh-CN"/>
              </w:rPr>
              <w:t>项目总平面布置</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本项目</w:t>
            </w:r>
            <w:r>
              <w:rPr>
                <w:rFonts w:hint="eastAsia" w:ascii="宋体" w:hAnsi="宋体" w:cs="宋体"/>
                <w:b w:val="0"/>
                <w:bCs w:val="0"/>
                <w:sz w:val="24"/>
                <w:szCs w:val="24"/>
                <w:lang w:val="en-US" w:eastAsia="zh-CN"/>
              </w:rPr>
              <w:t>位于新疆维吾尔自治区巴州轮台县。项目所在位置见附图1 项目地理位置关系图。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本项目</w:t>
            </w:r>
            <w:r>
              <w:rPr>
                <w:rFonts w:hint="eastAsia" w:ascii="宋体" w:hAnsi="宋体" w:cs="宋体"/>
                <w:b w:val="0"/>
                <w:bCs w:val="0"/>
                <w:sz w:val="24"/>
                <w:szCs w:val="24"/>
                <w:lang w:val="en-US" w:eastAsia="zh-CN"/>
              </w:rPr>
              <w:t>租赁</w:t>
            </w:r>
            <w:r>
              <w:rPr>
                <w:rFonts w:hint="eastAsia" w:ascii="宋体" w:hAnsi="宋体" w:eastAsia="宋体" w:cs="宋体"/>
                <w:b w:val="0"/>
                <w:bCs w:val="0"/>
                <w:sz w:val="24"/>
                <w:szCs w:val="24"/>
                <w:lang w:val="en-US" w:eastAsia="zh-CN"/>
              </w:rPr>
              <w:t>巴州正海商贸有限公司</w:t>
            </w:r>
            <w:r>
              <w:rPr>
                <w:rFonts w:hint="eastAsia" w:ascii="宋体" w:hAnsi="宋体" w:cs="宋体"/>
                <w:b w:val="0"/>
                <w:bCs w:val="0"/>
                <w:sz w:val="24"/>
                <w:szCs w:val="24"/>
                <w:lang w:val="en-US" w:eastAsia="zh-CN"/>
              </w:rPr>
              <w:t>1000m</w:t>
            </w:r>
            <w:r>
              <w:rPr>
                <w:rFonts w:hint="eastAsia" w:ascii="宋体" w:hAnsi="宋体" w:cs="宋体"/>
                <w:b w:val="0"/>
                <w:bCs w:val="0"/>
                <w:sz w:val="24"/>
                <w:szCs w:val="24"/>
                <w:vertAlign w:val="superscript"/>
                <w:lang w:val="en-US" w:eastAsia="zh-CN"/>
              </w:rPr>
              <w:t>2</w:t>
            </w:r>
            <w:r>
              <w:rPr>
                <w:rFonts w:hint="eastAsia" w:ascii="宋体" w:hAnsi="宋体" w:cs="宋体"/>
                <w:b w:val="0"/>
                <w:bCs w:val="0"/>
                <w:sz w:val="24"/>
                <w:szCs w:val="24"/>
                <w:lang w:val="en-US" w:eastAsia="zh-CN"/>
              </w:rPr>
              <w:t>场地用于停放移动式锅炉车，</w:t>
            </w:r>
            <w:r>
              <w:rPr>
                <w:rFonts w:hint="eastAsia" w:ascii="宋体" w:hAnsi="宋体" w:eastAsia="宋体" w:cs="宋体"/>
                <w:b w:val="0"/>
                <w:bCs w:val="0"/>
                <w:sz w:val="24"/>
                <w:szCs w:val="24"/>
                <w:lang w:val="en-US" w:eastAsia="zh-CN"/>
              </w:rPr>
              <w:t>作业季时于轮南镇内活动。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本项目租赁场地位于轮台县沙漠公路3km</w:t>
            </w:r>
            <w:r>
              <w:rPr>
                <w:rFonts w:hint="eastAsia" w:ascii="宋体" w:hAnsi="宋体" w:eastAsia="宋体" w:cs="宋体"/>
                <w:b w:val="0"/>
                <w:bCs w:val="0"/>
                <w:sz w:val="24"/>
                <w:szCs w:val="24"/>
                <w:lang w:val="en-US" w:eastAsia="zh-CN"/>
              </w:rPr>
              <w:t>巴州正海商贸有限公司</w:t>
            </w:r>
            <w:r>
              <w:rPr>
                <w:rFonts w:hint="eastAsia" w:ascii="宋体" w:hAnsi="宋体" w:cs="宋体"/>
                <w:b w:val="0"/>
                <w:bCs w:val="0"/>
                <w:sz w:val="24"/>
                <w:szCs w:val="24"/>
                <w:lang w:val="en-US" w:eastAsia="zh-CN"/>
              </w:rPr>
              <w:t>大院内。项目区北侧为空地，南侧51m处为安东石油轮台新基地，东侧37m处为新疆国欣种业有限公司，西侧137m处为新民佳乐水泥制品有限公司，见附图2 项目周边关系示意图。</w:t>
            </w:r>
            <w:r>
              <w:rPr>
                <w:rFonts w:hint="eastAsia" w:ascii="宋体" w:hAnsi="宋体" w:eastAsia="宋体" w:cs="宋体"/>
                <w:sz w:val="24"/>
                <w:szCs w:val="24"/>
                <w:lang w:val="en-US" w:eastAsia="zh-CN"/>
              </w:rPr>
              <w:t>移动锅炉服务</w:t>
            </w:r>
            <w:r>
              <w:rPr>
                <w:rFonts w:hint="eastAsia" w:ascii="宋体" w:hAnsi="宋体" w:cs="宋体"/>
                <w:sz w:val="24"/>
                <w:szCs w:val="24"/>
                <w:lang w:val="en-US" w:eastAsia="zh-CN"/>
              </w:rPr>
              <w:t>区域为油田井队，</w:t>
            </w:r>
            <w:r>
              <w:rPr>
                <w:rFonts w:hint="eastAsia" w:ascii="宋体" w:hAnsi="宋体" w:eastAsia="宋体" w:cs="宋体"/>
                <w:sz w:val="24"/>
                <w:szCs w:val="24"/>
                <w:lang w:val="en-US" w:eastAsia="zh-CN"/>
              </w:rPr>
              <w:t>各井口</w:t>
            </w:r>
            <w:r>
              <w:rPr>
                <w:rFonts w:hint="eastAsia" w:ascii="宋体" w:hAnsi="宋体" w:cs="宋体"/>
                <w:sz w:val="24"/>
                <w:szCs w:val="24"/>
                <w:lang w:val="en-US" w:eastAsia="zh-CN"/>
              </w:rPr>
              <w:t>周边无建筑物及敏感目标。</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b/>
                <w:bCs/>
                <w:sz w:val="24"/>
                <w:szCs w:val="24"/>
                <w:lang w:val="en-US" w:eastAsia="zh-CN"/>
              </w:rPr>
            </w:pPr>
            <w:r>
              <w:rPr>
                <w:rFonts w:hint="eastAsia" w:ascii="宋体" w:hAnsi="宋体" w:eastAsia="宋体" w:cs="宋体"/>
                <w:sz w:val="24"/>
                <w:szCs w:val="24"/>
                <w:lang w:val="en-US" w:eastAsia="zh-CN"/>
              </w:rPr>
              <w:t>本</w:t>
            </w:r>
            <w:r>
              <w:rPr>
                <w:rFonts w:hint="eastAsia" w:ascii="宋体" w:hAnsi="宋体" w:eastAsia="宋体" w:cs="宋体"/>
                <w:color w:val="0000FF"/>
                <w:sz w:val="24"/>
                <w:szCs w:val="24"/>
                <w:lang w:val="en-US" w:eastAsia="zh-CN"/>
                <w:rPrChange w:id="4" w:author="Administrator" w:date="2025-08-17T12:59:07Z">
                  <w:rPr>
                    <w:rFonts w:hint="eastAsia" w:ascii="宋体" w:hAnsi="宋体" w:eastAsia="宋体" w:cs="宋体"/>
                    <w:sz w:val="24"/>
                    <w:szCs w:val="24"/>
                    <w:lang w:val="en-US" w:eastAsia="zh-CN"/>
                  </w:rPr>
                </w:rPrChange>
              </w:rPr>
              <w:t>项目移动锅炉服务范围位于新疆巴音郭楞蒙古自治州塔里木油田服务，项目服务区范围图</w:t>
            </w:r>
            <w:r>
              <w:rPr>
                <w:rFonts w:hint="eastAsia" w:ascii="宋体" w:hAnsi="宋体" w:eastAsia="宋体" w:cs="宋体"/>
                <w:sz w:val="24"/>
                <w:szCs w:val="24"/>
                <w:lang w:val="en-US" w:eastAsia="zh-CN"/>
              </w:rPr>
              <w:t>见附图3 移动锅炉租赁范围及“三线一单”示意图。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492" w:type="dxa"/>
            <w:noWrap w:val="0"/>
            <w:vAlign w:val="center"/>
          </w:tcPr>
          <w:p>
            <w:pPr>
              <w:pStyle w:val="18"/>
              <w:adjustRightInd w:val="0"/>
              <w:snapToGrid w:val="0"/>
              <w:spacing w:before="0" w:beforeAutospacing="0" w:after="0" w:afterAutospacing="0"/>
              <w:jc w:val="center"/>
              <w:rPr>
                <w:rFonts w:hint="default" w:ascii="Times New Roman" w:hAnsi="Times New Roman" w:cs="Times New Roman"/>
                <w:sz w:val="24"/>
                <w:szCs w:val="24"/>
              </w:rPr>
            </w:pPr>
            <w:r>
              <w:rPr>
                <w:rFonts w:hint="default" w:ascii="Times New Roman" w:hAnsi="Times New Roman" w:cs="Times New Roman"/>
                <w:sz w:val="24"/>
                <w:szCs w:val="24"/>
              </w:rPr>
              <w:t>工艺流程和产排污环节</w:t>
            </w:r>
          </w:p>
        </w:tc>
        <w:tc>
          <w:tcPr>
            <w:tcW w:w="8492" w:type="dxa"/>
            <w:noWrap w:val="0"/>
            <w:vAlign w:val="top"/>
          </w:tcPr>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运营期工艺流程及产污环节图：</w:t>
            </w:r>
          </w:p>
          <w:p>
            <w:pPr>
              <w:adjustRightInd w:val="0"/>
              <w:snapToGrid w:val="0"/>
              <w:spacing w:line="360" w:lineRule="auto"/>
              <w:ind w:firstLine="480" w:firstLineChars="200"/>
              <w:rPr>
                <w:rFonts w:hint="eastAsia" w:ascii="Times New Roman" w:hAnsi="Times New Roman" w:cs="Times New Roman"/>
                <w:bCs/>
                <w:sz w:val="24"/>
                <w:szCs w:val="24"/>
                <w:lang w:val="en-US"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1031240</wp:posOffset>
                      </wp:positionH>
                      <wp:positionV relativeFrom="paragraph">
                        <wp:posOffset>194945</wp:posOffset>
                      </wp:positionV>
                      <wp:extent cx="1661160" cy="485775"/>
                      <wp:effectExtent l="0" t="0" r="15240" b="9525"/>
                      <wp:wrapNone/>
                      <wp:docPr id="6" name="文本框 7"/>
                      <wp:cNvGraphicFramePr/>
                      <a:graphic xmlns:a="http://schemas.openxmlformats.org/drawingml/2006/main">
                        <a:graphicData uri="http://schemas.microsoft.com/office/word/2010/wordprocessingShape">
                          <wps:wsp>
                            <wps:cNvSpPr txBox="1"/>
                            <wps:spPr>
                              <a:xfrm>
                                <a:off x="0" y="0"/>
                                <a:ext cx="1661160" cy="485775"/>
                              </a:xfrm>
                              <a:prstGeom prst="rect">
                                <a:avLst/>
                              </a:prstGeom>
                              <a:solidFill>
                                <a:srgbClr val="FFFFFF"/>
                              </a:solidFill>
                              <a:ln>
                                <a:noFill/>
                              </a:ln>
                            </wps:spPr>
                            <wps:txbx>
                              <w:txbxContent>
                                <w:p>
                                  <w:pPr>
                                    <w:jc w:val="center"/>
                                    <w:rPr>
                                      <w:rFonts w:hint="default" w:eastAsia="宋体"/>
                                      <w:lang w:val="en-US" w:eastAsia="zh-CN"/>
                                    </w:rPr>
                                  </w:pPr>
                                  <w:r>
                                    <w:rPr>
                                      <w:rFonts w:hint="eastAsia"/>
                                      <w:lang w:val="en-US" w:eastAsia="zh-CN"/>
                                    </w:rPr>
                                    <w:t>锅炉废气经除尘器处理后经30米排气筒排放</w:t>
                                  </w:r>
                                </w:p>
                              </w:txbxContent>
                            </wps:txbx>
                            <wps:bodyPr vert="horz" wrap="square" anchor="t" anchorCtr="0" upright="1"/>
                          </wps:wsp>
                        </a:graphicData>
                      </a:graphic>
                    </wp:anchor>
                  </w:drawing>
                </mc:Choice>
                <mc:Fallback>
                  <w:pict>
                    <v:shape id="文本框 7" o:spid="_x0000_s1026" o:spt="202" type="#_x0000_t202" style="position:absolute;left:0pt;margin-left:81.2pt;margin-top:15.35pt;height:38.25pt;width:130.8pt;z-index:251664384;mso-width-relative:page;mso-height-relative:page;" fillcolor="#FFFFFF" filled="t" stroked="f" coordsize="21600,21600" o:gfxdata="UEsDBAoAAAAAAIdO4kAAAAAAAAAAAAAAAAAEAAAAZHJzL1BLAwQUAAAACACHTuJAgpctLdYAAAAK&#10;AQAADwAAAGRycy9kb3ducmV2LnhtbE2PwU7DMBBE70j8g7VIXBC1G0ICIU4lkEBcW/oBm2SbRMTr&#10;KHab9u9ZTnAczWjmTbk5u1GdaA6DZwvrlQFF3Ph24M7C/uv9/glUiMgtjp7JwoUCbKrrqxKL1i+8&#10;pdMudkpKOBRooY9xKrQOTU8Ow8pPxOId/Owwipw73c64SLkbdWJMph0OLAs9TvTWU/O9OzoLh8/l&#10;7vF5qT/iPt+m2SsOee0v1t7erM0LqEjn+BeGX3xBh0qYan/kNqhRdJakErXwYHJQEkiTVM7V4pg8&#10;AV2V+v+F6gdQSwMEFAAAAAgAh07iQCy0k4TeAQAAqgMAAA4AAABkcnMvZTJvRG9jLnhtbK1TzY7T&#10;MBC+I/EOlu807YpNV1XTldiqXBAgLTyA6ziJJf8x4zYpDwBvwIkLd56rz7Fjp+3CctkDOTj2zPib&#10;+b4ZL28Ha9heAWrvKj6bTDlTTvpau7binz9tXt1whlG4WhjvVMUPCvnt6uWLZR8W6sp33tQKGIE4&#10;XPSh4l2MYVEUKDtlBU58UI6cjQcrIh2hLWoQPaFbU1xNp2XRe6gDeKkQyboenfyECM8B9E2jpVp7&#10;ubPKxREVlBGRKGGnA/JVrrZplIwfmgZVZKbixDTmlZLQfpvWYrUUixZE6LQ8lSCeU8ITTlZoR0kv&#10;UGsRBduB/gfKagkefRMn0ttiJJIVIRaz6RNt7jsRVOZCUmO4iI7/D1a+338EpuuKl5w5Yanhxx/f&#10;jz9/H399Y/MkTx9wQVH3geLi8MYPNDRnO5IxsR4asOlPfBj5SdzDRVw1RCbTpbKczUpySfK9vrme&#10;z68TTPF4OwDGt8pbljYVB2pe1lTs32EcQ88hKRl6o+uNNiYfoN3eGWB7QY3e5O+E/leYcSnY+XRt&#10;REyWInEcuaRdHLbDifjW1wfiTc+FCuo8fOWsp2GpOH7ZCVCcCSfJXPF43t7Fcbp2AXTb0a0sVs5A&#10;Lcx8T+OWZuTPc67j8YmtH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Cly0t1gAAAAoBAAAPAAAA&#10;AAAAAAEAIAAAACIAAABkcnMvZG93bnJldi54bWxQSwECFAAUAAAACACHTuJALLSThN4BAACqAwAA&#10;DgAAAAAAAAABACAAAAAlAQAAZHJzL2Uyb0RvYy54bWxQSwUGAAAAAAYABgBZAQAAdQUAAAAA&#10;">
                      <v:fill on="t" focussize="0,0"/>
                      <v:stroke on="f"/>
                      <v:imagedata o:title=""/>
                      <o:lock v:ext="edit" aspectratio="f"/>
                      <v:textbox>
                        <w:txbxContent>
                          <w:p>
                            <w:pPr>
                              <w:jc w:val="center"/>
                              <w:rPr>
                                <w:rFonts w:hint="default" w:eastAsia="宋体"/>
                                <w:lang w:val="en-US" w:eastAsia="zh-CN"/>
                              </w:rPr>
                            </w:pPr>
                            <w:r>
                              <w:rPr>
                                <w:rFonts w:hint="eastAsia"/>
                                <w:lang w:val="en-US" w:eastAsia="zh-CN"/>
                              </w:rPr>
                              <w:t>锅炉废气经除尘器处理后经30米排气筒排放</w:t>
                            </w:r>
                          </w:p>
                        </w:txbxContent>
                      </v:textbox>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1929765</wp:posOffset>
                      </wp:positionH>
                      <wp:positionV relativeFrom="paragraph">
                        <wp:posOffset>730250</wp:posOffset>
                      </wp:positionV>
                      <wp:extent cx="635" cy="171450"/>
                      <wp:effectExtent l="48895" t="0" r="64770" b="0"/>
                      <wp:wrapNone/>
                      <wp:docPr id="11" name="直线 15"/>
                      <wp:cNvGraphicFramePr/>
                      <a:graphic xmlns:a="http://schemas.openxmlformats.org/drawingml/2006/main">
                        <a:graphicData uri="http://schemas.microsoft.com/office/word/2010/wordprocessingShape">
                          <wps:wsp>
                            <wps:cNvCnPr/>
                            <wps:spPr>
                              <a:xfrm flipV="1">
                                <a:off x="0" y="0"/>
                                <a:ext cx="635" cy="1714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5" o:spid="_x0000_s1026" o:spt="20" style="position:absolute;left:0pt;flip:y;margin-left:151.95pt;margin-top:57.5pt;height:13.5pt;width:0.05pt;z-index:251669504;mso-width-relative:page;mso-height-relative:page;" filled="f" stroked="t" coordsize="21600,21600" o:gfxdata="UEsDBAoAAAAAAIdO4kAAAAAAAAAAAAAAAAAEAAAAZHJzL1BLAwQUAAAACACHTuJAazEHrtkAAAAL&#10;AQAADwAAAGRycy9kb3ducmV2LnhtbE2PMU/DMBCFdyT+g3VILBW10xQKIU6HSjCwkVZ0dWI3CY3P&#10;UXxtw7/nmOh2d+/p3ffy9eR7cXZj7AJqSOYKhMM62A4bDbvt28MziEgGrekDOg0/LsK6uL3JTWbD&#10;BT/duaRGcAjGzGhoiYZMyli3zps4D4ND1g5h9IZ4HRtpR3PhcN/LhVJP0psO+UNrBrdpXX0sT17D&#10;+wdRtd0NNDsevsrv/WwzlatS6/u7RL2CIDfRvxn+8BkdCmaqwgltFL2GVKUvbGUheeRS7EjVkoeK&#10;L8uFAlnk8rpD8QtQSwMEFAAAAAgAh07iQGLiKh74AQAA6QMAAA4AAABkcnMvZTJvRG9jLnhtbK1T&#10;S44TMRDdI3EHy3vS6UAGaKUziwnDBkEkPvuK2+625J9cTjo5C9dgxYbjzDUou0MGBhazwAurXFV+&#10;Ve+5vLo+WsMOMqL2ruX1bM6ZdMJ32vUt//zp9tkrzjCB68B4J1t+ksiv10+frMbQyIUfvOlkZATi&#10;sBlDy4eUQlNVKAZpAWc+SEdB5aOFRMfYV12EkdCtqRbz+VU1+tiF6IVEJO9mCvIzYnwMoFdKC7nx&#10;Ym+lSxNqlAYSUcJBB+Tr0q1SUqQPSqFMzLScmKayUxGyd3mv1ito+ghh0OLcAjymhQecLGhHRS9Q&#10;G0jA9lH/BWW1iB69SjPhbTURKYoQi3r+QJuPAwRZuJDUGC6i4/+DFe8P28h0R5NQc+bA0ovfff12&#10;9/0Hq5dZnTFgQ0k3bhvPJwzbmKkeVbRMGR2+0OVCnuiwY9H2dNFWHhMT5Lx6vuRMkL9+Wb9YFuGr&#10;CSNjhYjprfSWZaPlRrvMGxo4vMNEdSn1V0p2G8fGlr9eLjIm0BAqenwybSAi6PpyF73R3a02Jt/A&#10;2O9uTGQHyINQVmZHuH+k5SIbwGHKK6FpRAYJ3RvXsXQKpJCjn8FzC1Z2nBlJHylbBAhNAm3uMyFG&#10;P/47lWobRy1khSdNs7Xz3YleZB+i7geSoi5t5ghNQGn4PK15xH4/F6T7H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sxB67ZAAAACwEAAA8AAAAAAAAAAQAgAAAAIgAAAGRycy9kb3ducmV2Lnht&#10;bFBLAQIUABQAAAAIAIdO4kBi4ioe+AEAAOkDAAAOAAAAAAAAAAEAIAAAACgBAABkcnMvZTJvRG9j&#10;LnhtbFBLBQYAAAAABgAGAFkBAACSBQ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1939290</wp:posOffset>
                      </wp:positionH>
                      <wp:positionV relativeFrom="paragraph">
                        <wp:posOffset>1292225</wp:posOffset>
                      </wp:positionV>
                      <wp:extent cx="635" cy="200025"/>
                      <wp:effectExtent l="48895" t="0" r="64770" b="9525"/>
                      <wp:wrapNone/>
                      <wp:docPr id="8" name="直线 9"/>
                      <wp:cNvGraphicFramePr/>
                      <a:graphic xmlns:a="http://schemas.openxmlformats.org/drawingml/2006/main">
                        <a:graphicData uri="http://schemas.microsoft.com/office/word/2010/wordprocessingShape">
                          <wps:wsp>
                            <wps:cNvCnPr/>
                            <wps:spPr>
                              <a:xfrm flipV="1">
                                <a:off x="0" y="0"/>
                                <a:ext cx="635" cy="200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9" o:spid="_x0000_s1026" o:spt="20" style="position:absolute;left:0pt;flip:y;margin-left:152.7pt;margin-top:101.75pt;height:15.75pt;width:0.05pt;z-index:251666432;mso-width-relative:page;mso-height-relative:page;" filled="f" stroked="t" coordsize="21600,21600" o:gfxdata="UEsDBAoAAAAAAIdO4kAAAAAAAAAAAAAAAAAEAAAAZHJzL1BLAwQUAAAACACHTuJAeYio1dgAAAAL&#10;AQAADwAAAGRycy9kb3ducmV2LnhtbE2PMU/DMBCFdyT+g3VILBW12xBAIU6HSjCw4VawOvE1CY3P&#10;Uey24d9zTLDdvff07rtyM/tBnHGKfSANq6UCgdQE11OrYb97uXsCEZMlZ4dAqOEbI2yq66vSFi5c&#10;6B3PJrWCSygWVkOX0lhIGZsOvY3LMCKxdwiTt4nXqZVushcu94NcK/Ugve2JL3R2xG2HzdGcvIbX&#10;t5Tq3X5Mi+Phw3x9LrazeTRa396s1DOIhHP6C8MvPqNDxUx1OJGLYtCQqfyeoxrWKstBcIIVHmpW&#10;slyBrEr5/4fqB1BLAwQUAAAACACHTuJAZXulbvQBAADnAwAADgAAAGRycy9lMm9Eb2MueG1srVPN&#10;jtMwEL4j8Q6W7zRtUVds1HQPW5YLgkqw3Ke2k1jyn8Zu0z4Lr8GJC4+zr8HYCV1YOOyBHKLx+PPn&#10;+b4Zr29O1rCjwqi9a/hiNudMOeGldl3D7z/fvXrDWUzgJBjvVMPPKvKbzcsX6yHUaul7b6RCRiQu&#10;1kNoeJ9SqKsqil5ZiDMflKPN1qOFREvsKokwELs11XI+v6oGjzKgFypGym7HTT4x4nMIfdtqobZe&#10;HKxyaWRFZSCRpNjrEPmmVNu2SqSPbRtVYqbhpDSVP11C8T7/q80a6g4h9FpMJcBzSniiyYJ2dOmF&#10;agsJ2AH1X1RWC/TRt2kmvK1GIcURUrGYP/HmUw9BFS1kdQwX0+P/oxUfjjtkWjac2u7AUsMfvn57&#10;+P6DXWdvhhBrgty6HU6rGHaYhZ5atKw1OnyhISrSSQw7FWfPF2fVKTFByavXK84E5WkC5stVpq5G&#10;jswVMKZ3yluWg4Yb7bJqqOH4PqYR+guS08axoeHXK+JhAmgEW2o9hTaQjOi6cjZ6o+WdNiafiNjt&#10;bw2yI+QxKN9Uwh+wfMkWYj/iylaGQd0rkG+dZOkcyCBH74LnEqySnBlFzyhHBZlAm0ckIPrh31CS&#10;bxy5kB0ePc3R3ssz9eMQUHc9WbEoZeYd6n/xbJrVPGC/rwvT4/v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5iKjV2AAAAAsBAAAPAAAAAAAAAAEAIAAAACIAAABkcnMvZG93bnJldi54bWxQSwEC&#10;FAAUAAAACACHTuJAZXulbvQBAADnAwAADgAAAAAAAAABACAAAAAnAQAAZHJzL2Uyb0RvYy54bWxQ&#10;SwUGAAAAAAYABgBZAQAAjQU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1224915</wp:posOffset>
                      </wp:positionH>
                      <wp:positionV relativeFrom="paragraph">
                        <wp:posOffset>1130300</wp:posOffset>
                      </wp:positionV>
                      <wp:extent cx="295275" cy="635"/>
                      <wp:effectExtent l="0" t="48895" r="9525" b="64770"/>
                      <wp:wrapNone/>
                      <wp:docPr id="7" name="直线 8"/>
                      <wp:cNvGraphicFramePr/>
                      <a:graphic xmlns:a="http://schemas.openxmlformats.org/drawingml/2006/main">
                        <a:graphicData uri="http://schemas.microsoft.com/office/word/2010/wordprocessingShape">
                          <wps:wsp>
                            <wps:cNvCnPr/>
                            <wps:spPr>
                              <a:xfrm>
                                <a:off x="0" y="0"/>
                                <a:ext cx="2952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 o:spid="_x0000_s1026" o:spt="20" style="position:absolute;left:0pt;margin-left:96.45pt;margin-top:89pt;height:0.05pt;width:23.25pt;z-index:251665408;mso-width-relative:page;mso-height-relative:page;" filled="f" stroked="t" coordsize="21600,21600" o:gfxdata="UEsDBAoAAAAAAIdO4kAAAAAAAAAAAAAAAAAEAAAAZHJzL1BLAwQUAAAACACHTuJAAymCGdoAAAAL&#10;AQAADwAAAGRycy9kb3ducmV2LnhtbE2PzU7DMBCE70i8g7VIXBB1Ev6aEKcHEBIgOJBScXXjbRwR&#10;r6PYbcLbs3CB287uaPabcjW7XhxwDJ0nBekiAYHUeNNRq+B9/XC+BBGiJqN7T6jgCwOsquOjUhfG&#10;T/SGhzq2gkMoFFqBjXEopAyNRafDwg9IfNv50enIcmylGfXE4a6XWZJcS6c74g9WD3hnsfms905B&#10;u5mezOPLR73rN/fr56sza1/drNTpSZrcgog4xz8z/OAzOlTMtPV7MkH0rPMsZysPN0suxY7sIr8E&#10;sf3dpCCrUv7vUH0DUEsDBBQAAAAIAIdO4kCorzfw7AEAAN0DAAAOAAAAZHJzL2Uyb0RvYy54bWyt&#10;U0uOEzEQ3SNxB8t70klQZoZWOrOYMGwQRAIOULHd3Zb8k8tJJ2fhGqzYcJy5BmV3SGBmFrOgF+6y&#10;6/m53it7eXuwhu1VRO1dw2eTKWfKCS+16xr+7ev9mxvOMIGTYLxTDT8q5Ler16+WQ6jV3PfeSBUZ&#10;kTish9DwPqVQVxWKXlnAiQ/KUbL10UKiaewqGWEgdmuq+XR6VQ0+yhC9UIi0uh6T/MQYX0Lo21YL&#10;tfZiZ5VLI2tUBhJJwl4H5KtSbdsqkT63LarETMNJaSojHULxNo/Vagl1FyH0WpxKgJeU8EiTBe3o&#10;0DPVGhKwXdRPqKwW0aNv00R4W41CiiOkYjZ95M2XHoIqWshqDGfT8f/Rik/7TWRaNvyaMweWGv7w&#10;/cfDz1/sJnszBKwJcuc28TTDsIlZ6KGNNv9JAjsUP49nP9UhMUGL83eL+fWCM0Gpq7eLTFhddoaI&#10;6YPyluWg4Ua7rBVq2H/ENEL/QPKycWxoODFmQqCL11LDKbSBikfXlb3ojZb32pi8A2O3vTOR7SE3&#10;v3ynEv6B5UPWgP2IK6kMg7pXIN87ydIxkC2OXgPPJVglOTOKHk+OCjKBNhckxOiH56Ek3zhyIfs6&#10;OpmjrZdH6sIuRN31ZMWslJkz1PXi2emG5mv197wwXV7l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DKYIZ2gAAAAsBAAAPAAAAAAAAAAEAIAAAACIAAABkcnMvZG93bnJldi54bWxQSwECFAAUAAAA&#10;CACHTuJAqK838OwBAADdAwAADgAAAAAAAAABACAAAAApAQAAZHJzL2Uyb0RvYy54bWxQSwUGAAAA&#10;AAYABgBZAQAAhwU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1605915</wp:posOffset>
                      </wp:positionH>
                      <wp:positionV relativeFrom="paragraph">
                        <wp:posOffset>1536700</wp:posOffset>
                      </wp:positionV>
                      <wp:extent cx="608965" cy="294640"/>
                      <wp:effectExtent l="0" t="0" r="635" b="10160"/>
                      <wp:wrapNone/>
                      <wp:docPr id="5" name="文本框 6"/>
                      <wp:cNvGraphicFramePr/>
                      <a:graphic xmlns:a="http://schemas.openxmlformats.org/drawingml/2006/main">
                        <a:graphicData uri="http://schemas.microsoft.com/office/word/2010/wordprocessingShape">
                          <wps:wsp>
                            <wps:cNvSpPr txBox="1"/>
                            <wps:spPr>
                              <a:xfrm>
                                <a:off x="0" y="0"/>
                                <a:ext cx="608965" cy="294640"/>
                              </a:xfrm>
                              <a:prstGeom prst="rect">
                                <a:avLst/>
                              </a:prstGeom>
                              <a:solidFill>
                                <a:srgbClr val="FFFFFF"/>
                              </a:solidFill>
                              <a:ln>
                                <a:noFill/>
                              </a:ln>
                            </wps:spPr>
                            <wps:txbx>
                              <w:txbxContent>
                                <w:p>
                                  <w:pPr>
                                    <w:jc w:val="center"/>
                                    <w:rPr>
                                      <w:rFonts w:hint="default" w:eastAsia="宋体"/>
                                      <w:lang w:val="en-US" w:eastAsia="zh-CN"/>
                                    </w:rPr>
                                  </w:pPr>
                                  <w:r>
                                    <w:rPr>
                                      <w:rFonts w:hint="eastAsia"/>
                                      <w:lang w:val="en-US" w:eastAsia="zh-CN"/>
                                    </w:rPr>
                                    <w:t>生物质</w:t>
                                  </w:r>
                                </w:p>
                              </w:txbxContent>
                            </wps:txbx>
                            <wps:bodyPr wrap="square" upright="1"/>
                          </wps:wsp>
                        </a:graphicData>
                      </a:graphic>
                    </wp:anchor>
                  </w:drawing>
                </mc:Choice>
                <mc:Fallback>
                  <w:pict>
                    <v:shape id="文本框 6" o:spid="_x0000_s1026" o:spt="202" type="#_x0000_t202" style="position:absolute;left:0pt;margin-left:126.45pt;margin-top:121pt;height:23.2pt;width:47.95pt;z-index:251663360;mso-width-relative:page;mso-height-relative:page;" fillcolor="#FFFFFF" filled="t" stroked="f" coordsize="21600,21600" o:gfxdata="UEsDBAoAAAAAAIdO4kAAAAAAAAAAAAAAAAAEAAAAZHJzL1BLAwQUAAAACACHTuJAgxfNQtkAAAAL&#10;AQAADwAAAGRycy9kb3ducmV2LnhtbE2PzW6DQAyE75X6DitH6qVqllCSEMISqZVa9ZqfBzDgACrr&#10;RewmJG9f99TebM9o/E2+u9leXWn0nWMDi3kEirhydceNgdPx4yUF5QNyjb1jMnAnD7vi8SHHrHYT&#10;7+l6CI2SEPYZGmhDGDKtfdWSRT93A7FoZzdaDLKOja5HnCTc9jqOopW22LF8aHGg95aq78PFGjh/&#10;Tc/LzVR+htN6n6zesFuX7m7M02wRbUEFuoU/M/ziCzoUwlS6C9de9QbiZbwRqwxJLKXE8ZqkUqaU&#10;S5omoItc/+9Q/ABQSwMEFAAAAAgAh07iQH/dAmrMAQAAhAMAAA4AAABkcnMvZTJvRG9jLnhtbK1T&#10;S27bMBDdF+gdCO5rKUZqJILlAK3hboq2QJoD0BQlEeCvM7QlX6C9QVfddN9z+RwdUo7TJpssogVF&#10;zufNvDfk8ma0hu0VoPau5hezkjPlpG+062p+93Xz5oozjMI1wninan5QyG9Wr18th1Cpue+9aRQw&#10;AnFYDaHmfYyhKgqUvbICZz4oR87WgxWRjtAVDYiB0K0p5mW5KAYPTQAvFSJZ15OTnxDhOYC+bbVU&#10;ay93Vrk4oYIyIhIl7HVAvsrdtq2S8XPboorM1JyYxrxSEdpv01qslqLqQIRey1ML4jktPOJkhXZU&#10;9Ay1FlGwHegnUFZL8OjbOJPeFhORrAixuCgfaXPbi6AyF5Iaw1l0fDlY+Wn/BZhuav6WMycsDfz4&#10;88fx15/j7+9skeQZAlYUdRsoLo7v/EiX5t6OZEysxxZs+hMfRn4S93AWV42RSTIuyqvrBRWR5Jpf&#10;Xy4us/jFQ3IAjB+Utyxtag40uyyp2H/ESI1Q6H1IqoXe6GajjckH6LbvDbC9oDlv8pd6pJT/woxL&#10;wc6ntMmdLEWiOFFJuzhuxxPvrW8ORHug+1Fz/LYToDjbBdBdTx1mGXIyDScXO12kNP1/z7nEw+NZ&#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DF81C2QAAAAsBAAAPAAAAAAAAAAEAIAAAACIAAABk&#10;cnMvZG93bnJldi54bWxQSwECFAAUAAAACACHTuJAf90CaswBAACEAwAADgAAAAAAAAABACAAAAAo&#10;AQAAZHJzL2Uyb0RvYy54bWxQSwUGAAAAAAYABgBZAQAAZgUAAAAA&#10;">
                      <v:fill on="t" focussize="0,0"/>
                      <v:stroke on="f"/>
                      <v:imagedata o:title=""/>
                      <o:lock v:ext="edit" aspectratio="f"/>
                      <v:textbox>
                        <w:txbxContent>
                          <w:p>
                            <w:pPr>
                              <w:jc w:val="center"/>
                              <w:rPr>
                                <w:rFonts w:hint="default" w:eastAsia="宋体"/>
                                <w:lang w:val="en-US" w:eastAsia="zh-CN"/>
                              </w:rPr>
                            </w:pPr>
                            <w:r>
                              <w:rPr>
                                <w:rFonts w:hint="eastAsia"/>
                                <w:lang w:val="en-US" w:eastAsia="zh-CN"/>
                              </w:rPr>
                              <w:t>生物质</w:t>
                            </w:r>
                          </w:p>
                        </w:txbxContent>
                      </v:textbox>
                    </v:shape>
                  </w:pict>
                </mc:Fallback>
              </mc:AlternateContent>
            </w:r>
          </w:p>
          <w:p>
            <w:pPr>
              <w:adjustRightInd w:val="0"/>
              <w:snapToGrid w:val="0"/>
              <w:spacing w:line="360" w:lineRule="auto"/>
              <w:rPr>
                <w:rFonts w:hint="eastAsia" w:ascii="Times New Roman" w:hAnsi="Times New Roman" w:cs="Times New Roman"/>
                <w:bCs/>
                <w:sz w:val="24"/>
                <w:szCs w:val="24"/>
                <w:lang w:val="en-US" w:eastAsia="zh-CN"/>
              </w:rPr>
            </w:pPr>
            <w:r>
              <w:rPr>
                <w:sz w:val="24"/>
              </w:rPr>
              <mc:AlternateContent>
                <mc:Choice Requires="wps">
                  <w:drawing>
                    <wp:anchor distT="0" distB="0" distL="114300" distR="114300" simplePos="0" relativeHeight="251671552" behindDoc="0" locked="0" layoutInCell="1" allowOverlap="1">
                      <wp:simplePos x="0" y="0"/>
                      <wp:positionH relativeFrom="column">
                        <wp:posOffset>2882265</wp:posOffset>
                      </wp:positionH>
                      <wp:positionV relativeFrom="paragraph">
                        <wp:posOffset>107315</wp:posOffset>
                      </wp:positionV>
                      <wp:extent cx="961390" cy="294640"/>
                      <wp:effectExtent l="0" t="0" r="10160" b="10160"/>
                      <wp:wrapNone/>
                      <wp:docPr id="13" name="文本框 19"/>
                      <wp:cNvGraphicFramePr/>
                      <a:graphic xmlns:a="http://schemas.openxmlformats.org/drawingml/2006/main">
                        <a:graphicData uri="http://schemas.microsoft.com/office/word/2010/wordprocessingShape">
                          <wps:wsp>
                            <wps:cNvSpPr txBox="1"/>
                            <wps:spPr>
                              <a:xfrm>
                                <a:off x="0" y="0"/>
                                <a:ext cx="961390" cy="294640"/>
                              </a:xfrm>
                              <a:prstGeom prst="rect">
                                <a:avLst/>
                              </a:prstGeom>
                              <a:solidFill>
                                <a:srgbClr val="FFFFFF"/>
                              </a:solidFill>
                              <a:ln>
                                <a:noFill/>
                              </a:ln>
                            </wps:spPr>
                            <wps:txbx>
                              <w:txbxContent>
                                <w:p>
                                  <w:pPr>
                                    <w:jc w:val="center"/>
                                    <w:rPr>
                                      <w:rFonts w:hint="default" w:eastAsia="宋体"/>
                                      <w:lang w:val="en-US" w:eastAsia="zh-CN"/>
                                    </w:rPr>
                                  </w:pPr>
                                  <w:r>
                                    <w:rPr>
                                      <w:rFonts w:hint="eastAsia" w:eastAsia="宋体"/>
                                      <w:lang w:val="en-US" w:eastAsia="zh-CN"/>
                                    </w:rPr>
                                    <w:t>锅炉排污水</w:t>
                                  </w:r>
                                </w:p>
                              </w:txbxContent>
                            </wps:txbx>
                            <wps:bodyPr vert="horz" wrap="square" anchor="t" anchorCtr="0" upright="1"/>
                          </wps:wsp>
                        </a:graphicData>
                      </a:graphic>
                    </wp:anchor>
                  </w:drawing>
                </mc:Choice>
                <mc:Fallback>
                  <w:pict>
                    <v:shape id="文本框 19" o:spid="_x0000_s1026" o:spt="202" type="#_x0000_t202" style="position:absolute;left:0pt;margin-left:226.95pt;margin-top:8.45pt;height:23.2pt;width:75.7pt;z-index:251671552;mso-width-relative:page;mso-height-relative:page;" fillcolor="#FFFFFF" filled="t" stroked="f" coordsize="21600,21600" o:gfxdata="UEsDBAoAAAAAAIdO4kAAAAAAAAAAAAAAAAAEAAAAZHJzL1BLAwQUAAAACACHTuJAOI6KENcAAAAJ&#10;AQAADwAAAGRycy9kb3ducmV2LnhtbE2PwU7DQAxE70j8w8pIXBDdlDQpDdlUAgnEtaUf4GTdJCLr&#10;jbLbpv17zAlOtjWj8Ztye3GDOtMUes8GlosEFHHjbc+tgcPX++MzqBCRLQ6eycCVAmyr25sSC+tn&#10;3tF5H1slIRwKNNDFOBZah6Yjh2HhR2LRjn5yGOWcWm0nnCXcDfopSXLtsGf50OFIbx013/uTM3D8&#10;nB+yzVx/xMN6t8pfsV/X/mrM/d0yeQEV6RL/zPCLL+hQCVPtT2yDGgyssnQjVhFymWLIkywFVcuS&#10;pqCrUv9vUP0AUEsDBBQAAAAIAIdO4kBp9NQ33wEAAKsDAAAOAAAAZHJzL2Uyb0RvYy54bWytU82O&#10;0zAQviPxDpbvNG13VdGo6UpsVS4IkBYewHWcxpL/mHGblAeAN+DEhTvP1efYsdN22d3LHsjBGc//&#10;9814cdNbw/YKUHtX8clozJly0tfabSv+9cv6zVvOMApXC+OdqvhBIb9Zvn616EKppr71plbAKInD&#10;sgsVb2MMZVGgbJUVOPJBOTI2HqyIdIVtUYPoKLs1xXQ8nhWdhzqAlwqRtKvByE8Z4SUJfdNoqVZe&#10;7qxyccgKyohIkLDVAfkyd9s0SsZPTYMqMlNxQhrzSUVI3qSzWC5EuQURWi1PLYiXtPAEkxXaUdFL&#10;qpWIgu1AP0tltQSPvokj6W0xAMmMEIrJ+Ak3d60IKmMhqjFcSMf/l1Z+3H8GpmvahCvOnLA08eOv&#10;n8fff49/frDJPBHUBSzJ7y6QZ+zf+Z6cz3okZcLdN2DTnxAxshO9hwu9qo9MknI+m1zNySLJNJ1f&#10;z64z/cVDcACM75W3LAkVB5peJlXsP2CkRsj17JJqoTe6Xmtj8gW2m1sDbC9o0uv8pR4p5JGbccnZ&#10;+RQ2mJOmSBAHKEmK/aY/4d74+kCw6b1QQ62H75x1tC0Vx287AYoz4SSpKx7P4m0c1msXQG9bispc&#10;5Qo0w9zRad/Skvx7z308vLHlP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iOihDXAAAACQEAAA8A&#10;AAAAAAAAAQAgAAAAIgAAAGRycy9kb3ducmV2LnhtbFBLAQIUABQAAAAIAIdO4kBp9NQ33wEAAKsD&#10;AAAOAAAAAAAAAAEAIAAAACYBAABkcnMvZTJvRG9jLnhtbFBLBQYAAAAABgAGAFkBAAB3BQAAAAA=&#10;">
                      <v:fill on="t" focussize="0,0"/>
                      <v:stroke on="f"/>
                      <v:imagedata o:title=""/>
                      <o:lock v:ext="edit" aspectratio="f"/>
                      <v:textbox>
                        <w:txbxContent>
                          <w:p>
                            <w:pPr>
                              <w:jc w:val="center"/>
                              <w:rPr>
                                <w:rFonts w:hint="default" w:eastAsia="宋体"/>
                                <w:lang w:val="en-US" w:eastAsia="zh-CN"/>
                              </w:rPr>
                            </w:pPr>
                            <w:r>
                              <w:rPr>
                                <w:rFonts w:hint="eastAsia" w:eastAsia="宋体"/>
                                <w:lang w:val="en-US" w:eastAsia="zh-CN"/>
                              </w:rPr>
                              <w:t>锅炉排污水</w:t>
                            </w:r>
                          </w:p>
                        </w:txbxContent>
                      </v:textbox>
                    </v:shape>
                  </w:pict>
                </mc:Fallback>
              </mc:AlternateContent>
            </w:r>
          </w:p>
          <w:p>
            <w:pPr>
              <w:adjustRightInd w:val="0"/>
              <w:snapToGrid w:val="0"/>
              <w:spacing w:line="360" w:lineRule="auto"/>
              <w:rPr>
                <w:rFonts w:hint="eastAsia" w:ascii="Times New Roman" w:hAnsi="Times New Roman" w:cs="Times New Roman"/>
                <w:bCs/>
                <w:sz w:val="24"/>
                <w:szCs w:val="24"/>
                <w:lang w:val="en-US" w:eastAsia="zh-CN"/>
              </w:rPr>
            </w:pPr>
            <w:r>
              <w:rPr>
                <w:sz w:val="24"/>
              </w:rPr>
              <mc:AlternateContent>
                <mc:Choice Requires="wps">
                  <w:drawing>
                    <wp:anchor distT="0" distB="0" distL="114300" distR="114300" simplePos="0" relativeHeight="251670528" behindDoc="0" locked="0" layoutInCell="1" allowOverlap="1">
                      <wp:simplePos x="0" y="0"/>
                      <wp:positionH relativeFrom="column">
                        <wp:posOffset>2294890</wp:posOffset>
                      </wp:positionH>
                      <wp:positionV relativeFrom="paragraph">
                        <wp:posOffset>174625</wp:posOffset>
                      </wp:positionV>
                      <wp:extent cx="694055" cy="275590"/>
                      <wp:effectExtent l="1905" t="14605" r="8890" b="14605"/>
                      <wp:wrapNone/>
                      <wp:docPr id="12" name="直线 18"/>
                      <wp:cNvGraphicFramePr/>
                      <a:graphic xmlns:a="http://schemas.openxmlformats.org/drawingml/2006/main">
                        <a:graphicData uri="http://schemas.microsoft.com/office/word/2010/wordprocessingShape">
                          <wps:wsp>
                            <wps:cNvCnPr/>
                            <wps:spPr>
                              <a:xfrm flipV="1">
                                <a:off x="0" y="0"/>
                                <a:ext cx="694055" cy="2755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8" o:spid="_x0000_s1026" o:spt="20" style="position:absolute;left:0pt;flip:y;margin-left:180.7pt;margin-top:13.75pt;height:21.7pt;width:54.65pt;z-index:251670528;mso-width-relative:page;mso-height-relative:page;" filled="f" stroked="t" coordsize="21600,21600" o:gfxdata="UEsDBAoAAAAAAIdO4kAAAAAAAAAAAAAAAAAEAAAAZHJzL1BLAwQUAAAACACHTuJA6iMbPdkAAAAJ&#10;AQAADwAAAGRycy9kb3ducmV2LnhtbE2PMU/DMBCFdyT+g3VILBW1U0oNIU6HSjB0w61gdeJrEhqf&#10;o9htw7+vmWA8vU/vfVesJ9ezM46h86QgmwtgSLW3HTUK9ru3h2dgIRqypveECn4wwLq8vSlMbv2F&#10;PvCsY8NSCYXcKGhjHHLOQ92iM2HuB6SUHfzoTEzn2HA7mksqdz1fCLHiznSUFloz4KbF+qhPTsH7&#10;NsZqtx/i7Hj41N9fs82kpVbq/i4Tr8AiTvEPhl/9pA5lcqr8iWxgvYLHVbZMqIKFfAKWgKUUElil&#10;QIoX4GXB/39QXgFQSwMEFAAAAAgAh07iQGd73sH7AQAA7AMAAA4AAABkcnMvZTJvRG9jLnhtbK1T&#10;S44TMRDdI3EHy3vSSUSGSSudWUwYNggiMbCv2O5uS/7J5aSTs3ANVmw4zlyDsjtkYGAxC3rRKrue&#10;X9V7Lq9ujtawg4qovWv4bDLlTDnhpXZdwz/f37265gwTOAnGO9Xwk0J+s375YjWEWs19741UkRGJ&#10;w3oIDe9TCnVVoeiVBZz4oBwlWx8tJFrGrpIRBmK3pppPp1fV4KMM0QuFSLubMcnPjPE5hL5ttVAb&#10;L/ZWuTSyRmUgkSTsdUC+Lt22rRLpY9uiSsw0nJSm8qciFO/yv1qvoO4ihF6LcwvwnBaeaLKgHRW9&#10;UG0gAdtH/ReV1SJ69G2aCG+rUUhxhFTMpk+8+dRDUEULWY3hYjr+P1rx4bCNTEuahDlnDizd+MPX&#10;bw/ff7DZdXZnCFgT6NZt43mFYRuz1GMbLWuNDl/ocBFPctixeHu6eKuOiQnavFq+ni4WnAlKzd8s&#10;FsvifTXSZLoQMb1T3rIcNNxol6VDDYf3mKg0QX9B8rZxbGj4cjHPnEBz2NL9U2gDaUHXlbPojZZ3&#10;2ph8AmO3uzWRHSDPQvmyQOL9A5aLbAD7EVdS45T0CuRbJ1k6BTLJ0ePguQWrJGdG0VvKERFCnUCb&#10;RyTE6Id/Q6m2cdRCNnm0NUc7L090KfsQddeTFbPSZs7QEJSGzwObp+z3dWF6fKT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ojGz3ZAAAACQEAAA8AAAAAAAAAAQAgAAAAIgAAAGRycy9kb3ducmV2&#10;LnhtbFBLAQIUABQAAAAIAIdO4kBne97B+wEAAOwDAAAOAAAAAAAAAAEAIAAAACgBAABkcnMvZTJv&#10;RG9jLnhtbFBLBQYAAAAABgAGAFkBAACVBQAAAAA=&#10;">
                      <v:fill on="f" focussize="0,0"/>
                      <v:stroke color="#000000" joinstyle="round" endarrow="open"/>
                      <v:imagedata o:title=""/>
                      <o:lock v:ext="edit" aspectratio="f"/>
                    </v:line>
                  </w:pict>
                </mc:Fallback>
              </mc:AlternateContent>
            </w:r>
          </w:p>
          <w:p>
            <w:pPr>
              <w:adjustRightInd w:val="0"/>
              <w:snapToGrid w:val="0"/>
              <w:spacing w:line="360" w:lineRule="auto"/>
              <w:rPr>
                <w:rFonts w:hint="eastAsia" w:ascii="Times New Roman" w:hAnsi="Times New Roman" w:cs="Times New Roman"/>
                <w:bCs/>
                <w:sz w:val="24"/>
                <w:szCs w:val="24"/>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405765</wp:posOffset>
                      </wp:positionH>
                      <wp:positionV relativeFrom="paragraph">
                        <wp:posOffset>146685</wp:posOffset>
                      </wp:positionV>
                      <wp:extent cx="608965" cy="294640"/>
                      <wp:effectExtent l="0" t="0" r="635" b="10160"/>
                      <wp:wrapNone/>
                      <wp:docPr id="1" name="文本框 2"/>
                      <wp:cNvGraphicFramePr/>
                      <a:graphic xmlns:a="http://schemas.openxmlformats.org/drawingml/2006/main">
                        <a:graphicData uri="http://schemas.microsoft.com/office/word/2010/wordprocessingShape">
                          <wps:wsp>
                            <wps:cNvSpPr txBox="1"/>
                            <wps:spPr>
                              <a:xfrm>
                                <a:off x="0" y="0"/>
                                <a:ext cx="608965" cy="294640"/>
                              </a:xfrm>
                              <a:prstGeom prst="rect">
                                <a:avLst/>
                              </a:prstGeom>
                              <a:solidFill>
                                <a:srgbClr val="FFFFFF"/>
                              </a:solidFill>
                              <a:ln>
                                <a:noFill/>
                              </a:ln>
                            </wps:spPr>
                            <wps:txbx>
                              <w:txbxContent>
                                <w:p>
                                  <w:pPr>
                                    <w:jc w:val="center"/>
                                    <w:rPr>
                                      <w:rFonts w:hint="eastAsia" w:eastAsia="宋体"/>
                                      <w:lang w:val="en-US" w:eastAsia="zh-CN"/>
                                    </w:rPr>
                                  </w:pPr>
                                  <w:r>
                                    <w:rPr>
                                      <w:rFonts w:hint="eastAsia"/>
                                      <w:lang w:val="en-US" w:eastAsia="zh-CN"/>
                                    </w:rPr>
                                    <w:t>新鲜水</w:t>
                                  </w:r>
                                </w:p>
                              </w:txbxContent>
                            </wps:txbx>
                            <wps:bodyPr vert="horz" wrap="square" anchor="t" anchorCtr="0" upright="1"/>
                          </wps:wsp>
                        </a:graphicData>
                      </a:graphic>
                    </wp:anchor>
                  </w:drawing>
                </mc:Choice>
                <mc:Fallback>
                  <w:pict>
                    <v:shape id="文本框 2" o:spid="_x0000_s1026" o:spt="202" type="#_x0000_t202" style="position:absolute;left:0pt;margin-left:31.95pt;margin-top:11.55pt;height:23.2pt;width:47.95pt;z-index:251659264;mso-width-relative:page;mso-height-relative:page;" fillcolor="#FFFFFF" filled="t" stroked="f" coordsize="21600,21600" o:gfxdata="UEsDBAoAAAAAAIdO4kAAAAAAAAAAAAAAAAAEAAAAZHJzL1BLAwQUAAAACACHTuJAdJDPtNYAAAAI&#10;AQAADwAAAGRycy9kb3ducmV2LnhtbE2P3U6DQBCF7018h82YeGPsQitUkKWJJhpv+/MAA0yByM4S&#10;dlvat3d6pZeT7+TMd4rNxQ7qTJPvHRuIFxEo4to1PbcGDvvP51dQPiA3ODgmA1fysCnv7wrMGzfz&#10;ls670CopYZ+jgS6EMdfa1x1Z9As3Egs7uslikHNqdTPhLOV20MsoSrXFnuVDhyN9dFT/7E7WwPF7&#10;fkqyufoKh/X2JX3Hfl25qzGPD3H0BirQJfyF4aYv6lCKU+VO3Hg1GEhXmSQNLFcxqBtPMplSCcgS&#10;0GWh/w8ofwFQSwMEFAAAAAgAh07iQHhcKljeAQAAqQMAAA4AAABkcnMvZTJvRG9jLnhtbK1TzY7T&#10;MBC+I/EOlu802WqpdqOmK7FVuSBAWngA13EaS/5jxm1SHgDegBMX7jxXn2PHTrYLy2UP5OCM5//7&#10;Zry8GaxhBwWovav5xazkTDnpG+12Nf/8afPqijOMwjXCeKdqflTIb1YvXyz7UKm577xpFDBK4rDq&#10;Q827GENVFCg7ZQXOfFCOjK0HKyJdYVc0IHrKbk0xL8tF0XtoAnipEEm7Ho18ygjPSejbVku19nJv&#10;lYtjVlBGRIKEnQ7IV7nbtlUyfmhbVJGZmhPSmE8qQvI2ncVqKaodiNBpObUgntPCE0xWaEdFz6nW&#10;Igq2B/1PKqslePRtnElvixFIZoRQXJRPuLnrRFAZC1GN4Uw6/r+08v3hIzDd0CZw5oSlgZ9+fD/9&#10;/H369Y3NEz19wIq87gL5xeGNH5LrpEdSJtRDCzb9CQ8jO5F7PJOrhsgkKRfl1fXiNWeSTPPry8Vl&#10;Jr94DA6A8a3yliWh5kCzy5SKwzuMVJBcH1xSLfRGNxttTL7AbntrgB0EzXmTv9QjhfzlZlxydj6F&#10;jeakKRLEEUqS4rAdJnxb3xwJNr0Waqjz8JWznnal5vhlL0BxJpwkdc3jg3gbx+XaB9C7jqIyV7kC&#10;TTB3NG1bWpE/77mPxxe2u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0kM+01gAAAAgBAAAPAAAA&#10;AAAAAAEAIAAAACIAAABkcnMvZG93bnJldi54bWxQSwECFAAUAAAACACHTuJAeFwqWN4BAACpAwAA&#10;DgAAAAAAAAABACAAAAAlAQAAZHJzL2Uyb0RvYy54bWxQSwUGAAAAAAYABgBZAQAAdQUAAAAA&#10;">
                      <v:fill on="t" focussize="0,0"/>
                      <v:stroke on="f"/>
                      <v:imagedata o:title=""/>
                      <o:lock v:ext="edit" aspectratio="f"/>
                      <v:textbox>
                        <w:txbxContent>
                          <w:p>
                            <w:pPr>
                              <w:jc w:val="center"/>
                              <w:rPr>
                                <w:rFonts w:hint="eastAsia" w:eastAsia="宋体"/>
                                <w:lang w:val="en-US" w:eastAsia="zh-CN"/>
                              </w:rPr>
                            </w:pPr>
                            <w:r>
                              <w:rPr>
                                <w:rFonts w:hint="eastAsia"/>
                                <w:lang w:val="en-US" w:eastAsia="zh-CN"/>
                              </w:rPr>
                              <w:t>新鲜水</w:t>
                            </w: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1644015</wp:posOffset>
                      </wp:positionH>
                      <wp:positionV relativeFrom="paragraph">
                        <wp:posOffset>149860</wp:posOffset>
                      </wp:positionV>
                      <wp:extent cx="608965" cy="294640"/>
                      <wp:effectExtent l="5080" t="5080" r="14605" b="5080"/>
                      <wp:wrapNone/>
                      <wp:docPr id="2" name="文本框 3"/>
                      <wp:cNvGraphicFramePr/>
                      <a:graphic xmlns:a="http://schemas.openxmlformats.org/drawingml/2006/main">
                        <a:graphicData uri="http://schemas.microsoft.com/office/word/2010/wordprocessingShape">
                          <wps:wsp>
                            <wps:cNvSpPr txBox="1"/>
                            <wps:spPr>
                              <a:xfrm>
                                <a:off x="0" y="0"/>
                                <a:ext cx="608965" cy="294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锅炉</w:t>
                                  </w:r>
                                </w:p>
                              </w:txbxContent>
                            </wps:txbx>
                            <wps:bodyPr wrap="square" upright="1"/>
                          </wps:wsp>
                        </a:graphicData>
                      </a:graphic>
                    </wp:anchor>
                  </w:drawing>
                </mc:Choice>
                <mc:Fallback>
                  <w:pict>
                    <v:shape id="文本框 3" o:spid="_x0000_s1026" o:spt="202" type="#_x0000_t202" style="position:absolute;left:0pt;margin-left:129.45pt;margin-top:11.8pt;height:23.2pt;width:47.95pt;z-index:251660288;mso-width-relative:page;mso-height-relative:page;" fillcolor="#FFFFFF" filled="t" stroked="t" coordsize="21600,21600" o:gfxdata="UEsDBAoAAAAAAIdO4kAAAAAAAAAAAAAAAAAEAAAAZHJzL1BLAwQUAAAACACHTuJAPrwCkdkAAAAJ&#10;AQAADwAAAGRycy9kb3ducmV2LnhtbE2Py07DMBBF90j8gzVIbBC127RpGuJ0gQSCXSlV2brxNInw&#10;I9huWv6eYQW7Gc3RnXOr9cUaNmKIvXcSphMBDF3jde9aCbv3p/sCWEzKaWW8QwnfGGFdX19VqtT+&#10;7N5w3KaWUYiLpZLQpTSUnMemQ6vixA/o6Hb0wapEa2i5DupM4dbwmRA5t6p39KFTAz522HxuT1ZC&#10;MX8ZP+Jrttk3+dGs0t1yfP4KUt7eTMUDsISX9AfDrz6pQ01OB39yOjIjYbYoVoTSkOXACMgWc+py&#10;kLAUAnhd8f8N6h9QSwMEFAAAAAgAh07iQMdPRWoWAgAAQwQAAA4AAABkcnMvZTJvRG9jLnhtbK1T&#10;zY7TMBC+I/EOlu802bJbbaOmK0EpFwRICw/g2k5iyX943CZ9AXgDTly481x9jh073e4PHHogB2ds&#10;j7+Z75uZxc1gNNnJAMrZml5MSkqk5U4o29b065f1q2tKIDIrmHZW1nQvgd4sX75Y9L6SU9c5LWQg&#10;CGKh6n1Nuxh9VRTAO2kYTJyXFi8bFwyLuA1tIQLrEd3oYlqWs6J3QfjguATA09V4SY+I4RxA1zSK&#10;y5XjWyNtHFGD1CwiJeiUB7rM2TaN5PFT04CMRNcUmca8YhC0N2ktlgtWtYH5TvFjCuycFJ5xMkxZ&#10;DHqCWrHIyDaov6CM4sGBa+KEO1OMRLIiyOKifKbNbce8zFxQavAn0eH/wfKPu8+BKFHTKSWWGSz4&#10;4eePw68/h9/fyeskT++hQq9bj35xeOMGbJr7c8DDxHpogkl/5EPwHsXdn8SVQyQcD2fl9Xx2RQnH&#10;q+n8cnaZxS8eHvsA8b10hiSjpgFrlyVluw8QMRF0vXdJscBpJdZK67wJ7eatDmTHsM7r/KUc8ckT&#10;N21JX9P51TTlwbB5G2waNI1HAcC2Od6TF/AYuMzfv4BTYisG3ZhARkhurDIqypCtTjLxzgoS9x5F&#10;tjhbNCVjpKBESxzFZGXPyJQ+xxPZaYskU4XGSiQrDpsBYZK5cWKPVeuxvZHety0LGHPrg2o7FDhX&#10;MT/G3spaHecgNe/jfQ7xMPvL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68ApHZAAAACQEAAA8A&#10;AAAAAAAAAQAgAAAAIgAAAGRycy9kb3ducmV2LnhtbFBLAQIUABQAAAAIAIdO4kDHT0VqFgIAAEME&#10;AAAOAAAAAAAAAAEAIAAAACgBAABkcnMvZTJvRG9jLnhtbFBLBQYAAAAABgAGAFkBAACw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锅炉</w:t>
                            </w:r>
                          </w:p>
                        </w:txbxContent>
                      </v:textbox>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2967990</wp:posOffset>
                      </wp:positionH>
                      <wp:positionV relativeFrom="paragraph">
                        <wp:posOffset>153035</wp:posOffset>
                      </wp:positionV>
                      <wp:extent cx="608965" cy="294640"/>
                      <wp:effectExtent l="0" t="0" r="635" b="10160"/>
                      <wp:wrapNone/>
                      <wp:docPr id="3" name="文本框 4"/>
                      <wp:cNvGraphicFramePr/>
                      <a:graphic xmlns:a="http://schemas.openxmlformats.org/drawingml/2006/main">
                        <a:graphicData uri="http://schemas.microsoft.com/office/word/2010/wordprocessingShape">
                          <wps:wsp>
                            <wps:cNvSpPr txBox="1"/>
                            <wps:spPr>
                              <a:xfrm>
                                <a:off x="0" y="0"/>
                                <a:ext cx="608965" cy="294640"/>
                              </a:xfrm>
                              <a:prstGeom prst="rect">
                                <a:avLst/>
                              </a:prstGeom>
                              <a:solidFill>
                                <a:srgbClr val="FFFFFF"/>
                              </a:solidFill>
                              <a:ln>
                                <a:noFill/>
                              </a:ln>
                            </wps:spPr>
                            <wps:txbx>
                              <w:txbxContent>
                                <w:p>
                                  <w:pPr>
                                    <w:jc w:val="center"/>
                                    <w:rPr>
                                      <w:rFonts w:hint="default" w:eastAsia="宋体"/>
                                      <w:lang w:val="en-US" w:eastAsia="zh-CN"/>
                                    </w:rPr>
                                  </w:pPr>
                                  <w:r>
                                    <w:rPr>
                                      <w:rFonts w:hint="eastAsia"/>
                                      <w:lang w:val="en-US" w:eastAsia="zh-CN"/>
                                    </w:rPr>
                                    <w:t>蒸汽</w:t>
                                  </w:r>
                                </w:p>
                              </w:txbxContent>
                            </wps:txbx>
                            <wps:bodyPr vert="horz" wrap="square" anchor="t" anchorCtr="0" upright="1"/>
                          </wps:wsp>
                        </a:graphicData>
                      </a:graphic>
                    </wp:anchor>
                  </w:drawing>
                </mc:Choice>
                <mc:Fallback>
                  <w:pict>
                    <v:shape id="文本框 4" o:spid="_x0000_s1026" o:spt="202" type="#_x0000_t202" style="position:absolute;left:0pt;margin-left:233.7pt;margin-top:12.05pt;height:23.2pt;width:47.95pt;z-index:251661312;mso-width-relative:page;mso-height-relative:page;" fillcolor="#FFFFFF" filled="t" stroked="f" coordsize="21600,21600" o:gfxdata="UEsDBAoAAAAAAIdO4kAAAAAAAAAAAAAAAAAEAAAAZHJzL1BLAwQUAAAACACHTuJAezKp4dgAAAAJ&#10;AQAADwAAAGRycy9kb3ducmV2LnhtbE2Py07DMBBF90j8gzVIbBC10+YBIU4lkEBsW/oBk3iaRMTj&#10;KHab9u8xK1iO7tG9Z6rtxY7iTLMfHGtIVgoEcevMwJ2Gw9f74xMIH5ANjo5Jw5U8bOvbmwpL4xbe&#10;0XkfOhFL2JeooQ9hKqX0bU8W/cpNxDE7utliiOfcSTPjEsvtKNdK5dLiwHGhx4neemq/9yer4fi5&#10;PGTPS/MRDsUuzV9xKBp31fr+LlEvIAJdwh8Mv/pRHero1LgTGy9GDWlepBHVsE4TEBHI8s0GRKOh&#10;UBnIupL/P6h/AFBLAwQUAAAACACHTuJAIpuSjt8BAACpAwAADgAAAGRycy9lMm9Eb2MueG1srVPN&#10;jtMwEL4j8Q6W7zTZUqrdqulKbFUuCJAWHsB1nMSS7TFjt0l5AHgDTly481x9DsZO24XlsgdycMbz&#10;/30zXt4O1rC9wqDBVfxqUnKmnIRau7binz5uXlxzFqJwtTDgVMUPKvDb1fNny94v1BQ6MLVCRklc&#10;WPS+4l2MflEUQXbKijABrxwZG0ArIl2xLWoUPWW3ppiW5bzoAWuPIFUIpF2PRn7KiE9JCE2jpVqD&#10;3Fnl4pgVlRGRIIVO+8BXudumUTK+b5qgIjMVJ6Qxn1SE5G06i9VSLFoUvtPy1IJ4SguPMFmhHRW9&#10;pFqLKNgO9T+prJYIAZo4kWCLEUhmhFBclY+4ue+EVxkLUR38hfTw/9LKd/sPyHRd8ZecOWFp4Mfv&#10;344/fh1/fmWzRE/vw4K87j35xeE1DLQ0Z30gZUI9NGjTn/AwshO5hwu5aohMknJeXt/MX3EmyTS9&#10;mc1nmfziIdhjiG8UWJaEiiPNLlMq9m9DpEbI9eySagUwut5oY/IF2+2dQbYXNOdN/lKPFPKXm3HJ&#10;2UEKG81JUySII5QkxWE7nHBvoT4QbHot1FAH+IWznnal4uHzTqDiTDhJ6orHs3gXx+XaedRtR1GZ&#10;q1yBJpg7Om1bWpE/77mPhxe2+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7Mqnh2AAAAAkBAAAP&#10;AAAAAAAAAAEAIAAAACIAAABkcnMvZG93bnJldi54bWxQSwECFAAUAAAACACHTuJAIpuSjt8BAACp&#10;AwAADgAAAAAAAAABACAAAAAnAQAAZHJzL2Uyb0RvYy54bWxQSwUGAAAAAAYABgBZAQAAeAUAAAAA&#10;">
                      <v:fill on="t" focussize="0,0"/>
                      <v:stroke on="f"/>
                      <v:imagedata o:title=""/>
                      <o:lock v:ext="edit" aspectratio="f"/>
                      <v:textbox>
                        <w:txbxContent>
                          <w:p>
                            <w:pPr>
                              <w:jc w:val="center"/>
                              <w:rPr>
                                <w:rFonts w:hint="default" w:eastAsia="宋体"/>
                                <w:lang w:val="en-US" w:eastAsia="zh-CN"/>
                              </w:rPr>
                            </w:pPr>
                            <w:r>
                              <w:rPr>
                                <w:rFonts w:hint="eastAsia"/>
                                <w:lang w:val="en-US" w:eastAsia="zh-CN"/>
                              </w:rPr>
                              <w:t>蒸汽</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4168140</wp:posOffset>
                      </wp:positionH>
                      <wp:positionV relativeFrom="paragraph">
                        <wp:posOffset>184785</wp:posOffset>
                      </wp:positionV>
                      <wp:extent cx="883920" cy="294640"/>
                      <wp:effectExtent l="5080" t="5080" r="6350" b="5080"/>
                      <wp:wrapNone/>
                      <wp:docPr id="4" name="文本框 5"/>
                      <wp:cNvGraphicFramePr/>
                      <a:graphic xmlns:a="http://schemas.openxmlformats.org/drawingml/2006/main">
                        <a:graphicData uri="http://schemas.microsoft.com/office/word/2010/wordprocessingShape">
                          <wps:wsp>
                            <wps:cNvSpPr txBox="1"/>
                            <wps:spPr>
                              <a:xfrm>
                                <a:off x="0" y="0"/>
                                <a:ext cx="883920" cy="294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管线</w:t>
                                  </w:r>
                                </w:p>
                              </w:txbxContent>
                            </wps:txbx>
                            <wps:bodyPr vert="horz" wrap="square" anchor="t" anchorCtr="0" upright="1"/>
                          </wps:wsp>
                        </a:graphicData>
                      </a:graphic>
                    </wp:anchor>
                  </w:drawing>
                </mc:Choice>
                <mc:Fallback>
                  <w:pict>
                    <v:shape id="文本框 5" o:spid="_x0000_s1026" o:spt="202" type="#_x0000_t202" style="position:absolute;left:0pt;margin-left:328.2pt;margin-top:14.55pt;height:23.2pt;width:69.6pt;z-index:251662336;mso-width-relative:page;mso-height-relative:page;" fillcolor="#FFFFFF" filled="t" stroked="t" coordsize="21600,21600" o:gfxdata="UEsDBAoAAAAAAIdO4kAAAAAAAAAAAAAAAAAEAAAAZHJzL1BLAwQUAAAACACHTuJAE4GHvNkAAAAJ&#10;AQAADwAAAGRycy9kb3ducmV2LnhtbE2PwU7DMAyG70i8Q2QkLoilHWu2lqY7IIHgBgNt16zx2orE&#10;KUnWjbcnnOBmy59+f3+9PlvDJvRhcCQhn2XAkFqnB+okfLw/3q6AhahIK+MIJXxjgHVzeVGrSrsT&#10;veG0iR1LIRQqJaGPcaw4D22PVoWZG5HS7eC8VTGtvuPaq1MKt4bPs0xwqwZKH3o14kOP7efmaCWs&#10;Fs/TLrzcvW5bcTBlvFlOT19eyuurPLsHFvEc/2D41U/q0CSnvTuSDsxIEIVYJFTCvMyBJWBZFgLY&#10;Pg1FAbyp+f8GzQ9QSwMEFAAAAAgAh07iQH2nimgrAgAAaAQAAA4AAABkcnMvZTJvRG9jLnhtbK1U&#10;S44TMRDdI3EHy3vSmZCMJq10RmJC2CBAGjiA43anLfmH7SQdDgA3YMWG/Zwr5+DZncl8YJEFvegu&#10;2+VX9V5V9ey604pshQ/SmopeDIaUCMNtLc26ol8+L19dURIiMzVT1oiK7kWg1/OXL2Y7V4qRba2q&#10;hScAMaHcuYq2MbqyKAJvhWZhYJ0wOGys1yxi6ddF7dkO6FoVo+HwsthZXztvuQgBu4v+kB4R/TmA&#10;tmkkFwvLN1qY2KN6oVgEpdBKF+g8Z9s0gsePTRNEJKqiYBrzG0Fgr9K7mM9YufbMtZIfU2DnpPCM&#10;k2bSIOgJasEiIxsv/4LSknsbbBMH3OqiJ5IVAYuL4TNtblvmROYCqYM7iR7+Hyz/sP3kiawrOqbE&#10;MI2CH37+OPy6O/z+TiZJnp0LJbxuHfxi98Z2aJr7/YDNxLprvE5f8CE4h7j7k7iii4Rj8+rq9XSE&#10;E46j0XR8Oc7iFw+XnQ/xnbCaJKOiHrXLkrLt+xCRCFzvXVKsYJWsl1KpvPDr1Y3yZMtQ52V+Uo64&#10;8sRNGbKr6HQymiAPhuZt0DQwtYMAwaxzvCc3wmPgYX7+BZwSW7DQ9glkhOTGSi2j8NlqBavfmprE&#10;vYPIBrNFUzJa1JQogVFMVvaMTKpzPMFOGZBMFeorkazYrTrAJHNl6z2qhmGHnq313xARrQ6qXzfM&#10;Iz4zHNsVhQa9eRP72dg4L9ctbuVS5whowCzocVhShz9e5zwefhDz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OBh7zZAAAACQEAAA8AAAAAAAAAAQAgAAAAIgAAAGRycy9kb3ducmV2LnhtbFBLAQIU&#10;ABQAAAAIAIdO4kB9p4poKwIAAGgEAAAOAAAAAAAAAAEAIAAAACgBAABkcnMvZTJvRG9jLnhtbFBL&#10;BQYAAAAABgAGAFkBAADF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管线</w:t>
                            </w:r>
                          </w:p>
                        </w:txbxContent>
                      </v:textbox>
                    </v:shape>
                  </w:pict>
                </mc:Fallback>
              </mc:AlternateContent>
            </w:r>
          </w:p>
          <w:p>
            <w:pPr>
              <w:adjustRightInd w:val="0"/>
              <w:snapToGrid w:val="0"/>
              <w:spacing w:line="360" w:lineRule="auto"/>
              <w:rPr>
                <w:rFonts w:hint="eastAsia" w:ascii="Times New Roman" w:hAnsi="Times New Roman" w:cs="Times New Roman"/>
                <w:bCs/>
                <w:sz w:val="24"/>
                <w:szCs w:val="24"/>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2444115</wp:posOffset>
                      </wp:positionH>
                      <wp:positionV relativeFrom="paragraph">
                        <wp:posOffset>61595</wp:posOffset>
                      </wp:positionV>
                      <wp:extent cx="295275" cy="635"/>
                      <wp:effectExtent l="0" t="48895" r="9525" b="64770"/>
                      <wp:wrapNone/>
                      <wp:docPr id="9" name="直线 11"/>
                      <wp:cNvGraphicFramePr/>
                      <a:graphic xmlns:a="http://schemas.openxmlformats.org/drawingml/2006/main">
                        <a:graphicData uri="http://schemas.microsoft.com/office/word/2010/wordprocessingShape">
                          <wps:wsp>
                            <wps:cNvCnPr/>
                            <wps:spPr>
                              <a:xfrm>
                                <a:off x="0" y="0"/>
                                <a:ext cx="2952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1" o:spid="_x0000_s1026" o:spt="20" style="position:absolute;left:0pt;margin-left:192.45pt;margin-top:4.85pt;height:0.05pt;width:23.25pt;z-index:251667456;mso-width-relative:page;mso-height-relative:page;" filled="f" stroked="t" coordsize="21600,21600" o:gfxdata="UEsDBAoAAAAAAIdO4kAAAAAAAAAAAAAAAAAEAAAAZHJzL1BLAwQUAAAACACHTuJAB39ERdcAAAAH&#10;AQAADwAAAGRycy9kb3ducmV2LnhtbE2OwU7DMBBE70j8g7VIXBB1QgOkIU4PICRAcCCl4urG2zgi&#10;Xkex24S/ZznBcTSjN69cz64XRxxD50lBukhAIDXedNQq+Ng8XuYgQtRkdO8JFXxjgHV1elLqwviJ&#10;3vFYx1YwhEKhFdgYh0LK0Fh0Oiz8gMTd3o9OR45jK82oJ4a7Xl4lyY10uiN+sHrAe4vNV31wCtrt&#10;9GyeXj/rfb992LxcX1j75malzs/S5A5ExDn+jeFXn9WhYqedP5AJolewzLMVTxWsbkFwny3TDMSO&#10;cw6yKuV//+oHUEsDBBQAAAAIAIdO4kCZrgoH7QEAAN4DAAAOAAAAZHJzL2Uyb0RvYy54bWytU0uO&#10;EzEQ3SNxB8t70klQBqaVziwmDBsEkRgOULHd3Zb8U9lJJ2fhGqzYcJy5BmV3SGBmFrOgF+6y6/m5&#10;3it7eXOwhu0VRu1dw2eTKWfKCS+16xr+7f7uzXvOYgInwXinGn5Ukd+sXr9aDqFWc997IxUyInGx&#10;HkLD+5RCXVVR9MpCnPigHCVbjxYSTbGrJMJA7NZU8+n0qho8yoBeqBhpdT0m+YkRX0Lo21YLtfZi&#10;Z5VLIysqA4kkxV6HyFel2rZVIn1p26gSMw0npamMdAjF2zxWqyXUHULotTiVAC8p4ZEmC9rRoWeq&#10;NSRgO9RPqKwW6KNv00R4W41CiiOkYjZ95M3XHoIqWsjqGM6mx/9HKz7vN8i0bPg1Zw4sNfzh+4+H&#10;n7/YbJbNGUKsCXPrNniaxbDBrPTQos1/0sAOxdDj2VB1SEzQ4vx6MX+34ExQ6urtIhNWl50BY/qo&#10;vGU5aLjRLouFGvafYhqhfyB52Tg2UJmLeSYEunktdZxCG6j66LqyN3qj5Z02Ju+I2G1vDbI95O6X&#10;71TCP7B8yBpiP+JKKsOg7hXID06ydAzki6PnwHMJVknOjKLXk6OCTKDNBQmIfngeSvKNIxeyr6OT&#10;Odp6eaQ27ALqricrivUFQ20vnp2uaL5Xf88L0+VZrn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39ERdcAAAAHAQAADwAAAAAAAAABACAAAAAiAAAAZHJzL2Rvd25yZXYueG1sUEsBAhQAFAAAAAgA&#10;h07iQJmuCgftAQAA3gMAAA4AAAAAAAAAAQAgAAAAJgEAAGRycy9lMm9Eb2MueG1sUEsFBgAAAAAG&#10;AAYAWQEAAIUFA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3691890</wp:posOffset>
                      </wp:positionH>
                      <wp:positionV relativeFrom="paragraph">
                        <wp:posOffset>83820</wp:posOffset>
                      </wp:positionV>
                      <wp:extent cx="295275" cy="635"/>
                      <wp:effectExtent l="0" t="48895" r="9525" b="64770"/>
                      <wp:wrapNone/>
                      <wp:docPr id="10" name="直线 12"/>
                      <wp:cNvGraphicFramePr/>
                      <a:graphic xmlns:a="http://schemas.openxmlformats.org/drawingml/2006/main">
                        <a:graphicData uri="http://schemas.microsoft.com/office/word/2010/wordprocessingShape">
                          <wps:wsp>
                            <wps:cNvCnPr/>
                            <wps:spPr>
                              <a:xfrm>
                                <a:off x="0" y="0"/>
                                <a:ext cx="2952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2" o:spid="_x0000_s1026" o:spt="20" style="position:absolute;left:0pt;margin-left:290.7pt;margin-top:6.6pt;height:0.05pt;width:23.25pt;z-index:251668480;mso-width-relative:page;mso-height-relative:page;" filled="f" stroked="t" coordsize="21600,21600" o:gfxdata="UEsDBAoAAAAAAIdO4kAAAAAAAAAAAAAAAAAEAAAAZHJzL1BLAwQUAAAACACHTuJAgVhBbNkAAAAJ&#10;AQAADwAAAGRycy9kb3ducmV2LnhtbE2PwU7DMAyG70i8Q2QkLoil7dgYpekOICRAcKBj4po1XlPR&#10;OFWTreXt8U5wtP9Pvz8X68l14ohDaD0pSGcJCKTam5YaBZ+bp+sViBA1Gd15QgU/GGBdnp8VOjd+&#10;pA88VrERXEIh1wpsjH0uZagtOh1mvkfibO8HpyOPQyPNoEcud53MkmQpnW6JL1jd44PF+rs6OAXN&#10;dnwxz29f1b7bPm5eF1fWvrtJqcuLNLkHEXGKfzCc9FkdSnba+QOZIDoFi1V6wygH8wwEA8vs9g7E&#10;7rSYgywL+f+D8hdQSwMEFAAAAAgAh07iQEimacnsAQAA3wMAAA4AAABkcnMvZTJvRG9jLnhtbK1T&#10;S44TMRDdI3EHy3vSSVAGaKUziwnDBkEk4AAV291tyT+VnXRyFq7Big3HmWtQdjcJDCxmQS/cZdfz&#10;c71X9vr2ZA07Kozau4YvZnPOlBNeatc1/Mvn+xevOYsJnATjnWr4WUV+u3n+bD2EWi19741UyIjE&#10;xXoIDe9TCnVVRdErC3Hmg3KUbD1aSDTFrpIIA7FbUy3n85tq8CgDeqFipNXtmOQTIz6F0LetFmrr&#10;xcEql0ZWVAYSSYq9DpFvSrVtq0T62LZRJWYaTkpTGekQivd5rDZrqDuE0GsxlQBPKeGRJgva0aEX&#10;qi0kYAfUf1FZLdBH36aZ8LYahRRHSMVi/sibTz0EVbSQ1TFcTI//j1Z8OO6QaUk3gSxxYKnjD1+/&#10;PXz/wRbL7M4QYk2gO7fDaRbDDrPUU4s2/0kEOxVHzxdH1SkxQYvLN6vlqxVnglI3L1eZsLruDBjT&#10;O+Uty0HDjXZZLdRwfB/TCP0FycvGsaHhxJgJga5eSy2n0AYqP7qu7I3eaHmvjck7Inb7O4PsCLn9&#10;5ZtK+AOWD9lC7EdcSWUY1L0C+dZJls6BfHH0HnguwSrJmVH0fHJUkAm0uSIB0Q//hpJ848iF7Ovo&#10;ZI72Xp6pD4eAuuvJikUpM2eo78Wz6Y7mi/X7vDBd3+Xm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FYQWzZAAAACQEAAA8AAAAAAAAAAQAgAAAAIgAAAGRycy9kb3ducmV2LnhtbFBLAQIUABQAAAAI&#10;AIdO4kBIpmnJ7AEAAN8DAAAOAAAAAAAAAAEAIAAAACgBAABkcnMvZTJvRG9jLnhtbFBLBQYAAAAA&#10;BgAGAFkBAACGBQAAAAA=&#10;">
                      <v:fill on="f" focussize="0,0"/>
                      <v:stroke color="#000000" joinstyle="round" endarrow="open"/>
                      <v:imagedata o:title=""/>
                      <o:lock v:ext="edit" aspectratio="f"/>
                    </v:line>
                  </w:pict>
                </mc:Fallback>
              </mc:AlternateContent>
            </w:r>
          </w:p>
          <w:p>
            <w:pPr>
              <w:adjustRightInd w:val="0"/>
              <w:snapToGrid w:val="0"/>
              <w:spacing w:line="360" w:lineRule="auto"/>
              <w:rPr>
                <w:rFonts w:hint="eastAsia" w:ascii="Times New Roman" w:hAnsi="Times New Roman" w:cs="Times New Roman"/>
                <w:bCs/>
                <w:sz w:val="24"/>
                <w:szCs w:val="24"/>
                <w:lang w:val="en-US" w:eastAsia="zh-CN"/>
              </w:rPr>
            </w:pPr>
          </w:p>
          <w:p>
            <w:pPr>
              <w:adjustRightInd w:val="0"/>
              <w:snapToGrid w:val="0"/>
              <w:spacing w:line="360" w:lineRule="auto"/>
              <w:rPr>
                <w:rFonts w:hint="eastAsia" w:ascii="Times New Roman" w:hAnsi="Times New Roman" w:cs="Times New Roman"/>
                <w:bCs/>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Times New Roman" w:hAnsi="Times New Roman" w:cs="Times New Roman"/>
                <w:bCs/>
                <w:sz w:val="24"/>
                <w:szCs w:val="24"/>
                <w:lang w:val="en-US" w:eastAsia="zh-CN"/>
              </w:rPr>
            </w:pPr>
            <w:r>
              <w:rPr>
                <w:rFonts w:hint="eastAsia" w:ascii="Times New Roman" w:hAnsi="Times New Roman" w:eastAsia="宋体" w:cs="Times New Roman"/>
                <w:b/>
                <w:color w:val="000000"/>
                <w:sz w:val="24"/>
                <w:szCs w:val="24"/>
                <w:lang w:val="en-US" w:eastAsia="zh-CN"/>
              </w:rPr>
              <w:t xml:space="preserve">图2-2 </w:t>
            </w:r>
            <w:r>
              <w:rPr>
                <w:rFonts w:hint="eastAsia" w:cs="Times New Roman"/>
                <w:b/>
                <w:color w:val="000000"/>
                <w:sz w:val="24"/>
                <w:szCs w:val="24"/>
                <w:lang w:val="en-US" w:eastAsia="zh-CN"/>
              </w:rPr>
              <w:t xml:space="preserve">  </w:t>
            </w:r>
            <w:r>
              <w:rPr>
                <w:rFonts w:hint="eastAsia" w:ascii="Times New Roman" w:hAnsi="Times New Roman" w:eastAsia="宋体" w:cs="Times New Roman"/>
                <w:b/>
                <w:color w:val="000000"/>
                <w:sz w:val="24"/>
                <w:szCs w:val="24"/>
                <w:lang w:val="en-US" w:eastAsia="zh-CN"/>
              </w:rPr>
              <w:t xml:space="preserve"> 生产工艺流程及产污环节图</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工艺流程简述：</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本项目外购生物质颗粒。锅炉运行过程将新鲜水加热转化为蒸汽，蒸汽直接喷至输油管线进行加热。在锅炉加热结束后会产生少量锅炉排污水，该排污水水质较为洁净，用于油区周边洒水降尘。</w:t>
            </w:r>
          </w:p>
          <w:p>
            <w:pPr>
              <w:keepNext w:val="0"/>
              <w:keepLines w:val="0"/>
              <w:pageBreakBefore w:val="0"/>
              <w:widowControl w:val="0"/>
              <w:numPr>
                <w:ilvl w:val="0"/>
                <w:numId w:val="0"/>
              </w:numPr>
              <w:kinsoku/>
              <w:wordWrap/>
              <w:overflowPunct/>
              <w:topLinePunct w:val="0"/>
              <w:autoSpaceDE/>
              <w:autoSpaceDN/>
              <w:bidi w:val="0"/>
              <w:spacing w:line="520" w:lineRule="exact"/>
              <w:ind w:firstLine="480" w:firstLineChars="200"/>
              <w:textAlignment w:val="auto"/>
              <w:rPr>
                <w:rFonts w:hint="default" w:ascii="Times New Roman" w:hAnsi="Times New Roman" w:cs="Times New Roman"/>
                <w:bCs/>
                <w:sz w:val="24"/>
                <w:szCs w:val="24"/>
                <w:lang w:val="en-US" w:eastAsia="zh-CN"/>
              </w:rPr>
            </w:pPr>
            <w:r>
              <w:rPr>
                <w:rFonts w:hint="eastAsia" w:ascii="宋体" w:hAnsi="宋体" w:eastAsia="宋体" w:cs="宋体"/>
                <w:b w:val="0"/>
                <w:bCs w:val="0"/>
                <w:sz w:val="24"/>
                <w:szCs w:val="24"/>
                <w:lang w:val="en-US" w:eastAsia="zh-CN"/>
              </w:rPr>
              <w:t>生物质蒸汽锅炉运行过程中排放噪声、氮氧化物、二氧化硫、颗粒物，以及少量锅炉排污水。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92" w:type="dxa"/>
            <w:noWrap w:val="0"/>
            <w:vAlign w:val="center"/>
          </w:tcPr>
          <w:p>
            <w:pPr>
              <w:pStyle w:val="18"/>
              <w:adjustRightInd w:val="0"/>
              <w:snapToGrid w:val="0"/>
              <w:spacing w:before="0" w:beforeAutospacing="0" w:after="0" w:afterAutospacing="0"/>
              <w:jc w:val="center"/>
              <w:rPr>
                <w:rFonts w:hint="default" w:ascii="Times New Roman" w:hAnsi="Times New Roman" w:cs="Times New Roman"/>
                <w:sz w:val="24"/>
                <w:szCs w:val="24"/>
              </w:rPr>
            </w:pPr>
            <w:r>
              <w:rPr>
                <w:rFonts w:hint="default" w:ascii="Times New Roman" w:hAnsi="Times New Roman" w:cs="Times New Roman"/>
                <w:bCs/>
                <w:kern w:val="2"/>
                <w:sz w:val="24"/>
                <w:szCs w:val="24"/>
              </w:rPr>
              <w:t>与项目有关的原有环境污染问题</w:t>
            </w:r>
          </w:p>
        </w:tc>
        <w:tc>
          <w:tcPr>
            <w:tcW w:w="8492" w:type="dxa"/>
            <w:noWrap w:val="0"/>
            <w:vAlign w:val="center"/>
          </w:tcPr>
          <w:p>
            <w:pPr>
              <w:adjustRightInd w:val="0"/>
              <w:snapToGrid w:val="0"/>
              <w:spacing w:line="360" w:lineRule="auto"/>
              <w:ind w:firstLine="480" w:firstLineChars="200"/>
              <w:jc w:val="center"/>
              <w:rPr>
                <w:rFonts w:hint="default" w:ascii="Times New Roman" w:hAnsi="Times New Roman" w:eastAsia="宋体" w:cs="Times New Roman"/>
                <w:bCs/>
                <w:sz w:val="24"/>
                <w:szCs w:val="24"/>
                <w:lang w:val="en-US" w:eastAsia="zh-CN"/>
              </w:rPr>
            </w:pPr>
            <w:r>
              <w:rPr>
                <w:rFonts w:hint="eastAsia" w:ascii="Times New Roman" w:hAnsi="Times New Roman" w:cs="Times New Roman"/>
                <w:bCs/>
                <w:sz w:val="24"/>
                <w:szCs w:val="24"/>
                <w:lang w:val="en-US" w:eastAsia="zh-CN"/>
              </w:rPr>
              <w:t>本项目为新建项目，不存在与项目有关的原有环境污染问题。</w:t>
            </w:r>
          </w:p>
        </w:tc>
      </w:tr>
    </w:tbl>
    <w:p>
      <w:pPr>
        <w:pStyle w:val="18"/>
        <w:jc w:val="center"/>
        <w:rPr>
          <w:rFonts w:hint="default" w:ascii="Times New Roman" w:hAnsi="Times New Roman" w:eastAsia="黑体" w:cs="Times New Roman"/>
          <w:snapToGrid w:val="0"/>
          <w:sz w:val="36"/>
          <w:szCs w:val="36"/>
        </w:rPr>
        <w:sectPr>
          <w:pgSz w:w="11906" w:h="16838"/>
          <w:pgMar w:top="1701" w:right="1531" w:bottom="1701" w:left="1531" w:header="851" w:footer="851" w:gutter="0"/>
          <w:pgNumType w:fmt="numberInDash"/>
          <w:cols w:space="720" w:num="1"/>
          <w:docGrid w:linePitch="312" w:charSpace="0"/>
        </w:sectPr>
      </w:pPr>
    </w:p>
    <w:p>
      <w:pPr>
        <w:pStyle w:val="18"/>
        <w:adjustRightInd w:val="0"/>
        <w:snapToGrid w:val="0"/>
        <w:spacing w:before="0" w:beforeAutospacing="0" w:after="0" w:afterAutospacing="0" w:line="14" w:lineRule="auto"/>
        <w:jc w:val="center"/>
        <w:outlineLvl w:val="9"/>
        <w:rPr>
          <w:rFonts w:hint="default" w:ascii="Times New Roman" w:hAnsi="Times New Roman" w:eastAsia="黑体" w:cs="Times New Roman"/>
          <w:snapToGrid w:val="0"/>
          <w:sz w:val="30"/>
          <w:szCs w:val="30"/>
        </w:rPr>
      </w:pPr>
    </w:p>
    <w:p>
      <w:pPr>
        <w:pStyle w:val="18"/>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三、区域环境质量现状、环境保护目标及评价标准</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00" w:type="dxa"/>
            <w:noWrap w:val="0"/>
            <w:vAlign w:val="center"/>
          </w:tcPr>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区域</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环境</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质量</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现状</w:t>
            </w:r>
          </w:p>
        </w:tc>
        <w:tc>
          <w:tcPr>
            <w:tcW w:w="819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、大气环境</w:t>
            </w:r>
            <w:r>
              <w:rPr>
                <w:rFonts w:hint="eastAsia" w:ascii="宋体" w:hAnsi="宋体" w:eastAsia="宋体" w:cs="宋体"/>
                <w:b/>
                <w:bCs/>
                <w:sz w:val="24"/>
                <w:szCs w:val="24"/>
                <w:lang w:val="en-US" w:eastAsia="zh-CN"/>
              </w:rPr>
              <w:t>质量现状</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rPr>
              <w:t>根据</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建设项目环境影响报告表编制技术指南（污染影响类）（试行）</w:t>
            </w:r>
            <w:r>
              <w:rPr>
                <w:rFonts w:hint="eastAsia" w:ascii="宋体" w:hAnsi="宋体" w:eastAsia="宋体" w:cs="宋体"/>
                <w:bCs/>
                <w:sz w:val="24"/>
                <w:szCs w:val="24"/>
                <w:lang w:eastAsia="zh-CN"/>
              </w:rPr>
              <w:t>》</w:t>
            </w:r>
            <w:r>
              <w:rPr>
                <w:rFonts w:hint="eastAsia" w:ascii="宋体" w:hAnsi="宋体" w:eastAsia="宋体" w:cs="宋体"/>
                <w:bCs/>
                <w:sz w:val="24"/>
                <w:szCs w:val="24"/>
              </w:rPr>
              <w:t>，</w:t>
            </w:r>
            <w:r>
              <w:rPr>
                <w:rFonts w:hint="eastAsia" w:ascii="宋体" w:hAnsi="宋体" w:eastAsia="宋体" w:cs="宋体"/>
                <w:bCs/>
                <w:sz w:val="24"/>
                <w:szCs w:val="24"/>
                <w:lang w:val="en-US" w:eastAsia="zh-CN"/>
              </w:rPr>
              <w:t>可直接采用国家或地方生态环境主管部门公开发布的评价基准年环境质量公告或环境质量报告中的数据或结论，</w:t>
            </w:r>
            <w:r>
              <w:rPr>
                <w:rFonts w:hint="eastAsia" w:ascii="宋体" w:hAnsi="宋体" w:eastAsia="宋体" w:cs="宋体"/>
                <w:bCs/>
                <w:sz w:val="24"/>
                <w:szCs w:val="24"/>
              </w:rPr>
              <w:t>本次评价现状监测资料引用巴音郭楞蒙古自治州</w:t>
            </w:r>
            <w:r>
              <w:rPr>
                <w:rFonts w:hint="eastAsia" w:ascii="宋体" w:hAnsi="宋体" w:eastAsia="宋体" w:cs="宋体"/>
                <w:bCs/>
                <w:sz w:val="24"/>
                <w:szCs w:val="24"/>
                <w:lang w:val="en-US" w:eastAsia="zh-CN"/>
              </w:rPr>
              <w:t>轮台县环境空气质量监测站公布的轮台县</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3</w:t>
            </w:r>
            <w:r>
              <w:rPr>
                <w:rFonts w:hint="eastAsia" w:ascii="宋体" w:hAnsi="宋体" w:eastAsia="宋体" w:cs="宋体"/>
                <w:bCs/>
                <w:sz w:val="24"/>
                <w:szCs w:val="24"/>
              </w:rPr>
              <w:t>年的</w:t>
            </w:r>
            <w:r>
              <w:rPr>
                <w:rFonts w:hint="eastAsia" w:ascii="宋体" w:hAnsi="宋体" w:eastAsia="宋体" w:cs="宋体"/>
                <w:bCs/>
                <w:sz w:val="24"/>
                <w:szCs w:val="24"/>
                <w:lang w:val="en-US" w:eastAsia="zh-CN"/>
              </w:rPr>
              <w:t>环境空气质量现状数据，详见下表</w:t>
            </w:r>
            <w:r>
              <w:rPr>
                <w:rFonts w:hint="eastAsia" w:ascii="宋体" w:hAnsi="宋体" w:eastAsia="宋体" w:cs="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表3-1    区域空气质量现状评价</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1452"/>
              <w:gridCol w:w="1319"/>
              <w:gridCol w:w="1319"/>
              <w:gridCol w:w="1277"/>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5"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污染物</w:t>
                  </w:r>
                </w:p>
              </w:tc>
              <w:tc>
                <w:tcPr>
                  <w:tcW w:w="91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评价项目</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浓度（μg/m3）</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标准（二级）（μg/m3）</w:t>
                  </w:r>
                </w:p>
              </w:tc>
              <w:tc>
                <w:tcPr>
                  <w:tcW w:w="80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占标率%</w:t>
                  </w:r>
                </w:p>
              </w:tc>
              <w:tc>
                <w:tcPr>
                  <w:tcW w:w="80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jc w:val="center"/>
              </w:trPr>
              <w:tc>
                <w:tcPr>
                  <w:tcW w:w="825" w:type="pct"/>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SO</w:t>
                  </w:r>
                  <w:r>
                    <w:rPr>
                      <w:rFonts w:hint="eastAsia" w:ascii="Times New Roman" w:hAnsi="Times New Roman" w:eastAsia="宋体" w:cs="Times New Roman"/>
                      <w:b w:val="0"/>
                      <w:bCs w:val="0"/>
                      <w:sz w:val="21"/>
                      <w:szCs w:val="21"/>
                      <w:vertAlign w:val="subscript"/>
                      <w:lang w:val="en-US" w:eastAsia="zh-CN"/>
                    </w:rPr>
                    <w:t>2</w:t>
                  </w:r>
                </w:p>
              </w:tc>
              <w:tc>
                <w:tcPr>
                  <w:tcW w:w="91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年平均</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5</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60</w:t>
                  </w:r>
                </w:p>
              </w:tc>
              <w:tc>
                <w:tcPr>
                  <w:tcW w:w="80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8.3</w:t>
                  </w:r>
                </w:p>
              </w:tc>
              <w:tc>
                <w:tcPr>
                  <w:tcW w:w="80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5" w:type="pct"/>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p>
              </w:tc>
              <w:tc>
                <w:tcPr>
                  <w:tcW w:w="91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24h平均第98百分位数</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6</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150</w:t>
                  </w:r>
                </w:p>
              </w:tc>
              <w:tc>
                <w:tcPr>
                  <w:tcW w:w="80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4</w:t>
                  </w:r>
                </w:p>
              </w:tc>
              <w:tc>
                <w:tcPr>
                  <w:tcW w:w="80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jc w:val="center"/>
              </w:trPr>
              <w:tc>
                <w:tcPr>
                  <w:tcW w:w="825" w:type="pct"/>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NO</w:t>
                  </w:r>
                  <w:r>
                    <w:rPr>
                      <w:rFonts w:hint="eastAsia" w:ascii="Times New Roman" w:hAnsi="Times New Roman" w:eastAsia="宋体" w:cs="Times New Roman"/>
                      <w:b w:val="0"/>
                      <w:bCs w:val="0"/>
                      <w:sz w:val="21"/>
                      <w:szCs w:val="21"/>
                      <w:vertAlign w:val="subscript"/>
                      <w:lang w:val="en-US" w:eastAsia="zh-CN"/>
                    </w:rPr>
                    <w:t>2</w:t>
                  </w:r>
                </w:p>
              </w:tc>
              <w:tc>
                <w:tcPr>
                  <w:tcW w:w="91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年平均</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7</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40</w:t>
                  </w:r>
                </w:p>
              </w:tc>
              <w:tc>
                <w:tcPr>
                  <w:tcW w:w="80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17.5</w:t>
                  </w:r>
                </w:p>
              </w:tc>
              <w:tc>
                <w:tcPr>
                  <w:tcW w:w="80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5" w:type="pct"/>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p>
              </w:tc>
              <w:tc>
                <w:tcPr>
                  <w:tcW w:w="91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24h平均第98百分位数</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19</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80</w:t>
                  </w:r>
                </w:p>
              </w:tc>
              <w:tc>
                <w:tcPr>
                  <w:tcW w:w="80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23.8</w:t>
                  </w:r>
                </w:p>
              </w:tc>
              <w:tc>
                <w:tcPr>
                  <w:tcW w:w="80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5"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CO(mg/m</w:t>
                  </w:r>
                  <w:r>
                    <w:rPr>
                      <w:rFonts w:hint="eastAsia" w:ascii="Times New Roman" w:hAnsi="Times New Roman" w:eastAsia="宋体" w:cs="Times New Roman"/>
                      <w:b w:val="0"/>
                      <w:bCs w:val="0"/>
                      <w:sz w:val="21"/>
                      <w:szCs w:val="21"/>
                      <w:vertAlign w:val="superscript"/>
                      <w:lang w:val="en-US" w:eastAsia="zh-CN"/>
                    </w:rPr>
                    <w:t>3)</w:t>
                  </w:r>
                </w:p>
              </w:tc>
              <w:tc>
                <w:tcPr>
                  <w:tcW w:w="91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24h平均第95百分位数</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0.4</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4</w:t>
                  </w:r>
                </w:p>
              </w:tc>
              <w:tc>
                <w:tcPr>
                  <w:tcW w:w="80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10</w:t>
                  </w:r>
                </w:p>
              </w:tc>
              <w:tc>
                <w:tcPr>
                  <w:tcW w:w="80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5"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O</w:t>
                  </w:r>
                  <w:r>
                    <w:rPr>
                      <w:rFonts w:hint="eastAsia" w:ascii="Times New Roman" w:hAnsi="Times New Roman" w:eastAsia="宋体" w:cs="Times New Roman"/>
                      <w:b w:val="0"/>
                      <w:bCs w:val="0"/>
                      <w:sz w:val="21"/>
                      <w:szCs w:val="21"/>
                      <w:vertAlign w:val="subscript"/>
                      <w:lang w:val="en-US" w:eastAsia="zh-CN"/>
                    </w:rPr>
                    <w:t>3</w:t>
                  </w:r>
                </w:p>
              </w:tc>
              <w:tc>
                <w:tcPr>
                  <w:tcW w:w="91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最大8小时滑动平均值的第90百分位数</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112</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160</w:t>
                  </w:r>
                </w:p>
              </w:tc>
              <w:tc>
                <w:tcPr>
                  <w:tcW w:w="80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70</w:t>
                  </w:r>
                </w:p>
              </w:tc>
              <w:tc>
                <w:tcPr>
                  <w:tcW w:w="80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jc w:val="center"/>
              </w:trPr>
              <w:tc>
                <w:tcPr>
                  <w:tcW w:w="825" w:type="pct"/>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PM</w:t>
                  </w:r>
                  <w:r>
                    <w:rPr>
                      <w:rFonts w:hint="eastAsia" w:ascii="Times New Roman" w:hAnsi="Times New Roman" w:eastAsia="宋体" w:cs="Times New Roman"/>
                      <w:b w:val="0"/>
                      <w:bCs w:val="0"/>
                      <w:sz w:val="21"/>
                      <w:szCs w:val="21"/>
                      <w:vertAlign w:val="subscript"/>
                      <w:lang w:val="en-US" w:eastAsia="zh-CN"/>
                    </w:rPr>
                    <w:t>10</w:t>
                  </w:r>
                </w:p>
              </w:tc>
              <w:tc>
                <w:tcPr>
                  <w:tcW w:w="91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年平均</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190</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70</w:t>
                  </w:r>
                </w:p>
              </w:tc>
              <w:tc>
                <w:tcPr>
                  <w:tcW w:w="80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271.4</w:t>
                  </w:r>
                </w:p>
              </w:tc>
              <w:tc>
                <w:tcPr>
                  <w:tcW w:w="80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5" w:type="pct"/>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p>
              </w:tc>
              <w:tc>
                <w:tcPr>
                  <w:tcW w:w="91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24h平均第95百分位数</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634</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150</w:t>
                  </w:r>
                </w:p>
              </w:tc>
              <w:tc>
                <w:tcPr>
                  <w:tcW w:w="80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622.7</w:t>
                  </w:r>
                </w:p>
              </w:tc>
              <w:tc>
                <w:tcPr>
                  <w:tcW w:w="80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jc w:val="center"/>
              </w:trPr>
              <w:tc>
                <w:tcPr>
                  <w:tcW w:w="825" w:type="pct"/>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PM</w:t>
                  </w:r>
                  <w:r>
                    <w:rPr>
                      <w:rFonts w:hint="eastAsia" w:ascii="Times New Roman" w:hAnsi="Times New Roman" w:eastAsia="宋体" w:cs="Times New Roman"/>
                      <w:b w:val="0"/>
                      <w:bCs w:val="0"/>
                      <w:sz w:val="21"/>
                      <w:szCs w:val="21"/>
                      <w:vertAlign w:val="subscript"/>
                      <w:lang w:val="en-US" w:eastAsia="zh-CN"/>
                    </w:rPr>
                    <w:t>2.5</w:t>
                  </w:r>
                </w:p>
              </w:tc>
              <w:tc>
                <w:tcPr>
                  <w:tcW w:w="91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年平均</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55</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35</w:t>
                  </w:r>
                </w:p>
              </w:tc>
              <w:tc>
                <w:tcPr>
                  <w:tcW w:w="80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157.1</w:t>
                  </w:r>
                </w:p>
              </w:tc>
              <w:tc>
                <w:tcPr>
                  <w:tcW w:w="80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5" w:type="pct"/>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p>
              </w:tc>
              <w:tc>
                <w:tcPr>
                  <w:tcW w:w="91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24h平均第95百分位数</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229</w:t>
                  </w:r>
                </w:p>
              </w:tc>
              <w:tc>
                <w:tcPr>
                  <w:tcW w:w="8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75</w:t>
                  </w:r>
                </w:p>
              </w:tc>
              <w:tc>
                <w:tcPr>
                  <w:tcW w:w="80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305.3</w:t>
                  </w:r>
                </w:p>
              </w:tc>
              <w:tc>
                <w:tcPr>
                  <w:tcW w:w="80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不达标</w:t>
                  </w:r>
                </w:p>
              </w:tc>
            </w:tr>
          </w:tbl>
          <w:p>
            <w:pPr>
              <w:keepNext w:val="0"/>
              <w:keepLines w:val="0"/>
              <w:pageBreakBefore w:val="0"/>
              <w:kinsoku/>
              <w:wordWrap/>
              <w:overflowPunct/>
              <w:topLinePunct w:val="0"/>
              <w:autoSpaceDE/>
              <w:autoSpaceDN/>
              <w:bidi w:val="0"/>
              <w:adjustRightInd/>
              <w:spacing w:line="520" w:lineRule="exact"/>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项目所在区域PM</w:t>
            </w:r>
            <w:r>
              <w:rPr>
                <w:rFonts w:hint="eastAsia" w:ascii="宋体" w:hAnsi="宋体" w:eastAsia="宋体" w:cs="宋体"/>
                <w:bCs/>
                <w:sz w:val="24"/>
                <w:szCs w:val="24"/>
                <w:vertAlign w:val="subscript"/>
                <w:lang w:val="en-US" w:eastAsia="zh-CN"/>
              </w:rPr>
              <w:t>2.5</w:t>
            </w:r>
            <w:r>
              <w:rPr>
                <w:rFonts w:hint="eastAsia" w:ascii="宋体" w:hAnsi="宋体" w:eastAsia="宋体" w:cs="宋体"/>
                <w:bCs/>
                <w:sz w:val="24"/>
                <w:szCs w:val="24"/>
                <w:lang w:val="en-US" w:eastAsia="zh-CN"/>
              </w:rPr>
              <w:t>、PM</w:t>
            </w:r>
            <w:r>
              <w:rPr>
                <w:rFonts w:hint="eastAsia" w:ascii="宋体" w:hAnsi="宋体" w:eastAsia="宋体" w:cs="宋体"/>
                <w:sz w:val="24"/>
                <w:szCs w:val="24"/>
                <w:vertAlign w:val="subscript"/>
                <w:lang w:val="en-US" w:eastAsia="zh-CN"/>
              </w:rPr>
              <w:t>10</w:t>
            </w:r>
            <w:r>
              <w:rPr>
                <w:rFonts w:hint="eastAsia" w:ascii="宋体" w:hAnsi="宋体" w:eastAsia="宋体" w:cs="宋体"/>
                <w:bCs/>
                <w:sz w:val="24"/>
                <w:szCs w:val="24"/>
                <w:lang w:val="en-US" w:eastAsia="zh-CN"/>
              </w:rPr>
              <w:t>年平均浓度超过《环境空气质量标准》（GB3095-2012）的二级标准要求；O</w:t>
            </w:r>
            <w:r>
              <w:rPr>
                <w:rFonts w:hint="eastAsia" w:ascii="宋体" w:hAnsi="宋体" w:eastAsia="宋体" w:cs="宋体"/>
                <w:bCs/>
                <w:sz w:val="24"/>
                <w:szCs w:val="24"/>
                <w:vertAlign w:val="subscript"/>
                <w:lang w:val="en-US" w:eastAsia="zh-CN"/>
              </w:rPr>
              <w:t>3</w:t>
            </w:r>
            <w:r>
              <w:rPr>
                <w:rFonts w:hint="eastAsia" w:ascii="宋体" w:hAnsi="宋体" w:eastAsia="宋体" w:cs="宋体"/>
                <w:bCs/>
                <w:sz w:val="24"/>
                <w:szCs w:val="24"/>
                <w:lang w:val="en-US" w:eastAsia="zh-CN"/>
              </w:rPr>
              <w:t>最大8小时平均浓度及CO、SO</w:t>
            </w:r>
            <w:r>
              <w:rPr>
                <w:rFonts w:hint="eastAsia" w:ascii="宋体" w:hAnsi="宋体" w:eastAsia="宋体" w:cs="宋体"/>
                <w:bCs/>
                <w:sz w:val="24"/>
                <w:szCs w:val="24"/>
                <w:vertAlign w:val="subscript"/>
                <w:lang w:val="en-US" w:eastAsia="zh-CN"/>
              </w:rPr>
              <w:t>2</w:t>
            </w:r>
            <w:r>
              <w:rPr>
                <w:rFonts w:hint="eastAsia" w:ascii="宋体" w:hAnsi="宋体" w:eastAsia="宋体" w:cs="宋体"/>
                <w:bCs/>
                <w:sz w:val="24"/>
                <w:szCs w:val="24"/>
                <w:lang w:val="en-US" w:eastAsia="zh-CN"/>
              </w:rPr>
              <w:t>、NO</w:t>
            </w:r>
            <w:r>
              <w:rPr>
                <w:rFonts w:hint="eastAsia" w:ascii="宋体" w:hAnsi="宋体" w:eastAsia="宋体" w:cs="宋体"/>
                <w:bCs/>
                <w:sz w:val="24"/>
                <w:szCs w:val="24"/>
                <w:vertAlign w:val="subscript"/>
                <w:lang w:val="en-US" w:eastAsia="zh-CN"/>
              </w:rPr>
              <w:t>2</w:t>
            </w:r>
            <w:r>
              <w:rPr>
                <w:rFonts w:hint="eastAsia" w:ascii="宋体" w:hAnsi="宋体" w:eastAsia="宋体" w:cs="宋体"/>
                <w:bCs/>
                <w:sz w:val="24"/>
                <w:szCs w:val="24"/>
                <w:lang w:val="en-US" w:eastAsia="zh-CN"/>
              </w:rPr>
              <w:t>的年、日均浓度均满足《环境空气质量标准》（GB3095-2012）的二级标准要求，本项目所在区域为不达标区域。超标主要是与当地气候条件和地理位置有关，评价区大气由于受到当地干旱气候的影响，空气中PM</w:t>
            </w:r>
            <w:r>
              <w:rPr>
                <w:rFonts w:hint="eastAsia" w:ascii="宋体" w:hAnsi="宋体" w:eastAsia="宋体" w:cs="宋体"/>
                <w:sz w:val="24"/>
                <w:szCs w:val="24"/>
                <w:vertAlign w:val="subscript"/>
                <w:lang w:val="en-US" w:eastAsia="zh-CN"/>
              </w:rPr>
              <w:t>2.5</w:t>
            </w:r>
            <w:r>
              <w:rPr>
                <w:rFonts w:hint="eastAsia" w:ascii="宋体" w:hAnsi="宋体" w:eastAsia="宋体" w:cs="宋体"/>
                <w:bCs/>
                <w:sz w:val="24"/>
                <w:szCs w:val="24"/>
                <w:lang w:val="en-US" w:eastAsia="zh-CN"/>
              </w:rPr>
              <w:t>、PM</w:t>
            </w:r>
            <w:r>
              <w:rPr>
                <w:rFonts w:hint="eastAsia" w:ascii="宋体" w:hAnsi="宋体" w:eastAsia="宋体" w:cs="宋体"/>
                <w:sz w:val="24"/>
                <w:szCs w:val="24"/>
                <w:vertAlign w:val="subscript"/>
                <w:lang w:val="en-US" w:eastAsia="zh-CN"/>
              </w:rPr>
              <w:t>10</w:t>
            </w:r>
            <w:r>
              <w:rPr>
                <w:rFonts w:hint="eastAsia" w:ascii="宋体" w:hAnsi="宋体" w:eastAsia="宋体" w:cs="宋体"/>
                <w:bCs/>
                <w:sz w:val="24"/>
                <w:szCs w:val="24"/>
                <w:lang w:val="en-US" w:eastAsia="zh-CN"/>
              </w:rPr>
              <w:t>的本底值偏高，尤其在沙尘暴和浮尘天气，会出现严重超标。</w:t>
            </w:r>
          </w:p>
          <w:p>
            <w:pPr>
              <w:keepNext w:val="0"/>
              <w:keepLines w:val="0"/>
              <w:pageBreakBefore w:val="0"/>
              <w:numPr>
                <w:ilvl w:val="0"/>
                <w:numId w:val="0"/>
              </w:numPr>
              <w:kinsoku/>
              <w:wordWrap/>
              <w:overflowPunct/>
              <w:topLinePunct w:val="0"/>
              <w:autoSpaceDE/>
              <w:autoSpaceDN/>
              <w:bidi w:val="0"/>
              <w:adjustRightInd w:val="0"/>
              <w:snapToGrid w:val="0"/>
              <w:spacing w:line="520" w:lineRule="exact"/>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kern w:val="2"/>
                <w:sz w:val="24"/>
                <w:szCs w:val="24"/>
                <w:lang w:val="en-US" w:eastAsia="zh-CN" w:bidi="ar-SA"/>
              </w:rPr>
              <w:t>2、</w:t>
            </w:r>
            <w:r>
              <w:rPr>
                <w:rFonts w:hint="eastAsia" w:ascii="宋体" w:hAnsi="宋体" w:eastAsia="宋体" w:cs="宋体"/>
                <w:b/>
                <w:bCs/>
                <w:sz w:val="24"/>
                <w:szCs w:val="24"/>
                <w:lang w:val="en-US" w:eastAsia="zh-CN"/>
              </w:rPr>
              <w:t>地表水环境质量现状</w:t>
            </w:r>
          </w:p>
          <w:p>
            <w:pPr>
              <w:keepNext w:val="0"/>
              <w:keepLines w:val="0"/>
              <w:pageBreakBefore w:val="0"/>
              <w:widowControl w:val="0"/>
              <w:kinsoku/>
              <w:wordWrap/>
              <w:overflowPunct/>
              <w:topLinePunct w:val="0"/>
              <w:autoSpaceDE/>
              <w:autoSpaceDN/>
              <w:bidi w:val="0"/>
              <w:snapToGrid/>
              <w:spacing w:line="520" w:lineRule="exact"/>
              <w:ind w:firstLine="480" w:firstLineChars="200"/>
              <w:textAlignment w:val="auto"/>
              <w:rPr>
                <w:rFonts w:hint="eastAsia" w:ascii="宋体" w:hAnsi="宋体" w:eastAsia="宋体" w:cs="宋体"/>
                <w:sz w:val="24"/>
                <w:szCs w:val="24"/>
                <w:highlight w:val="yellow"/>
                <w:lang w:val="en-US" w:eastAsia="zh-CN"/>
                <w:rPrChange w:id="5" w:author="Administrator" w:date="2025-08-17T12:58:49Z">
                  <w:rPr>
                    <w:rFonts w:hint="eastAsia" w:ascii="宋体" w:hAnsi="宋体" w:eastAsia="宋体" w:cs="宋体"/>
                    <w:sz w:val="24"/>
                    <w:szCs w:val="24"/>
                    <w:highlight w:val="none"/>
                    <w:lang w:val="en-US" w:eastAsia="zh-CN"/>
                  </w:rPr>
                </w:rPrChange>
              </w:rPr>
            </w:pPr>
            <w:r>
              <w:rPr>
                <w:rFonts w:hint="eastAsia" w:ascii="宋体" w:hAnsi="宋体" w:eastAsia="宋体" w:cs="宋体"/>
                <w:sz w:val="24"/>
                <w:szCs w:val="24"/>
                <w:highlight w:val="yellow"/>
                <w:rPrChange w:id="6" w:author="Administrator" w:date="2025-08-17T12:58:49Z">
                  <w:rPr>
                    <w:rFonts w:hint="eastAsia" w:ascii="宋体" w:hAnsi="宋体" w:eastAsia="宋体" w:cs="宋体"/>
                    <w:sz w:val="24"/>
                    <w:szCs w:val="24"/>
                    <w:highlight w:val="none"/>
                  </w:rPr>
                </w:rPrChange>
              </w:rPr>
              <w:t>根据《20</w:t>
            </w:r>
            <w:r>
              <w:rPr>
                <w:rFonts w:hint="eastAsia" w:ascii="宋体" w:hAnsi="宋体" w:eastAsia="宋体" w:cs="宋体"/>
                <w:sz w:val="24"/>
                <w:szCs w:val="24"/>
                <w:highlight w:val="yellow"/>
                <w:lang w:val="en-US" w:eastAsia="zh-CN"/>
                <w:rPrChange w:id="7" w:author="Administrator" w:date="2025-08-17T12:58:49Z">
                  <w:rPr>
                    <w:rFonts w:hint="eastAsia" w:ascii="宋体" w:hAnsi="宋体" w:eastAsia="宋体" w:cs="宋体"/>
                    <w:sz w:val="24"/>
                    <w:szCs w:val="24"/>
                    <w:highlight w:val="none"/>
                    <w:lang w:val="en-US" w:eastAsia="zh-CN"/>
                  </w:rPr>
                </w:rPrChange>
              </w:rPr>
              <w:t>23</w:t>
            </w:r>
            <w:r>
              <w:rPr>
                <w:rFonts w:hint="eastAsia" w:ascii="宋体" w:hAnsi="宋体" w:eastAsia="宋体" w:cs="宋体"/>
                <w:sz w:val="24"/>
                <w:szCs w:val="24"/>
                <w:highlight w:val="yellow"/>
                <w:rPrChange w:id="8" w:author="Administrator" w:date="2025-08-17T12:58:49Z">
                  <w:rPr>
                    <w:rFonts w:hint="eastAsia" w:ascii="宋体" w:hAnsi="宋体" w:eastAsia="宋体" w:cs="宋体"/>
                    <w:sz w:val="24"/>
                    <w:szCs w:val="24"/>
                    <w:highlight w:val="none"/>
                  </w:rPr>
                </w:rPrChange>
              </w:rPr>
              <w:t>年巴音郭楞蒙古自治州生态环境状况公报》可知：</w:t>
            </w:r>
            <w:r>
              <w:rPr>
                <w:rFonts w:hint="eastAsia" w:ascii="宋体" w:hAnsi="宋体" w:eastAsia="宋体" w:cs="宋体"/>
                <w:sz w:val="24"/>
                <w:szCs w:val="24"/>
                <w:highlight w:val="yellow"/>
                <w:lang w:val="en-US" w:eastAsia="zh-CN"/>
                <w:rPrChange w:id="9" w:author="Administrator" w:date="2025-08-17T12:58:49Z">
                  <w:rPr>
                    <w:rFonts w:hint="eastAsia" w:ascii="宋体" w:hAnsi="宋体" w:eastAsia="宋体" w:cs="宋体"/>
                    <w:sz w:val="24"/>
                    <w:szCs w:val="24"/>
                    <w:highlight w:val="none"/>
                    <w:lang w:val="en-US" w:eastAsia="zh-CN"/>
                  </w:rPr>
                </w:rPrChange>
              </w:rPr>
              <w:t>我州境内河流及湖泊属内陆水系。全州有大小河流759条，其中主要河流有开都河、孔雀河、塔里木河、车尔臣河、迪那河、黄水沟；主要湖库有博斯腾湖、大石门水库、大西海子水库和西尼尔水库。</w:t>
            </w:r>
          </w:p>
          <w:p>
            <w:pPr>
              <w:keepNext w:val="0"/>
              <w:keepLines w:val="0"/>
              <w:pageBreakBefore w:val="0"/>
              <w:widowControl/>
              <w:kinsoku/>
              <w:wordWrap/>
              <w:overflowPunct/>
              <w:topLinePunct w:val="0"/>
              <w:autoSpaceDE/>
              <w:autoSpaceDN/>
              <w:bidi w:val="0"/>
              <w:spacing w:line="520" w:lineRule="exact"/>
              <w:ind w:firstLine="480" w:firstLineChars="200"/>
              <w:jc w:val="left"/>
              <w:textAlignment w:val="auto"/>
              <w:rPr>
                <w:rFonts w:hint="eastAsia" w:ascii="宋体" w:hAnsi="宋体" w:eastAsia="宋体" w:cs="宋体"/>
                <w:color w:val="000000"/>
                <w:sz w:val="24"/>
                <w:szCs w:val="24"/>
                <w:highlight w:val="yellow"/>
                <w:shd w:val="clear" w:color="auto" w:fill="auto"/>
                <w:rPrChange w:id="10" w:author="Administrator" w:date="2025-08-17T12:58:49Z">
                  <w:rPr>
                    <w:rFonts w:hint="eastAsia" w:ascii="宋体" w:hAnsi="宋体" w:eastAsia="宋体" w:cs="宋体"/>
                    <w:color w:val="000000"/>
                    <w:sz w:val="24"/>
                    <w:szCs w:val="24"/>
                    <w:highlight w:val="none"/>
                    <w:shd w:val="clear" w:color="auto" w:fill="auto"/>
                  </w:rPr>
                </w:rPrChange>
              </w:rPr>
            </w:pPr>
            <w:r>
              <w:rPr>
                <w:rFonts w:hint="eastAsia" w:ascii="宋体" w:hAnsi="宋体" w:eastAsia="宋体" w:cs="宋体"/>
                <w:color w:val="000000"/>
                <w:kern w:val="0"/>
                <w:sz w:val="24"/>
                <w:szCs w:val="24"/>
                <w:highlight w:val="yellow"/>
                <w:shd w:val="clear" w:color="auto" w:fill="auto"/>
                <w:lang w:val="en-US" w:eastAsia="zh-CN" w:bidi="ar"/>
                <w:rPrChange w:id="11" w:author="Administrator" w:date="2025-08-17T12:58:49Z">
                  <w:rPr>
                    <w:rFonts w:hint="eastAsia" w:ascii="宋体" w:hAnsi="宋体" w:eastAsia="宋体" w:cs="宋体"/>
                    <w:color w:val="000000"/>
                    <w:kern w:val="0"/>
                    <w:sz w:val="24"/>
                    <w:szCs w:val="24"/>
                    <w:shd w:val="clear" w:color="auto" w:fill="auto"/>
                    <w:lang w:val="en-US" w:eastAsia="zh-CN" w:bidi="ar"/>
                  </w:rPr>
                </w:rPrChange>
              </w:rPr>
              <w:t>地表水环境质量。2023年，全州6条主要河流的19个监测断面中，Ⅰ—Ⅲ类优良水质断面占100%，6条河流水质均为Ⅱ类，与2022年持平。</w:t>
            </w:r>
            <w:r>
              <w:rPr>
                <w:rFonts w:hint="eastAsia" w:ascii="宋体" w:hAnsi="宋体" w:eastAsia="宋体" w:cs="宋体"/>
                <w:color w:val="000000"/>
                <w:sz w:val="24"/>
                <w:szCs w:val="24"/>
                <w:highlight w:val="yellow"/>
                <w:shd w:val="clear" w:color="auto" w:fill="auto"/>
                <w:lang w:val="en-US" w:eastAsia="zh-CN"/>
                <w:rPrChange w:id="12" w:author="Administrator" w:date="2025-08-17T12:58:49Z">
                  <w:rPr>
                    <w:rFonts w:hint="eastAsia" w:ascii="宋体" w:hAnsi="宋体" w:eastAsia="宋体" w:cs="宋体"/>
                    <w:color w:val="000000"/>
                    <w:sz w:val="24"/>
                    <w:szCs w:val="24"/>
                    <w:highlight w:val="none"/>
                    <w:shd w:val="clear" w:color="auto" w:fill="auto"/>
                    <w:lang w:val="en-US" w:eastAsia="zh-CN"/>
                  </w:rPr>
                </w:rPrChange>
              </w:rPr>
              <w:t>项目区最近的河流是塔里木河，其水质可达到《地表水环境质量标准》（GB3838-2002）中Ⅱ类标准限值要求</w:t>
            </w:r>
            <w:r>
              <w:rPr>
                <w:rFonts w:hint="eastAsia" w:ascii="宋体" w:hAnsi="宋体" w:eastAsia="宋体" w:cs="宋体"/>
                <w:color w:val="000000"/>
                <w:sz w:val="24"/>
                <w:szCs w:val="24"/>
                <w:highlight w:val="yellow"/>
                <w:shd w:val="clear" w:color="auto" w:fill="auto"/>
                <w:rPrChange w:id="13" w:author="Administrator" w:date="2025-08-17T12:58:49Z">
                  <w:rPr>
                    <w:rFonts w:hint="eastAsia" w:ascii="宋体" w:hAnsi="宋体" w:eastAsia="宋体" w:cs="宋体"/>
                    <w:color w:val="000000"/>
                    <w:sz w:val="24"/>
                    <w:szCs w:val="24"/>
                    <w:highlight w:val="none"/>
                    <w:shd w:val="clear" w:color="auto" w:fill="auto"/>
                  </w:rPr>
                </w:rPrChange>
              </w:rPr>
              <w:t>。</w:t>
            </w:r>
          </w:p>
          <w:p>
            <w:pPr>
              <w:keepNext w:val="0"/>
              <w:keepLines w:val="0"/>
              <w:pageBreakBefore w:val="0"/>
              <w:widowControl/>
              <w:kinsoku/>
              <w:wordWrap/>
              <w:overflowPunct/>
              <w:topLinePunct w:val="0"/>
              <w:autoSpaceDE/>
              <w:autoSpaceDN/>
              <w:bidi w:val="0"/>
              <w:spacing w:line="520" w:lineRule="exact"/>
              <w:ind w:firstLine="480" w:firstLineChars="200"/>
              <w:jc w:val="left"/>
              <w:textAlignment w:val="auto"/>
              <w:rPr>
                <w:rFonts w:hint="default" w:ascii="宋体" w:hAnsi="宋体" w:eastAsia="宋体" w:cs="宋体"/>
                <w:b/>
                <w:bCs/>
                <w:sz w:val="24"/>
                <w:szCs w:val="24"/>
                <w:highlight w:val="yellow"/>
                <w:lang w:val="en-US" w:eastAsia="zh-CN"/>
                <w:rPrChange w:id="14" w:author="Administrator" w:date="2025-08-17T12:58:49Z">
                  <w:rPr>
                    <w:rFonts w:hint="default" w:ascii="宋体" w:hAnsi="宋体" w:eastAsia="宋体" w:cs="宋体"/>
                    <w:b/>
                    <w:bCs/>
                    <w:sz w:val="24"/>
                    <w:szCs w:val="24"/>
                    <w:lang w:val="en-US" w:eastAsia="zh-CN"/>
                  </w:rPr>
                </w:rPrChange>
              </w:rPr>
            </w:pPr>
            <w:r>
              <w:rPr>
                <w:rFonts w:hint="eastAsia" w:ascii="宋体" w:hAnsi="宋体" w:cs="宋体"/>
                <w:b w:val="0"/>
                <w:bCs w:val="0"/>
                <w:sz w:val="24"/>
                <w:szCs w:val="24"/>
                <w:highlight w:val="yellow"/>
                <w:lang w:val="en-US" w:eastAsia="zh-CN"/>
                <w:rPrChange w:id="15" w:author="Administrator" w:date="2025-08-17T12:58:49Z">
                  <w:rPr>
                    <w:rFonts w:hint="eastAsia" w:ascii="宋体" w:hAnsi="宋体" w:cs="宋体"/>
                    <w:b w:val="0"/>
                    <w:bCs w:val="0"/>
                    <w:sz w:val="24"/>
                    <w:szCs w:val="24"/>
                    <w:lang w:val="en-US" w:eastAsia="zh-CN"/>
                  </w:rPr>
                </w:rPrChange>
              </w:rPr>
              <w:t>项目区租赁地西侧3.4km处为迪那河，</w:t>
            </w:r>
            <w:r>
              <w:rPr>
                <w:rFonts w:hint="eastAsia" w:ascii="宋体" w:hAnsi="宋体" w:eastAsia="宋体" w:cs="宋体"/>
                <w:color w:val="000000"/>
                <w:kern w:val="0"/>
                <w:sz w:val="24"/>
                <w:szCs w:val="24"/>
                <w:highlight w:val="yellow"/>
                <w:shd w:val="clear" w:color="auto" w:fill="auto"/>
                <w:lang w:val="en-US" w:eastAsia="zh-CN" w:bidi="ar"/>
                <w:rPrChange w:id="16" w:author="Administrator" w:date="2025-08-17T12:58:49Z">
                  <w:rPr>
                    <w:rFonts w:hint="eastAsia" w:ascii="宋体" w:hAnsi="宋体" w:eastAsia="宋体" w:cs="宋体"/>
                    <w:color w:val="000000"/>
                    <w:kern w:val="0"/>
                    <w:sz w:val="24"/>
                    <w:szCs w:val="24"/>
                    <w:shd w:val="clear" w:color="auto" w:fill="auto"/>
                    <w:lang w:val="en-US" w:eastAsia="zh-CN" w:bidi="ar"/>
                  </w:rPr>
                </w:rPrChange>
              </w:rPr>
              <w:t>河流水质为Ⅱ类</w:t>
            </w:r>
            <w:r>
              <w:rPr>
                <w:rFonts w:hint="eastAsia" w:ascii="宋体" w:hAnsi="宋体" w:cs="宋体"/>
                <w:color w:val="000000"/>
                <w:kern w:val="0"/>
                <w:sz w:val="24"/>
                <w:szCs w:val="24"/>
                <w:highlight w:val="yellow"/>
                <w:shd w:val="clear" w:color="auto" w:fill="auto"/>
                <w:lang w:val="en-US" w:eastAsia="zh-CN" w:bidi="ar"/>
                <w:rPrChange w:id="17" w:author="Administrator" w:date="2025-08-17T12:58:49Z">
                  <w:rPr>
                    <w:rFonts w:hint="eastAsia" w:ascii="宋体" w:hAnsi="宋体" w:cs="宋体"/>
                    <w:color w:val="000000"/>
                    <w:kern w:val="0"/>
                    <w:sz w:val="24"/>
                    <w:szCs w:val="24"/>
                    <w:shd w:val="clear" w:color="auto" w:fill="auto"/>
                    <w:lang w:val="en-US" w:eastAsia="zh-CN" w:bidi="ar"/>
                  </w:rPr>
                </w:rPrChange>
              </w:rPr>
              <w:t>，地表水环境质量较好。</w:t>
            </w:r>
          </w:p>
          <w:p>
            <w:pPr>
              <w:keepNext w:val="0"/>
              <w:keepLines w:val="0"/>
              <w:pageBreakBefore w:val="0"/>
              <w:numPr>
                <w:ilvl w:val="0"/>
                <w:numId w:val="0"/>
              </w:numPr>
              <w:kinsoku/>
              <w:wordWrap/>
              <w:overflowPunct/>
              <w:topLinePunct w:val="0"/>
              <w:autoSpaceDE/>
              <w:autoSpaceDN/>
              <w:bidi w:val="0"/>
              <w:adjustRightInd w:val="0"/>
              <w:snapToGrid w:val="0"/>
              <w:spacing w:line="520" w:lineRule="exact"/>
              <w:ind w:firstLine="482" w:firstLineChars="200"/>
              <w:jc w:val="left"/>
              <w:textAlignment w:val="auto"/>
              <w:rPr>
                <w:rFonts w:hint="eastAsia" w:ascii="宋体" w:hAnsi="宋体" w:eastAsia="宋体" w:cs="宋体"/>
                <w:b/>
                <w:bCs/>
                <w:sz w:val="24"/>
                <w:lang w:val="en-US" w:eastAsia="zh-CN"/>
              </w:rPr>
            </w:pPr>
            <w:r>
              <w:rPr>
                <w:rFonts w:hint="eastAsia" w:ascii="宋体" w:hAnsi="宋体" w:eastAsia="宋体" w:cs="宋体"/>
                <w:b/>
                <w:bCs/>
                <w:kern w:val="2"/>
                <w:sz w:val="24"/>
                <w:szCs w:val="24"/>
                <w:lang w:val="en-US" w:eastAsia="zh-CN" w:bidi="ar-SA"/>
              </w:rPr>
              <w:t>3、</w:t>
            </w:r>
            <w:r>
              <w:rPr>
                <w:rFonts w:hint="eastAsia" w:ascii="宋体" w:hAnsi="宋体" w:eastAsia="宋体" w:cs="宋体"/>
                <w:b/>
                <w:bCs/>
                <w:sz w:val="24"/>
                <w:lang w:val="en-US" w:eastAsia="zh-CN"/>
              </w:rPr>
              <w:t>声环境质量现状</w:t>
            </w:r>
          </w:p>
          <w:p>
            <w:pPr>
              <w:keepNext w:val="0"/>
              <w:keepLines w:val="0"/>
              <w:pageBreakBefore w:val="0"/>
              <w:numPr>
                <w:ilvl w:val="0"/>
                <w:numId w:val="0"/>
              </w:numPr>
              <w:kinsoku/>
              <w:wordWrap/>
              <w:overflowPunct/>
              <w:topLinePunct w:val="0"/>
              <w:autoSpaceDE/>
              <w:autoSpaceDN/>
              <w:bidi w:val="0"/>
              <w:adjustRightInd w:val="0"/>
              <w:snapToGrid w:val="0"/>
              <w:spacing w:line="520" w:lineRule="exact"/>
              <w:ind w:firstLine="480" w:firstLineChars="200"/>
              <w:jc w:val="left"/>
              <w:textAlignment w:val="auto"/>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本项目</w:t>
            </w:r>
            <w:r>
              <w:rPr>
                <w:rFonts w:hint="eastAsia" w:ascii="宋体" w:hAnsi="宋体" w:eastAsia="宋体" w:cs="宋体"/>
                <w:b w:val="0"/>
                <w:bCs w:val="0"/>
                <w:sz w:val="24"/>
                <w:szCs w:val="24"/>
                <w:lang w:val="en-US" w:eastAsia="zh-CN"/>
              </w:rPr>
              <w:t>为轮南镇中石油管线进行加热</w:t>
            </w:r>
            <w:r>
              <w:rPr>
                <w:rFonts w:hint="eastAsia" w:ascii="宋体" w:hAnsi="宋体" w:eastAsia="宋体" w:cs="宋体"/>
                <w:b w:val="0"/>
                <w:bCs w:val="0"/>
                <w:sz w:val="24"/>
                <w:lang w:val="en-US" w:eastAsia="zh-CN"/>
              </w:rPr>
              <w:t>，于油田井口处临时占地，根据项目区域功能特点，符合2类声环境功能区，故噪声执行《声环境质量标准》（GB3096-2008）2类标准。各井口临时占地外50m范围内无声环境保护目标，故不需要进行噪声现状监测。</w:t>
            </w:r>
          </w:p>
          <w:p>
            <w:pPr>
              <w:keepNext w:val="0"/>
              <w:keepLines w:val="0"/>
              <w:pageBreakBefore w:val="0"/>
              <w:numPr>
                <w:ilvl w:val="0"/>
                <w:numId w:val="0"/>
              </w:numPr>
              <w:kinsoku/>
              <w:wordWrap/>
              <w:overflowPunct/>
              <w:topLinePunct w:val="0"/>
              <w:autoSpaceDE/>
              <w:autoSpaceDN/>
              <w:bidi w:val="0"/>
              <w:adjustRightInd w:val="0"/>
              <w:snapToGrid w:val="0"/>
              <w:spacing w:line="520" w:lineRule="exact"/>
              <w:ind w:firstLine="482" w:firstLineChars="200"/>
              <w:jc w:val="left"/>
              <w:textAlignment w:val="auto"/>
              <w:rPr>
                <w:rFonts w:hint="eastAsia" w:ascii="宋体" w:hAnsi="宋体" w:eastAsia="宋体" w:cs="宋体"/>
                <w:b/>
                <w:bCs/>
                <w:sz w:val="24"/>
                <w:lang w:val="en-US" w:eastAsia="zh-CN"/>
              </w:rPr>
            </w:pPr>
            <w:r>
              <w:rPr>
                <w:rFonts w:hint="eastAsia" w:ascii="宋体" w:hAnsi="宋体" w:eastAsia="宋体" w:cs="宋体"/>
                <w:b/>
                <w:bCs/>
                <w:kern w:val="2"/>
                <w:sz w:val="24"/>
                <w:szCs w:val="24"/>
                <w:lang w:val="en-US" w:eastAsia="zh-CN" w:bidi="ar-SA"/>
              </w:rPr>
              <w:t>4、</w:t>
            </w:r>
            <w:r>
              <w:rPr>
                <w:rFonts w:hint="eastAsia" w:ascii="宋体" w:hAnsi="宋体" w:eastAsia="宋体" w:cs="宋体"/>
                <w:b/>
                <w:bCs/>
                <w:sz w:val="24"/>
                <w:lang w:val="en-US" w:eastAsia="zh-CN"/>
              </w:rPr>
              <w:t>地下水、土壤现状</w:t>
            </w:r>
          </w:p>
          <w:p>
            <w:pPr>
              <w:keepNext w:val="0"/>
              <w:keepLines w:val="0"/>
              <w:pageBreakBefore w:val="0"/>
              <w:numPr>
                <w:ilvl w:val="0"/>
                <w:numId w:val="0"/>
              </w:numPr>
              <w:kinsoku/>
              <w:wordWrap/>
              <w:overflowPunct/>
              <w:topLinePunct w:val="0"/>
              <w:autoSpaceDE/>
              <w:autoSpaceDN/>
              <w:bidi w:val="0"/>
              <w:adjustRightInd w:val="0"/>
              <w:snapToGrid w:val="0"/>
              <w:spacing w:line="520" w:lineRule="exact"/>
              <w:ind w:firstLine="480" w:firstLineChars="200"/>
              <w:jc w:val="left"/>
              <w:textAlignment w:val="auto"/>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根据《环境影响评价技术导则 地下水环境》（HJ610-2016）中附录A中确定本项目为Ⅳ类项目，且本项目无地下水污染途径，故不进行地下水现状调查。根据《环境影响评价技术导则 土壤环境（试行）》（HJ964-2018），确定本项目为Ⅳ类项目，且本项目无土壤污染途径，故不进行土壤现状调查。</w:t>
            </w:r>
          </w:p>
          <w:p>
            <w:pPr>
              <w:keepNext w:val="0"/>
              <w:keepLines w:val="0"/>
              <w:pageBreakBefore w:val="0"/>
              <w:numPr>
                <w:ilvl w:val="0"/>
                <w:numId w:val="0"/>
              </w:numPr>
              <w:kinsoku/>
              <w:wordWrap/>
              <w:overflowPunct/>
              <w:topLinePunct w:val="0"/>
              <w:autoSpaceDE/>
              <w:autoSpaceDN/>
              <w:bidi w:val="0"/>
              <w:adjustRightInd w:val="0"/>
              <w:snapToGrid w:val="0"/>
              <w:spacing w:line="520" w:lineRule="exact"/>
              <w:ind w:firstLine="482" w:firstLineChars="200"/>
              <w:jc w:val="left"/>
              <w:textAlignment w:val="auto"/>
              <w:rPr>
                <w:rFonts w:hint="eastAsia" w:ascii="宋体" w:hAnsi="宋体" w:eastAsia="宋体" w:cs="宋体"/>
                <w:b/>
                <w:bCs/>
                <w:sz w:val="24"/>
                <w:lang w:val="en-US" w:eastAsia="zh-CN"/>
              </w:rPr>
            </w:pPr>
            <w:r>
              <w:rPr>
                <w:rFonts w:hint="eastAsia" w:ascii="宋体" w:hAnsi="宋体" w:eastAsia="宋体" w:cs="宋体"/>
                <w:b/>
                <w:bCs/>
                <w:kern w:val="2"/>
                <w:sz w:val="24"/>
                <w:szCs w:val="24"/>
                <w:lang w:val="en-US" w:eastAsia="zh-CN" w:bidi="ar-SA"/>
              </w:rPr>
              <w:t>5、</w:t>
            </w:r>
            <w:r>
              <w:rPr>
                <w:rFonts w:hint="eastAsia" w:ascii="宋体" w:hAnsi="宋体" w:eastAsia="宋体" w:cs="宋体"/>
                <w:b/>
                <w:bCs/>
                <w:sz w:val="24"/>
                <w:lang w:val="en-US" w:eastAsia="zh-CN"/>
              </w:rPr>
              <w:t>生态环境现状</w:t>
            </w:r>
          </w:p>
          <w:p>
            <w:pPr>
              <w:pStyle w:val="9"/>
              <w:keepNext w:val="0"/>
              <w:keepLines w:val="0"/>
              <w:pageBreakBefore w:val="0"/>
              <w:kinsoku/>
              <w:wordWrap/>
              <w:overflowPunct/>
              <w:topLinePunct w:val="0"/>
              <w:autoSpaceDE/>
              <w:autoSpaceDN/>
              <w:bidi w:val="0"/>
              <w:snapToGrid w:val="0"/>
              <w:spacing w:before="0" w:after="0" w:line="520" w:lineRule="exact"/>
              <w:ind w:right="0" w:firstLine="480" w:firstLineChars="200"/>
              <w:jc w:val="both"/>
              <w:textAlignment w:val="auto"/>
              <w:rPr>
                <w:rFonts w:hint="default" w:cs="Arial"/>
                <w:b w:val="0"/>
                <w:bCs w:val="0"/>
                <w:sz w:val="24"/>
                <w:lang w:val="en-US" w:eastAsia="zh-CN"/>
              </w:rPr>
            </w:pPr>
            <w:r>
              <w:rPr>
                <w:rFonts w:hint="eastAsia" w:ascii="宋体" w:hAnsi="宋体" w:eastAsia="宋体" w:cs="宋体"/>
                <w:sz w:val="24"/>
                <w:szCs w:val="24"/>
                <w:lang w:val="en-US" w:eastAsia="zh-CN"/>
              </w:rPr>
              <w:t>项目主要为塔里木油田各个井口进行服务，用地范围内没有生态环境保护目标。根据《建设项目环境影响报告表编制技术指南（污染影响类）（试行）》，不进行生态现状调查。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800" w:type="dxa"/>
            <w:noWrap w:val="0"/>
            <w:vAlign w:val="center"/>
          </w:tcPr>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环境</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保护</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目标</w:t>
            </w:r>
          </w:p>
        </w:tc>
        <w:tc>
          <w:tcPr>
            <w:tcW w:w="8190" w:type="dxa"/>
            <w:noWrap w:val="0"/>
            <w:vAlign w:val="top"/>
          </w:tcPr>
          <w:p>
            <w:pPr>
              <w:keepNext w:val="0"/>
              <w:keepLines w:val="0"/>
              <w:pageBreakBefore w:val="0"/>
              <w:numPr>
                <w:ilvl w:val="0"/>
                <w:numId w:val="0"/>
              </w:numPr>
              <w:kinsoku/>
              <w:wordWrap/>
              <w:overflowPunct/>
              <w:topLinePunct w:val="0"/>
              <w:autoSpaceDE/>
              <w:autoSpaceDN/>
              <w:bidi w:val="0"/>
              <w:adjustRightInd/>
              <w:spacing w:line="520" w:lineRule="exact"/>
              <w:ind w:firstLine="482" w:firstLineChars="200"/>
              <w:textAlignment w:val="auto"/>
              <w:rPr>
                <w:rFonts w:hint="eastAsia" w:ascii="Times New Roman" w:hAnsi="Times New Roman" w:eastAsia="宋体" w:cs="Arial"/>
                <w:b/>
                <w:bCs/>
                <w:sz w:val="24"/>
                <w:lang w:val="en-US" w:eastAsia="zh-CN"/>
              </w:rPr>
            </w:pPr>
            <w:r>
              <w:rPr>
                <w:rFonts w:hint="eastAsia" w:ascii="Times New Roman" w:hAnsi="Times New Roman" w:eastAsia="宋体" w:cs="Arial"/>
                <w:b/>
                <w:bCs/>
                <w:sz w:val="24"/>
                <w:lang w:val="en-US" w:eastAsia="zh-CN"/>
              </w:rPr>
              <w:t>主要环境保护目标：</w:t>
            </w:r>
          </w:p>
          <w:p>
            <w:pPr>
              <w:keepNext w:val="0"/>
              <w:keepLines w:val="0"/>
              <w:pageBreakBefore w:val="0"/>
              <w:numPr>
                <w:ilvl w:val="0"/>
                <w:numId w:val="0"/>
              </w:numPr>
              <w:kinsoku/>
              <w:wordWrap/>
              <w:overflowPunct/>
              <w:topLinePunct w:val="0"/>
              <w:autoSpaceDE/>
              <w:autoSpaceDN/>
              <w:bidi w:val="0"/>
              <w:adjustRightInd/>
              <w:spacing w:line="520" w:lineRule="exact"/>
              <w:ind w:firstLine="482" w:firstLineChars="200"/>
              <w:textAlignment w:val="auto"/>
              <w:rPr>
                <w:rFonts w:hint="eastAsia" w:ascii="Times New Roman" w:hAnsi="Times New Roman" w:eastAsia="宋体" w:cs="Arial"/>
                <w:b/>
                <w:bCs/>
                <w:sz w:val="24"/>
                <w:lang w:val="en-US" w:eastAsia="zh-CN"/>
              </w:rPr>
            </w:pPr>
            <w:r>
              <w:rPr>
                <w:rFonts w:hint="eastAsia" w:ascii="Times New Roman" w:hAnsi="Times New Roman" w:eastAsia="宋体" w:cs="Arial"/>
                <w:b/>
                <w:bCs/>
                <w:sz w:val="24"/>
                <w:lang w:val="en-US" w:eastAsia="zh-CN"/>
              </w:rPr>
              <w:t>1、大气环境</w:t>
            </w:r>
          </w:p>
          <w:p>
            <w:pPr>
              <w:pStyle w:val="9"/>
              <w:keepNext w:val="0"/>
              <w:keepLines w:val="0"/>
              <w:pageBreakBefore w:val="0"/>
              <w:kinsoku/>
              <w:wordWrap/>
              <w:overflowPunct/>
              <w:topLinePunct w:val="0"/>
              <w:autoSpaceDE/>
              <w:autoSpaceDN/>
              <w:bidi w:val="0"/>
              <w:adjustRightInd/>
              <w:snapToGrid w:val="0"/>
              <w:spacing w:before="0" w:after="0" w:line="520" w:lineRule="exact"/>
              <w:ind w:right="0" w:firstLine="480" w:firstLineChars="200"/>
              <w:textAlignment w:val="auto"/>
              <w:rPr>
                <w:rFonts w:hint="eastAsia"/>
                <w:bCs/>
                <w:sz w:val="24"/>
              </w:rPr>
            </w:pPr>
            <w:r>
              <w:rPr>
                <w:rFonts w:hint="default"/>
                <w:sz w:val="24"/>
                <w:szCs w:val="24"/>
                <w:lang w:val="en-US" w:eastAsia="zh-CN"/>
              </w:rPr>
              <w:t>根据《建设项目环境影响报告表编制技术指南</w:t>
            </w:r>
            <w:r>
              <w:rPr>
                <w:rFonts w:hint="eastAsia"/>
                <w:sz w:val="24"/>
                <w:szCs w:val="24"/>
                <w:lang w:val="en-US" w:eastAsia="zh-CN"/>
              </w:rPr>
              <w:t>（</w:t>
            </w:r>
            <w:r>
              <w:rPr>
                <w:rFonts w:hint="default"/>
                <w:sz w:val="24"/>
                <w:szCs w:val="24"/>
                <w:lang w:val="en-US" w:eastAsia="zh-CN"/>
              </w:rPr>
              <w:t>污染影响型</w:t>
            </w:r>
            <w:r>
              <w:rPr>
                <w:rFonts w:hint="eastAsia"/>
                <w:sz w:val="24"/>
                <w:szCs w:val="24"/>
                <w:lang w:val="en-US" w:eastAsia="zh-CN"/>
              </w:rPr>
              <w:t>）（试行）</w:t>
            </w:r>
            <w:r>
              <w:rPr>
                <w:rFonts w:hint="default"/>
                <w:sz w:val="24"/>
                <w:szCs w:val="24"/>
                <w:lang w:val="en-US" w:eastAsia="zh-CN"/>
              </w:rPr>
              <w:t>》指南要求</w:t>
            </w:r>
            <w:r>
              <w:rPr>
                <w:rFonts w:hint="eastAsia"/>
                <w:sz w:val="24"/>
                <w:szCs w:val="24"/>
                <w:lang w:val="en-US" w:eastAsia="zh-CN"/>
              </w:rPr>
              <w:t>，</w:t>
            </w:r>
            <w:r>
              <w:rPr>
                <w:rFonts w:hint="eastAsia" w:ascii="宋体" w:hAnsi="宋体" w:eastAsia="宋体" w:cs="宋体"/>
                <w:sz w:val="24"/>
                <w:szCs w:val="24"/>
                <w:lang w:val="en-US" w:eastAsia="zh-CN"/>
              </w:rPr>
              <w:t>项目主要为塔里木油田各个井口进行服务，各井口临时占地外</w:t>
            </w:r>
            <w:r>
              <w:rPr>
                <w:rFonts w:hint="default"/>
                <w:sz w:val="24"/>
                <w:szCs w:val="24"/>
                <w:lang w:val="en-US" w:eastAsia="zh-CN"/>
              </w:rPr>
              <w:t>500m范围内无自然保护区、风景名胜区、居住区、文化区和农村地区中人群较集中的区域等保护目标。</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b/>
                <w:sz w:val="24"/>
              </w:rPr>
            </w:pPr>
            <w:r>
              <w:rPr>
                <w:rFonts w:hint="eastAsia"/>
                <w:b/>
                <w:sz w:val="24"/>
              </w:rPr>
              <w:t>2、声环境</w:t>
            </w:r>
          </w:p>
          <w:p>
            <w:pPr>
              <w:pStyle w:val="9"/>
              <w:keepNext w:val="0"/>
              <w:keepLines w:val="0"/>
              <w:pageBreakBefore w:val="0"/>
              <w:kinsoku/>
              <w:wordWrap/>
              <w:overflowPunct/>
              <w:topLinePunct w:val="0"/>
              <w:autoSpaceDE/>
              <w:autoSpaceDN/>
              <w:bidi w:val="0"/>
              <w:adjustRightInd/>
              <w:snapToGrid w:val="0"/>
              <w:spacing w:before="0" w:after="0" w:line="520" w:lineRule="exact"/>
              <w:ind w:right="0" w:firstLine="480" w:firstLineChars="200"/>
              <w:jc w:val="both"/>
              <w:textAlignment w:val="auto"/>
              <w:rPr>
                <w:rFonts w:hint="eastAsia"/>
                <w:bCs/>
                <w:sz w:val="24"/>
              </w:rPr>
            </w:pPr>
            <w:r>
              <w:rPr>
                <w:rFonts w:hint="default"/>
                <w:sz w:val="24"/>
                <w:szCs w:val="24"/>
                <w:lang w:val="en-US" w:eastAsia="zh-CN"/>
              </w:rPr>
              <w:t>根据《声环境质量标准》</w:t>
            </w:r>
            <w:r>
              <w:rPr>
                <w:rFonts w:hint="eastAsia"/>
                <w:sz w:val="24"/>
                <w:szCs w:val="24"/>
                <w:lang w:val="en-US" w:eastAsia="zh-CN"/>
              </w:rPr>
              <w:t>（</w:t>
            </w:r>
            <w:r>
              <w:rPr>
                <w:rFonts w:hint="default"/>
                <w:sz w:val="24"/>
                <w:szCs w:val="24"/>
                <w:lang w:val="en-US" w:eastAsia="zh-CN"/>
              </w:rPr>
              <w:t>GB3096-2008</w:t>
            </w:r>
            <w:r>
              <w:rPr>
                <w:rFonts w:hint="eastAsia"/>
                <w:sz w:val="24"/>
                <w:szCs w:val="24"/>
                <w:lang w:val="en-US" w:eastAsia="zh-CN"/>
              </w:rPr>
              <w:t>）</w:t>
            </w:r>
            <w:r>
              <w:rPr>
                <w:rFonts w:hint="default"/>
                <w:sz w:val="24"/>
                <w:szCs w:val="24"/>
                <w:lang w:val="en-US" w:eastAsia="zh-CN"/>
              </w:rPr>
              <w:t>可知移动锅炉服务范围所在区域位于</w:t>
            </w:r>
            <w:r>
              <w:rPr>
                <w:rFonts w:hint="eastAsia"/>
                <w:sz w:val="24"/>
                <w:szCs w:val="24"/>
                <w:lang w:val="en-US" w:eastAsia="zh-CN"/>
              </w:rPr>
              <w:t>2</w:t>
            </w:r>
            <w:r>
              <w:rPr>
                <w:rFonts w:hint="default"/>
                <w:sz w:val="24"/>
                <w:szCs w:val="24"/>
                <w:lang w:val="en-US" w:eastAsia="zh-CN"/>
              </w:rPr>
              <w:t>类功能区。根据《建设项目环境影响报告表编制技术指南</w:t>
            </w:r>
            <w:r>
              <w:rPr>
                <w:rFonts w:hint="eastAsia"/>
                <w:sz w:val="24"/>
                <w:szCs w:val="24"/>
                <w:lang w:val="en-US" w:eastAsia="zh-CN"/>
              </w:rPr>
              <w:t>（</w:t>
            </w:r>
            <w:r>
              <w:rPr>
                <w:rFonts w:hint="default"/>
                <w:sz w:val="24"/>
                <w:szCs w:val="24"/>
                <w:lang w:val="en-US" w:eastAsia="zh-CN"/>
              </w:rPr>
              <w:t>污染影响型</w:t>
            </w:r>
            <w:r>
              <w:rPr>
                <w:rFonts w:hint="eastAsia"/>
                <w:sz w:val="24"/>
                <w:szCs w:val="24"/>
                <w:lang w:val="en-US" w:eastAsia="zh-CN"/>
              </w:rPr>
              <w:t>）（试行）</w:t>
            </w:r>
            <w:r>
              <w:rPr>
                <w:rFonts w:hint="default"/>
                <w:sz w:val="24"/>
                <w:szCs w:val="24"/>
                <w:lang w:val="en-US" w:eastAsia="zh-CN"/>
              </w:rPr>
              <w:t>》指南要求，</w:t>
            </w:r>
            <w:r>
              <w:rPr>
                <w:rFonts w:hint="eastAsia" w:ascii="宋体" w:hAnsi="宋体" w:eastAsia="宋体" w:cs="宋体"/>
                <w:sz w:val="24"/>
                <w:szCs w:val="24"/>
                <w:lang w:val="en-US" w:eastAsia="zh-CN"/>
              </w:rPr>
              <w:t>项目主要为塔里木油田各个井口进行服务，各井口临时占地外50m范围内均无声环境保护目标。</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b/>
                <w:sz w:val="24"/>
              </w:rPr>
            </w:pPr>
            <w:r>
              <w:rPr>
                <w:rFonts w:hint="eastAsia"/>
                <w:b/>
                <w:sz w:val="24"/>
              </w:rPr>
              <w:t>3、地下水环境</w:t>
            </w:r>
          </w:p>
          <w:p>
            <w:pPr>
              <w:pStyle w:val="9"/>
              <w:keepNext w:val="0"/>
              <w:keepLines w:val="0"/>
              <w:pageBreakBefore w:val="0"/>
              <w:kinsoku/>
              <w:wordWrap/>
              <w:overflowPunct/>
              <w:topLinePunct w:val="0"/>
              <w:autoSpaceDE/>
              <w:autoSpaceDN/>
              <w:bidi w:val="0"/>
              <w:adjustRightInd/>
              <w:snapToGrid w:val="0"/>
              <w:spacing w:before="0" w:after="0" w:line="520" w:lineRule="exact"/>
              <w:ind w:right="0" w:firstLine="480" w:firstLineChars="200"/>
              <w:textAlignment w:val="auto"/>
              <w:rPr>
                <w:rFonts w:hint="default"/>
                <w:sz w:val="24"/>
                <w:szCs w:val="24"/>
                <w:lang w:val="en-US" w:eastAsia="zh-CN"/>
              </w:rPr>
            </w:pPr>
            <w:r>
              <w:rPr>
                <w:rFonts w:hint="eastAsia" w:ascii="宋体" w:hAnsi="宋体" w:eastAsia="宋体" w:cs="宋体"/>
                <w:sz w:val="24"/>
                <w:szCs w:val="24"/>
                <w:lang w:val="en-US" w:eastAsia="zh-CN"/>
              </w:rPr>
              <w:t>项目主要为塔里木油田各个井口进行服务，各井口临时占地外</w:t>
            </w:r>
            <w:r>
              <w:rPr>
                <w:rFonts w:hint="default"/>
                <w:sz w:val="24"/>
                <w:szCs w:val="24"/>
                <w:lang w:val="en-US" w:eastAsia="zh-CN"/>
              </w:rPr>
              <w:t>500m范围内无地下水集中式饮用水水源和热水、矿泉水、温泉等特殊地下水资源。</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b/>
                <w:sz w:val="24"/>
              </w:rPr>
            </w:pPr>
            <w:r>
              <w:rPr>
                <w:rFonts w:hint="eastAsia"/>
                <w:b/>
                <w:sz w:val="24"/>
                <w:lang w:val="en-US" w:eastAsia="zh-CN"/>
              </w:rPr>
              <w:t>4</w:t>
            </w:r>
            <w:r>
              <w:rPr>
                <w:rFonts w:hint="eastAsia"/>
                <w:b/>
                <w:sz w:val="24"/>
              </w:rPr>
              <w:t>、地</w:t>
            </w:r>
            <w:r>
              <w:rPr>
                <w:rFonts w:hint="eastAsia"/>
                <w:b/>
                <w:sz w:val="24"/>
                <w:lang w:val="en-US" w:eastAsia="zh-CN"/>
              </w:rPr>
              <w:t>表</w:t>
            </w:r>
            <w:r>
              <w:rPr>
                <w:rFonts w:hint="eastAsia"/>
                <w:b/>
                <w:sz w:val="24"/>
              </w:rPr>
              <w:t>水环境</w:t>
            </w:r>
          </w:p>
          <w:p>
            <w:pPr>
              <w:pStyle w:val="9"/>
              <w:keepNext w:val="0"/>
              <w:keepLines w:val="0"/>
              <w:pageBreakBefore w:val="0"/>
              <w:widowControl/>
              <w:kinsoku/>
              <w:wordWrap/>
              <w:overflowPunct/>
              <w:topLinePunct w:val="0"/>
              <w:autoSpaceDE/>
              <w:autoSpaceDN/>
              <w:bidi w:val="0"/>
              <w:adjustRightInd/>
              <w:snapToGrid w:val="0"/>
              <w:spacing w:before="0" w:after="0" w:line="520" w:lineRule="exact"/>
              <w:ind w:right="0" w:firstLine="480" w:firstLineChars="200"/>
              <w:textAlignment w:val="auto"/>
              <w:rPr>
                <w:rFonts w:hint="default"/>
              </w:rPr>
            </w:pPr>
            <w:r>
              <w:rPr>
                <w:rFonts w:hint="eastAsia" w:ascii="宋体" w:hAnsi="宋体" w:eastAsia="宋体" w:cs="宋体"/>
                <w:sz w:val="24"/>
                <w:szCs w:val="24"/>
                <w:lang w:val="en-US" w:eastAsia="zh-CN"/>
              </w:rPr>
              <w:t>项目主要为塔里木油田各个井口进行服务，</w:t>
            </w:r>
            <w:r>
              <w:rPr>
                <w:rFonts w:hint="default" w:ascii="Times New Roman" w:hAnsi="Times New Roman" w:eastAsia="宋体" w:cs="Times New Roman"/>
                <w:sz w:val="24"/>
                <w:szCs w:val="24"/>
                <w:highlight w:val="none"/>
                <w:lang w:val="en-US" w:eastAsia="zh-CN"/>
              </w:rPr>
              <w:t>移动锅炉车服务范围内无地表水。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noWrap w:val="0"/>
            <w:tcMar>
              <w:left w:w="28" w:type="dxa"/>
              <w:right w:w="28" w:type="dxa"/>
            </w:tcMar>
            <w:vAlign w:val="center"/>
          </w:tcPr>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污染</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物排</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放控</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制标</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准</w:t>
            </w:r>
          </w:p>
        </w:tc>
        <w:tc>
          <w:tcPr>
            <w:tcW w:w="8190"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2" w:firstLineChars="200"/>
              <w:jc w:val="left"/>
              <w:textAlignment w:val="auto"/>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bidi="ar-SA"/>
              </w:rPr>
              <w:t>1、废气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left"/>
              <w:textAlignment w:val="auto"/>
              <w:rPr>
                <w:rFonts w:hint="default" w:ascii="Times New Roman" w:hAnsi="Times New Roman" w:cs="Times New Roman"/>
                <w:kern w:val="0"/>
                <w:sz w:val="24"/>
                <w:szCs w:val="24"/>
                <w:lang w:val="en-US" w:eastAsia="zh-CN" w:bidi="ar-SA"/>
              </w:rPr>
            </w:pPr>
            <w:r>
              <w:rPr>
                <w:rFonts w:hint="eastAsia" w:ascii="Times New Roman" w:hAnsi="Times New Roman" w:cs="Times New Roman"/>
                <w:kern w:val="0"/>
                <w:sz w:val="24"/>
                <w:szCs w:val="24"/>
                <w:lang w:val="en-US" w:eastAsia="zh-CN" w:bidi="ar-SA"/>
              </w:rPr>
              <w:t>生物质锅炉产生的废气执行《锅炉大气污染物排放标准》（GB13271-2014）中表2中燃煤锅炉的标准限值</w:t>
            </w:r>
            <w:r>
              <w:rPr>
                <w:rFonts w:hint="eastAsia" w:cs="Times New Roman"/>
                <w:kern w:val="0"/>
                <w:sz w:val="24"/>
                <w:szCs w:val="24"/>
                <w:lang w:val="en-US" w:eastAsia="zh-CN" w:bidi="ar-SA"/>
              </w:rPr>
              <w:t>，炉渣存放在移动锅炉车内，洒水后铲装入袋</w:t>
            </w:r>
            <w:r>
              <w:rPr>
                <w:rFonts w:hint="eastAsia" w:ascii="Times New Roman" w:hAnsi="Times New Roman" w:cs="Times New Roman"/>
                <w:kern w:val="0"/>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SA"/>
              </w:rPr>
              <w:t>表3-2     大气污染执行标准</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972"/>
              <w:gridCol w:w="1550"/>
              <w:gridCol w:w="1483"/>
              <w:gridCol w:w="2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992" w:type="pct"/>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产生源</w:t>
                  </w:r>
                </w:p>
              </w:tc>
              <w:tc>
                <w:tcPr>
                  <w:tcW w:w="610" w:type="pct"/>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排放方式</w:t>
                  </w:r>
                </w:p>
              </w:tc>
              <w:tc>
                <w:tcPr>
                  <w:tcW w:w="973" w:type="pct"/>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污染物项目</w:t>
                  </w:r>
                </w:p>
              </w:tc>
              <w:tc>
                <w:tcPr>
                  <w:tcW w:w="931" w:type="pct"/>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排放限值（mg/m</w:t>
                  </w:r>
                  <w:r>
                    <w:rPr>
                      <w:rFonts w:hint="eastAsia" w:ascii="Times New Roman" w:hAnsi="Times New Roman" w:eastAsia="宋体" w:cs="Times New Roman"/>
                      <w:bCs/>
                      <w:szCs w:val="21"/>
                      <w:vertAlign w:val="superscript"/>
                      <w:lang w:val="en-US" w:eastAsia="zh-CN"/>
                    </w:rPr>
                    <w:t>3</w:t>
                  </w:r>
                  <w:r>
                    <w:rPr>
                      <w:rFonts w:hint="eastAsia" w:ascii="Times New Roman" w:hAnsi="Times New Roman" w:eastAsia="宋体" w:cs="Times New Roman"/>
                      <w:bCs/>
                      <w:szCs w:val="21"/>
                      <w:lang w:val="en-US" w:eastAsia="zh-CN"/>
                    </w:rPr>
                    <w:t>）</w:t>
                  </w:r>
                </w:p>
              </w:tc>
              <w:tc>
                <w:tcPr>
                  <w:tcW w:w="1492" w:type="pct"/>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992" w:type="pct"/>
                  <w:vMerge w:val="restart"/>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锅炉燃烧废气</w:t>
                  </w:r>
                </w:p>
              </w:tc>
              <w:tc>
                <w:tcPr>
                  <w:tcW w:w="610" w:type="pct"/>
                  <w:vMerge w:val="restart"/>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有组织</w:t>
                  </w:r>
                </w:p>
              </w:tc>
              <w:tc>
                <w:tcPr>
                  <w:tcW w:w="973" w:type="pct"/>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颗粒物</w:t>
                  </w:r>
                </w:p>
              </w:tc>
              <w:tc>
                <w:tcPr>
                  <w:tcW w:w="931" w:type="pct"/>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50</w:t>
                  </w:r>
                </w:p>
              </w:tc>
              <w:tc>
                <w:tcPr>
                  <w:tcW w:w="1492" w:type="pct"/>
                  <w:vMerge w:val="restart"/>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《锅炉大气污染物排放标准》（GB13271-2014）表2新建锅炉大气污染物排放浓度限值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992" w:type="pct"/>
                  <w:vMerge w:val="continue"/>
                  <w:noWrap w:val="0"/>
                  <w:vAlign w:val="center"/>
                </w:tcPr>
                <w:p>
                  <w:pPr>
                    <w:keepLines w:val="0"/>
                    <w:pageBreakBefore w:val="0"/>
                    <w:kinsoku/>
                    <w:topLinePunct w:val="0"/>
                    <w:bidi w:val="0"/>
                    <w:adjustRightInd w:val="0"/>
                    <w:snapToGrid w:val="0"/>
                    <w:jc w:val="center"/>
                    <w:textAlignment w:val="auto"/>
                    <w:rPr>
                      <w:rFonts w:hint="eastAsia" w:ascii="Times New Roman" w:hAnsi="Times New Roman" w:eastAsia="宋体" w:cs="Times New Roman"/>
                      <w:bCs/>
                      <w:szCs w:val="21"/>
                      <w:lang w:val="en-US" w:eastAsia="zh-CN"/>
                    </w:rPr>
                  </w:pPr>
                </w:p>
              </w:tc>
              <w:tc>
                <w:tcPr>
                  <w:tcW w:w="610" w:type="pct"/>
                  <w:vMerge w:val="continue"/>
                  <w:noWrap w:val="0"/>
                  <w:vAlign w:val="center"/>
                </w:tcPr>
                <w:p>
                  <w:pPr>
                    <w:keepLines w:val="0"/>
                    <w:pageBreakBefore w:val="0"/>
                    <w:kinsoku/>
                    <w:topLinePunct w:val="0"/>
                    <w:bidi w:val="0"/>
                    <w:adjustRightInd w:val="0"/>
                    <w:snapToGrid w:val="0"/>
                    <w:jc w:val="center"/>
                    <w:textAlignment w:val="auto"/>
                    <w:rPr>
                      <w:rFonts w:hint="eastAsia" w:ascii="Times New Roman" w:hAnsi="Times New Roman" w:eastAsia="宋体" w:cs="Times New Roman"/>
                      <w:bCs/>
                      <w:szCs w:val="21"/>
                      <w:lang w:val="en-US" w:eastAsia="zh-CN"/>
                    </w:rPr>
                  </w:pPr>
                </w:p>
              </w:tc>
              <w:tc>
                <w:tcPr>
                  <w:tcW w:w="973" w:type="pct"/>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二氧化硫</w:t>
                  </w:r>
                </w:p>
              </w:tc>
              <w:tc>
                <w:tcPr>
                  <w:tcW w:w="931" w:type="pct"/>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300</w:t>
                  </w:r>
                </w:p>
              </w:tc>
              <w:tc>
                <w:tcPr>
                  <w:tcW w:w="1492" w:type="pct"/>
                  <w:vMerge w:val="continue"/>
                  <w:noWrap w:val="0"/>
                  <w:vAlign w:val="center"/>
                </w:tcPr>
                <w:p>
                  <w:pPr>
                    <w:keepLines w:val="0"/>
                    <w:pageBreakBefore w:val="0"/>
                    <w:kinsoku/>
                    <w:topLinePunct w:val="0"/>
                    <w:bidi w:val="0"/>
                    <w:adjustRightInd w:val="0"/>
                    <w:snapToGrid w:val="0"/>
                    <w:jc w:val="center"/>
                    <w:textAlignment w:val="auto"/>
                    <w:rPr>
                      <w:rFonts w:hint="eastAsia" w:ascii="Times New Roman" w:hAnsi="Times New Roman" w:eastAsia="宋体" w:cs="Times New Roman"/>
                      <w:bCs/>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67" w:hRule="atLeast"/>
              </w:trPr>
              <w:tc>
                <w:tcPr>
                  <w:tcW w:w="992" w:type="pct"/>
                  <w:vMerge w:val="continue"/>
                  <w:noWrap w:val="0"/>
                  <w:vAlign w:val="center"/>
                </w:tcPr>
                <w:p>
                  <w:pPr>
                    <w:keepLines w:val="0"/>
                    <w:pageBreakBefore w:val="0"/>
                    <w:kinsoku/>
                    <w:topLinePunct w:val="0"/>
                    <w:bidi w:val="0"/>
                    <w:adjustRightInd w:val="0"/>
                    <w:snapToGrid w:val="0"/>
                    <w:jc w:val="center"/>
                    <w:textAlignment w:val="auto"/>
                    <w:rPr>
                      <w:rFonts w:hint="eastAsia" w:ascii="Times New Roman" w:hAnsi="Times New Roman" w:eastAsia="宋体" w:cs="Times New Roman"/>
                      <w:bCs/>
                      <w:szCs w:val="21"/>
                      <w:lang w:val="en-US" w:eastAsia="zh-CN"/>
                    </w:rPr>
                  </w:pPr>
                </w:p>
              </w:tc>
              <w:tc>
                <w:tcPr>
                  <w:tcW w:w="610" w:type="pct"/>
                  <w:vMerge w:val="continue"/>
                  <w:noWrap w:val="0"/>
                  <w:vAlign w:val="center"/>
                </w:tcPr>
                <w:p>
                  <w:pPr>
                    <w:keepLines w:val="0"/>
                    <w:pageBreakBefore w:val="0"/>
                    <w:kinsoku/>
                    <w:topLinePunct w:val="0"/>
                    <w:bidi w:val="0"/>
                    <w:adjustRightInd w:val="0"/>
                    <w:snapToGrid w:val="0"/>
                    <w:jc w:val="center"/>
                    <w:textAlignment w:val="auto"/>
                    <w:rPr>
                      <w:rFonts w:hint="eastAsia" w:ascii="Times New Roman" w:hAnsi="Times New Roman" w:eastAsia="宋体" w:cs="Times New Roman"/>
                      <w:bCs/>
                      <w:szCs w:val="21"/>
                      <w:lang w:val="en-US" w:eastAsia="zh-CN"/>
                    </w:rPr>
                  </w:pPr>
                </w:p>
              </w:tc>
              <w:tc>
                <w:tcPr>
                  <w:tcW w:w="973" w:type="pct"/>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氮氧化物</w:t>
                  </w:r>
                </w:p>
              </w:tc>
              <w:tc>
                <w:tcPr>
                  <w:tcW w:w="931" w:type="pct"/>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300</w:t>
                  </w:r>
                </w:p>
              </w:tc>
              <w:tc>
                <w:tcPr>
                  <w:tcW w:w="1492" w:type="pct"/>
                  <w:vMerge w:val="continue"/>
                  <w:noWrap w:val="0"/>
                  <w:vAlign w:val="center"/>
                </w:tcPr>
                <w:p>
                  <w:pPr>
                    <w:keepLines w:val="0"/>
                    <w:pageBreakBefore w:val="0"/>
                    <w:kinsoku/>
                    <w:topLinePunct w:val="0"/>
                    <w:bidi w:val="0"/>
                    <w:adjustRightInd w:val="0"/>
                    <w:snapToGrid w:val="0"/>
                    <w:jc w:val="center"/>
                    <w:textAlignment w:val="auto"/>
                    <w:rPr>
                      <w:rFonts w:hint="eastAsia" w:ascii="Times New Roman" w:hAnsi="Times New Roman" w:eastAsia="宋体" w:cs="Times New Roman"/>
                      <w:bCs/>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67" w:hRule="atLeast"/>
              </w:trPr>
              <w:tc>
                <w:tcPr>
                  <w:tcW w:w="992" w:type="pct"/>
                  <w:vMerge w:val="continue"/>
                  <w:noWrap w:val="0"/>
                  <w:vAlign w:val="center"/>
                </w:tcPr>
                <w:p>
                  <w:pPr>
                    <w:keepLines w:val="0"/>
                    <w:pageBreakBefore w:val="0"/>
                    <w:kinsoku/>
                    <w:topLinePunct w:val="0"/>
                    <w:bidi w:val="0"/>
                    <w:adjustRightInd w:val="0"/>
                    <w:snapToGrid w:val="0"/>
                    <w:jc w:val="center"/>
                    <w:textAlignment w:val="auto"/>
                  </w:pPr>
                </w:p>
              </w:tc>
              <w:tc>
                <w:tcPr>
                  <w:tcW w:w="610" w:type="pct"/>
                  <w:vMerge w:val="continue"/>
                  <w:noWrap w:val="0"/>
                  <w:vAlign w:val="center"/>
                </w:tcPr>
                <w:p>
                  <w:pPr>
                    <w:keepLines w:val="0"/>
                    <w:pageBreakBefore w:val="0"/>
                    <w:kinsoku/>
                    <w:topLinePunct w:val="0"/>
                    <w:bidi w:val="0"/>
                    <w:adjustRightInd w:val="0"/>
                    <w:snapToGrid w:val="0"/>
                    <w:jc w:val="center"/>
                    <w:textAlignment w:val="auto"/>
                  </w:pPr>
                </w:p>
              </w:tc>
              <w:tc>
                <w:tcPr>
                  <w:tcW w:w="973" w:type="pct"/>
                  <w:noWrap w:val="0"/>
                  <w:vAlign w:val="center"/>
                </w:tcPr>
                <w:p>
                  <w:pPr>
                    <w:numPr>
                      <w:ilvl w:val="0"/>
                      <w:numId w:val="0"/>
                    </w:numPr>
                    <w:adjustRightInd w:val="0"/>
                    <w:snapToGrid w:val="0"/>
                    <w:ind w:left="0" w:leftChars="0" w:firstLine="0" w:firstLineChars="0"/>
                    <w:jc w:val="center"/>
                    <w:rPr>
                      <w:rFonts w:hint="eastAsia" w:ascii="宋体" w:hAnsi="宋体" w:cs="宋体"/>
                      <w:kern w:val="0"/>
                      <w:sz w:val="21"/>
                      <w:szCs w:val="21"/>
                      <w:vertAlign w:val="baseline"/>
                      <w:lang w:val="en-US" w:eastAsia="zh-CN" w:bidi="ar-SA"/>
                    </w:rPr>
                  </w:pPr>
                  <w:r>
                    <w:rPr>
                      <w:rFonts w:hint="eastAsia" w:ascii="宋体" w:hAnsi="宋体" w:cs="宋体"/>
                      <w:kern w:val="0"/>
                      <w:szCs w:val="21"/>
                      <w:vertAlign w:val="baseline"/>
                      <w:lang w:val="en-US" w:eastAsia="zh-CN"/>
                    </w:rPr>
                    <w:t>烟气黑度（林格曼黑度，级）</w:t>
                  </w:r>
                </w:p>
              </w:tc>
              <w:tc>
                <w:tcPr>
                  <w:tcW w:w="931" w:type="pct"/>
                  <w:noWrap w:val="0"/>
                  <w:vAlign w:val="center"/>
                </w:tcPr>
                <w:p>
                  <w:pPr>
                    <w:numPr>
                      <w:ilvl w:val="0"/>
                      <w:numId w:val="0"/>
                    </w:numPr>
                    <w:adjustRightInd w:val="0"/>
                    <w:snapToGrid w:val="0"/>
                    <w:ind w:left="0" w:leftChars="0" w:firstLine="0" w:firstLineChars="0"/>
                    <w:jc w:val="center"/>
                    <w:rPr>
                      <w:rFonts w:hint="eastAsia" w:ascii="宋体" w:hAnsi="宋体" w:cs="宋体"/>
                      <w:kern w:val="0"/>
                      <w:sz w:val="21"/>
                      <w:szCs w:val="21"/>
                      <w:vertAlign w:val="baseline"/>
                      <w:lang w:val="en-US" w:eastAsia="zh-CN" w:bidi="ar-SA"/>
                    </w:rPr>
                  </w:pPr>
                  <w:r>
                    <w:rPr>
                      <w:rFonts w:hint="eastAsia" w:ascii="宋体" w:hAnsi="宋体" w:cs="宋体"/>
                      <w:kern w:val="0"/>
                      <w:szCs w:val="21"/>
                      <w:vertAlign w:val="baseline"/>
                      <w:lang w:val="en-US" w:eastAsia="zh-CN"/>
                    </w:rPr>
                    <w:t>≤1</w:t>
                  </w:r>
                </w:p>
              </w:tc>
              <w:tc>
                <w:tcPr>
                  <w:tcW w:w="1492" w:type="pct"/>
                  <w:vMerge w:val="continue"/>
                  <w:noWrap w:val="0"/>
                  <w:vAlign w:val="center"/>
                </w:tcPr>
                <w:p>
                  <w:pPr>
                    <w:keepLines w:val="0"/>
                    <w:pageBreakBefore w:val="0"/>
                    <w:kinsoku/>
                    <w:topLinePunct w:val="0"/>
                    <w:bidi w:val="0"/>
                    <w:adjustRightInd w:val="0"/>
                    <w:snapToGrid w:val="0"/>
                    <w:jc w:val="center"/>
                    <w:textAlignment w:val="auto"/>
                    <w:rPr>
                      <w:rFonts w:hint="eastAsia" w:ascii="Times New Roman" w:hAnsi="Times New Roman" w:eastAsia="宋体" w:cs="Times New Roman"/>
                      <w:bCs/>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67" w:hRule="atLeast"/>
              </w:trPr>
              <w:tc>
                <w:tcPr>
                  <w:tcW w:w="992" w:type="pct"/>
                  <w:noWrap w:val="0"/>
                  <w:vAlign w:val="center"/>
                </w:tcPr>
                <w:p>
                  <w:pPr>
                    <w:keepLines w:val="0"/>
                    <w:pageBreakBefore w:val="0"/>
                    <w:kinsoku/>
                    <w:topLinePunct w:val="0"/>
                    <w:bidi w:val="0"/>
                    <w:adjustRightInd w:val="0"/>
                    <w:snapToGrid w:val="0"/>
                    <w:jc w:val="center"/>
                    <w:textAlignment w:val="auto"/>
                    <w:rPr>
                      <w:rFonts w:hint="default" w:eastAsia="宋体"/>
                      <w:lang w:val="en-US" w:eastAsia="zh-CN"/>
                    </w:rPr>
                  </w:pPr>
                  <w:r>
                    <w:rPr>
                      <w:rFonts w:hint="eastAsia"/>
                      <w:lang w:val="en-US" w:eastAsia="zh-CN"/>
                    </w:rPr>
                    <w:t>炉渣堆放</w:t>
                  </w:r>
                </w:p>
              </w:tc>
              <w:tc>
                <w:tcPr>
                  <w:tcW w:w="610" w:type="pct"/>
                  <w:noWrap w:val="0"/>
                  <w:vAlign w:val="center"/>
                </w:tcPr>
                <w:p>
                  <w:pPr>
                    <w:keepLines w:val="0"/>
                    <w:pageBreakBefore w:val="0"/>
                    <w:kinsoku/>
                    <w:topLinePunct w:val="0"/>
                    <w:bidi w:val="0"/>
                    <w:adjustRightInd w:val="0"/>
                    <w:snapToGrid w:val="0"/>
                    <w:jc w:val="center"/>
                    <w:textAlignment w:val="auto"/>
                    <w:rPr>
                      <w:rFonts w:hint="eastAsia" w:eastAsia="宋体"/>
                      <w:lang w:val="en-US" w:eastAsia="zh-CN"/>
                    </w:rPr>
                  </w:pPr>
                  <w:r>
                    <w:rPr>
                      <w:rFonts w:hint="eastAsia"/>
                      <w:lang w:val="en-US" w:eastAsia="zh-CN"/>
                    </w:rPr>
                    <w:t>无组织</w:t>
                  </w:r>
                </w:p>
              </w:tc>
              <w:tc>
                <w:tcPr>
                  <w:tcW w:w="973" w:type="pct"/>
                  <w:noWrap w:val="0"/>
                  <w:vAlign w:val="center"/>
                </w:tcPr>
                <w:p>
                  <w:pPr>
                    <w:numPr>
                      <w:ilvl w:val="0"/>
                      <w:numId w:val="0"/>
                    </w:numPr>
                    <w:adjustRightInd w:val="0"/>
                    <w:snapToGrid w:val="0"/>
                    <w:ind w:left="0" w:leftChars="0" w:firstLine="0" w:firstLineChars="0"/>
                    <w:jc w:val="center"/>
                    <w:rPr>
                      <w:rFonts w:hint="eastAsia" w:ascii="宋体" w:hAnsi="宋体" w:cs="宋体"/>
                      <w:kern w:val="0"/>
                      <w:szCs w:val="21"/>
                      <w:vertAlign w:val="baseline"/>
                      <w:lang w:val="en-US" w:eastAsia="zh-CN"/>
                    </w:rPr>
                  </w:pPr>
                  <w:r>
                    <w:rPr>
                      <w:rFonts w:hint="eastAsia" w:ascii="Times New Roman" w:hAnsi="Times New Roman" w:eastAsia="宋体" w:cs="Times New Roman"/>
                      <w:bCs/>
                      <w:szCs w:val="21"/>
                      <w:lang w:val="en-US" w:eastAsia="zh-CN"/>
                    </w:rPr>
                    <w:t>颗粒物</w:t>
                  </w:r>
                </w:p>
              </w:tc>
              <w:tc>
                <w:tcPr>
                  <w:tcW w:w="931" w:type="pct"/>
                  <w:noWrap w:val="0"/>
                  <w:vAlign w:val="center"/>
                </w:tcPr>
                <w:p>
                  <w:pPr>
                    <w:numPr>
                      <w:ilvl w:val="0"/>
                      <w:numId w:val="0"/>
                    </w:numPr>
                    <w:adjustRightInd w:val="0"/>
                    <w:snapToGrid w:val="0"/>
                    <w:ind w:left="0" w:leftChars="0" w:firstLine="0" w:firstLineChars="0"/>
                    <w:jc w:val="center"/>
                    <w:rPr>
                      <w:rFonts w:hint="default" w:ascii="宋体" w:hAnsi="宋体" w:cs="宋体"/>
                      <w:kern w:val="0"/>
                      <w:szCs w:val="21"/>
                      <w:vertAlign w:val="baseline"/>
                      <w:lang w:val="en-US" w:eastAsia="zh-CN"/>
                    </w:rPr>
                  </w:pPr>
                  <w:r>
                    <w:rPr>
                      <w:rFonts w:hint="eastAsia" w:ascii="宋体" w:hAnsi="宋体" w:cs="宋体"/>
                      <w:kern w:val="0"/>
                      <w:szCs w:val="21"/>
                      <w:vertAlign w:val="baseline"/>
                      <w:lang w:val="en-US" w:eastAsia="zh-CN"/>
                    </w:rPr>
                    <w:t>1</w:t>
                  </w:r>
                </w:p>
              </w:tc>
              <w:tc>
                <w:tcPr>
                  <w:tcW w:w="1492" w:type="pct"/>
                  <w:noWrap w:val="0"/>
                  <w:vAlign w:val="center"/>
                </w:tcPr>
                <w:p>
                  <w:pPr>
                    <w:keepLines w:val="0"/>
                    <w:pageBreakBefore w:val="0"/>
                    <w:kinsoku/>
                    <w:topLinePunct w:val="0"/>
                    <w:bidi w:val="0"/>
                    <w:adjustRightInd w:val="0"/>
                    <w:snapToGrid w:val="0"/>
                    <w:jc w:val="center"/>
                    <w:textAlignment w:val="auto"/>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w:t>
                  </w:r>
                  <w:r>
                    <w:rPr>
                      <w:rFonts w:hint="eastAsia" w:cs="Times New Roman"/>
                      <w:bCs/>
                      <w:szCs w:val="21"/>
                      <w:lang w:val="en-US" w:eastAsia="zh-CN"/>
                    </w:rPr>
                    <w:t>大气污染物综合排放标准</w:t>
                  </w:r>
                  <w:r>
                    <w:rPr>
                      <w:rFonts w:hint="eastAsia" w:ascii="Times New Roman" w:hAnsi="Times New Roman" w:eastAsia="宋体" w:cs="Times New Roman"/>
                      <w:bCs/>
                      <w:szCs w:val="21"/>
                      <w:lang w:val="en-US" w:eastAsia="zh-CN"/>
                    </w:rPr>
                    <w:t>》（GB 16297-1996）</w:t>
                  </w:r>
                </w:p>
              </w:tc>
            </w:tr>
          </w:tbl>
          <w:p>
            <w:pPr>
              <w:keepNext w:val="0"/>
              <w:keepLines w:val="0"/>
              <w:suppressLineNumbers w:val="0"/>
              <w:shd w:val="clear" w:color="auto" w:fill="auto"/>
              <w:adjustRightInd w:val="0"/>
              <w:snapToGrid w:val="0"/>
              <w:spacing w:before="0" w:beforeAutospacing="0" w:after="0" w:afterAutospacing="0" w:line="520" w:lineRule="exact"/>
              <w:ind w:left="0" w:right="0" w:firstLine="480" w:firstLineChars="200"/>
              <w:jc w:val="left"/>
              <w:rPr>
                <w:rFonts w:hint="default"/>
                <w:sz w:val="24"/>
                <w:highlight w:val="none"/>
              </w:rPr>
            </w:pPr>
            <w:r>
              <w:rPr>
                <w:rFonts w:hint="default"/>
                <w:sz w:val="24"/>
                <w:highlight w:val="none"/>
              </w:rPr>
              <w:t>非道路移动机械烟气参照执行《非道路移动机械用柴油机排气污染物排放限值及测量方法（中国第三、四阶段）》（GB20891-2014）修改单</w:t>
            </w:r>
            <w:r>
              <w:rPr>
                <w:rFonts w:hint="eastAsia"/>
                <w:sz w:val="24"/>
                <w:highlight w:val="none"/>
                <w:lang w:eastAsia="zh-CN"/>
              </w:rPr>
              <w:t>、</w:t>
            </w:r>
            <w:r>
              <w:rPr>
                <w:rFonts w:hint="default"/>
                <w:sz w:val="24"/>
                <w:highlight w:val="none"/>
              </w:rPr>
              <w:t>《非道路柴油移动机械污染物排放控制技术要求》（HJ1014-2020），因此本项目所使用的柴油机械执行该标准见下表。</w:t>
            </w:r>
          </w:p>
          <w:p>
            <w:pPr>
              <w:keepNext w:val="0"/>
              <w:keepLines w:val="0"/>
              <w:suppressLineNumbers w:val="0"/>
              <w:shd w:val="clear" w:color="auto" w:fill="auto"/>
              <w:spacing w:before="0" w:beforeAutospacing="0" w:after="0" w:afterAutospacing="0" w:line="520" w:lineRule="exact"/>
              <w:ind w:left="0" w:right="0"/>
              <w:jc w:val="center"/>
              <w:rPr>
                <w:rFonts w:hint="default" w:cs="Arial"/>
                <w:sz w:val="24"/>
                <w:highlight w:val="none"/>
              </w:rPr>
            </w:pPr>
            <w:r>
              <w:rPr>
                <w:rFonts w:hint="eastAsia" w:ascii="宋体" w:hAnsi="宋体" w:eastAsia="宋体" w:cs="宋体"/>
                <w:b/>
                <w:bCs/>
                <w:kern w:val="0"/>
                <w:sz w:val="24"/>
              </w:rPr>
              <w:t>表</w:t>
            </w:r>
            <w:r>
              <w:rPr>
                <w:rFonts w:hint="eastAsia" w:ascii="宋体" w:hAnsi="宋体" w:eastAsia="宋体" w:cs="宋体"/>
                <w:b/>
                <w:bCs/>
                <w:kern w:val="0"/>
                <w:sz w:val="24"/>
                <w:lang w:val="en-US" w:eastAsia="zh-CN"/>
              </w:rPr>
              <w:t>3-3</w:t>
            </w:r>
            <w:r>
              <w:rPr>
                <w:rFonts w:hint="eastAsia" w:ascii="宋体" w:hAnsi="宋体" w:eastAsia="宋体" w:cs="宋体"/>
                <w:b/>
                <w:bCs/>
                <w:kern w:val="0"/>
                <w:sz w:val="24"/>
              </w:rPr>
              <w:t xml:space="preserve">    非道路移动机械用柴油机排气污染物排放限值及</w:t>
            </w:r>
            <w:r>
              <w:rPr>
                <w:rFonts w:hint="eastAsia" w:ascii="宋体" w:hAnsi="宋体" w:eastAsia="宋体" w:cs="宋体"/>
                <w:b/>
                <w:bCs/>
                <w:kern w:val="0"/>
                <w:sz w:val="24"/>
                <w:lang w:val="en-US" w:eastAsia="zh-CN"/>
              </w:rPr>
              <w:t>测</w:t>
            </w:r>
            <w:r>
              <w:rPr>
                <w:rFonts w:hint="eastAsia" w:ascii="宋体" w:hAnsi="宋体" w:eastAsia="宋体" w:cs="宋体"/>
                <w:b/>
                <w:bCs/>
                <w:kern w:val="0"/>
                <w:sz w:val="24"/>
              </w:rPr>
              <w:t>量方法</w:t>
            </w:r>
          </w:p>
          <w:tbl>
            <w:tblPr>
              <w:tblStyle w:val="21"/>
              <w:tblW w:w="499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706"/>
              <w:gridCol w:w="2155"/>
              <w:gridCol w:w="1222"/>
              <w:gridCol w:w="1529"/>
              <w:gridCol w:w="13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1073" w:type="pct"/>
                  <w:noWrap w:val="0"/>
                  <w:vAlign w:val="center"/>
                </w:tcPr>
                <w:p>
                  <w:pPr>
                    <w:keepNext w:val="0"/>
                    <w:keepLines w:val="0"/>
                    <w:suppressLineNumbers w:val="0"/>
                    <w:shd w:val="clear" w:color="auto" w:fill="auto"/>
                    <w:spacing w:before="0" w:beforeAutospacing="0" w:after="0" w:afterAutospacing="0" w:line="320" w:lineRule="exact"/>
                    <w:ind w:left="0" w:right="0"/>
                    <w:jc w:val="center"/>
                    <w:rPr>
                      <w:rFonts w:hint="default" w:ascii="Times New Roman" w:hAnsi="Times New Roman" w:eastAsia="宋体" w:cs="Arial"/>
                      <w:szCs w:val="21"/>
                      <w:highlight w:val="none"/>
                      <w:lang w:val="en-US" w:eastAsia="zh-CN"/>
                    </w:rPr>
                  </w:pPr>
                  <w:r>
                    <w:rPr>
                      <w:rFonts w:hint="eastAsia" w:cs="Arial"/>
                      <w:szCs w:val="21"/>
                      <w:highlight w:val="none"/>
                      <w:lang w:val="en-US" w:eastAsia="zh-CN"/>
                    </w:rPr>
                    <w:t>阶段</w:t>
                  </w:r>
                </w:p>
              </w:tc>
              <w:tc>
                <w:tcPr>
                  <w:tcW w:w="1355" w:type="pct"/>
                  <w:noWrap w:val="0"/>
                  <w:vAlign w:val="center"/>
                </w:tcPr>
                <w:p>
                  <w:pPr>
                    <w:keepNext w:val="0"/>
                    <w:keepLines w:val="0"/>
                    <w:suppressLineNumbers w:val="0"/>
                    <w:shd w:val="clear" w:color="auto" w:fill="auto"/>
                    <w:spacing w:before="0" w:beforeAutospacing="0" w:after="0" w:afterAutospacing="0" w:line="320" w:lineRule="exact"/>
                    <w:ind w:left="0" w:right="0"/>
                    <w:jc w:val="center"/>
                    <w:rPr>
                      <w:rFonts w:hint="eastAsia" w:ascii="Times New Roman" w:hAnsi="Times New Roman" w:eastAsia="宋体" w:cs="Arial"/>
                      <w:szCs w:val="21"/>
                      <w:highlight w:val="none"/>
                      <w:lang w:val="en-US" w:eastAsia="zh-CN"/>
                    </w:rPr>
                  </w:pPr>
                  <w:r>
                    <w:rPr>
                      <w:rFonts w:hint="eastAsia" w:cs="Arial"/>
                      <w:szCs w:val="21"/>
                      <w:highlight w:val="none"/>
                      <w:lang w:val="en-US" w:eastAsia="zh-CN"/>
                    </w:rPr>
                    <w:t>额定功率</w:t>
                  </w:r>
                </w:p>
              </w:tc>
              <w:tc>
                <w:tcPr>
                  <w:tcW w:w="768" w:type="pct"/>
                  <w:noWrap w:val="0"/>
                  <w:vAlign w:val="center"/>
                </w:tcPr>
                <w:p>
                  <w:pPr>
                    <w:keepNext w:val="0"/>
                    <w:keepLines w:val="0"/>
                    <w:suppressLineNumbers w:val="0"/>
                    <w:shd w:val="clear" w:color="auto" w:fill="auto"/>
                    <w:spacing w:before="0" w:beforeAutospacing="0" w:after="0" w:afterAutospacing="0" w:line="320" w:lineRule="exact"/>
                    <w:ind w:left="0" w:right="0"/>
                    <w:jc w:val="center"/>
                    <w:rPr>
                      <w:rFonts w:hint="default" w:ascii="Times New Roman" w:hAnsi="Times New Roman" w:eastAsia="宋体" w:cs="Arial"/>
                      <w:szCs w:val="21"/>
                      <w:highlight w:val="none"/>
                      <w:lang w:val="en-US" w:eastAsia="zh-CN"/>
                    </w:rPr>
                  </w:pPr>
                  <w:r>
                    <w:rPr>
                      <w:rFonts w:hint="eastAsia" w:cs="Arial"/>
                      <w:szCs w:val="21"/>
                      <w:highlight w:val="none"/>
                      <w:lang w:val="en-US" w:eastAsia="zh-CN"/>
                    </w:rPr>
                    <w:t>CO(g/kWh)</w:t>
                  </w:r>
                </w:p>
              </w:tc>
              <w:tc>
                <w:tcPr>
                  <w:tcW w:w="961" w:type="pct"/>
                  <w:noWrap w:val="0"/>
                  <w:vAlign w:val="center"/>
                </w:tcPr>
                <w:p>
                  <w:pPr>
                    <w:keepNext w:val="0"/>
                    <w:keepLines w:val="0"/>
                    <w:suppressLineNumbers w:val="0"/>
                    <w:shd w:val="clear" w:color="auto" w:fill="auto"/>
                    <w:spacing w:before="0" w:beforeAutospacing="0" w:after="0" w:afterAutospacing="0" w:line="320" w:lineRule="exact"/>
                    <w:ind w:left="0" w:right="0"/>
                    <w:jc w:val="center"/>
                    <w:rPr>
                      <w:rFonts w:hint="default" w:ascii="Times New Roman" w:hAnsi="Times New Roman" w:eastAsia="宋体" w:cs="Arial"/>
                      <w:szCs w:val="21"/>
                      <w:highlight w:val="none"/>
                      <w:lang w:val="en-US" w:eastAsia="zh-CN"/>
                    </w:rPr>
                  </w:pPr>
                  <w:r>
                    <w:rPr>
                      <w:rFonts w:hint="eastAsia" w:cs="Arial"/>
                      <w:szCs w:val="21"/>
                      <w:highlight w:val="none"/>
                      <w:lang w:val="en-US" w:eastAsia="zh-CN"/>
                    </w:rPr>
                    <w:t>NO</w:t>
                  </w:r>
                  <w:r>
                    <w:rPr>
                      <w:rFonts w:hint="eastAsia" w:cs="Arial"/>
                      <w:szCs w:val="21"/>
                      <w:highlight w:val="none"/>
                      <w:vertAlign w:val="subscript"/>
                      <w:lang w:val="en-US" w:eastAsia="zh-CN"/>
                    </w:rPr>
                    <w:t>x</w:t>
                  </w:r>
                  <w:r>
                    <w:rPr>
                      <w:rFonts w:hint="eastAsia" w:cs="Arial"/>
                      <w:szCs w:val="21"/>
                      <w:highlight w:val="none"/>
                      <w:lang w:val="en-US" w:eastAsia="zh-CN"/>
                    </w:rPr>
                    <w:t>(g/kWh)</w:t>
                  </w:r>
                </w:p>
              </w:tc>
              <w:tc>
                <w:tcPr>
                  <w:tcW w:w="840" w:type="pct"/>
                  <w:noWrap w:val="0"/>
                  <w:vAlign w:val="center"/>
                </w:tcPr>
                <w:p>
                  <w:pPr>
                    <w:keepNext w:val="0"/>
                    <w:keepLines w:val="0"/>
                    <w:suppressLineNumbers w:val="0"/>
                    <w:shd w:val="clear" w:color="auto" w:fill="auto"/>
                    <w:spacing w:before="0" w:beforeAutospacing="0" w:after="0" w:afterAutospacing="0" w:line="320" w:lineRule="exact"/>
                    <w:ind w:left="0" w:right="0"/>
                    <w:jc w:val="center"/>
                    <w:rPr>
                      <w:rFonts w:hint="default" w:ascii="Times New Roman" w:hAnsi="Times New Roman" w:eastAsia="宋体" w:cs="Arial"/>
                      <w:szCs w:val="21"/>
                      <w:highlight w:val="none"/>
                      <w:lang w:val="en-US" w:eastAsia="zh-CN"/>
                    </w:rPr>
                  </w:pPr>
                  <w:r>
                    <w:rPr>
                      <w:rFonts w:hint="eastAsia" w:cs="Arial"/>
                      <w:szCs w:val="21"/>
                      <w:highlight w:val="none"/>
                      <w:lang w:val="en-US" w:eastAsia="zh-CN"/>
                    </w:rPr>
                    <w:t>PM(g/kWh)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073" w:type="pct"/>
                  <w:noWrap w:val="0"/>
                  <w:vAlign w:val="center"/>
                </w:tcPr>
                <w:p>
                  <w:pPr>
                    <w:keepNext w:val="0"/>
                    <w:keepLines w:val="0"/>
                    <w:suppressLineNumbers w:val="0"/>
                    <w:shd w:val="clear" w:color="auto" w:fill="auto"/>
                    <w:spacing w:before="0" w:beforeAutospacing="0" w:after="0" w:afterAutospacing="0" w:line="320" w:lineRule="exact"/>
                    <w:ind w:left="0" w:right="0"/>
                    <w:jc w:val="center"/>
                    <w:rPr>
                      <w:rFonts w:hint="default" w:ascii="Times New Roman" w:hAnsi="Times New Roman" w:eastAsia="宋体" w:cs="Arial"/>
                      <w:szCs w:val="21"/>
                      <w:highlight w:val="none"/>
                      <w:lang w:val="en-US" w:eastAsia="zh-CN"/>
                    </w:rPr>
                  </w:pPr>
                  <w:r>
                    <w:rPr>
                      <w:rFonts w:hint="eastAsia" w:cs="Arial"/>
                      <w:szCs w:val="21"/>
                      <w:highlight w:val="none"/>
                      <w:lang w:val="en-US" w:eastAsia="zh-CN"/>
                    </w:rPr>
                    <w:t>第四阶段</w:t>
                  </w:r>
                </w:p>
              </w:tc>
              <w:tc>
                <w:tcPr>
                  <w:tcW w:w="1355" w:type="pct"/>
                  <w:tcBorders>
                    <w:right w:val="single" w:color="auto" w:sz="4" w:space="0"/>
                  </w:tcBorders>
                  <w:noWrap w:val="0"/>
                  <w:vAlign w:val="center"/>
                </w:tcPr>
                <w:p>
                  <w:pPr>
                    <w:pStyle w:val="61"/>
                    <w:keepNext w:val="0"/>
                    <w:keepLines w:val="0"/>
                    <w:suppressLineNumbers w:val="0"/>
                    <w:shd w:val="clear" w:color="auto" w:fill="auto"/>
                    <w:spacing w:before="0" w:beforeAutospacing="0" w:after="0" w:afterAutospacing="0" w:line="320" w:lineRule="exact"/>
                    <w:ind w:left="0" w:right="0"/>
                    <w:rPr>
                      <w:rFonts w:hint="default" w:ascii="Times New Roman" w:hAnsi="Times New Roman" w:eastAsia="宋体" w:cs="Arial"/>
                      <w:szCs w:val="21"/>
                      <w:highlight w:val="none"/>
                      <w:lang w:val="en-US" w:eastAsia="zh-CN"/>
                    </w:rPr>
                  </w:pPr>
                  <w:r>
                    <w:rPr>
                      <w:rFonts w:hint="eastAsia" w:eastAsia="宋体" w:cs="Arial"/>
                      <w:szCs w:val="21"/>
                      <w:highlight w:val="none"/>
                      <w:lang w:val="en-US" w:eastAsia="zh-CN"/>
                    </w:rPr>
                    <w:t>130≤P</w:t>
                  </w:r>
                  <w:r>
                    <w:rPr>
                      <w:rFonts w:hint="eastAsia" w:eastAsia="宋体" w:cs="Arial"/>
                      <w:szCs w:val="21"/>
                      <w:highlight w:val="none"/>
                      <w:vertAlign w:val="subscript"/>
                      <w:lang w:val="en-US" w:eastAsia="zh-CN"/>
                    </w:rPr>
                    <w:t>max</w:t>
                  </w:r>
                  <w:r>
                    <w:rPr>
                      <w:rFonts w:hint="eastAsia" w:eastAsia="宋体" w:cs="Arial"/>
                      <w:szCs w:val="21"/>
                      <w:highlight w:val="none"/>
                      <w:lang w:val="en-US" w:eastAsia="zh-CN"/>
                    </w:rPr>
                    <w:t>≤560</w:t>
                  </w:r>
                </w:p>
              </w:tc>
              <w:tc>
                <w:tcPr>
                  <w:tcW w:w="768" w:type="pct"/>
                  <w:tcBorders>
                    <w:left w:val="single" w:color="auto" w:sz="4" w:space="0"/>
                    <w:right w:val="single" w:color="auto" w:sz="4" w:space="0"/>
                  </w:tcBorders>
                  <w:noWrap w:val="0"/>
                  <w:vAlign w:val="center"/>
                </w:tcPr>
                <w:p>
                  <w:pPr>
                    <w:pStyle w:val="61"/>
                    <w:keepNext w:val="0"/>
                    <w:keepLines w:val="0"/>
                    <w:suppressLineNumbers w:val="0"/>
                    <w:shd w:val="clear" w:color="auto" w:fill="auto"/>
                    <w:spacing w:before="0" w:beforeAutospacing="0" w:after="0" w:afterAutospacing="0" w:line="320" w:lineRule="exact"/>
                    <w:ind w:left="0" w:right="0"/>
                    <w:rPr>
                      <w:rFonts w:hint="default" w:ascii="Times New Roman" w:hAnsi="Times New Roman" w:eastAsia="宋体" w:cs="Arial"/>
                      <w:sz w:val="21"/>
                      <w:szCs w:val="21"/>
                      <w:highlight w:val="none"/>
                      <w:lang w:val="en-US" w:eastAsia="zh-CN"/>
                    </w:rPr>
                  </w:pPr>
                  <w:r>
                    <w:rPr>
                      <w:rFonts w:hint="eastAsia" w:eastAsia="宋体" w:cs="Arial"/>
                      <w:sz w:val="21"/>
                      <w:szCs w:val="21"/>
                      <w:highlight w:val="none"/>
                      <w:lang w:val="en-US" w:eastAsia="zh-CN"/>
                    </w:rPr>
                    <w:t>3.5</w:t>
                  </w:r>
                </w:p>
              </w:tc>
              <w:tc>
                <w:tcPr>
                  <w:tcW w:w="961" w:type="pct"/>
                  <w:tcBorders>
                    <w:left w:val="single" w:color="auto" w:sz="4" w:space="0"/>
                  </w:tcBorders>
                  <w:noWrap w:val="0"/>
                  <w:vAlign w:val="center"/>
                </w:tcPr>
                <w:p>
                  <w:pPr>
                    <w:pStyle w:val="61"/>
                    <w:keepNext w:val="0"/>
                    <w:keepLines w:val="0"/>
                    <w:suppressLineNumbers w:val="0"/>
                    <w:shd w:val="clear" w:color="auto" w:fill="auto"/>
                    <w:spacing w:before="0" w:beforeAutospacing="0" w:after="0" w:afterAutospacing="0" w:line="320" w:lineRule="exact"/>
                    <w:ind w:left="0" w:right="0"/>
                    <w:rPr>
                      <w:rFonts w:hint="default" w:ascii="Times New Roman" w:hAnsi="Times New Roman" w:eastAsia="宋体" w:cs="Arial"/>
                      <w:sz w:val="21"/>
                      <w:szCs w:val="21"/>
                      <w:highlight w:val="none"/>
                      <w:lang w:val="en-US" w:eastAsia="zh-CN"/>
                    </w:rPr>
                  </w:pPr>
                  <w:r>
                    <w:rPr>
                      <w:rFonts w:hint="eastAsia" w:eastAsia="宋体" w:cs="Arial"/>
                      <w:sz w:val="21"/>
                      <w:szCs w:val="21"/>
                      <w:highlight w:val="none"/>
                      <w:lang w:val="en-US" w:eastAsia="zh-CN"/>
                    </w:rPr>
                    <w:t>2.0</w:t>
                  </w:r>
                </w:p>
              </w:tc>
              <w:tc>
                <w:tcPr>
                  <w:tcW w:w="840" w:type="pct"/>
                  <w:tcBorders>
                    <w:left w:val="single" w:color="auto" w:sz="4" w:space="0"/>
                  </w:tcBorders>
                  <w:noWrap w:val="0"/>
                  <w:vAlign w:val="center"/>
                </w:tcPr>
                <w:p>
                  <w:pPr>
                    <w:pStyle w:val="61"/>
                    <w:keepNext w:val="0"/>
                    <w:keepLines w:val="0"/>
                    <w:suppressLineNumbers w:val="0"/>
                    <w:shd w:val="clear" w:color="auto" w:fill="auto"/>
                    <w:spacing w:before="0" w:beforeAutospacing="0" w:after="0" w:afterAutospacing="0" w:line="320" w:lineRule="exact"/>
                    <w:ind w:left="0" w:right="0"/>
                    <w:rPr>
                      <w:rFonts w:hint="default" w:ascii="Times New Roman" w:hAnsi="Times New Roman" w:eastAsia="宋体" w:cs="Arial"/>
                      <w:sz w:val="21"/>
                      <w:szCs w:val="21"/>
                      <w:highlight w:val="none"/>
                      <w:lang w:val="en-US" w:eastAsia="zh-CN"/>
                    </w:rPr>
                  </w:pPr>
                  <w:r>
                    <w:rPr>
                      <w:rFonts w:hint="eastAsia" w:eastAsia="宋体" w:cs="Arial"/>
                      <w:sz w:val="21"/>
                      <w:szCs w:val="21"/>
                      <w:highlight w:val="none"/>
                      <w:lang w:val="en-US" w:eastAsia="zh-CN"/>
                    </w:rPr>
                    <w:t>0.025</w:t>
                  </w:r>
                </w:p>
              </w:tc>
            </w:tr>
          </w:tbl>
          <w:p>
            <w:pPr>
              <w:keepNext w:val="0"/>
              <w:keepLines w:val="0"/>
              <w:pageBreakBefore w:val="0"/>
              <w:widowControl w:val="0"/>
              <w:numPr>
                <w:ilvl w:val="0"/>
                <w:numId w:val="0"/>
              </w:numPr>
              <w:kinsoku/>
              <w:overflowPunct/>
              <w:topLinePunct w:val="0"/>
              <w:autoSpaceDE/>
              <w:autoSpaceDN/>
              <w:bidi w:val="0"/>
              <w:adjustRightInd w:val="0"/>
              <w:snapToGrid w:val="0"/>
              <w:spacing w:line="520" w:lineRule="exact"/>
              <w:ind w:firstLine="482" w:firstLineChars="200"/>
              <w:jc w:val="left"/>
              <w:textAlignment w:val="auto"/>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bidi="ar-SA"/>
              </w:rPr>
              <w:t>2、</w:t>
            </w:r>
            <w:r>
              <w:rPr>
                <w:rFonts w:hint="eastAsia" w:ascii="Times New Roman" w:hAnsi="Times New Roman" w:cs="Times New Roman"/>
                <w:b/>
                <w:bCs/>
                <w:kern w:val="0"/>
                <w:sz w:val="24"/>
                <w:szCs w:val="24"/>
                <w:lang w:val="en-US" w:eastAsia="zh-CN"/>
              </w:rPr>
              <w:t>噪声</w:t>
            </w:r>
          </w:p>
          <w:p>
            <w:pPr>
              <w:keepNext w:val="0"/>
              <w:keepLines w:val="0"/>
              <w:pageBreakBefore w:val="0"/>
              <w:widowControl w:val="0"/>
              <w:kinsoku/>
              <w:wordWrap w:val="0"/>
              <w:overflowPunct/>
              <w:topLinePunct w:val="0"/>
              <w:autoSpaceDE/>
              <w:autoSpaceDN/>
              <w:bidi w:val="0"/>
              <w:adjustRightInd/>
              <w:snapToGrid/>
              <w:spacing w:line="520" w:lineRule="exact"/>
              <w:ind w:firstLine="480" w:firstLineChars="200"/>
              <w:contextualSpacing/>
              <w:textAlignment w:val="auto"/>
              <w:rPr>
                <w:rFonts w:hint="eastAsia"/>
                <w:sz w:val="24"/>
              </w:rPr>
            </w:pPr>
            <w:r>
              <w:rPr>
                <w:sz w:val="24"/>
              </w:rPr>
              <w:t>运营期项目区厂界噪声执行</w:t>
            </w:r>
            <w:bookmarkStart w:id="1" w:name="OLE_LINK4"/>
            <w:r>
              <w:rPr>
                <w:sz w:val="24"/>
              </w:rPr>
              <w:t>《工业企业厂界环境噪声排放标准》（GB12348-2008）</w:t>
            </w:r>
            <w:bookmarkEnd w:id="1"/>
            <w:r>
              <w:rPr>
                <w:sz w:val="24"/>
              </w:rPr>
              <w:t>中</w:t>
            </w:r>
            <w:r>
              <w:rPr>
                <w:rFonts w:hint="eastAsia"/>
                <w:sz w:val="24"/>
                <w:lang w:val="en-US" w:eastAsia="zh-CN"/>
              </w:rPr>
              <w:t>2</w:t>
            </w:r>
            <w:r>
              <w:rPr>
                <w:rFonts w:hint="eastAsia"/>
                <w:sz w:val="24"/>
              </w:rPr>
              <w:t>类</w:t>
            </w:r>
            <w:r>
              <w:rPr>
                <w:sz w:val="24"/>
              </w:rPr>
              <w:t>标准。</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表3-</w:t>
            </w:r>
            <w:r>
              <w:rPr>
                <w:rFonts w:hint="eastAsia" w:ascii="宋体" w:hAnsi="宋体" w:cs="宋体"/>
                <w:b/>
                <w:bCs/>
                <w:kern w:val="0"/>
                <w:sz w:val="24"/>
                <w:szCs w:val="24"/>
                <w:lang w:val="en-US" w:eastAsia="zh-CN" w:bidi="ar-SA"/>
              </w:rPr>
              <w:t>4</w:t>
            </w:r>
            <w:r>
              <w:rPr>
                <w:rFonts w:hint="eastAsia" w:ascii="宋体" w:hAnsi="宋体" w:eastAsia="宋体" w:cs="宋体"/>
                <w:b/>
                <w:bCs/>
                <w:kern w:val="0"/>
                <w:sz w:val="24"/>
                <w:szCs w:val="24"/>
                <w:lang w:val="en-US" w:eastAsia="zh-CN" w:bidi="ar-SA"/>
              </w:rPr>
              <w:t xml:space="preserve">     工业企业厂界环境噪声排放标准</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9"/>
              <w:gridCol w:w="1992"/>
              <w:gridCol w:w="1990"/>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249" w:type="pct"/>
                  <w:noWrap w:val="0"/>
                  <w:vAlign w:val="center"/>
                </w:tcPr>
                <w:p>
                  <w:pPr>
                    <w:keepLines w:val="0"/>
                    <w:pageBreakBefore w:val="0"/>
                    <w:widowControl/>
                    <w:kinsoku/>
                    <w:topLinePunct w:val="0"/>
                    <w:bidi w:val="0"/>
                    <w:jc w:val="center"/>
                    <w:textAlignment w:val="auto"/>
                    <w:rPr>
                      <w:kern w:val="0"/>
                      <w:szCs w:val="21"/>
                    </w:rPr>
                  </w:pPr>
                  <w:r>
                    <w:rPr>
                      <w:rFonts w:hint="eastAsia"/>
                      <w:kern w:val="0"/>
                      <w:szCs w:val="21"/>
                    </w:rPr>
                    <w:t>类别</w:t>
                  </w:r>
                </w:p>
              </w:tc>
              <w:tc>
                <w:tcPr>
                  <w:tcW w:w="1250" w:type="pct"/>
                  <w:noWrap w:val="0"/>
                  <w:vAlign w:val="center"/>
                </w:tcPr>
                <w:p>
                  <w:pPr>
                    <w:keepLines w:val="0"/>
                    <w:pageBreakBefore w:val="0"/>
                    <w:widowControl/>
                    <w:kinsoku/>
                    <w:topLinePunct w:val="0"/>
                    <w:bidi w:val="0"/>
                    <w:jc w:val="center"/>
                    <w:textAlignment w:val="auto"/>
                    <w:rPr>
                      <w:kern w:val="0"/>
                      <w:szCs w:val="21"/>
                    </w:rPr>
                  </w:pPr>
                  <w:r>
                    <w:rPr>
                      <w:rFonts w:hint="eastAsia"/>
                      <w:kern w:val="0"/>
                      <w:szCs w:val="21"/>
                    </w:rPr>
                    <w:t>单位</w:t>
                  </w:r>
                </w:p>
              </w:tc>
              <w:tc>
                <w:tcPr>
                  <w:tcW w:w="1249" w:type="pct"/>
                  <w:noWrap w:val="0"/>
                  <w:vAlign w:val="center"/>
                </w:tcPr>
                <w:p>
                  <w:pPr>
                    <w:keepLines w:val="0"/>
                    <w:pageBreakBefore w:val="0"/>
                    <w:widowControl/>
                    <w:kinsoku/>
                    <w:topLinePunct w:val="0"/>
                    <w:bidi w:val="0"/>
                    <w:jc w:val="center"/>
                    <w:textAlignment w:val="auto"/>
                    <w:rPr>
                      <w:kern w:val="0"/>
                      <w:szCs w:val="21"/>
                    </w:rPr>
                  </w:pPr>
                  <w:r>
                    <w:rPr>
                      <w:rFonts w:hint="eastAsia"/>
                      <w:kern w:val="0"/>
                      <w:szCs w:val="21"/>
                    </w:rPr>
                    <w:t>昼间</w:t>
                  </w:r>
                </w:p>
              </w:tc>
              <w:tc>
                <w:tcPr>
                  <w:tcW w:w="1249" w:type="pct"/>
                  <w:noWrap w:val="0"/>
                  <w:vAlign w:val="center"/>
                </w:tcPr>
                <w:p>
                  <w:pPr>
                    <w:keepLines w:val="0"/>
                    <w:pageBreakBefore w:val="0"/>
                    <w:widowControl/>
                    <w:kinsoku/>
                    <w:topLinePunct w:val="0"/>
                    <w:bidi w:val="0"/>
                    <w:jc w:val="center"/>
                    <w:textAlignment w:val="auto"/>
                    <w:rPr>
                      <w:kern w:val="0"/>
                      <w:szCs w:val="21"/>
                    </w:rPr>
                  </w:pPr>
                  <w:r>
                    <w:rPr>
                      <w:rFonts w:hint="eastAsia"/>
                      <w:kern w:val="0"/>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49" w:type="pct"/>
                  <w:noWrap w:val="0"/>
                  <w:vAlign w:val="center"/>
                </w:tcPr>
                <w:p>
                  <w:pPr>
                    <w:keepLines w:val="0"/>
                    <w:pageBreakBefore w:val="0"/>
                    <w:widowControl/>
                    <w:kinsoku/>
                    <w:topLinePunct w:val="0"/>
                    <w:bidi w:val="0"/>
                    <w:jc w:val="center"/>
                    <w:textAlignment w:val="auto"/>
                    <w:rPr>
                      <w:kern w:val="0"/>
                      <w:szCs w:val="21"/>
                    </w:rPr>
                  </w:pPr>
                  <w:r>
                    <w:rPr>
                      <w:rFonts w:hint="eastAsia"/>
                      <w:kern w:val="0"/>
                      <w:szCs w:val="21"/>
                      <w:lang w:val="en-US" w:eastAsia="zh-CN"/>
                    </w:rPr>
                    <w:t>2</w:t>
                  </w:r>
                  <w:r>
                    <w:rPr>
                      <w:rFonts w:hint="eastAsia"/>
                      <w:kern w:val="0"/>
                      <w:szCs w:val="21"/>
                    </w:rPr>
                    <w:t>类</w:t>
                  </w:r>
                </w:p>
              </w:tc>
              <w:tc>
                <w:tcPr>
                  <w:tcW w:w="1250" w:type="pct"/>
                  <w:noWrap w:val="0"/>
                  <w:vAlign w:val="center"/>
                </w:tcPr>
                <w:p>
                  <w:pPr>
                    <w:keepLines w:val="0"/>
                    <w:pageBreakBefore w:val="0"/>
                    <w:widowControl/>
                    <w:kinsoku/>
                    <w:topLinePunct w:val="0"/>
                    <w:bidi w:val="0"/>
                    <w:jc w:val="center"/>
                    <w:textAlignment w:val="auto"/>
                    <w:rPr>
                      <w:kern w:val="0"/>
                      <w:szCs w:val="21"/>
                    </w:rPr>
                  </w:pPr>
                  <w:r>
                    <w:rPr>
                      <w:rFonts w:hint="eastAsia"/>
                      <w:kern w:val="0"/>
                      <w:szCs w:val="21"/>
                    </w:rPr>
                    <w:t>dB</w:t>
                  </w:r>
                  <w:r>
                    <w:rPr>
                      <w:rFonts w:hint="eastAsia"/>
                      <w:kern w:val="0"/>
                      <w:szCs w:val="21"/>
                      <w:lang w:eastAsia="zh-CN"/>
                    </w:rPr>
                    <w:t>(</w:t>
                  </w:r>
                  <w:r>
                    <w:rPr>
                      <w:rFonts w:hint="eastAsia"/>
                      <w:kern w:val="0"/>
                      <w:szCs w:val="21"/>
                    </w:rPr>
                    <w:t>A</w:t>
                  </w:r>
                  <w:r>
                    <w:rPr>
                      <w:rFonts w:hint="eastAsia"/>
                      <w:kern w:val="0"/>
                      <w:szCs w:val="21"/>
                      <w:lang w:eastAsia="zh-CN"/>
                    </w:rPr>
                    <w:t>)</w:t>
                  </w:r>
                </w:p>
              </w:tc>
              <w:tc>
                <w:tcPr>
                  <w:tcW w:w="1249" w:type="pct"/>
                  <w:noWrap w:val="0"/>
                  <w:vAlign w:val="center"/>
                </w:tcPr>
                <w:p>
                  <w:pPr>
                    <w:keepLines w:val="0"/>
                    <w:pageBreakBefore w:val="0"/>
                    <w:widowControl/>
                    <w:kinsoku/>
                    <w:topLinePunct w:val="0"/>
                    <w:bidi w:val="0"/>
                    <w:jc w:val="center"/>
                    <w:textAlignment w:val="auto"/>
                    <w:rPr>
                      <w:rFonts w:hint="eastAsia" w:eastAsia="宋体"/>
                      <w:kern w:val="0"/>
                      <w:szCs w:val="21"/>
                      <w:lang w:eastAsia="zh-CN"/>
                    </w:rPr>
                  </w:pPr>
                  <w:r>
                    <w:rPr>
                      <w:rFonts w:hint="eastAsia"/>
                      <w:kern w:val="0"/>
                      <w:szCs w:val="21"/>
                    </w:rPr>
                    <w:t>6</w:t>
                  </w:r>
                  <w:r>
                    <w:rPr>
                      <w:rFonts w:hint="eastAsia"/>
                      <w:kern w:val="0"/>
                      <w:szCs w:val="21"/>
                      <w:lang w:val="en-US" w:eastAsia="zh-CN"/>
                    </w:rPr>
                    <w:t>0</w:t>
                  </w:r>
                </w:p>
              </w:tc>
              <w:tc>
                <w:tcPr>
                  <w:tcW w:w="1249" w:type="pct"/>
                  <w:noWrap w:val="0"/>
                  <w:vAlign w:val="center"/>
                </w:tcPr>
                <w:p>
                  <w:pPr>
                    <w:keepLines w:val="0"/>
                    <w:pageBreakBefore w:val="0"/>
                    <w:widowControl/>
                    <w:kinsoku/>
                    <w:topLinePunct w:val="0"/>
                    <w:bidi w:val="0"/>
                    <w:jc w:val="center"/>
                    <w:textAlignment w:val="auto"/>
                    <w:rPr>
                      <w:rFonts w:hint="eastAsia" w:eastAsia="宋体"/>
                      <w:kern w:val="0"/>
                      <w:szCs w:val="21"/>
                      <w:lang w:eastAsia="zh-CN"/>
                    </w:rPr>
                  </w:pPr>
                  <w:r>
                    <w:rPr>
                      <w:rFonts w:hint="eastAsia"/>
                      <w:kern w:val="0"/>
                      <w:szCs w:val="21"/>
                    </w:rPr>
                    <w:t>5</w:t>
                  </w:r>
                  <w:r>
                    <w:rPr>
                      <w:rFonts w:hint="eastAsia"/>
                      <w:kern w:val="0"/>
                      <w:szCs w:val="21"/>
                      <w:lang w:val="en-US" w:eastAsia="zh-CN"/>
                    </w:rPr>
                    <w:t>0</w:t>
                  </w:r>
                </w:p>
              </w:tc>
            </w:tr>
          </w:tbl>
          <w:p>
            <w:pPr>
              <w:keepNext w:val="0"/>
              <w:keepLines w:val="0"/>
              <w:pageBreakBefore w:val="0"/>
              <w:widowControl w:val="0"/>
              <w:numPr>
                <w:ilvl w:val="0"/>
                <w:numId w:val="0"/>
              </w:numPr>
              <w:kinsoku/>
              <w:overflowPunct/>
              <w:topLinePunct w:val="0"/>
              <w:autoSpaceDE/>
              <w:autoSpaceDN/>
              <w:bidi w:val="0"/>
              <w:adjustRightInd w:val="0"/>
              <w:snapToGrid w:val="0"/>
              <w:spacing w:line="520" w:lineRule="exact"/>
              <w:ind w:firstLine="482" w:firstLineChars="200"/>
              <w:jc w:val="left"/>
              <w:textAlignment w:val="auto"/>
              <w:rPr>
                <w:rFonts w:hint="eastAsia" w:ascii="Times New Roman" w:hAnsi="Times New Roman" w:cs="Times New Roman"/>
                <w:b/>
                <w:bCs/>
                <w:kern w:val="0"/>
                <w:sz w:val="24"/>
                <w:szCs w:val="24"/>
                <w:lang w:val="en-US" w:eastAsia="zh-CN" w:bidi="ar-SA"/>
              </w:rPr>
            </w:pPr>
            <w:r>
              <w:rPr>
                <w:rFonts w:hint="eastAsia" w:ascii="Times New Roman" w:hAnsi="Times New Roman" w:cs="Times New Roman"/>
                <w:b/>
                <w:bCs/>
                <w:kern w:val="0"/>
                <w:sz w:val="24"/>
                <w:szCs w:val="24"/>
                <w:lang w:val="en-US" w:eastAsia="zh-CN" w:bidi="ar-SA"/>
              </w:rPr>
              <w:t>3、废水</w:t>
            </w:r>
          </w:p>
          <w:p>
            <w:pPr>
              <w:keepNext w:val="0"/>
              <w:keepLines w:val="0"/>
              <w:pageBreakBefore w:val="0"/>
              <w:widowControl w:val="0"/>
              <w:numPr>
                <w:ilvl w:val="0"/>
                <w:numId w:val="0"/>
              </w:numPr>
              <w:kinsoku/>
              <w:overflowPunct/>
              <w:topLinePunct w:val="0"/>
              <w:autoSpaceDE/>
              <w:autoSpaceDN/>
              <w:bidi w:val="0"/>
              <w:adjustRightInd w:val="0"/>
              <w:snapToGrid w:val="0"/>
              <w:spacing w:line="520" w:lineRule="exact"/>
              <w:ind w:firstLine="480" w:firstLineChars="200"/>
              <w:jc w:val="left"/>
              <w:textAlignment w:val="auto"/>
              <w:rPr>
                <w:rFonts w:hint="eastAsia" w:ascii="Times New Roman" w:hAnsi="Times New Roman" w:cs="Times New Roman"/>
                <w:b/>
                <w:bCs/>
                <w:kern w:val="0"/>
                <w:sz w:val="24"/>
                <w:szCs w:val="24"/>
                <w:lang w:val="en-US" w:eastAsia="zh-CN" w:bidi="ar-SA"/>
              </w:rPr>
            </w:pPr>
            <w:r>
              <w:rPr>
                <w:rFonts w:hint="default" w:ascii="宋体" w:hAnsi="宋体" w:eastAsia="宋体" w:cs="宋体"/>
                <w:kern w:val="0"/>
                <w:sz w:val="24"/>
                <w:szCs w:val="24"/>
                <w:lang w:val="en-US" w:eastAsia="zh-CN" w:bidi="ar-SA"/>
              </w:rPr>
              <w:t>营运期</w:t>
            </w:r>
            <w:r>
              <w:rPr>
                <w:rFonts w:hint="eastAsia" w:ascii="宋体" w:hAnsi="宋体" w:eastAsia="宋体" w:cs="宋体"/>
                <w:kern w:val="0"/>
                <w:sz w:val="24"/>
                <w:szCs w:val="24"/>
                <w:lang w:val="en-US" w:eastAsia="zh-CN" w:bidi="ar-SA"/>
              </w:rPr>
              <w:t>锅炉排</w:t>
            </w:r>
            <w:r>
              <w:rPr>
                <w:rFonts w:hint="default" w:ascii="宋体" w:hAnsi="宋体" w:eastAsia="宋体" w:cs="宋体"/>
                <w:kern w:val="0"/>
                <w:sz w:val="24"/>
                <w:szCs w:val="24"/>
                <w:lang w:val="en-US" w:eastAsia="zh-CN" w:bidi="ar-SA"/>
              </w:rPr>
              <w:t>污水</w:t>
            </w:r>
            <w:r>
              <w:rPr>
                <w:rFonts w:hint="eastAsia" w:ascii="宋体" w:hAnsi="宋体" w:eastAsia="宋体" w:cs="宋体"/>
                <w:kern w:val="0"/>
                <w:sz w:val="24"/>
                <w:szCs w:val="24"/>
                <w:lang w:val="en-US" w:eastAsia="zh-CN" w:bidi="ar-SA"/>
              </w:rPr>
              <w:t>水质较为清洁且产生量较少，用于油区周边洒水降尘。</w:t>
            </w:r>
          </w:p>
          <w:p>
            <w:pPr>
              <w:keepNext w:val="0"/>
              <w:keepLines w:val="0"/>
              <w:pageBreakBefore w:val="0"/>
              <w:widowControl w:val="0"/>
              <w:numPr>
                <w:ilvl w:val="0"/>
                <w:numId w:val="0"/>
              </w:numPr>
              <w:kinsoku/>
              <w:overflowPunct/>
              <w:topLinePunct w:val="0"/>
              <w:autoSpaceDE/>
              <w:autoSpaceDN/>
              <w:bidi w:val="0"/>
              <w:adjustRightInd w:val="0"/>
              <w:snapToGrid w:val="0"/>
              <w:spacing w:line="520" w:lineRule="exact"/>
              <w:ind w:firstLine="482" w:firstLineChars="200"/>
              <w:jc w:val="left"/>
              <w:textAlignment w:val="auto"/>
              <w:rPr>
                <w:rFonts w:hint="eastAsia"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bidi="ar-SA"/>
              </w:rPr>
              <w:t>4、</w:t>
            </w:r>
            <w:r>
              <w:rPr>
                <w:rFonts w:hint="eastAsia" w:ascii="Times New Roman" w:hAnsi="Times New Roman" w:cs="Times New Roman"/>
                <w:b/>
                <w:bCs/>
                <w:kern w:val="0"/>
                <w:sz w:val="24"/>
                <w:szCs w:val="24"/>
                <w:lang w:val="en-US" w:eastAsia="zh-CN"/>
              </w:rPr>
              <w:t>固体废物</w:t>
            </w:r>
          </w:p>
          <w:p>
            <w:pPr>
              <w:keepNext w:val="0"/>
              <w:keepLines w:val="0"/>
              <w:pageBreakBefore w:val="0"/>
              <w:widowControl w:val="0"/>
              <w:kinsoku/>
              <w:wordWrap w:val="0"/>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cs="Times New Roman"/>
                <w:kern w:val="0"/>
                <w:sz w:val="24"/>
                <w:szCs w:val="24"/>
                <w:lang w:val="en-US" w:eastAsia="zh-CN"/>
              </w:rPr>
            </w:pPr>
            <w:r>
              <w:rPr>
                <w:color w:val="000000"/>
                <w:sz w:val="24"/>
              </w:rPr>
              <w:t>本项目固废</w:t>
            </w:r>
            <w:r>
              <w:rPr>
                <w:rFonts w:hint="eastAsia"/>
                <w:color w:val="000000"/>
                <w:sz w:val="24"/>
              </w:rPr>
              <w:t>一般工业固体贮存过程应满足《中华人民共和国固体废物污染环境防治法》</w:t>
            </w:r>
            <w:r>
              <w:rPr>
                <w:rFonts w:hint="eastAsia"/>
                <w:color w:val="000000"/>
                <w:sz w:val="24"/>
                <w:lang w:val="en-US" w:eastAsia="zh-CN"/>
              </w:rPr>
              <w:t>中</w:t>
            </w:r>
            <w:r>
              <w:rPr>
                <w:rFonts w:hint="eastAsia"/>
                <w:color w:val="000000"/>
                <w:sz w:val="24"/>
              </w:rPr>
              <w:t>相应防渗漏、防雨淋、防扬尘等环境保护要求</w:t>
            </w:r>
            <w:r>
              <w:rPr>
                <w:color w:val="00000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3" w:hRule="atLeast"/>
          <w:jc w:val="center"/>
        </w:trPr>
        <w:tc>
          <w:tcPr>
            <w:tcW w:w="800" w:type="dxa"/>
            <w:noWrap w:val="0"/>
            <w:vAlign w:val="center"/>
          </w:tcPr>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总量</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控制</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指标</w:t>
            </w:r>
          </w:p>
        </w:tc>
        <w:tc>
          <w:tcPr>
            <w:tcW w:w="8190" w:type="dxa"/>
            <w:noWrap w:val="0"/>
            <w:vAlign w:val="top"/>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sz w:val="24"/>
                <w:szCs w:val="24"/>
              </w:rPr>
              <w:t>根据国家对实施污染物排放总量控制的要求以及本项目的工艺特征和污染物排放的特点，本环评确定建设项目污染物排放总量控制因子为废气中NO</w:t>
            </w:r>
            <w:r>
              <w:rPr>
                <w:rFonts w:hint="eastAsia" w:ascii="宋体" w:hAnsi="宋体" w:eastAsia="宋体" w:cs="宋体"/>
                <w:sz w:val="24"/>
                <w:szCs w:val="24"/>
                <w:vertAlign w:val="subscript"/>
              </w:rPr>
              <w:t>x</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lang w:val="en-US" w:eastAsia="zh-CN"/>
              </w:rPr>
              <w:t>根据《排放源统计调查产排污核算方法和系数手册》中锅炉产排污量核算系数手册，</w:t>
            </w:r>
            <w:r>
              <w:rPr>
                <w:rFonts w:hint="eastAsia" w:ascii="宋体" w:hAnsi="宋体" w:eastAsia="宋体" w:cs="宋体"/>
                <w:sz w:val="24"/>
                <w:szCs w:val="24"/>
              </w:rPr>
              <w:t>NO</w:t>
            </w:r>
            <w:r>
              <w:rPr>
                <w:rFonts w:hint="eastAsia" w:ascii="宋体" w:hAnsi="宋体" w:eastAsia="宋体" w:cs="宋体"/>
                <w:sz w:val="24"/>
                <w:szCs w:val="24"/>
                <w:vertAlign w:val="subscript"/>
              </w:rPr>
              <w:t>X</w:t>
            </w:r>
            <w:r>
              <w:rPr>
                <w:rFonts w:hint="eastAsia" w:ascii="宋体" w:hAnsi="宋体" w:eastAsia="宋体" w:cs="宋体"/>
                <w:sz w:val="24"/>
                <w:szCs w:val="24"/>
              </w:rPr>
              <w:t>产污系数为</w:t>
            </w:r>
            <w:r>
              <w:rPr>
                <w:rFonts w:hint="eastAsia" w:ascii="宋体" w:hAnsi="宋体" w:eastAsia="宋体" w:cs="宋体"/>
                <w:color w:val="000000"/>
                <w:sz w:val="24"/>
                <w:lang w:val="en-US" w:eastAsia="zh-CN"/>
              </w:rPr>
              <w:t>1.02</w:t>
            </w:r>
            <w:r>
              <w:rPr>
                <w:rFonts w:hint="eastAsia" w:ascii="宋体" w:hAnsi="宋体" w:eastAsia="宋体" w:cs="宋体"/>
                <w:sz w:val="24"/>
                <w:szCs w:val="24"/>
              </w:rPr>
              <w:t>kg/t</w:t>
            </w:r>
            <w:r>
              <w:rPr>
                <w:rFonts w:hint="eastAsia" w:ascii="宋体" w:hAnsi="宋体" w:eastAsia="宋体" w:cs="宋体"/>
                <w:sz w:val="24"/>
                <w:szCs w:val="24"/>
                <w:lang w:val="en-US" w:eastAsia="zh-CN"/>
              </w:rPr>
              <w:t>-燃料</w:t>
            </w:r>
            <w:r>
              <w:rPr>
                <w:rFonts w:hint="eastAsia" w:ascii="宋体" w:hAnsi="宋体" w:eastAsia="宋体" w:cs="宋体"/>
                <w:sz w:val="24"/>
                <w:szCs w:val="24"/>
              </w:rPr>
              <w:t>，经计算本项目NO</w:t>
            </w:r>
            <w:r>
              <w:rPr>
                <w:rFonts w:hint="eastAsia" w:ascii="宋体" w:hAnsi="宋体" w:eastAsia="宋体" w:cs="宋体"/>
                <w:sz w:val="24"/>
                <w:szCs w:val="24"/>
                <w:vertAlign w:val="subscript"/>
              </w:rPr>
              <w:t>X</w:t>
            </w:r>
            <w:r>
              <w:rPr>
                <w:rFonts w:hint="eastAsia" w:ascii="宋体" w:hAnsi="宋体" w:eastAsia="宋体" w:cs="宋体"/>
                <w:sz w:val="24"/>
                <w:szCs w:val="24"/>
              </w:rPr>
              <w:t>量为</w:t>
            </w:r>
            <w:r>
              <w:rPr>
                <w:rFonts w:hint="eastAsia" w:ascii="宋体" w:hAnsi="宋体" w:eastAsia="宋体" w:cs="宋体"/>
                <w:color w:val="000000"/>
                <w:sz w:val="24"/>
                <w:lang w:val="en-US" w:eastAsia="zh-CN"/>
              </w:rPr>
              <w:t>0.551</w:t>
            </w:r>
            <w:r>
              <w:rPr>
                <w:rFonts w:hint="eastAsia" w:ascii="宋体" w:hAnsi="宋体" w:eastAsia="宋体" w:cs="宋体"/>
                <w:sz w:val="24"/>
              </w:rPr>
              <w:t>t/a</w:t>
            </w:r>
            <w:r>
              <w:rPr>
                <w:rFonts w:hint="eastAsia" w:ascii="宋体" w:hAnsi="宋体" w:eastAsia="宋体" w:cs="宋体"/>
                <w:color w:val="auto"/>
                <w:sz w:val="24"/>
                <w:szCs w:val="24"/>
                <w:highlight w:val="none"/>
                <w:lang w:val="en-US" w:eastAsia="zh-CN"/>
              </w:rPr>
              <w:t>。移动锅炉配备低氮燃烧器，处理效率为30%，废气经处理后排放量为0.386t/a</w:t>
            </w:r>
            <w:r>
              <w:rPr>
                <w:rFonts w:hint="eastAsia" w:ascii="宋体" w:hAnsi="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eastAsia" w:ascii="Times New Roman" w:hAnsi="Times New Roman" w:eastAsia="宋体" w:cs="Times New Roman"/>
                <w:kern w:val="0"/>
                <w:sz w:val="24"/>
                <w:szCs w:val="24"/>
                <w:lang w:eastAsia="zh-CN"/>
              </w:rPr>
            </w:pPr>
            <w:r>
              <w:rPr>
                <w:rFonts w:hint="eastAsia" w:ascii="宋体" w:hAnsi="宋体" w:eastAsia="宋体" w:cs="宋体"/>
                <w:sz w:val="24"/>
                <w:szCs w:val="24"/>
                <w:lang w:val="en-US" w:eastAsia="zh-CN"/>
              </w:rPr>
              <w:t>本项目氮氧化物总量控制</w:t>
            </w:r>
            <w:r>
              <w:rPr>
                <w:rFonts w:hint="eastAsia" w:ascii="宋体" w:hAnsi="宋体" w:cs="宋体"/>
                <w:sz w:val="24"/>
                <w:szCs w:val="24"/>
                <w:lang w:val="en-US" w:eastAsia="zh-CN"/>
              </w:rPr>
              <w:t>建议指标</w:t>
            </w:r>
            <w:r>
              <w:rPr>
                <w:rFonts w:hint="eastAsia" w:ascii="宋体" w:hAnsi="宋体" w:eastAsia="宋体" w:cs="宋体"/>
                <w:sz w:val="24"/>
                <w:szCs w:val="24"/>
                <w:lang w:val="en-US" w:eastAsia="zh-CN"/>
              </w:rPr>
              <w:t>为</w:t>
            </w:r>
            <w:r>
              <w:rPr>
                <w:rFonts w:hint="eastAsia" w:ascii="宋体" w:hAnsi="宋体" w:cs="宋体"/>
                <w:color w:val="000000"/>
                <w:sz w:val="24"/>
                <w:lang w:val="en-US" w:eastAsia="zh-CN"/>
              </w:rPr>
              <w:t>0.386</w:t>
            </w:r>
            <w:r>
              <w:rPr>
                <w:rFonts w:hint="eastAsia" w:ascii="宋体" w:hAnsi="宋体" w:eastAsia="宋体" w:cs="宋体"/>
                <w:sz w:val="24"/>
              </w:rPr>
              <w:t>t/a</w:t>
            </w:r>
            <w:r>
              <w:rPr>
                <w:rFonts w:hint="eastAsia" w:ascii="宋体" w:hAnsi="宋体" w:eastAsia="宋体" w:cs="宋体"/>
                <w:sz w:val="24"/>
                <w:szCs w:val="24"/>
                <w:lang w:eastAsia="zh-CN"/>
              </w:rPr>
              <w:t>。</w:t>
            </w:r>
          </w:p>
        </w:tc>
      </w:tr>
    </w:tbl>
    <w:p>
      <w:pPr>
        <w:pStyle w:val="18"/>
        <w:spacing w:line="240" w:lineRule="auto"/>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6"/>
          <w:szCs w:val="36"/>
        </w:rPr>
        <w:br w:type="page"/>
      </w:r>
      <w:r>
        <w:rPr>
          <w:rFonts w:hint="default" w:ascii="Times New Roman" w:hAnsi="Times New Roman" w:eastAsia="黑体" w:cs="Times New Roman"/>
          <w:snapToGrid w:val="0"/>
          <w:sz w:val="30"/>
          <w:szCs w:val="30"/>
        </w:rPr>
        <w:t>四、主要环境影响和保护措施</w:t>
      </w:r>
    </w:p>
    <w:tbl>
      <w:tblPr>
        <w:tblStyle w:val="21"/>
        <w:tblW w:w="89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6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dxa"/>
            <w:noWrap w:val="0"/>
            <w:tcMar>
              <w:left w:w="28" w:type="dxa"/>
              <w:right w:w="28" w:type="dxa"/>
            </w:tcMar>
            <w:vAlign w:val="center"/>
          </w:tcPr>
          <w:p>
            <w:pPr>
              <w:pStyle w:val="18"/>
              <w:adjustRightInd w:val="0"/>
              <w:snapToGrid w:val="0"/>
              <w:spacing w:before="0" w:beforeAutospacing="0" w:after="0" w:afterAutospacing="0"/>
              <w:jc w:val="center"/>
              <w:rPr>
                <w:rFonts w:hint="default" w:ascii="Times New Roman" w:hAnsi="Times New Roman" w:cs="Times New Roman"/>
                <w:kern w:val="2"/>
                <w:sz w:val="24"/>
                <w:szCs w:val="24"/>
              </w:rPr>
            </w:pPr>
            <w:r>
              <w:rPr>
                <w:rFonts w:hint="default" w:ascii="Times New Roman" w:hAnsi="Times New Roman" w:cs="Times New Roman"/>
                <w:kern w:val="2"/>
                <w:sz w:val="24"/>
                <w:szCs w:val="24"/>
              </w:rPr>
              <w:t>施工</w:t>
            </w:r>
          </w:p>
          <w:p>
            <w:pPr>
              <w:pStyle w:val="18"/>
              <w:adjustRightInd w:val="0"/>
              <w:snapToGrid w:val="0"/>
              <w:spacing w:before="0" w:beforeAutospacing="0" w:after="0" w:afterAutospacing="0"/>
              <w:jc w:val="center"/>
              <w:rPr>
                <w:rFonts w:hint="default" w:ascii="Times New Roman" w:hAnsi="Times New Roman" w:cs="Times New Roman"/>
                <w:kern w:val="2"/>
                <w:sz w:val="24"/>
                <w:szCs w:val="24"/>
              </w:rPr>
            </w:pPr>
            <w:r>
              <w:rPr>
                <w:rFonts w:hint="default" w:ascii="Times New Roman" w:hAnsi="Times New Roman" w:cs="Times New Roman"/>
                <w:kern w:val="2"/>
                <w:sz w:val="24"/>
                <w:szCs w:val="24"/>
              </w:rPr>
              <w:t>期环</w:t>
            </w:r>
          </w:p>
          <w:p>
            <w:pPr>
              <w:pStyle w:val="18"/>
              <w:adjustRightInd w:val="0"/>
              <w:snapToGrid w:val="0"/>
              <w:spacing w:before="0" w:beforeAutospacing="0" w:after="0" w:afterAutospacing="0"/>
              <w:jc w:val="center"/>
              <w:rPr>
                <w:rFonts w:hint="default" w:ascii="Times New Roman" w:hAnsi="Times New Roman" w:cs="Times New Roman"/>
                <w:kern w:val="2"/>
                <w:sz w:val="24"/>
                <w:szCs w:val="24"/>
              </w:rPr>
            </w:pPr>
            <w:r>
              <w:rPr>
                <w:rFonts w:hint="default" w:ascii="Times New Roman" w:hAnsi="Times New Roman" w:cs="Times New Roman"/>
                <w:kern w:val="2"/>
                <w:sz w:val="24"/>
                <w:szCs w:val="24"/>
              </w:rPr>
              <w:t>境保</w:t>
            </w:r>
          </w:p>
          <w:p>
            <w:pPr>
              <w:pStyle w:val="18"/>
              <w:adjustRightInd w:val="0"/>
              <w:snapToGrid w:val="0"/>
              <w:spacing w:before="0" w:beforeAutospacing="0" w:after="0" w:afterAutospacing="0"/>
              <w:jc w:val="center"/>
              <w:rPr>
                <w:rFonts w:hint="default" w:ascii="Times New Roman" w:hAnsi="Times New Roman" w:cs="Times New Roman"/>
                <w:kern w:val="2"/>
                <w:sz w:val="24"/>
                <w:szCs w:val="24"/>
              </w:rPr>
            </w:pPr>
            <w:r>
              <w:rPr>
                <w:rFonts w:hint="default" w:ascii="Times New Roman" w:hAnsi="Times New Roman" w:cs="Times New Roman"/>
                <w:kern w:val="2"/>
                <w:sz w:val="24"/>
                <w:szCs w:val="24"/>
              </w:rPr>
              <w:t>护措</w:t>
            </w:r>
          </w:p>
          <w:p>
            <w:pPr>
              <w:pStyle w:val="18"/>
              <w:adjustRightInd w:val="0"/>
              <w:snapToGrid w:val="0"/>
              <w:spacing w:before="0" w:beforeAutospacing="0" w:after="0" w:afterAutospacing="0"/>
              <w:jc w:val="center"/>
              <w:rPr>
                <w:rFonts w:hint="default" w:ascii="Times New Roman" w:hAnsi="Times New Roman" w:cs="Times New Roman"/>
                <w:bCs/>
                <w:kern w:val="2"/>
                <w:sz w:val="24"/>
                <w:szCs w:val="24"/>
              </w:rPr>
            </w:pPr>
            <w:r>
              <w:rPr>
                <w:rFonts w:hint="default" w:ascii="Times New Roman" w:hAnsi="Times New Roman" w:cs="Times New Roman"/>
                <w:kern w:val="2"/>
                <w:sz w:val="24"/>
                <w:szCs w:val="24"/>
              </w:rPr>
              <w:t>施</w:t>
            </w:r>
          </w:p>
        </w:tc>
        <w:tc>
          <w:tcPr>
            <w:tcW w:w="8629" w:type="dxa"/>
            <w:noWrap w:val="0"/>
            <w:vAlign w:val="top"/>
          </w:tcPr>
          <w:p>
            <w:pPr>
              <w:keepNext w:val="0"/>
              <w:keepLines w:val="0"/>
              <w:pageBreakBefore w:val="0"/>
              <w:widowControl w:val="0"/>
              <w:kinsoku/>
              <w:wordWrap/>
              <w:overflowPunct/>
              <w:topLinePunct w:val="0"/>
              <w:autoSpaceDE/>
              <w:autoSpaceDN/>
              <w:bidi w:val="0"/>
              <w:adjustRightInd w:val="0"/>
              <w:snapToGrid w:val="0"/>
              <w:spacing w:line="520" w:lineRule="exact"/>
              <w:ind w:firstLine="440" w:firstLineChars="200"/>
              <w:jc w:val="both"/>
              <w:textAlignment w:val="auto"/>
              <w:rPr>
                <w:rFonts w:hint="default" w:ascii="Times New Roman" w:hAnsi="Times New Roman" w:cs="Times New Roman"/>
                <w:bCs/>
                <w:spacing w:val="-10"/>
                <w:sz w:val="24"/>
                <w:szCs w:val="24"/>
              </w:rPr>
            </w:pPr>
            <w:r>
              <w:rPr>
                <w:rFonts w:hint="default" w:ascii="Times New Roman" w:hAnsi="Times New Roman" w:cs="Times New Roman"/>
                <w:bCs/>
                <w:spacing w:val="-10"/>
                <w:sz w:val="24"/>
                <w:szCs w:val="24"/>
              </w:rPr>
              <w:t>本项目施工期约</w:t>
            </w:r>
            <w:r>
              <w:rPr>
                <w:rFonts w:hint="eastAsia" w:ascii="Times New Roman" w:hAnsi="Times New Roman" w:cs="Times New Roman"/>
                <w:bCs/>
                <w:spacing w:val="-10"/>
                <w:sz w:val="24"/>
                <w:szCs w:val="24"/>
                <w:lang w:val="en-US" w:eastAsia="zh-CN"/>
              </w:rPr>
              <w:t>1</w:t>
            </w:r>
            <w:r>
              <w:rPr>
                <w:rFonts w:hint="default" w:ascii="Times New Roman" w:hAnsi="Times New Roman" w:cs="Times New Roman"/>
                <w:bCs/>
                <w:spacing w:val="-10"/>
                <w:sz w:val="24"/>
                <w:szCs w:val="24"/>
              </w:rPr>
              <w:t>天，无土建工程施工，施工内容主要为</w:t>
            </w:r>
            <w:r>
              <w:rPr>
                <w:rFonts w:hint="default" w:ascii="Times New Roman" w:hAnsi="Times New Roman" w:cs="Times New Roman"/>
                <w:bCs/>
                <w:spacing w:val="-10"/>
                <w:sz w:val="24"/>
                <w:szCs w:val="24"/>
                <w:lang w:val="en-US" w:eastAsia="zh-CN"/>
              </w:rPr>
              <w:t>排气筒现场安装</w:t>
            </w:r>
            <w:r>
              <w:rPr>
                <w:rFonts w:hint="default" w:ascii="Times New Roman" w:hAnsi="Times New Roman" w:cs="Times New Roman"/>
                <w:bCs/>
                <w:spacing w:val="-10"/>
                <w:sz w:val="24"/>
                <w:szCs w:val="24"/>
              </w:rPr>
              <w:t>。虽然本项目工程量小、施工周期短，产生的污染极少，但是在建设过程中依然要保护环境，施工人员应按以下措施进行安装。</w:t>
            </w:r>
          </w:p>
          <w:p>
            <w:pPr>
              <w:keepNext w:val="0"/>
              <w:keepLines w:val="0"/>
              <w:pageBreakBefore w:val="0"/>
              <w:widowControl w:val="0"/>
              <w:kinsoku/>
              <w:wordWrap/>
              <w:overflowPunct/>
              <w:topLinePunct w:val="0"/>
              <w:autoSpaceDE/>
              <w:autoSpaceDN/>
              <w:bidi w:val="0"/>
              <w:adjustRightInd w:val="0"/>
              <w:snapToGrid w:val="0"/>
              <w:spacing w:line="520" w:lineRule="exact"/>
              <w:ind w:firstLine="440" w:firstLineChars="200"/>
              <w:jc w:val="both"/>
              <w:textAlignment w:val="auto"/>
              <w:rPr>
                <w:rFonts w:hint="eastAsia" w:ascii="Times New Roman" w:hAnsi="Times New Roman" w:eastAsia="宋体" w:cs="Times New Roman"/>
                <w:bCs/>
                <w:spacing w:val="-10"/>
                <w:sz w:val="24"/>
                <w:szCs w:val="24"/>
                <w:lang w:eastAsia="zh-CN"/>
              </w:rPr>
            </w:pPr>
            <w:r>
              <w:rPr>
                <w:rFonts w:hint="default" w:ascii="Times New Roman" w:hAnsi="Times New Roman" w:cs="Times New Roman"/>
                <w:bCs/>
                <w:spacing w:val="-10"/>
                <w:sz w:val="24"/>
                <w:szCs w:val="24"/>
              </w:rPr>
              <w:t>运输车辆进入施工现场低速行驶，减少鸣笛。合理安排施工时间，夜间及午休时间停止施工。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290" w:type="dxa"/>
            <w:noWrap w:val="0"/>
            <w:tcMar>
              <w:left w:w="28" w:type="dxa"/>
              <w:right w:w="28" w:type="dxa"/>
            </w:tcMar>
            <w:vAlign w:val="center"/>
          </w:tcPr>
          <w:p>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运营</w:t>
            </w:r>
          </w:p>
          <w:p>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期环</w:t>
            </w:r>
          </w:p>
          <w:p>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境影</w:t>
            </w:r>
          </w:p>
          <w:p>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响和</w:t>
            </w:r>
          </w:p>
          <w:p>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保护</w:t>
            </w:r>
          </w:p>
          <w:p>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措施</w:t>
            </w:r>
          </w:p>
        </w:tc>
        <w:tc>
          <w:tcPr>
            <w:tcW w:w="8629"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42" w:firstLineChars="200"/>
              <w:jc w:val="both"/>
              <w:textAlignment w:val="auto"/>
              <w:rPr>
                <w:rFonts w:hint="eastAsia" w:ascii="宋体" w:hAnsi="宋体" w:eastAsia="宋体" w:cs="宋体"/>
                <w:b/>
                <w:bCs w:val="0"/>
                <w:spacing w:val="-10"/>
                <w:sz w:val="24"/>
                <w:szCs w:val="24"/>
                <w:lang w:val="en-US" w:eastAsia="zh-CN"/>
              </w:rPr>
            </w:pPr>
            <w:r>
              <w:rPr>
                <w:rFonts w:hint="eastAsia" w:ascii="宋体" w:hAnsi="宋体" w:eastAsia="宋体" w:cs="宋体"/>
                <w:b/>
                <w:bCs w:val="0"/>
                <w:spacing w:val="-10"/>
                <w:kern w:val="2"/>
                <w:sz w:val="24"/>
                <w:szCs w:val="24"/>
                <w:lang w:val="en-US" w:eastAsia="zh-CN" w:bidi="ar-SA"/>
              </w:rPr>
              <w:t>一、</w:t>
            </w:r>
            <w:r>
              <w:rPr>
                <w:rFonts w:hint="eastAsia" w:ascii="宋体" w:hAnsi="宋体" w:eastAsia="宋体" w:cs="宋体"/>
                <w:b/>
                <w:bCs w:val="0"/>
                <w:spacing w:val="-10"/>
                <w:sz w:val="24"/>
                <w:szCs w:val="24"/>
                <w:lang w:val="en-US" w:eastAsia="zh-CN"/>
              </w:rPr>
              <w:t>大气污染物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2" w:firstLineChars="200"/>
              <w:jc w:val="both"/>
              <w:textAlignment w:val="auto"/>
              <w:rPr>
                <w:rFonts w:hint="eastAsia" w:ascii="宋体" w:hAnsi="宋体" w:eastAsia="宋体" w:cs="宋体"/>
                <w:b/>
                <w:bCs/>
                <w:kern w:val="2"/>
                <w:sz w:val="24"/>
                <w:szCs w:val="32"/>
                <w:lang w:val="en-US" w:eastAsia="zh-CN" w:bidi="ar-SA"/>
              </w:rPr>
            </w:pPr>
            <w:r>
              <w:rPr>
                <w:rFonts w:hint="eastAsia" w:ascii="宋体" w:hAnsi="宋体" w:eastAsia="宋体" w:cs="宋体"/>
                <w:b/>
                <w:bCs/>
                <w:kern w:val="2"/>
                <w:sz w:val="24"/>
                <w:szCs w:val="32"/>
                <w:lang w:val="en-US" w:eastAsia="zh-CN" w:bidi="ar-SA"/>
              </w:rPr>
              <w:t>1、废气污染源分析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eastAsia" w:ascii="宋体" w:hAnsi="宋体" w:eastAsia="宋体" w:cs="宋体"/>
                <w:b w:val="0"/>
                <w:bCs w:val="0"/>
                <w:kern w:val="2"/>
                <w:sz w:val="24"/>
                <w:szCs w:val="32"/>
                <w:lang w:val="en-US" w:eastAsia="zh-CN" w:bidi="ar-SA"/>
              </w:rPr>
            </w:pPr>
            <w:r>
              <w:rPr>
                <w:rFonts w:hint="eastAsia" w:ascii="宋体" w:hAnsi="宋体" w:eastAsia="宋体" w:cs="宋体"/>
                <w:b w:val="0"/>
                <w:bCs w:val="0"/>
                <w:kern w:val="2"/>
                <w:sz w:val="24"/>
                <w:szCs w:val="32"/>
                <w:lang w:val="en-US" w:eastAsia="zh-CN" w:bidi="ar-SA"/>
              </w:rPr>
              <w:t>本项目生产过程中产生的废气主要为锅炉燃烧废气。</w:t>
            </w:r>
          </w:p>
          <w:p>
            <w:pPr>
              <w:keepNext w:val="0"/>
              <w:keepLines w:val="0"/>
              <w:pageBreakBefore w:val="0"/>
              <w:widowControl w:val="0"/>
              <w:tabs>
                <w:tab w:val="left" w:pos="2850"/>
              </w:tabs>
              <w:kinsoku/>
              <w:wordWrap/>
              <w:overflowPunct/>
              <w:topLinePunct w:val="0"/>
              <w:autoSpaceDE/>
              <w:autoSpaceDN/>
              <w:bidi w:val="0"/>
              <w:spacing w:line="520" w:lineRule="exact"/>
              <w:ind w:firstLine="480" w:firstLineChars="200"/>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b w:val="0"/>
                <w:sz w:val="24"/>
                <w:lang w:val="en-US" w:eastAsia="zh-CN"/>
              </w:rPr>
              <w:t>本项目运行期间以生物质为燃料，燃料年用量约为540t/a。项目共</w:t>
            </w:r>
            <w:r>
              <w:rPr>
                <w:rFonts w:hint="eastAsia" w:ascii="宋体" w:hAnsi="宋体" w:cs="宋体"/>
                <w:b w:val="0"/>
                <w:sz w:val="24"/>
                <w:lang w:val="en-US" w:eastAsia="zh-CN"/>
              </w:rPr>
              <w:t>1</w:t>
            </w:r>
            <w:r>
              <w:rPr>
                <w:rFonts w:hint="eastAsia" w:ascii="宋体" w:hAnsi="宋体" w:eastAsia="宋体" w:cs="宋体"/>
                <w:b w:val="0"/>
                <w:sz w:val="24"/>
                <w:lang w:val="en-US" w:eastAsia="zh-CN"/>
              </w:rPr>
              <w:t>台移动锅炉，移动锅炉每年使用1200h，产生的废气经30米排气筒排放。</w:t>
            </w:r>
            <w:r>
              <w:rPr>
                <w:rFonts w:hint="eastAsia" w:ascii="宋体" w:hAnsi="宋体" w:eastAsia="宋体" w:cs="宋体"/>
                <w:color w:val="auto"/>
                <w:sz w:val="24"/>
                <w:szCs w:val="24"/>
                <w:highlight w:val="none"/>
                <w:lang w:val="en-US" w:eastAsia="zh-CN"/>
              </w:rPr>
              <w:t>根据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排放源统计调查产排污核算方法和系数手册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4430</w:t>
            </w:r>
            <w:r>
              <w:rPr>
                <w:rFonts w:hint="eastAsia" w:ascii="宋体" w:hAnsi="宋体" w:eastAsia="宋体" w:cs="宋体"/>
                <w:color w:val="auto"/>
                <w:sz w:val="24"/>
                <w:szCs w:val="24"/>
                <w:highlight w:val="none"/>
                <w:lang w:eastAsia="zh-CN"/>
              </w:rPr>
              <w:t>工业锅炉（热力供应）</w:t>
            </w:r>
            <w:r>
              <w:rPr>
                <w:rFonts w:hint="eastAsia" w:ascii="宋体" w:hAnsi="宋体" w:eastAsia="宋体" w:cs="宋体"/>
                <w:color w:val="auto"/>
                <w:sz w:val="24"/>
                <w:szCs w:val="24"/>
                <w:highlight w:val="none"/>
                <w:lang w:val="en-US" w:eastAsia="zh-CN"/>
              </w:rPr>
              <w:t>产排污量核算系数手册进行估算。</w:t>
            </w:r>
          </w:p>
          <w:p>
            <w:pPr>
              <w:keepNext w:val="0"/>
              <w:keepLines w:val="0"/>
              <w:pageBreakBefore w:val="0"/>
              <w:widowControl w:val="0"/>
              <w:tabs>
                <w:tab w:val="left" w:pos="2850"/>
              </w:tabs>
              <w:kinsoku/>
              <w:wordWrap/>
              <w:overflowPunct/>
              <w:topLinePunct w:val="0"/>
              <w:autoSpaceDE/>
              <w:autoSpaceDN/>
              <w:bidi w:val="0"/>
              <w:spacing w:line="520" w:lineRule="exact"/>
              <w:ind w:firstLine="480" w:firstLineChars="200"/>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lang w:val="en-US" w:eastAsia="zh-CN"/>
              </w:rPr>
              <w:t>（1）废气量：</w:t>
            </w:r>
            <w:r>
              <w:rPr>
                <w:rFonts w:hint="eastAsia" w:ascii="宋体" w:hAnsi="宋体" w:eastAsia="宋体" w:cs="宋体"/>
                <w:color w:val="auto"/>
                <w:sz w:val="24"/>
                <w:szCs w:val="24"/>
                <w:highlight w:val="none"/>
                <w:lang w:val="en-US" w:eastAsia="zh-CN"/>
              </w:rPr>
              <w:t>工业废气量产污系数为6240</w:t>
            </w:r>
            <w:r>
              <w:rPr>
                <w:rFonts w:hint="eastAsia" w:ascii="宋体" w:hAnsi="宋体" w:eastAsia="宋体" w:cs="宋体"/>
                <w:color w:val="auto"/>
                <w:sz w:val="24"/>
                <w:szCs w:val="24"/>
                <w:lang w:val="en-US" w:eastAsia="zh-CN"/>
              </w:rPr>
              <w:t>标立方米/吨－</w:t>
            </w:r>
            <w:r>
              <w:rPr>
                <w:rFonts w:hint="eastAsia" w:ascii="宋体" w:hAnsi="宋体" w:eastAsia="宋体" w:cs="宋体"/>
                <w:color w:val="auto"/>
                <w:sz w:val="24"/>
                <w:szCs w:val="24"/>
                <w:highlight w:val="none"/>
                <w:lang w:val="en-US" w:eastAsia="zh-CN"/>
              </w:rPr>
              <w:t>燃料，计算可得废气量为336.96万m</w:t>
            </w:r>
            <w:r>
              <w:rPr>
                <w:rFonts w:hint="eastAsia" w:ascii="宋体" w:hAnsi="宋体" w:eastAsia="宋体" w:cs="宋体"/>
                <w:color w:val="auto"/>
                <w:sz w:val="24"/>
                <w:szCs w:val="24"/>
                <w:highlight w:val="none"/>
                <w:vertAlign w:val="superscript"/>
                <w:lang w:val="en-US" w:eastAsia="zh-CN"/>
              </w:rPr>
              <w:t>3</w:t>
            </w:r>
            <w:bookmarkStart w:id="2" w:name="OLE_LINK5"/>
            <w:r>
              <w:rPr>
                <w:rFonts w:hint="eastAsia" w:ascii="宋体" w:hAnsi="宋体" w:eastAsia="宋体" w:cs="宋体"/>
                <w:color w:val="auto"/>
                <w:sz w:val="24"/>
              </w:rPr>
              <w:t>/</w:t>
            </w:r>
            <w:r>
              <w:rPr>
                <w:rFonts w:hint="eastAsia" w:ascii="宋体" w:hAnsi="宋体" w:eastAsia="宋体" w:cs="宋体"/>
                <w:color w:val="auto"/>
                <w:sz w:val="24"/>
                <w:lang w:val="en-US" w:eastAsia="zh-CN"/>
              </w:rPr>
              <w:t>a</w:t>
            </w:r>
            <w:r>
              <w:rPr>
                <w:rFonts w:hint="eastAsia" w:ascii="宋体" w:hAnsi="宋体" w:eastAsia="宋体" w:cs="宋体"/>
                <w:color w:val="auto"/>
                <w:sz w:val="24"/>
                <w:szCs w:val="24"/>
                <w:highlight w:val="none"/>
                <w:lang w:val="en-US" w:eastAsia="zh-CN"/>
              </w:rPr>
              <w:t>。</w:t>
            </w:r>
            <w:bookmarkEnd w:id="2"/>
          </w:p>
          <w:p>
            <w:pPr>
              <w:keepNext w:val="0"/>
              <w:keepLines w:val="0"/>
              <w:pageBreakBefore w:val="0"/>
              <w:widowControl w:val="0"/>
              <w:tabs>
                <w:tab w:val="left" w:pos="2850"/>
              </w:tabs>
              <w:kinsoku/>
              <w:wordWrap/>
              <w:overflowPunct/>
              <w:topLinePunct w:val="0"/>
              <w:autoSpaceDE/>
              <w:autoSpaceDN/>
              <w:bidi w:val="0"/>
              <w:spacing w:line="520" w:lineRule="exact"/>
              <w:ind w:firstLine="480" w:firstLineChars="200"/>
              <w:textAlignment w:val="auto"/>
              <w:outlineLvl w:val="0"/>
              <w:rPr>
                <w:rFonts w:hint="default" w:ascii="宋体" w:hAnsi="宋体" w:eastAsia="宋体" w:cs="宋体"/>
                <w:color w:val="auto"/>
                <w:sz w:val="24"/>
                <w:lang w:val="en-US"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2</w:t>
            </w:r>
            <w:r>
              <w:rPr>
                <w:rFonts w:hint="eastAsia" w:ascii="宋体" w:hAnsi="宋体" w:eastAsia="宋体" w:cs="宋体"/>
                <w:color w:val="auto"/>
                <w:sz w:val="24"/>
                <w:lang w:eastAsia="zh-CN"/>
              </w:rPr>
              <w:t>）</w:t>
            </w:r>
            <w:r>
              <w:rPr>
                <w:rFonts w:hint="eastAsia" w:ascii="宋体" w:hAnsi="宋体" w:eastAsia="宋体" w:cs="宋体"/>
                <w:color w:val="auto"/>
                <w:sz w:val="24"/>
              </w:rPr>
              <w:t>颗粒物：颗粒物产污系数为</w:t>
            </w:r>
            <w:r>
              <w:rPr>
                <w:rFonts w:hint="eastAsia" w:ascii="宋体" w:hAnsi="宋体" w:eastAsia="宋体" w:cs="宋体"/>
                <w:color w:val="auto"/>
                <w:sz w:val="24"/>
                <w:lang w:val="en-US" w:eastAsia="zh-CN"/>
              </w:rPr>
              <w:t>0.5</w:t>
            </w:r>
            <w:r>
              <w:rPr>
                <w:rFonts w:hint="eastAsia" w:ascii="宋体" w:hAnsi="宋体" w:eastAsia="宋体" w:cs="宋体"/>
                <w:color w:val="auto"/>
                <w:sz w:val="24"/>
              </w:rPr>
              <w:t>kg/t</w:t>
            </w:r>
            <w:r>
              <w:rPr>
                <w:rFonts w:hint="eastAsia" w:ascii="宋体" w:hAnsi="宋体" w:eastAsia="宋体" w:cs="宋体"/>
                <w:color w:val="auto"/>
                <w:sz w:val="24"/>
                <w:lang w:val="en-US" w:eastAsia="zh-CN"/>
              </w:rPr>
              <w:t>-燃料</w:t>
            </w:r>
            <w:r>
              <w:rPr>
                <w:rFonts w:hint="eastAsia" w:ascii="宋体" w:hAnsi="宋体" w:eastAsia="宋体" w:cs="宋体"/>
                <w:color w:val="auto"/>
                <w:sz w:val="24"/>
              </w:rPr>
              <w:t>，</w:t>
            </w:r>
            <w:r>
              <w:rPr>
                <w:rFonts w:hint="eastAsia" w:ascii="宋体" w:hAnsi="宋体" w:cs="宋体"/>
                <w:color w:val="auto"/>
                <w:sz w:val="24"/>
                <w:lang w:eastAsia="zh-CN"/>
              </w:rPr>
              <w:t>颗粒物</w:t>
            </w:r>
            <w:r>
              <w:rPr>
                <w:rFonts w:hint="eastAsia" w:ascii="宋体" w:hAnsi="宋体" w:cs="宋体"/>
                <w:color w:val="auto"/>
                <w:sz w:val="24"/>
                <w:lang w:val="en-US" w:eastAsia="zh-CN"/>
              </w:rPr>
              <w:t>产生量</w:t>
            </w:r>
            <w:r>
              <w:rPr>
                <w:rFonts w:hint="eastAsia" w:ascii="宋体" w:hAnsi="宋体" w:eastAsia="宋体" w:cs="宋体"/>
                <w:color w:val="auto"/>
                <w:sz w:val="24"/>
              </w:rPr>
              <w:t>为</w:t>
            </w:r>
            <w:r>
              <w:rPr>
                <w:rFonts w:hint="eastAsia" w:ascii="宋体" w:hAnsi="宋体" w:eastAsia="宋体" w:cs="宋体"/>
                <w:color w:val="auto"/>
                <w:sz w:val="24"/>
                <w:lang w:val="en-US" w:eastAsia="zh-CN"/>
              </w:rPr>
              <w:t>0.27</w:t>
            </w:r>
            <w:r>
              <w:rPr>
                <w:rFonts w:hint="eastAsia" w:ascii="宋体" w:hAnsi="宋体" w:eastAsia="宋体" w:cs="宋体"/>
                <w:color w:val="auto"/>
                <w:sz w:val="24"/>
              </w:rPr>
              <w:t>t/a</w:t>
            </w:r>
            <w:r>
              <w:rPr>
                <w:rFonts w:hint="eastAsia" w:ascii="宋体" w:hAnsi="宋体" w:eastAsia="宋体" w:cs="宋体"/>
                <w:color w:val="auto"/>
                <w:sz w:val="24"/>
                <w:lang w:eastAsia="zh-CN"/>
              </w:rPr>
              <w:t>，</w:t>
            </w:r>
            <w:r>
              <w:rPr>
                <w:rFonts w:hint="eastAsia" w:ascii="宋体" w:hAnsi="宋体" w:cs="宋体"/>
                <w:color w:val="auto"/>
                <w:sz w:val="24"/>
                <w:lang w:val="en-US" w:eastAsia="zh-CN"/>
              </w:rPr>
              <w:t>产生</w:t>
            </w:r>
            <w:r>
              <w:rPr>
                <w:rFonts w:hint="eastAsia" w:ascii="宋体" w:hAnsi="宋体" w:eastAsia="宋体" w:cs="宋体"/>
                <w:color w:val="auto"/>
                <w:sz w:val="24"/>
                <w:lang w:val="en-US" w:eastAsia="zh-CN"/>
              </w:rPr>
              <w:t>速率为0.225</w:t>
            </w:r>
            <w:r>
              <w:rPr>
                <w:rFonts w:hint="eastAsia" w:ascii="宋体" w:hAnsi="宋体" w:eastAsia="宋体" w:cs="宋体"/>
                <w:color w:val="auto"/>
                <w:sz w:val="24"/>
              </w:rPr>
              <w:t>kg</w:t>
            </w:r>
            <w:r>
              <w:rPr>
                <w:rFonts w:hint="eastAsia" w:ascii="宋体" w:hAnsi="宋体" w:eastAsia="宋体" w:cs="宋体"/>
                <w:color w:val="auto"/>
                <w:sz w:val="24"/>
                <w:lang w:val="en-US" w:eastAsia="zh-CN"/>
              </w:rPr>
              <w:t>/h，</w:t>
            </w:r>
            <w:r>
              <w:rPr>
                <w:rFonts w:hint="eastAsia" w:ascii="宋体" w:hAnsi="宋体" w:cs="宋体"/>
                <w:color w:val="auto"/>
                <w:sz w:val="24"/>
                <w:lang w:val="en-US" w:eastAsia="zh-CN"/>
              </w:rPr>
              <w:t>产生</w:t>
            </w:r>
            <w:r>
              <w:rPr>
                <w:rFonts w:hint="eastAsia" w:ascii="宋体" w:hAnsi="宋体" w:eastAsia="宋体" w:cs="宋体"/>
                <w:color w:val="auto"/>
                <w:sz w:val="24"/>
                <w:lang w:val="en-US" w:eastAsia="zh-CN"/>
              </w:rPr>
              <w:t>浓度为80.128mg/</w:t>
            </w:r>
            <w:r>
              <w:rPr>
                <w:rFonts w:hint="eastAsia" w:ascii="宋体" w:hAnsi="宋体" w:eastAsia="宋体" w:cs="宋体"/>
                <w:color w:val="auto"/>
                <w:sz w:val="24"/>
                <w:szCs w:val="24"/>
                <w:highlight w:val="none"/>
                <w:lang w:val="en-US" w:eastAsia="zh-CN"/>
              </w:rPr>
              <w:t>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lang w:val="en-US" w:eastAsia="zh-CN"/>
              </w:rPr>
              <w:t>移动锅炉配备袋式除尘器，处理效率为80%，废气经处理后排放量为0.054</w:t>
            </w:r>
            <w:r>
              <w:rPr>
                <w:rFonts w:hint="eastAsia" w:ascii="宋体" w:hAnsi="宋体" w:eastAsia="宋体" w:cs="宋体"/>
                <w:color w:val="auto"/>
                <w:sz w:val="24"/>
              </w:rPr>
              <w:t>t/a</w:t>
            </w:r>
            <w:r>
              <w:rPr>
                <w:rFonts w:hint="eastAsia" w:ascii="宋体" w:hAnsi="宋体" w:eastAsia="宋体" w:cs="宋体"/>
                <w:color w:val="auto"/>
                <w:sz w:val="24"/>
                <w:lang w:eastAsia="zh-CN"/>
              </w:rPr>
              <w:t>，</w:t>
            </w:r>
            <w:r>
              <w:rPr>
                <w:rFonts w:hint="eastAsia" w:ascii="宋体" w:hAnsi="宋体" w:cs="宋体"/>
                <w:color w:val="auto"/>
                <w:sz w:val="24"/>
                <w:lang w:val="en-US" w:eastAsia="zh-CN"/>
              </w:rPr>
              <w:t>排放</w:t>
            </w:r>
            <w:r>
              <w:rPr>
                <w:rFonts w:hint="eastAsia" w:ascii="宋体" w:hAnsi="宋体" w:eastAsia="宋体" w:cs="宋体"/>
                <w:color w:val="auto"/>
                <w:sz w:val="24"/>
                <w:lang w:val="en-US" w:eastAsia="zh-CN"/>
              </w:rPr>
              <w:t>速率为0.</w:t>
            </w:r>
            <w:r>
              <w:rPr>
                <w:rFonts w:hint="eastAsia" w:ascii="宋体" w:hAnsi="宋体" w:cs="宋体"/>
                <w:color w:val="auto"/>
                <w:sz w:val="24"/>
                <w:lang w:val="en-US" w:eastAsia="zh-CN"/>
              </w:rPr>
              <w:t>045</w:t>
            </w:r>
            <w:r>
              <w:rPr>
                <w:rFonts w:hint="eastAsia" w:ascii="宋体" w:hAnsi="宋体" w:eastAsia="宋体" w:cs="宋体"/>
                <w:color w:val="auto"/>
                <w:sz w:val="24"/>
              </w:rPr>
              <w:t>kg</w:t>
            </w:r>
            <w:r>
              <w:rPr>
                <w:rFonts w:hint="eastAsia" w:ascii="宋体" w:hAnsi="宋体" w:eastAsia="宋体" w:cs="宋体"/>
                <w:color w:val="auto"/>
                <w:sz w:val="24"/>
                <w:lang w:val="en-US" w:eastAsia="zh-CN"/>
              </w:rPr>
              <w:t>/h，</w:t>
            </w:r>
            <w:r>
              <w:rPr>
                <w:rFonts w:hint="eastAsia" w:ascii="宋体" w:hAnsi="宋体" w:cs="宋体"/>
                <w:color w:val="auto"/>
                <w:sz w:val="24"/>
                <w:lang w:val="en-US" w:eastAsia="zh-CN"/>
              </w:rPr>
              <w:t>排放</w:t>
            </w:r>
            <w:r>
              <w:rPr>
                <w:rFonts w:hint="eastAsia" w:ascii="宋体" w:hAnsi="宋体" w:eastAsia="宋体" w:cs="宋体"/>
                <w:color w:val="auto"/>
                <w:sz w:val="24"/>
                <w:lang w:val="en-US" w:eastAsia="zh-CN"/>
              </w:rPr>
              <w:t>浓度为</w:t>
            </w:r>
            <w:r>
              <w:rPr>
                <w:rFonts w:hint="eastAsia" w:ascii="宋体" w:hAnsi="宋体" w:cs="宋体"/>
                <w:color w:val="auto"/>
                <w:sz w:val="24"/>
                <w:lang w:val="en-US" w:eastAsia="zh-CN"/>
              </w:rPr>
              <w:t>16.026</w:t>
            </w:r>
            <w:r>
              <w:rPr>
                <w:rFonts w:hint="eastAsia" w:ascii="宋体" w:hAnsi="宋体" w:eastAsia="宋体" w:cs="宋体"/>
                <w:color w:val="auto"/>
                <w:sz w:val="24"/>
                <w:lang w:val="en-US" w:eastAsia="zh-CN"/>
              </w:rPr>
              <w:t>mg/</w:t>
            </w:r>
            <w:r>
              <w:rPr>
                <w:rFonts w:hint="eastAsia" w:ascii="宋体" w:hAnsi="宋体" w:eastAsia="宋体" w:cs="宋体"/>
                <w:color w:val="auto"/>
                <w:sz w:val="24"/>
                <w:szCs w:val="24"/>
                <w:highlight w:val="none"/>
                <w:lang w:val="en-US" w:eastAsia="zh-CN"/>
              </w:rPr>
              <w:t>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w:t>
            </w:r>
          </w:p>
          <w:p>
            <w:pPr>
              <w:keepNext w:val="0"/>
              <w:keepLines w:val="0"/>
              <w:pageBreakBefore w:val="0"/>
              <w:widowControl w:val="0"/>
              <w:tabs>
                <w:tab w:val="left" w:pos="2850"/>
              </w:tabs>
              <w:kinsoku/>
              <w:wordWrap/>
              <w:overflowPunct/>
              <w:topLinePunct w:val="0"/>
              <w:autoSpaceDE/>
              <w:autoSpaceDN/>
              <w:bidi w:val="0"/>
              <w:spacing w:line="520" w:lineRule="exact"/>
              <w:ind w:firstLine="480" w:firstLineChars="200"/>
              <w:textAlignment w:val="auto"/>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3</w:t>
            </w:r>
            <w:r>
              <w:rPr>
                <w:rFonts w:hint="eastAsia" w:ascii="宋体" w:hAnsi="宋体" w:eastAsia="宋体" w:cs="宋体"/>
                <w:color w:val="auto"/>
                <w:sz w:val="24"/>
                <w:lang w:eastAsia="zh-CN"/>
              </w:rPr>
              <w:t>）</w:t>
            </w:r>
            <w:r>
              <w:rPr>
                <w:rFonts w:hint="eastAsia" w:ascii="宋体" w:hAnsi="宋体" w:eastAsia="宋体" w:cs="宋体"/>
                <w:color w:val="auto"/>
                <w:sz w:val="24"/>
              </w:rPr>
              <w:t>SO</w:t>
            </w:r>
            <w:r>
              <w:rPr>
                <w:rFonts w:hint="eastAsia" w:ascii="宋体" w:hAnsi="宋体" w:eastAsia="宋体" w:cs="宋体"/>
                <w:color w:val="auto"/>
                <w:sz w:val="24"/>
                <w:vertAlign w:val="subscript"/>
              </w:rPr>
              <w:t>2</w:t>
            </w:r>
            <w:r>
              <w:rPr>
                <w:rFonts w:hint="eastAsia" w:ascii="宋体" w:hAnsi="宋体" w:eastAsia="宋体" w:cs="宋体"/>
                <w:color w:val="auto"/>
                <w:sz w:val="24"/>
              </w:rPr>
              <w:t>量：SO</w:t>
            </w:r>
            <w:r>
              <w:rPr>
                <w:rFonts w:hint="eastAsia" w:ascii="宋体" w:hAnsi="宋体" w:eastAsia="宋体" w:cs="宋体"/>
                <w:color w:val="auto"/>
                <w:sz w:val="24"/>
                <w:vertAlign w:val="subscript"/>
              </w:rPr>
              <w:t>2</w:t>
            </w:r>
            <w:r>
              <w:rPr>
                <w:rFonts w:hint="eastAsia" w:ascii="宋体" w:hAnsi="宋体" w:eastAsia="宋体" w:cs="宋体"/>
                <w:color w:val="auto"/>
                <w:sz w:val="24"/>
              </w:rPr>
              <w:t>产污系数为1</w:t>
            </w:r>
            <w:r>
              <w:rPr>
                <w:rFonts w:hint="eastAsia" w:ascii="宋体" w:hAnsi="宋体" w:eastAsia="宋体" w:cs="宋体"/>
                <w:color w:val="auto"/>
                <w:sz w:val="24"/>
                <w:lang w:val="en-US" w:eastAsia="zh-CN"/>
              </w:rPr>
              <w:t>7</w:t>
            </w:r>
            <w:r>
              <w:rPr>
                <w:rFonts w:hint="eastAsia" w:ascii="宋体" w:hAnsi="宋体" w:eastAsia="宋体" w:cs="宋体"/>
                <w:color w:val="auto"/>
                <w:sz w:val="24"/>
              </w:rPr>
              <w:t>Skg/t</w:t>
            </w:r>
            <w:r>
              <w:rPr>
                <w:rFonts w:hint="eastAsia" w:ascii="宋体" w:hAnsi="宋体" w:eastAsia="宋体" w:cs="宋体"/>
                <w:color w:val="auto"/>
                <w:sz w:val="24"/>
                <w:lang w:val="en-US" w:eastAsia="zh-CN"/>
              </w:rPr>
              <w:t>-燃料</w:t>
            </w:r>
            <w:r>
              <w:rPr>
                <w:rFonts w:hint="eastAsia" w:ascii="宋体" w:hAnsi="宋体" w:eastAsia="宋体" w:cs="宋体"/>
                <w:color w:val="auto"/>
                <w:sz w:val="24"/>
              </w:rPr>
              <w:t>（含硫量为0.</w:t>
            </w:r>
            <w:r>
              <w:rPr>
                <w:rFonts w:hint="eastAsia" w:ascii="宋体" w:hAnsi="宋体" w:eastAsia="宋体" w:cs="宋体"/>
                <w:color w:val="auto"/>
                <w:sz w:val="24"/>
                <w:lang w:val="en-US" w:eastAsia="zh-CN"/>
              </w:rPr>
              <w:t>02</w:t>
            </w:r>
            <w:r>
              <w:rPr>
                <w:rFonts w:hint="eastAsia" w:ascii="宋体" w:hAnsi="宋体" w:eastAsia="宋体" w:cs="宋体"/>
                <w:color w:val="auto"/>
                <w:sz w:val="24"/>
              </w:rPr>
              <w:t>%），经计算SO</w:t>
            </w:r>
            <w:r>
              <w:rPr>
                <w:rFonts w:hint="eastAsia" w:ascii="宋体" w:hAnsi="宋体" w:eastAsia="宋体" w:cs="宋体"/>
                <w:color w:val="auto"/>
                <w:sz w:val="24"/>
                <w:vertAlign w:val="subscript"/>
              </w:rPr>
              <w:t>2</w:t>
            </w:r>
            <w:r>
              <w:rPr>
                <w:rFonts w:hint="eastAsia" w:ascii="宋体" w:hAnsi="宋体" w:eastAsia="宋体" w:cs="宋体"/>
                <w:color w:val="auto"/>
                <w:sz w:val="24"/>
              </w:rPr>
              <w:t>量为</w:t>
            </w:r>
            <w:r>
              <w:rPr>
                <w:rFonts w:hint="eastAsia" w:ascii="宋体" w:hAnsi="宋体" w:eastAsia="宋体" w:cs="宋体"/>
                <w:color w:val="auto"/>
                <w:sz w:val="24"/>
                <w:lang w:val="en-US" w:eastAsia="zh-CN"/>
              </w:rPr>
              <w:t>0.184</w:t>
            </w:r>
            <w:r>
              <w:rPr>
                <w:rFonts w:hint="eastAsia" w:ascii="宋体" w:hAnsi="宋体" w:eastAsia="宋体" w:cs="宋体"/>
                <w:color w:val="auto"/>
                <w:sz w:val="24"/>
              </w:rPr>
              <w:t>t/a</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速率为0.153</w:t>
            </w:r>
            <w:r>
              <w:rPr>
                <w:rFonts w:hint="eastAsia" w:ascii="宋体" w:hAnsi="宋体" w:eastAsia="宋体" w:cs="宋体"/>
                <w:color w:val="auto"/>
                <w:sz w:val="24"/>
              </w:rPr>
              <w:t>kg</w:t>
            </w:r>
            <w:r>
              <w:rPr>
                <w:rFonts w:hint="eastAsia" w:ascii="宋体" w:hAnsi="宋体" w:eastAsia="宋体" w:cs="宋体"/>
                <w:color w:val="auto"/>
                <w:sz w:val="24"/>
                <w:lang w:val="en-US" w:eastAsia="zh-CN"/>
              </w:rPr>
              <w:t>/h，浓度为54.487mg/</w:t>
            </w:r>
            <w:r>
              <w:rPr>
                <w:rFonts w:hint="eastAsia" w:ascii="宋体" w:hAnsi="宋体" w:eastAsia="宋体" w:cs="宋体"/>
                <w:color w:val="auto"/>
                <w:sz w:val="24"/>
                <w:szCs w:val="24"/>
                <w:highlight w:val="none"/>
                <w:lang w:val="en-US" w:eastAsia="zh-CN"/>
              </w:rPr>
              <w:t>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w:t>
            </w:r>
          </w:p>
          <w:p>
            <w:pPr>
              <w:keepNext w:val="0"/>
              <w:keepLines w:val="0"/>
              <w:pageBreakBefore w:val="0"/>
              <w:widowControl w:val="0"/>
              <w:tabs>
                <w:tab w:val="left" w:pos="2850"/>
              </w:tabs>
              <w:kinsoku/>
              <w:wordWrap/>
              <w:overflowPunct/>
              <w:topLinePunct w:val="0"/>
              <w:autoSpaceDE/>
              <w:autoSpaceDN/>
              <w:bidi w:val="0"/>
              <w:spacing w:line="520" w:lineRule="exact"/>
              <w:ind w:firstLine="480" w:firstLineChars="200"/>
              <w:textAlignment w:val="auto"/>
              <w:outlineLvl w:val="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4</w:t>
            </w:r>
            <w:r>
              <w:rPr>
                <w:rFonts w:hint="eastAsia" w:ascii="宋体" w:hAnsi="宋体" w:eastAsia="宋体" w:cs="宋体"/>
                <w:color w:val="auto"/>
                <w:sz w:val="24"/>
                <w:lang w:eastAsia="zh-CN"/>
              </w:rPr>
              <w:t>）</w:t>
            </w:r>
            <w:r>
              <w:rPr>
                <w:rFonts w:hint="eastAsia" w:ascii="宋体" w:hAnsi="宋体" w:eastAsia="宋体" w:cs="宋体"/>
                <w:color w:val="auto"/>
                <w:sz w:val="24"/>
              </w:rPr>
              <w:t>NO</w:t>
            </w:r>
            <w:r>
              <w:rPr>
                <w:rFonts w:hint="eastAsia" w:ascii="宋体" w:hAnsi="宋体" w:eastAsia="宋体" w:cs="宋体"/>
                <w:color w:val="auto"/>
                <w:sz w:val="24"/>
                <w:vertAlign w:val="subscript"/>
              </w:rPr>
              <w:t>X</w:t>
            </w:r>
            <w:r>
              <w:rPr>
                <w:rFonts w:hint="eastAsia" w:ascii="宋体" w:hAnsi="宋体" w:eastAsia="宋体" w:cs="宋体"/>
                <w:color w:val="auto"/>
                <w:sz w:val="24"/>
              </w:rPr>
              <w:t>量：NO</w:t>
            </w:r>
            <w:r>
              <w:rPr>
                <w:rFonts w:hint="eastAsia" w:ascii="宋体" w:hAnsi="宋体" w:eastAsia="宋体" w:cs="宋体"/>
                <w:color w:val="auto"/>
                <w:sz w:val="24"/>
                <w:vertAlign w:val="subscript"/>
              </w:rPr>
              <w:t>X</w:t>
            </w:r>
            <w:r>
              <w:rPr>
                <w:rFonts w:hint="eastAsia" w:ascii="宋体" w:hAnsi="宋体" w:eastAsia="宋体" w:cs="宋体"/>
                <w:color w:val="auto"/>
                <w:sz w:val="24"/>
              </w:rPr>
              <w:t>产污系数为</w:t>
            </w:r>
            <w:r>
              <w:rPr>
                <w:rFonts w:hint="eastAsia" w:ascii="宋体" w:hAnsi="宋体" w:eastAsia="宋体" w:cs="宋体"/>
                <w:color w:val="auto"/>
                <w:sz w:val="24"/>
                <w:lang w:val="en-US" w:eastAsia="zh-CN"/>
              </w:rPr>
              <w:t>1.02</w:t>
            </w:r>
            <w:r>
              <w:rPr>
                <w:rFonts w:hint="eastAsia" w:ascii="宋体" w:hAnsi="宋体" w:eastAsia="宋体" w:cs="宋体"/>
                <w:color w:val="auto"/>
                <w:sz w:val="24"/>
              </w:rPr>
              <w:t>kg/t</w:t>
            </w:r>
            <w:r>
              <w:rPr>
                <w:rFonts w:hint="eastAsia" w:ascii="宋体" w:hAnsi="宋体" w:eastAsia="宋体" w:cs="宋体"/>
                <w:color w:val="auto"/>
                <w:sz w:val="24"/>
                <w:lang w:val="en-US" w:eastAsia="zh-CN"/>
              </w:rPr>
              <w:t>-燃料</w:t>
            </w:r>
            <w:r>
              <w:rPr>
                <w:rFonts w:hint="eastAsia" w:ascii="宋体" w:hAnsi="宋体" w:eastAsia="宋体" w:cs="宋体"/>
                <w:color w:val="auto"/>
                <w:sz w:val="24"/>
              </w:rPr>
              <w:t>，经计算本项目NO</w:t>
            </w:r>
            <w:r>
              <w:rPr>
                <w:rFonts w:hint="eastAsia" w:ascii="宋体" w:hAnsi="宋体" w:eastAsia="宋体" w:cs="宋体"/>
                <w:color w:val="auto"/>
                <w:sz w:val="24"/>
                <w:vertAlign w:val="subscript"/>
              </w:rPr>
              <w:t>X</w:t>
            </w:r>
            <w:r>
              <w:rPr>
                <w:rFonts w:hint="eastAsia" w:ascii="宋体" w:hAnsi="宋体" w:eastAsia="宋体" w:cs="宋体"/>
                <w:color w:val="auto"/>
                <w:sz w:val="24"/>
              </w:rPr>
              <w:t>量为</w:t>
            </w:r>
            <w:r>
              <w:rPr>
                <w:rFonts w:hint="eastAsia" w:ascii="宋体" w:hAnsi="宋体" w:eastAsia="宋体" w:cs="宋体"/>
                <w:color w:val="auto"/>
                <w:sz w:val="24"/>
                <w:lang w:val="en-US" w:eastAsia="zh-CN"/>
              </w:rPr>
              <w:t>0.551</w:t>
            </w:r>
            <w:r>
              <w:rPr>
                <w:rFonts w:hint="eastAsia" w:ascii="宋体" w:hAnsi="宋体" w:eastAsia="宋体" w:cs="宋体"/>
                <w:color w:val="auto"/>
                <w:sz w:val="24"/>
              </w:rPr>
              <w:t>t/a</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速率为0.459</w:t>
            </w:r>
            <w:r>
              <w:rPr>
                <w:rFonts w:hint="eastAsia" w:ascii="宋体" w:hAnsi="宋体" w:eastAsia="宋体" w:cs="宋体"/>
                <w:color w:val="auto"/>
                <w:sz w:val="24"/>
              </w:rPr>
              <w:t>kg</w:t>
            </w:r>
            <w:r>
              <w:rPr>
                <w:rFonts w:hint="eastAsia" w:ascii="宋体" w:hAnsi="宋体" w:eastAsia="宋体" w:cs="宋体"/>
                <w:color w:val="auto"/>
                <w:sz w:val="24"/>
                <w:lang w:val="en-US" w:eastAsia="zh-CN"/>
              </w:rPr>
              <w:t>/h，浓度为163.462mg/</w:t>
            </w:r>
            <w:r>
              <w:rPr>
                <w:rFonts w:hint="eastAsia" w:ascii="宋体" w:hAnsi="宋体" w:eastAsia="宋体" w:cs="宋体"/>
                <w:color w:val="auto"/>
                <w:sz w:val="24"/>
                <w:szCs w:val="24"/>
                <w:highlight w:val="none"/>
                <w:lang w:val="en-US" w:eastAsia="zh-CN"/>
              </w:rPr>
              <w:t>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lang w:val="en-US" w:eastAsia="zh-CN"/>
              </w:rPr>
              <w:t>移动锅炉配备低氮燃烧器，处理效率为30%，废气经处理后排放量为0.386</w:t>
            </w:r>
            <w:r>
              <w:rPr>
                <w:rFonts w:hint="eastAsia" w:ascii="宋体" w:hAnsi="宋体" w:eastAsia="宋体" w:cs="宋体"/>
                <w:color w:val="auto"/>
                <w:sz w:val="24"/>
              </w:rPr>
              <w:t>t/a</w:t>
            </w:r>
            <w:r>
              <w:rPr>
                <w:rFonts w:hint="eastAsia" w:ascii="宋体" w:hAnsi="宋体" w:eastAsia="宋体" w:cs="宋体"/>
                <w:color w:val="auto"/>
                <w:sz w:val="24"/>
                <w:lang w:eastAsia="zh-CN"/>
              </w:rPr>
              <w:t>，</w:t>
            </w:r>
            <w:r>
              <w:rPr>
                <w:rFonts w:hint="eastAsia" w:ascii="宋体" w:hAnsi="宋体" w:cs="宋体"/>
                <w:color w:val="auto"/>
                <w:sz w:val="24"/>
                <w:lang w:val="en-US" w:eastAsia="zh-CN"/>
              </w:rPr>
              <w:t>排放</w:t>
            </w:r>
            <w:r>
              <w:rPr>
                <w:rFonts w:hint="eastAsia" w:ascii="宋体" w:hAnsi="宋体" w:eastAsia="宋体" w:cs="宋体"/>
                <w:color w:val="auto"/>
                <w:sz w:val="24"/>
                <w:lang w:val="en-US" w:eastAsia="zh-CN"/>
              </w:rPr>
              <w:t>速率为0.321</w:t>
            </w:r>
            <w:r>
              <w:rPr>
                <w:rFonts w:hint="eastAsia" w:ascii="宋体" w:hAnsi="宋体" w:eastAsia="宋体" w:cs="宋体"/>
                <w:color w:val="auto"/>
                <w:sz w:val="24"/>
              </w:rPr>
              <w:t>kg</w:t>
            </w:r>
            <w:r>
              <w:rPr>
                <w:rFonts w:hint="eastAsia" w:ascii="宋体" w:hAnsi="宋体" w:eastAsia="宋体" w:cs="宋体"/>
                <w:color w:val="auto"/>
                <w:sz w:val="24"/>
                <w:lang w:val="en-US" w:eastAsia="zh-CN"/>
              </w:rPr>
              <w:t>/h，</w:t>
            </w:r>
            <w:r>
              <w:rPr>
                <w:rFonts w:hint="eastAsia" w:ascii="宋体" w:hAnsi="宋体" w:cs="宋体"/>
                <w:color w:val="auto"/>
                <w:sz w:val="24"/>
                <w:lang w:val="en-US" w:eastAsia="zh-CN"/>
              </w:rPr>
              <w:t>排放</w:t>
            </w:r>
            <w:r>
              <w:rPr>
                <w:rFonts w:hint="eastAsia" w:ascii="宋体" w:hAnsi="宋体" w:eastAsia="宋体" w:cs="宋体"/>
                <w:color w:val="auto"/>
                <w:sz w:val="24"/>
                <w:lang w:val="en-US" w:eastAsia="zh-CN"/>
              </w:rPr>
              <w:t>浓度为</w:t>
            </w:r>
            <w:r>
              <w:rPr>
                <w:rFonts w:hint="eastAsia" w:ascii="宋体" w:hAnsi="宋体" w:cs="宋体"/>
                <w:color w:val="auto"/>
                <w:sz w:val="24"/>
                <w:lang w:val="en-US" w:eastAsia="zh-CN"/>
              </w:rPr>
              <w:t>114.423</w:t>
            </w:r>
            <w:r>
              <w:rPr>
                <w:rFonts w:hint="eastAsia" w:ascii="宋体" w:hAnsi="宋体" w:eastAsia="宋体" w:cs="宋体"/>
                <w:color w:val="auto"/>
                <w:sz w:val="24"/>
                <w:lang w:val="en-US" w:eastAsia="zh-CN"/>
              </w:rPr>
              <w:t>mg/</w:t>
            </w:r>
            <w:r>
              <w:rPr>
                <w:rFonts w:hint="eastAsia" w:ascii="宋体" w:hAnsi="宋体" w:eastAsia="宋体" w:cs="宋体"/>
                <w:color w:val="auto"/>
                <w:sz w:val="24"/>
                <w:szCs w:val="24"/>
                <w:highlight w:val="none"/>
                <w:lang w:val="en-US" w:eastAsia="zh-CN"/>
              </w:rPr>
              <w:t>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w:t>
            </w:r>
          </w:p>
          <w:p>
            <w:pPr>
              <w:keepNext w:val="0"/>
              <w:keepLines w:val="0"/>
              <w:pageBreakBefore w:val="0"/>
              <w:widowControl w:val="0"/>
              <w:tabs>
                <w:tab w:val="left" w:pos="2850"/>
              </w:tabs>
              <w:kinsoku/>
              <w:wordWrap/>
              <w:overflowPunct/>
              <w:topLinePunct w:val="0"/>
              <w:autoSpaceDE/>
              <w:autoSpaceDN/>
              <w:bidi w:val="0"/>
              <w:spacing w:line="520" w:lineRule="exact"/>
              <w:ind w:firstLine="480" w:firstLineChars="200"/>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lang w:val="en-US" w:eastAsia="zh-CN"/>
              </w:rPr>
              <w:t>经核算</w:t>
            </w:r>
            <w:r>
              <w:rPr>
                <w:rFonts w:hint="eastAsia" w:ascii="宋体" w:hAnsi="宋体" w:eastAsia="宋体" w:cs="宋体"/>
                <w:color w:val="auto"/>
                <w:sz w:val="24"/>
                <w:szCs w:val="24"/>
                <w:highlight w:val="none"/>
                <w:lang w:val="en-US" w:eastAsia="zh-CN"/>
              </w:rPr>
              <w:t>本项目产生的废气满足《锅炉大气污染物排放标准》（GB13271-2014）中表2中燃煤锅炉的标准限值，可以达标排放。</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2" w:firstLineChars="200"/>
              <w:jc w:val="both"/>
              <w:textAlignment w:val="auto"/>
              <w:rPr>
                <w:rFonts w:hint="eastAsia" w:ascii="宋体" w:hAnsi="宋体" w:eastAsia="宋体" w:cs="宋体"/>
                <w:b/>
                <w:bCs/>
                <w:kern w:val="2"/>
                <w:sz w:val="24"/>
                <w:szCs w:val="32"/>
                <w:lang w:val="en-US" w:eastAsia="zh-CN" w:bidi="ar-SA"/>
              </w:rPr>
            </w:pPr>
            <w:r>
              <w:rPr>
                <w:rFonts w:hint="eastAsia" w:ascii="宋体" w:hAnsi="宋体" w:eastAsia="宋体" w:cs="宋体"/>
                <w:b/>
                <w:bCs/>
                <w:kern w:val="2"/>
                <w:sz w:val="24"/>
                <w:szCs w:val="32"/>
                <w:lang w:val="en-US" w:eastAsia="zh-CN" w:bidi="ar-SA"/>
              </w:rPr>
              <w:t>2、源强核算汇总表</w:t>
            </w: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表4-1    锅炉废气污染源源强核算结果一览表</w:t>
            </w:r>
          </w:p>
          <w:tbl>
            <w:tblPr>
              <w:tblStyle w:val="21"/>
              <w:tblpPr w:leftFromText="180" w:rightFromText="180" w:vertAnchor="text" w:tblpY="1"/>
              <w:tblOverlap w:val="never"/>
              <w:tblW w:w="49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501"/>
              <w:gridCol w:w="951"/>
              <w:gridCol w:w="1056"/>
              <w:gridCol w:w="951"/>
              <w:gridCol w:w="426"/>
              <w:gridCol w:w="531"/>
              <w:gridCol w:w="531"/>
              <w:gridCol w:w="951"/>
              <w:gridCol w:w="1056"/>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55" w:type="pct"/>
                  <w:vMerge w:val="restart"/>
                  <w:noWrap w:val="0"/>
                  <w:vAlign w:val="center"/>
                </w:tcPr>
                <w:p>
                  <w:pPr>
                    <w:keepLines w:val="0"/>
                    <w:pageBreakBefore w:val="0"/>
                    <w:kinsoku/>
                    <w:topLinePunct w:val="0"/>
                    <w:bidi w:val="0"/>
                    <w:jc w:val="center"/>
                    <w:rPr>
                      <w:rFonts w:hint="eastAsia" w:ascii="宋体" w:hAnsi="宋体" w:eastAsia="宋体" w:cs="宋体"/>
                      <w:color w:val="auto"/>
                      <w:szCs w:val="21"/>
                    </w:rPr>
                  </w:pPr>
                  <w:r>
                    <w:rPr>
                      <w:rFonts w:hint="eastAsia" w:ascii="宋体" w:hAnsi="宋体" w:eastAsia="宋体" w:cs="宋体"/>
                      <w:color w:val="auto"/>
                      <w:szCs w:val="21"/>
                    </w:rPr>
                    <w:t>产排污环节</w:t>
                  </w:r>
                </w:p>
              </w:tc>
              <w:tc>
                <w:tcPr>
                  <w:tcW w:w="376" w:type="pct"/>
                  <w:vMerge w:val="restart"/>
                  <w:noWrap w:val="0"/>
                  <w:vAlign w:val="center"/>
                </w:tcPr>
                <w:p>
                  <w:pPr>
                    <w:keepLines w:val="0"/>
                    <w:pageBreakBefore w:val="0"/>
                    <w:kinsoku/>
                    <w:topLinePunct w:val="0"/>
                    <w:bidi w:val="0"/>
                    <w:jc w:val="center"/>
                    <w:rPr>
                      <w:rFonts w:hint="eastAsia" w:ascii="宋体" w:hAnsi="宋体" w:eastAsia="宋体" w:cs="宋体"/>
                      <w:color w:val="auto"/>
                      <w:szCs w:val="21"/>
                    </w:rPr>
                  </w:pPr>
                  <w:r>
                    <w:rPr>
                      <w:rFonts w:hint="eastAsia" w:ascii="宋体" w:hAnsi="宋体" w:eastAsia="宋体" w:cs="宋体"/>
                      <w:color w:val="auto"/>
                      <w:szCs w:val="21"/>
                    </w:rPr>
                    <w:t>污染物种类</w:t>
                  </w:r>
                </w:p>
              </w:tc>
              <w:tc>
                <w:tcPr>
                  <w:tcW w:w="613" w:type="pct"/>
                  <w:vMerge w:val="restart"/>
                  <w:noWrap w:val="0"/>
                  <w:vAlign w:val="center"/>
                </w:tcPr>
                <w:p>
                  <w:pPr>
                    <w:keepLines w:val="0"/>
                    <w:pageBreakBefore w:val="0"/>
                    <w:kinsoku/>
                    <w:topLinePunct w:val="0"/>
                    <w:bidi w:val="0"/>
                    <w:jc w:val="center"/>
                    <w:rPr>
                      <w:rFonts w:hint="eastAsia" w:ascii="宋体" w:hAnsi="宋体" w:eastAsia="宋体" w:cs="宋体"/>
                      <w:color w:val="auto"/>
                      <w:szCs w:val="21"/>
                    </w:rPr>
                  </w:pPr>
                  <w:r>
                    <w:rPr>
                      <w:rFonts w:hint="eastAsia" w:ascii="宋体" w:hAnsi="宋体" w:eastAsia="宋体" w:cs="宋体"/>
                      <w:color w:val="auto"/>
                      <w:szCs w:val="21"/>
                    </w:rPr>
                    <w:t>污染物产生量</w:t>
                  </w:r>
                  <w:r>
                    <w:rPr>
                      <w:rFonts w:hint="eastAsia" w:ascii="宋体" w:hAnsi="宋体" w:eastAsia="宋体" w:cs="宋体"/>
                      <w:color w:val="auto"/>
                      <w:szCs w:val="21"/>
                      <w:lang w:eastAsia="zh-CN"/>
                    </w:rPr>
                    <w:t>（</w:t>
                  </w:r>
                  <w:r>
                    <w:rPr>
                      <w:rFonts w:hint="eastAsia" w:ascii="宋体" w:hAnsi="宋体" w:eastAsia="宋体" w:cs="宋体"/>
                      <w:color w:val="auto"/>
                      <w:szCs w:val="21"/>
                    </w:rPr>
                    <w:t>t/a</w:t>
                  </w:r>
                  <w:r>
                    <w:rPr>
                      <w:rFonts w:hint="eastAsia" w:ascii="宋体" w:hAnsi="宋体" w:eastAsia="宋体" w:cs="宋体"/>
                      <w:color w:val="auto"/>
                      <w:szCs w:val="21"/>
                      <w:lang w:eastAsia="zh-CN"/>
                    </w:rPr>
                    <w:t>）</w:t>
                  </w:r>
                </w:p>
              </w:tc>
              <w:tc>
                <w:tcPr>
                  <w:tcW w:w="484" w:type="pct"/>
                  <w:vMerge w:val="restart"/>
                  <w:noWrap w:val="0"/>
                  <w:vAlign w:val="center"/>
                </w:tcPr>
                <w:p>
                  <w:pPr>
                    <w:keepLines w:val="0"/>
                    <w:pageBreakBefore w:val="0"/>
                    <w:kinsoku/>
                    <w:topLinePunct w:val="0"/>
                    <w:bidi w:val="0"/>
                    <w:jc w:val="center"/>
                    <w:rPr>
                      <w:rFonts w:hint="eastAsia" w:ascii="宋体" w:hAnsi="宋体" w:eastAsia="宋体" w:cs="宋体"/>
                      <w:color w:val="auto"/>
                      <w:szCs w:val="21"/>
                    </w:rPr>
                  </w:pPr>
                  <w:r>
                    <w:rPr>
                      <w:rFonts w:hint="eastAsia" w:ascii="宋体" w:hAnsi="宋体" w:eastAsia="宋体" w:cs="宋体"/>
                      <w:color w:val="auto"/>
                      <w:szCs w:val="21"/>
                    </w:rPr>
                    <w:t>污染物产生速率</w:t>
                  </w:r>
                  <w:r>
                    <w:rPr>
                      <w:rFonts w:hint="eastAsia" w:ascii="宋体" w:hAnsi="宋体" w:eastAsia="宋体" w:cs="宋体"/>
                      <w:color w:val="auto"/>
                      <w:szCs w:val="21"/>
                      <w:lang w:eastAsia="zh-CN"/>
                    </w:rPr>
                    <w:t>（</w:t>
                  </w:r>
                  <w:r>
                    <w:rPr>
                      <w:rFonts w:hint="eastAsia" w:ascii="宋体" w:hAnsi="宋体" w:eastAsia="宋体" w:cs="宋体"/>
                      <w:color w:val="auto"/>
                      <w:szCs w:val="21"/>
                    </w:rPr>
                    <w:t>kg/h</w:t>
                  </w:r>
                  <w:r>
                    <w:rPr>
                      <w:rFonts w:hint="eastAsia" w:ascii="宋体" w:hAnsi="宋体" w:eastAsia="宋体" w:cs="宋体"/>
                      <w:color w:val="auto"/>
                      <w:szCs w:val="21"/>
                      <w:lang w:eastAsia="zh-CN"/>
                    </w:rPr>
                    <w:t>）</w:t>
                  </w:r>
                </w:p>
              </w:tc>
              <w:tc>
                <w:tcPr>
                  <w:tcW w:w="558" w:type="pct"/>
                  <w:vMerge w:val="restart"/>
                  <w:noWrap w:val="0"/>
                  <w:vAlign w:val="center"/>
                </w:tcPr>
                <w:p>
                  <w:pPr>
                    <w:keepLines w:val="0"/>
                    <w:pageBreakBefore w:val="0"/>
                    <w:kinsoku/>
                    <w:topLinePunct w:val="0"/>
                    <w:bidi w:val="0"/>
                    <w:jc w:val="center"/>
                    <w:rPr>
                      <w:rFonts w:hint="eastAsia" w:ascii="宋体" w:hAnsi="宋体" w:eastAsia="宋体" w:cs="宋体"/>
                      <w:color w:val="auto"/>
                      <w:szCs w:val="21"/>
                    </w:rPr>
                  </w:pPr>
                  <w:r>
                    <w:rPr>
                      <w:rFonts w:hint="eastAsia" w:ascii="宋体" w:hAnsi="宋体" w:eastAsia="宋体" w:cs="宋体"/>
                      <w:color w:val="auto"/>
                      <w:szCs w:val="21"/>
                    </w:rPr>
                    <w:t>污染物产生浓度</w:t>
                  </w:r>
                </w:p>
                <w:p>
                  <w:pPr>
                    <w:keepLines w:val="0"/>
                    <w:pageBreakBefore w:val="0"/>
                    <w:kinsoku/>
                    <w:topLinePunct w:val="0"/>
                    <w:bidi w:val="0"/>
                    <w:ind w:firstLine="0" w:firstLineChars="0"/>
                    <w:jc w:val="center"/>
                    <w:rPr>
                      <w:rFonts w:hint="eastAsia" w:ascii="宋体" w:hAnsi="宋体" w:eastAsia="宋体" w:cs="宋体"/>
                      <w:color w:val="auto"/>
                      <w:szCs w:val="21"/>
                    </w:rPr>
                  </w:pPr>
                  <w:r>
                    <w:rPr>
                      <w:rFonts w:hint="eastAsia" w:ascii="宋体" w:hAnsi="宋体" w:eastAsia="宋体" w:cs="宋体"/>
                      <w:color w:val="auto"/>
                      <w:szCs w:val="21"/>
                    </w:rPr>
                    <w:t>(mg/m</w:t>
                  </w:r>
                  <w:r>
                    <w:rPr>
                      <w:rFonts w:hint="eastAsia" w:ascii="宋体" w:hAnsi="宋体" w:eastAsia="宋体" w:cs="宋体"/>
                      <w:color w:val="auto"/>
                      <w:szCs w:val="21"/>
                      <w:vertAlign w:val="superscript"/>
                    </w:rPr>
                    <w:t>3</w:t>
                  </w:r>
                  <w:r>
                    <w:rPr>
                      <w:rFonts w:hint="eastAsia" w:ascii="宋体" w:hAnsi="宋体" w:eastAsia="宋体" w:cs="宋体"/>
                      <w:color w:val="auto"/>
                      <w:szCs w:val="21"/>
                    </w:rPr>
                    <w:t>)</w:t>
                  </w:r>
                </w:p>
              </w:tc>
              <w:tc>
                <w:tcPr>
                  <w:tcW w:w="1068" w:type="pct"/>
                  <w:gridSpan w:val="3"/>
                  <w:noWrap w:val="0"/>
                  <w:vAlign w:val="center"/>
                </w:tcPr>
                <w:p>
                  <w:pPr>
                    <w:keepLines w:val="0"/>
                    <w:pageBreakBefore w:val="0"/>
                    <w:kinsoku/>
                    <w:topLinePunct w:val="0"/>
                    <w:bidi w:val="0"/>
                    <w:jc w:val="center"/>
                    <w:rPr>
                      <w:rFonts w:hint="eastAsia" w:ascii="宋体" w:hAnsi="宋体" w:eastAsia="宋体" w:cs="宋体"/>
                      <w:color w:val="auto"/>
                      <w:szCs w:val="21"/>
                    </w:rPr>
                  </w:pPr>
                  <w:r>
                    <w:rPr>
                      <w:rFonts w:hint="eastAsia" w:ascii="宋体" w:hAnsi="宋体" w:eastAsia="宋体" w:cs="宋体"/>
                      <w:color w:val="auto"/>
                      <w:szCs w:val="21"/>
                    </w:rPr>
                    <w:t>污染治理设施</w:t>
                  </w:r>
                </w:p>
              </w:tc>
              <w:tc>
                <w:tcPr>
                  <w:tcW w:w="551" w:type="pct"/>
                  <w:vMerge w:val="restart"/>
                  <w:noWrap w:val="0"/>
                  <w:vAlign w:val="center"/>
                </w:tcPr>
                <w:p>
                  <w:pPr>
                    <w:keepLines w:val="0"/>
                    <w:pageBreakBefore w:val="0"/>
                    <w:kinsoku/>
                    <w:topLinePunct w:val="0"/>
                    <w:bidi w:val="0"/>
                    <w:jc w:val="center"/>
                    <w:rPr>
                      <w:rFonts w:hint="eastAsia" w:ascii="宋体" w:hAnsi="宋体" w:eastAsia="宋体" w:cs="宋体"/>
                      <w:color w:val="auto"/>
                      <w:szCs w:val="21"/>
                    </w:rPr>
                  </w:pPr>
                  <w:r>
                    <w:rPr>
                      <w:rFonts w:hint="eastAsia" w:ascii="宋体" w:hAnsi="宋体" w:eastAsia="宋体" w:cs="宋体"/>
                      <w:color w:val="auto"/>
                      <w:szCs w:val="21"/>
                    </w:rPr>
                    <w:t>污染物排放量（t/a）</w:t>
                  </w:r>
                </w:p>
              </w:tc>
              <w:tc>
                <w:tcPr>
                  <w:tcW w:w="531" w:type="pct"/>
                  <w:vMerge w:val="restart"/>
                  <w:noWrap w:val="0"/>
                  <w:vAlign w:val="center"/>
                </w:tcPr>
                <w:p>
                  <w:pPr>
                    <w:keepLines w:val="0"/>
                    <w:pageBreakBefore w:val="0"/>
                    <w:kinsoku/>
                    <w:topLinePunct w:val="0"/>
                    <w:bidi w:val="0"/>
                    <w:jc w:val="center"/>
                    <w:rPr>
                      <w:rFonts w:hint="eastAsia" w:ascii="宋体" w:hAnsi="宋体" w:eastAsia="宋体" w:cs="宋体"/>
                      <w:color w:val="auto"/>
                      <w:szCs w:val="21"/>
                    </w:rPr>
                  </w:pPr>
                  <w:r>
                    <w:rPr>
                      <w:rFonts w:hint="eastAsia" w:ascii="宋体" w:hAnsi="宋体" w:eastAsia="宋体" w:cs="宋体"/>
                      <w:color w:val="auto"/>
                      <w:szCs w:val="21"/>
                    </w:rPr>
                    <w:t>污染物排放速率（kg/h</w:t>
                  </w:r>
                  <w:r>
                    <w:rPr>
                      <w:rFonts w:hint="eastAsia" w:ascii="宋体" w:hAnsi="宋体" w:eastAsia="宋体" w:cs="宋体"/>
                      <w:color w:val="auto"/>
                      <w:szCs w:val="21"/>
                      <w:lang w:eastAsia="zh-CN"/>
                    </w:rPr>
                    <w:t>）</w:t>
                  </w:r>
                </w:p>
              </w:tc>
              <w:tc>
                <w:tcPr>
                  <w:tcW w:w="560" w:type="pct"/>
                  <w:vMerge w:val="restart"/>
                  <w:noWrap w:val="0"/>
                  <w:vAlign w:val="center"/>
                </w:tcPr>
                <w:p>
                  <w:pPr>
                    <w:keepLines w:val="0"/>
                    <w:pageBreakBefore w:val="0"/>
                    <w:kinsoku/>
                    <w:topLinePunct w:val="0"/>
                    <w:bidi w:val="0"/>
                    <w:jc w:val="center"/>
                    <w:rPr>
                      <w:rFonts w:hint="eastAsia" w:ascii="宋体" w:hAnsi="宋体" w:eastAsia="宋体" w:cs="宋体"/>
                      <w:color w:val="auto"/>
                      <w:szCs w:val="21"/>
                    </w:rPr>
                  </w:pPr>
                  <w:r>
                    <w:rPr>
                      <w:rFonts w:hint="eastAsia" w:ascii="宋体" w:hAnsi="宋体" w:eastAsia="宋体" w:cs="宋体"/>
                      <w:color w:val="auto"/>
                      <w:szCs w:val="21"/>
                    </w:rPr>
                    <w:t>污染物排放浓度</w:t>
                  </w:r>
                </w:p>
                <w:p>
                  <w:pPr>
                    <w:keepLines w:val="0"/>
                    <w:pageBreakBefore w:val="0"/>
                    <w:kinsoku/>
                    <w:topLinePunct w:val="0"/>
                    <w:bidi w:val="0"/>
                    <w:jc w:val="center"/>
                    <w:rPr>
                      <w:rFonts w:hint="eastAsia" w:ascii="宋体" w:hAnsi="宋体" w:eastAsia="宋体" w:cs="宋体"/>
                      <w:color w:val="auto"/>
                      <w:szCs w:val="21"/>
                    </w:rPr>
                  </w:pPr>
                  <w:r>
                    <w:rPr>
                      <w:rFonts w:hint="eastAsia" w:ascii="宋体" w:hAnsi="宋体" w:eastAsia="宋体" w:cs="宋体"/>
                      <w:color w:val="auto"/>
                      <w:szCs w:val="21"/>
                    </w:rPr>
                    <w:t>(mg/m</w:t>
                  </w:r>
                  <w:r>
                    <w:rPr>
                      <w:rFonts w:hint="eastAsia" w:ascii="宋体" w:hAnsi="宋体" w:eastAsia="宋体" w:cs="宋体"/>
                      <w:color w:val="auto"/>
                      <w:szCs w:val="21"/>
                      <w:vertAlign w:val="superscript"/>
                    </w:rPr>
                    <w:t>3</w:t>
                  </w:r>
                  <w:r>
                    <w:rPr>
                      <w:rFonts w:hint="eastAsia" w:ascii="宋体" w:hAnsi="宋体" w:eastAsia="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55" w:type="pct"/>
                  <w:vMerge w:val="continue"/>
                  <w:noWrap w:val="0"/>
                  <w:vAlign w:val="center"/>
                </w:tcPr>
                <w:p>
                  <w:pPr>
                    <w:keepLines w:val="0"/>
                    <w:pageBreakBefore w:val="0"/>
                    <w:kinsoku/>
                    <w:topLinePunct w:val="0"/>
                    <w:bidi w:val="0"/>
                    <w:jc w:val="center"/>
                    <w:rPr>
                      <w:rFonts w:hint="eastAsia" w:ascii="宋体" w:hAnsi="宋体" w:eastAsia="宋体" w:cs="宋体"/>
                      <w:szCs w:val="21"/>
                    </w:rPr>
                  </w:pPr>
                </w:p>
              </w:tc>
              <w:tc>
                <w:tcPr>
                  <w:tcW w:w="376" w:type="pct"/>
                  <w:vMerge w:val="continue"/>
                  <w:noWrap w:val="0"/>
                  <w:vAlign w:val="center"/>
                </w:tcPr>
                <w:p>
                  <w:pPr>
                    <w:keepLines w:val="0"/>
                    <w:pageBreakBefore w:val="0"/>
                    <w:kinsoku/>
                    <w:topLinePunct w:val="0"/>
                    <w:bidi w:val="0"/>
                    <w:jc w:val="center"/>
                    <w:rPr>
                      <w:rFonts w:hint="eastAsia" w:ascii="宋体" w:hAnsi="宋体" w:eastAsia="宋体" w:cs="宋体"/>
                      <w:szCs w:val="21"/>
                    </w:rPr>
                  </w:pPr>
                </w:p>
              </w:tc>
              <w:tc>
                <w:tcPr>
                  <w:tcW w:w="613" w:type="pct"/>
                  <w:vMerge w:val="continue"/>
                  <w:noWrap w:val="0"/>
                  <w:vAlign w:val="center"/>
                </w:tcPr>
                <w:p>
                  <w:pPr>
                    <w:keepLines w:val="0"/>
                    <w:pageBreakBefore w:val="0"/>
                    <w:kinsoku/>
                    <w:topLinePunct w:val="0"/>
                    <w:bidi w:val="0"/>
                    <w:jc w:val="center"/>
                    <w:rPr>
                      <w:rFonts w:hint="eastAsia" w:ascii="宋体" w:hAnsi="宋体" w:eastAsia="宋体" w:cs="宋体"/>
                      <w:szCs w:val="21"/>
                    </w:rPr>
                  </w:pPr>
                </w:p>
              </w:tc>
              <w:tc>
                <w:tcPr>
                  <w:tcW w:w="484" w:type="pct"/>
                  <w:vMerge w:val="continue"/>
                  <w:noWrap w:val="0"/>
                  <w:vAlign w:val="center"/>
                </w:tcPr>
                <w:p>
                  <w:pPr>
                    <w:keepLines w:val="0"/>
                    <w:pageBreakBefore w:val="0"/>
                    <w:kinsoku/>
                    <w:topLinePunct w:val="0"/>
                    <w:bidi w:val="0"/>
                    <w:jc w:val="center"/>
                    <w:rPr>
                      <w:rFonts w:hint="eastAsia" w:ascii="宋体" w:hAnsi="宋体" w:eastAsia="宋体" w:cs="宋体"/>
                      <w:szCs w:val="21"/>
                    </w:rPr>
                  </w:pPr>
                </w:p>
              </w:tc>
              <w:tc>
                <w:tcPr>
                  <w:tcW w:w="558" w:type="pct"/>
                  <w:vMerge w:val="continue"/>
                  <w:noWrap w:val="0"/>
                  <w:vAlign w:val="center"/>
                </w:tcPr>
                <w:p>
                  <w:pPr>
                    <w:keepLines w:val="0"/>
                    <w:pageBreakBefore w:val="0"/>
                    <w:kinsoku/>
                    <w:topLinePunct w:val="0"/>
                    <w:bidi w:val="0"/>
                    <w:jc w:val="center"/>
                    <w:rPr>
                      <w:rFonts w:hint="eastAsia" w:ascii="宋体" w:hAnsi="宋体" w:eastAsia="宋体" w:cs="宋体"/>
                      <w:szCs w:val="21"/>
                    </w:rPr>
                  </w:pPr>
                </w:p>
              </w:tc>
              <w:tc>
                <w:tcPr>
                  <w:tcW w:w="266" w:type="pct"/>
                  <w:noWrap w:val="0"/>
                  <w:vAlign w:val="center"/>
                </w:tcPr>
                <w:p>
                  <w:pPr>
                    <w:keepLines w:val="0"/>
                    <w:pageBreakBefore w:val="0"/>
                    <w:kinsoku/>
                    <w:topLinePunct w:val="0"/>
                    <w:bidi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lang w:val="en-US" w:eastAsia="zh-CN"/>
                    </w:rPr>
                    <w:t>治理措施</w:t>
                  </w:r>
                </w:p>
              </w:tc>
              <w:tc>
                <w:tcPr>
                  <w:tcW w:w="366" w:type="pct"/>
                  <w:noWrap w:val="0"/>
                  <w:vAlign w:val="center"/>
                </w:tcPr>
                <w:p>
                  <w:pPr>
                    <w:keepLines w:val="0"/>
                    <w:pageBreakBefore w:val="0"/>
                    <w:kinsoku/>
                    <w:topLinePunct w:val="0"/>
                    <w:bidi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收集效率%</w:t>
                  </w:r>
                </w:p>
              </w:tc>
              <w:tc>
                <w:tcPr>
                  <w:tcW w:w="435" w:type="pct"/>
                  <w:noWrap w:val="0"/>
                  <w:vAlign w:val="center"/>
                </w:tcPr>
                <w:p>
                  <w:pPr>
                    <w:keepLines w:val="0"/>
                    <w:pageBreakBefore w:val="0"/>
                    <w:kinsoku/>
                    <w:topLinePunct w:val="0"/>
                    <w:bidi w:val="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治理</w:t>
                  </w:r>
                  <w:r>
                    <w:rPr>
                      <w:rFonts w:hint="eastAsia" w:ascii="宋体" w:hAnsi="宋体" w:eastAsia="宋体" w:cs="宋体"/>
                      <w:color w:val="auto"/>
                      <w:szCs w:val="21"/>
                    </w:rPr>
                    <w:t>效率%</w:t>
                  </w:r>
                </w:p>
              </w:tc>
              <w:tc>
                <w:tcPr>
                  <w:tcW w:w="551" w:type="pct"/>
                  <w:vMerge w:val="continue"/>
                  <w:noWrap w:val="0"/>
                  <w:vAlign w:val="center"/>
                </w:tcPr>
                <w:p>
                  <w:pPr>
                    <w:keepLines w:val="0"/>
                    <w:pageBreakBefore w:val="0"/>
                    <w:kinsoku/>
                    <w:topLinePunct w:val="0"/>
                    <w:bidi w:val="0"/>
                    <w:jc w:val="center"/>
                    <w:rPr>
                      <w:rFonts w:hint="eastAsia" w:ascii="宋体" w:hAnsi="宋体" w:eastAsia="宋体" w:cs="宋体"/>
                      <w:color w:val="auto"/>
                      <w:szCs w:val="21"/>
                    </w:rPr>
                  </w:pPr>
                </w:p>
              </w:tc>
              <w:tc>
                <w:tcPr>
                  <w:tcW w:w="531" w:type="pct"/>
                  <w:vMerge w:val="continue"/>
                  <w:noWrap w:val="0"/>
                  <w:vAlign w:val="center"/>
                </w:tcPr>
                <w:p>
                  <w:pPr>
                    <w:keepLines w:val="0"/>
                    <w:pageBreakBefore w:val="0"/>
                    <w:kinsoku/>
                    <w:topLinePunct w:val="0"/>
                    <w:bidi w:val="0"/>
                    <w:jc w:val="center"/>
                    <w:rPr>
                      <w:rFonts w:hint="eastAsia" w:ascii="宋体" w:hAnsi="宋体" w:eastAsia="宋体" w:cs="宋体"/>
                      <w:color w:val="auto"/>
                      <w:szCs w:val="21"/>
                    </w:rPr>
                  </w:pPr>
                </w:p>
              </w:tc>
              <w:tc>
                <w:tcPr>
                  <w:tcW w:w="560" w:type="pct"/>
                  <w:vMerge w:val="continue"/>
                  <w:noWrap w:val="0"/>
                  <w:vAlign w:val="center"/>
                </w:tcPr>
                <w:p>
                  <w:pPr>
                    <w:keepLines w:val="0"/>
                    <w:pageBreakBefore w:val="0"/>
                    <w:kinsoku/>
                    <w:topLinePunct w:val="0"/>
                    <w:bidi w:val="0"/>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255" w:type="pct"/>
                  <w:vMerge w:val="restart"/>
                  <w:noWrap w:val="0"/>
                  <w:vAlign w:val="center"/>
                </w:tcPr>
                <w:p>
                  <w:pPr>
                    <w:keepLines w:val="0"/>
                    <w:pageBreakBefore w:val="0"/>
                    <w:kinsoku/>
                    <w:topLinePunct w:val="0"/>
                    <w:bidi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锅炉燃烧</w:t>
                  </w:r>
                </w:p>
              </w:tc>
              <w:tc>
                <w:tcPr>
                  <w:tcW w:w="376" w:type="pct"/>
                  <w:noWrap w:val="0"/>
                  <w:vAlign w:val="center"/>
                </w:tcPr>
                <w:p>
                  <w:pPr>
                    <w:keepNext w:val="0"/>
                    <w:keepLines w:val="0"/>
                    <w:widowControl/>
                    <w:suppressLineNumbers w:val="0"/>
                    <w:jc w:val="center"/>
                    <w:textAlignment w:val="center"/>
                    <w:rPr>
                      <w:rFonts w:hint="eastAsia" w:ascii="宋体" w:hAnsi="宋体" w:eastAsia="宋体" w:cs="宋体"/>
                      <w:szCs w:val="21"/>
                      <w:lang w:val="en-US" w:eastAsia="zh-CN"/>
                    </w:rPr>
                  </w:pPr>
                  <w:r>
                    <w:rPr>
                      <w:rFonts w:hint="eastAsia" w:ascii="宋体" w:hAnsi="宋体" w:eastAsia="宋体" w:cs="宋体"/>
                      <w:i w:val="0"/>
                      <w:iCs w:val="0"/>
                      <w:color w:val="000000"/>
                      <w:kern w:val="0"/>
                      <w:sz w:val="21"/>
                      <w:szCs w:val="21"/>
                      <w:u w:val="none"/>
                      <w:lang w:val="en-US" w:eastAsia="zh-CN" w:bidi="ar"/>
                    </w:rPr>
                    <w:t>二氧化硫</w:t>
                  </w:r>
                </w:p>
              </w:tc>
              <w:tc>
                <w:tcPr>
                  <w:tcW w:w="613" w:type="pct"/>
                  <w:noWrap w:val="0"/>
                  <w:vAlign w:val="center"/>
                </w:tcPr>
                <w:p>
                  <w:pPr>
                    <w:keepNext w:val="0"/>
                    <w:keepLines w:val="0"/>
                    <w:widowControl/>
                    <w:suppressLineNumbers w:val="0"/>
                    <w:jc w:val="center"/>
                    <w:textAlignment w:val="center"/>
                    <w:rPr>
                      <w:rFonts w:hint="eastAsia" w:ascii="宋体" w:hAnsi="宋体" w:eastAsia="宋体" w:cs="宋体"/>
                      <w:szCs w:val="21"/>
                    </w:rPr>
                  </w:pPr>
                  <w:r>
                    <w:rPr>
                      <w:rFonts w:hint="eastAsia" w:ascii="宋体" w:hAnsi="宋体" w:eastAsia="宋体" w:cs="宋体"/>
                      <w:i w:val="0"/>
                      <w:iCs w:val="0"/>
                      <w:color w:val="000000"/>
                      <w:kern w:val="0"/>
                      <w:sz w:val="21"/>
                      <w:szCs w:val="21"/>
                      <w:u w:val="none"/>
                      <w:lang w:val="en-US" w:eastAsia="zh-CN" w:bidi="ar"/>
                    </w:rPr>
                    <w:t>0.184</w:t>
                  </w:r>
                </w:p>
              </w:tc>
              <w:tc>
                <w:tcPr>
                  <w:tcW w:w="484" w:type="pct"/>
                  <w:noWrap w:val="0"/>
                  <w:vAlign w:val="center"/>
                </w:tcPr>
                <w:p>
                  <w:pPr>
                    <w:keepNext w:val="0"/>
                    <w:keepLines w:val="0"/>
                    <w:widowControl/>
                    <w:suppressLineNumbers w:val="0"/>
                    <w:jc w:val="center"/>
                    <w:textAlignment w:val="center"/>
                    <w:rPr>
                      <w:rFonts w:hint="eastAsia" w:ascii="宋体" w:hAnsi="宋体" w:eastAsia="宋体" w:cs="宋体"/>
                      <w:szCs w:val="21"/>
                    </w:rPr>
                  </w:pPr>
                  <w:r>
                    <w:rPr>
                      <w:rFonts w:hint="eastAsia" w:ascii="宋体" w:hAnsi="宋体" w:eastAsia="宋体" w:cs="宋体"/>
                      <w:i w:val="0"/>
                      <w:iCs w:val="0"/>
                      <w:color w:val="000000"/>
                      <w:kern w:val="0"/>
                      <w:sz w:val="21"/>
                      <w:szCs w:val="21"/>
                      <w:u w:val="none"/>
                      <w:lang w:val="en-US" w:eastAsia="zh-CN" w:bidi="ar"/>
                    </w:rPr>
                    <w:t>0.153</w:t>
                  </w:r>
                </w:p>
              </w:tc>
              <w:tc>
                <w:tcPr>
                  <w:tcW w:w="558" w:type="pct"/>
                  <w:noWrap w:val="0"/>
                  <w:vAlign w:val="center"/>
                </w:tcPr>
                <w:p>
                  <w:pPr>
                    <w:keepNext w:val="0"/>
                    <w:keepLines w:val="0"/>
                    <w:widowControl/>
                    <w:suppressLineNumbers w:val="0"/>
                    <w:jc w:val="center"/>
                    <w:textAlignment w:val="center"/>
                    <w:rPr>
                      <w:rFonts w:hint="eastAsia" w:ascii="宋体" w:hAnsi="宋体" w:eastAsia="宋体" w:cs="宋体"/>
                      <w:szCs w:val="21"/>
                    </w:rPr>
                  </w:pPr>
                  <w:r>
                    <w:rPr>
                      <w:rFonts w:hint="eastAsia" w:ascii="宋体" w:hAnsi="宋体" w:eastAsia="宋体" w:cs="宋体"/>
                      <w:i w:val="0"/>
                      <w:iCs w:val="0"/>
                      <w:color w:val="000000"/>
                      <w:kern w:val="0"/>
                      <w:sz w:val="21"/>
                      <w:szCs w:val="21"/>
                      <w:u w:val="none"/>
                      <w:lang w:val="en-US" w:eastAsia="zh-CN" w:bidi="ar"/>
                    </w:rPr>
                    <w:t>54.487</w:t>
                  </w:r>
                </w:p>
              </w:tc>
              <w:tc>
                <w:tcPr>
                  <w:tcW w:w="266" w:type="pct"/>
                  <w:noWrap w:val="0"/>
                  <w:vAlign w:val="center"/>
                </w:tcPr>
                <w:p>
                  <w:pPr>
                    <w:keepLines w:val="0"/>
                    <w:pageBreakBefore w:val="0"/>
                    <w:kinsoku/>
                    <w:topLinePunct w:val="0"/>
                    <w:bidi w:val="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w:t>
                  </w:r>
                </w:p>
              </w:tc>
              <w:tc>
                <w:tcPr>
                  <w:tcW w:w="366" w:type="pct"/>
                  <w:noWrap w:val="0"/>
                  <w:vAlign w:val="center"/>
                </w:tcPr>
                <w:p>
                  <w:pPr>
                    <w:keepLines w:val="0"/>
                    <w:pageBreakBefore w:val="0"/>
                    <w:kinsoku/>
                    <w:topLinePunct w:val="0"/>
                    <w:bidi w:val="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w:t>
                  </w:r>
                </w:p>
              </w:tc>
              <w:tc>
                <w:tcPr>
                  <w:tcW w:w="435" w:type="pct"/>
                  <w:noWrap w:val="0"/>
                  <w:vAlign w:val="center"/>
                </w:tcPr>
                <w:p>
                  <w:pPr>
                    <w:keepLines w:val="0"/>
                    <w:pageBreakBefore w:val="0"/>
                    <w:kinsoku/>
                    <w:topLinePunct w:val="0"/>
                    <w:bidi w:val="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w:t>
                  </w:r>
                </w:p>
              </w:tc>
              <w:tc>
                <w:tcPr>
                  <w:tcW w:w="551" w:type="pct"/>
                  <w:noWrap w:val="0"/>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0.184</w:t>
                  </w:r>
                </w:p>
              </w:tc>
              <w:tc>
                <w:tcPr>
                  <w:tcW w:w="531" w:type="pct"/>
                  <w:noWrap w:val="0"/>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0.153</w:t>
                  </w:r>
                </w:p>
              </w:tc>
              <w:tc>
                <w:tcPr>
                  <w:tcW w:w="560" w:type="pct"/>
                  <w:noWrap w:val="0"/>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54.487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255" w:type="pct"/>
                  <w:vMerge w:val="continue"/>
                  <w:noWrap w:val="0"/>
                  <w:vAlign w:val="center"/>
                </w:tcPr>
                <w:p>
                  <w:pPr>
                    <w:keepLines w:val="0"/>
                    <w:pageBreakBefore w:val="0"/>
                    <w:kinsoku/>
                    <w:topLinePunct w:val="0"/>
                    <w:bidi w:val="0"/>
                    <w:jc w:val="center"/>
                    <w:rPr>
                      <w:rFonts w:hint="eastAsia" w:ascii="宋体" w:hAnsi="宋体" w:eastAsia="宋体" w:cs="宋体"/>
                      <w:szCs w:val="21"/>
                    </w:rPr>
                  </w:pPr>
                </w:p>
              </w:tc>
              <w:tc>
                <w:tcPr>
                  <w:tcW w:w="376" w:type="pct"/>
                  <w:noWrap w:val="0"/>
                  <w:vAlign w:val="center"/>
                </w:tcPr>
                <w:p>
                  <w:pPr>
                    <w:keepNext w:val="0"/>
                    <w:keepLines w:val="0"/>
                    <w:widowControl/>
                    <w:suppressLineNumbers w:val="0"/>
                    <w:jc w:val="center"/>
                    <w:textAlignment w:val="center"/>
                    <w:rPr>
                      <w:rFonts w:hint="eastAsia" w:ascii="宋体" w:hAnsi="宋体" w:eastAsia="宋体" w:cs="宋体"/>
                      <w:szCs w:val="21"/>
                      <w:lang w:val="en-US" w:eastAsia="zh-CN"/>
                    </w:rPr>
                  </w:pPr>
                  <w:r>
                    <w:rPr>
                      <w:rFonts w:hint="eastAsia" w:ascii="宋体" w:hAnsi="宋体" w:eastAsia="宋体" w:cs="宋体"/>
                      <w:i w:val="0"/>
                      <w:iCs w:val="0"/>
                      <w:color w:val="000000"/>
                      <w:kern w:val="0"/>
                      <w:sz w:val="21"/>
                      <w:szCs w:val="21"/>
                      <w:u w:val="none"/>
                      <w:lang w:val="en-US" w:eastAsia="zh-CN" w:bidi="ar"/>
                    </w:rPr>
                    <w:t>颗粒物</w:t>
                  </w:r>
                </w:p>
              </w:tc>
              <w:tc>
                <w:tcPr>
                  <w:tcW w:w="613" w:type="pct"/>
                  <w:noWrap w:val="0"/>
                  <w:vAlign w:val="center"/>
                </w:tcPr>
                <w:p>
                  <w:pPr>
                    <w:keepNext w:val="0"/>
                    <w:keepLines w:val="0"/>
                    <w:widowControl/>
                    <w:suppressLineNumbers w:val="0"/>
                    <w:jc w:val="center"/>
                    <w:textAlignment w:val="center"/>
                    <w:rPr>
                      <w:rFonts w:hint="eastAsia" w:ascii="宋体" w:hAnsi="宋体" w:eastAsia="宋体" w:cs="宋体"/>
                      <w:szCs w:val="21"/>
                    </w:rPr>
                  </w:pPr>
                  <w:r>
                    <w:rPr>
                      <w:rFonts w:hint="eastAsia" w:ascii="宋体" w:hAnsi="宋体" w:eastAsia="宋体" w:cs="宋体"/>
                      <w:i w:val="0"/>
                      <w:iCs w:val="0"/>
                      <w:color w:val="000000"/>
                      <w:kern w:val="0"/>
                      <w:sz w:val="21"/>
                      <w:szCs w:val="21"/>
                      <w:u w:val="none"/>
                      <w:lang w:val="en-US" w:eastAsia="zh-CN" w:bidi="ar"/>
                    </w:rPr>
                    <w:t>0.27</w:t>
                  </w:r>
                </w:p>
              </w:tc>
              <w:tc>
                <w:tcPr>
                  <w:tcW w:w="484" w:type="pct"/>
                  <w:noWrap w:val="0"/>
                  <w:vAlign w:val="center"/>
                </w:tcPr>
                <w:p>
                  <w:pPr>
                    <w:keepNext w:val="0"/>
                    <w:keepLines w:val="0"/>
                    <w:widowControl/>
                    <w:suppressLineNumbers w:val="0"/>
                    <w:jc w:val="center"/>
                    <w:textAlignment w:val="center"/>
                    <w:rPr>
                      <w:rFonts w:hint="eastAsia" w:ascii="宋体" w:hAnsi="宋体" w:eastAsia="宋体" w:cs="宋体"/>
                      <w:szCs w:val="21"/>
                    </w:rPr>
                  </w:pPr>
                  <w:r>
                    <w:rPr>
                      <w:rFonts w:hint="eastAsia" w:ascii="宋体" w:hAnsi="宋体" w:eastAsia="宋体" w:cs="宋体"/>
                      <w:i w:val="0"/>
                      <w:iCs w:val="0"/>
                      <w:color w:val="000000"/>
                      <w:kern w:val="0"/>
                      <w:sz w:val="21"/>
                      <w:szCs w:val="21"/>
                      <w:u w:val="none"/>
                      <w:lang w:val="en-US" w:eastAsia="zh-CN" w:bidi="ar"/>
                    </w:rPr>
                    <w:t>0.225</w:t>
                  </w:r>
                </w:p>
              </w:tc>
              <w:tc>
                <w:tcPr>
                  <w:tcW w:w="558" w:type="pct"/>
                  <w:noWrap w:val="0"/>
                  <w:vAlign w:val="center"/>
                </w:tcPr>
                <w:p>
                  <w:pPr>
                    <w:keepNext w:val="0"/>
                    <w:keepLines w:val="0"/>
                    <w:widowControl/>
                    <w:suppressLineNumbers w:val="0"/>
                    <w:jc w:val="center"/>
                    <w:textAlignment w:val="center"/>
                    <w:rPr>
                      <w:rFonts w:hint="eastAsia" w:ascii="宋体" w:hAnsi="宋体" w:eastAsia="宋体" w:cs="宋体"/>
                      <w:szCs w:val="21"/>
                    </w:rPr>
                  </w:pPr>
                  <w:r>
                    <w:rPr>
                      <w:rFonts w:hint="eastAsia" w:ascii="宋体" w:hAnsi="宋体" w:eastAsia="宋体" w:cs="宋体"/>
                      <w:i w:val="0"/>
                      <w:iCs w:val="0"/>
                      <w:color w:val="000000"/>
                      <w:kern w:val="0"/>
                      <w:sz w:val="21"/>
                      <w:szCs w:val="21"/>
                      <w:u w:val="none"/>
                      <w:lang w:val="en-US" w:eastAsia="zh-CN" w:bidi="ar"/>
                    </w:rPr>
                    <w:t>80.128</w:t>
                  </w:r>
                </w:p>
              </w:tc>
              <w:tc>
                <w:tcPr>
                  <w:tcW w:w="266" w:type="pct"/>
                  <w:noWrap w:val="0"/>
                  <w:vAlign w:val="center"/>
                </w:tcPr>
                <w:p>
                  <w:pPr>
                    <w:keepLines w:val="0"/>
                    <w:pageBreakBefore w:val="0"/>
                    <w:kinsoku/>
                    <w:topLinePunct w:val="0"/>
                    <w:bidi w:val="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袋式除尘器</w:t>
                  </w:r>
                </w:p>
              </w:tc>
              <w:tc>
                <w:tcPr>
                  <w:tcW w:w="366" w:type="pct"/>
                  <w:noWrap w:val="0"/>
                  <w:vAlign w:val="center"/>
                </w:tcPr>
                <w:p>
                  <w:pPr>
                    <w:keepLines w:val="0"/>
                    <w:pageBreakBefore w:val="0"/>
                    <w:kinsoku/>
                    <w:topLinePunct w:val="0"/>
                    <w:bidi w:val="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100</w:t>
                  </w:r>
                </w:p>
              </w:tc>
              <w:tc>
                <w:tcPr>
                  <w:tcW w:w="435" w:type="pct"/>
                  <w:noWrap w:val="0"/>
                  <w:vAlign w:val="center"/>
                </w:tcPr>
                <w:p>
                  <w:pPr>
                    <w:keepLines w:val="0"/>
                    <w:pageBreakBefore w:val="0"/>
                    <w:kinsoku/>
                    <w:topLinePunct w:val="0"/>
                    <w:bidi w:val="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80</w:t>
                  </w:r>
                </w:p>
              </w:tc>
              <w:tc>
                <w:tcPr>
                  <w:tcW w:w="551" w:type="pct"/>
                  <w:noWrap w:val="0"/>
                  <w:vAlign w:val="center"/>
                </w:tcPr>
                <w:p>
                  <w:pPr>
                    <w:jc w:val="center"/>
                    <w:textAlignment w:val="center"/>
                    <w:rPr>
                      <w:rFonts w:hint="eastAsia" w:ascii="宋体" w:hAnsi="宋体" w:eastAsia="宋体" w:cs="宋体"/>
                      <w:szCs w:val="21"/>
                    </w:rPr>
                  </w:pPr>
                  <w:r>
                    <w:rPr>
                      <w:rFonts w:hint="eastAsia" w:ascii="宋体" w:hAnsi="宋体" w:eastAsia="宋体" w:cs="宋体"/>
                      <w:i w:val="0"/>
                      <w:iCs w:val="0"/>
                      <w:color w:val="000000"/>
                      <w:kern w:val="0"/>
                      <w:sz w:val="21"/>
                      <w:szCs w:val="21"/>
                      <w:u w:val="none"/>
                      <w:lang w:val="en-US" w:eastAsia="zh-CN" w:bidi="ar"/>
                    </w:rPr>
                    <w:t>0.054</w:t>
                  </w:r>
                </w:p>
              </w:tc>
              <w:tc>
                <w:tcPr>
                  <w:tcW w:w="531" w:type="pct"/>
                  <w:noWrap w:val="0"/>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0.045</w:t>
                  </w:r>
                </w:p>
              </w:tc>
              <w:tc>
                <w:tcPr>
                  <w:tcW w:w="560" w:type="pct"/>
                  <w:noWrap w:val="0"/>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16.026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55" w:type="pct"/>
                  <w:vMerge w:val="continue"/>
                  <w:noWrap w:val="0"/>
                  <w:vAlign w:val="center"/>
                </w:tcPr>
                <w:p>
                  <w:pPr>
                    <w:keepLines w:val="0"/>
                    <w:pageBreakBefore w:val="0"/>
                    <w:kinsoku/>
                    <w:topLinePunct w:val="0"/>
                    <w:bidi w:val="0"/>
                    <w:jc w:val="center"/>
                    <w:rPr>
                      <w:rFonts w:hint="eastAsia" w:ascii="宋体" w:hAnsi="宋体" w:eastAsia="宋体" w:cs="宋体"/>
                      <w:szCs w:val="21"/>
                    </w:rPr>
                  </w:pPr>
                </w:p>
              </w:tc>
              <w:tc>
                <w:tcPr>
                  <w:tcW w:w="376" w:type="pct"/>
                  <w:noWrap w:val="0"/>
                  <w:vAlign w:val="center"/>
                </w:tcPr>
                <w:p>
                  <w:pPr>
                    <w:keepNext w:val="0"/>
                    <w:keepLines w:val="0"/>
                    <w:widowControl/>
                    <w:suppressLineNumbers w:val="0"/>
                    <w:jc w:val="center"/>
                    <w:textAlignment w:val="center"/>
                    <w:rPr>
                      <w:rFonts w:hint="eastAsia" w:ascii="宋体" w:hAnsi="宋体" w:eastAsia="宋体" w:cs="宋体"/>
                      <w:szCs w:val="21"/>
                      <w:lang w:val="en-US" w:eastAsia="zh-CN"/>
                    </w:rPr>
                  </w:pPr>
                  <w:r>
                    <w:rPr>
                      <w:rFonts w:hint="eastAsia" w:ascii="宋体" w:hAnsi="宋体" w:eastAsia="宋体" w:cs="宋体"/>
                      <w:i w:val="0"/>
                      <w:iCs w:val="0"/>
                      <w:color w:val="000000"/>
                      <w:kern w:val="0"/>
                      <w:sz w:val="21"/>
                      <w:szCs w:val="21"/>
                      <w:u w:val="none"/>
                      <w:lang w:val="en-US" w:eastAsia="zh-CN" w:bidi="ar"/>
                    </w:rPr>
                    <w:t>氮氧化物</w:t>
                  </w:r>
                </w:p>
              </w:tc>
              <w:tc>
                <w:tcPr>
                  <w:tcW w:w="613" w:type="pct"/>
                  <w:noWrap w:val="0"/>
                  <w:vAlign w:val="center"/>
                </w:tcPr>
                <w:p>
                  <w:pPr>
                    <w:keepNext w:val="0"/>
                    <w:keepLines w:val="0"/>
                    <w:widowControl/>
                    <w:suppressLineNumbers w:val="0"/>
                    <w:jc w:val="center"/>
                    <w:textAlignment w:val="center"/>
                    <w:rPr>
                      <w:rFonts w:hint="eastAsia" w:ascii="宋体" w:hAnsi="宋体" w:eastAsia="宋体" w:cs="宋体"/>
                      <w:szCs w:val="21"/>
                      <w:lang w:val="en-US"/>
                    </w:rPr>
                  </w:pPr>
                  <w:r>
                    <w:rPr>
                      <w:rFonts w:hint="eastAsia" w:ascii="宋体" w:hAnsi="宋体" w:eastAsia="宋体" w:cs="宋体"/>
                      <w:i w:val="0"/>
                      <w:iCs w:val="0"/>
                      <w:color w:val="000000"/>
                      <w:kern w:val="0"/>
                      <w:sz w:val="21"/>
                      <w:szCs w:val="21"/>
                      <w:u w:val="none"/>
                      <w:lang w:val="en-US" w:eastAsia="zh-CN" w:bidi="ar"/>
                    </w:rPr>
                    <w:t>0.551</w:t>
                  </w:r>
                </w:p>
              </w:tc>
              <w:tc>
                <w:tcPr>
                  <w:tcW w:w="484" w:type="pct"/>
                  <w:noWrap w:val="0"/>
                  <w:vAlign w:val="center"/>
                </w:tcPr>
                <w:p>
                  <w:pPr>
                    <w:keepNext w:val="0"/>
                    <w:keepLines w:val="0"/>
                    <w:widowControl/>
                    <w:suppressLineNumbers w:val="0"/>
                    <w:jc w:val="center"/>
                    <w:textAlignment w:val="center"/>
                    <w:rPr>
                      <w:rFonts w:hint="eastAsia" w:ascii="宋体" w:hAnsi="宋体" w:eastAsia="宋体" w:cs="宋体"/>
                      <w:szCs w:val="21"/>
                    </w:rPr>
                  </w:pPr>
                  <w:r>
                    <w:rPr>
                      <w:rFonts w:hint="eastAsia" w:ascii="宋体" w:hAnsi="宋体" w:eastAsia="宋体" w:cs="宋体"/>
                      <w:i w:val="0"/>
                      <w:iCs w:val="0"/>
                      <w:color w:val="000000"/>
                      <w:kern w:val="0"/>
                      <w:sz w:val="21"/>
                      <w:szCs w:val="21"/>
                      <w:u w:val="none"/>
                      <w:lang w:val="en-US" w:eastAsia="zh-CN" w:bidi="ar"/>
                    </w:rPr>
                    <w:t>0.459</w:t>
                  </w:r>
                </w:p>
              </w:tc>
              <w:tc>
                <w:tcPr>
                  <w:tcW w:w="558" w:type="pct"/>
                  <w:noWrap w:val="0"/>
                  <w:vAlign w:val="center"/>
                </w:tcPr>
                <w:p>
                  <w:pPr>
                    <w:keepNext w:val="0"/>
                    <w:keepLines w:val="0"/>
                    <w:widowControl/>
                    <w:suppressLineNumbers w:val="0"/>
                    <w:jc w:val="center"/>
                    <w:textAlignment w:val="center"/>
                    <w:rPr>
                      <w:rFonts w:hint="eastAsia" w:ascii="宋体" w:hAnsi="宋体" w:eastAsia="宋体" w:cs="宋体"/>
                      <w:szCs w:val="21"/>
                    </w:rPr>
                  </w:pPr>
                  <w:r>
                    <w:rPr>
                      <w:rFonts w:hint="eastAsia" w:ascii="宋体" w:hAnsi="宋体" w:eastAsia="宋体" w:cs="宋体"/>
                      <w:i w:val="0"/>
                      <w:iCs w:val="0"/>
                      <w:color w:val="000000"/>
                      <w:kern w:val="0"/>
                      <w:sz w:val="21"/>
                      <w:szCs w:val="21"/>
                      <w:u w:val="none"/>
                      <w:lang w:val="en-US" w:eastAsia="zh-CN" w:bidi="ar"/>
                    </w:rPr>
                    <w:t>163.462</w:t>
                  </w:r>
                </w:p>
              </w:tc>
              <w:tc>
                <w:tcPr>
                  <w:tcW w:w="266" w:type="pct"/>
                  <w:noWrap w:val="0"/>
                  <w:vAlign w:val="center"/>
                </w:tcPr>
                <w:p>
                  <w:pPr>
                    <w:keepLines w:val="0"/>
                    <w:pageBreakBefore w:val="0"/>
                    <w:kinsoku/>
                    <w:topLinePunct w:val="0"/>
                    <w:bidi w:val="0"/>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低氮燃烧</w:t>
                  </w:r>
                </w:p>
              </w:tc>
              <w:tc>
                <w:tcPr>
                  <w:tcW w:w="366" w:type="pct"/>
                  <w:noWrap w:val="0"/>
                  <w:vAlign w:val="center"/>
                </w:tcPr>
                <w:p>
                  <w:pPr>
                    <w:keepLines w:val="0"/>
                    <w:pageBreakBefore w:val="0"/>
                    <w:kinsoku/>
                    <w:topLinePunct w:val="0"/>
                    <w:bidi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100</w:t>
                  </w:r>
                </w:p>
              </w:tc>
              <w:tc>
                <w:tcPr>
                  <w:tcW w:w="435" w:type="pct"/>
                  <w:noWrap w:val="0"/>
                  <w:vAlign w:val="center"/>
                </w:tcPr>
                <w:p>
                  <w:pPr>
                    <w:keepLines w:val="0"/>
                    <w:pageBreakBefore w:val="0"/>
                    <w:kinsoku/>
                    <w:topLinePunct w:val="0"/>
                    <w:bidi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30</w:t>
                  </w:r>
                </w:p>
              </w:tc>
              <w:tc>
                <w:tcPr>
                  <w:tcW w:w="551" w:type="pct"/>
                  <w:noWrap w:val="0"/>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386</w:t>
                  </w:r>
                </w:p>
              </w:tc>
              <w:tc>
                <w:tcPr>
                  <w:tcW w:w="531" w:type="pct"/>
                  <w:noWrap w:val="0"/>
                  <w:vAlign w:val="center"/>
                </w:tcPr>
                <w:p>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321</w:t>
                  </w:r>
                </w:p>
              </w:tc>
              <w:tc>
                <w:tcPr>
                  <w:tcW w:w="560" w:type="pct"/>
                  <w:noWrap w:val="0"/>
                  <w:vAlign w:val="center"/>
                </w:tcPr>
                <w:p>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14.423</w:t>
                  </w:r>
                </w:p>
              </w:tc>
            </w:tr>
          </w:tbl>
          <w:p>
            <w:pPr>
              <w:keepNext/>
              <w:keepLines/>
              <w:pageBreakBefore w:val="0"/>
              <w:widowControl w:val="0"/>
              <w:kinsoku/>
              <w:wordWrap/>
              <w:overflowPunct/>
              <w:topLinePunct w:val="0"/>
              <w:autoSpaceDE/>
              <w:autoSpaceDN/>
              <w:bidi w:val="0"/>
              <w:adjustRightInd/>
              <w:snapToGrid/>
              <w:spacing w:line="520" w:lineRule="exact"/>
              <w:ind w:firstLine="482" w:firstLineChars="200"/>
              <w:jc w:val="both"/>
              <w:textAlignment w:val="auto"/>
              <w:outlineLvl w:val="1"/>
              <w:rPr>
                <w:rFonts w:ascii="Times New Roman" w:hAnsi="Times New Roman" w:eastAsia="宋体" w:cs="Times New Roman"/>
                <w:b/>
                <w:bCs/>
                <w:kern w:val="2"/>
                <w:sz w:val="24"/>
                <w:szCs w:val="32"/>
                <w:lang w:val="en-US" w:eastAsia="zh-CN" w:bidi="ar-SA"/>
              </w:rPr>
            </w:pPr>
            <w:r>
              <w:rPr>
                <w:rFonts w:hint="default" w:ascii="Times New Roman" w:hAnsi="Times New Roman" w:eastAsia="宋体" w:cs="Times New Roman"/>
                <w:b/>
                <w:bCs/>
                <w:kern w:val="2"/>
                <w:sz w:val="24"/>
                <w:szCs w:val="32"/>
                <w:lang w:val="en-US" w:eastAsia="zh-CN" w:bidi="ar-SA"/>
              </w:rPr>
              <w:t>3</w:t>
            </w:r>
            <w:r>
              <w:rPr>
                <w:rFonts w:hint="eastAsia" w:ascii="Times New Roman" w:hAnsi="Times New Roman" w:eastAsia="宋体" w:cs="Times New Roman"/>
                <w:b/>
                <w:bCs/>
                <w:kern w:val="2"/>
                <w:sz w:val="24"/>
                <w:szCs w:val="32"/>
                <w:lang w:val="en-US" w:eastAsia="zh-CN" w:bidi="ar-SA"/>
              </w:rPr>
              <w:t>、大气排放口基本情况</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本项目大气排放口基本情况统计见表</w:t>
            </w:r>
            <w:r>
              <w:rPr>
                <w:rFonts w:hint="default" w:ascii="Times New Roman" w:hAnsi="Times New Roman" w:eastAsia="宋体" w:cs="Times New Roman"/>
                <w:color w:val="000000"/>
                <w:kern w:val="0"/>
                <w:sz w:val="24"/>
                <w:szCs w:val="24"/>
                <w:lang w:val="en-US" w:eastAsia="zh-CN" w:bidi="ar"/>
              </w:rPr>
              <w:t>4-</w:t>
            </w:r>
            <w:r>
              <w:rPr>
                <w:rFonts w:hint="eastAsia"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b/>
                <w:bCs/>
                <w:kern w:val="0"/>
                <w:sz w:val="24"/>
                <w:szCs w:val="24"/>
                <w:lang w:val="en-US" w:eastAsia="zh-CN" w:bidi="ar-SA"/>
              </w:rPr>
              <w:t>表4-2    废气排放口基本信息表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6"/>
              <w:gridCol w:w="1287"/>
              <w:gridCol w:w="1302"/>
              <w:gridCol w:w="1477"/>
              <w:gridCol w:w="1030"/>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201" w:type="pct"/>
                  <w:noWrap w:val="0"/>
                  <w:vAlign w:val="center"/>
                </w:tcPr>
                <w:p>
                  <w:pPr>
                    <w:keepLines w:val="0"/>
                    <w:pageBreakBefore w:val="0"/>
                    <w:kinsoku/>
                    <w:topLinePunct w:val="0"/>
                    <w:bidi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排放口名称</w:t>
                  </w:r>
                </w:p>
              </w:tc>
              <w:tc>
                <w:tcPr>
                  <w:tcW w:w="766" w:type="pct"/>
                  <w:noWrap w:val="0"/>
                  <w:vAlign w:val="center"/>
                </w:tcPr>
                <w:p>
                  <w:pPr>
                    <w:keepLines w:val="0"/>
                    <w:pageBreakBefore w:val="0"/>
                    <w:kinsoku/>
                    <w:topLinePunct w:val="0"/>
                    <w:bidi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排放口编号</w:t>
                  </w:r>
                </w:p>
              </w:tc>
              <w:tc>
                <w:tcPr>
                  <w:tcW w:w="775" w:type="pct"/>
                  <w:noWrap w:val="0"/>
                  <w:vAlign w:val="center"/>
                </w:tcPr>
                <w:p>
                  <w:pPr>
                    <w:keepLines w:val="0"/>
                    <w:pageBreakBefore w:val="0"/>
                    <w:kinsoku/>
                    <w:topLinePunct w:val="0"/>
                    <w:bidi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排气筒高度/m</w:t>
                  </w:r>
                </w:p>
              </w:tc>
              <w:tc>
                <w:tcPr>
                  <w:tcW w:w="879" w:type="pct"/>
                  <w:noWrap w:val="0"/>
                  <w:vAlign w:val="center"/>
                </w:tcPr>
                <w:p>
                  <w:pPr>
                    <w:keepLines w:val="0"/>
                    <w:pageBreakBefore w:val="0"/>
                    <w:kinsoku/>
                    <w:topLinePunct w:val="0"/>
                    <w:bidi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排气筒出口内径/m</w:t>
                  </w:r>
                </w:p>
              </w:tc>
              <w:tc>
                <w:tcPr>
                  <w:tcW w:w="613" w:type="pct"/>
                  <w:noWrap w:val="0"/>
                  <w:vAlign w:val="center"/>
                </w:tcPr>
                <w:p>
                  <w:pPr>
                    <w:keepLines w:val="0"/>
                    <w:pageBreakBefore w:val="0"/>
                    <w:kinsoku/>
                    <w:topLinePunct w:val="0"/>
                    <w:bidi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烟气温度/℃</w:t>
                  </w:r>
                </w:p>
              </w:tc>
              <w:tc>
                <w:tcPr>
                  <w:tcW w:w="763" w:type="pct"/>
                  <w:noWrap w:val="0"/>
                  <w:vAlign w:val="center"/>
                </w:tcPr>
                <w:p>
                  <w:pPr>
                    <w:keepLines w:val="0"/>
                    <w:pageBreakBefore w:val="0"/>
                    <w:kinsoku/>
                    <w:topLinePunct w:val="0"/>
                    <w:bidi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201" w:type="pct"/>
                  <w:noWrap w:val="0"/>
                  <w:vAlign w:val="center"/>
                </w:tcPr>
                <w:p>
                  <w:pPr>
                    <w:keepLines w:val="0"/>
                    <w:pageBreakBefore w:val="0"/>
                    <w:kinsoku/>
                    <w:topLinePunct w:val="0"/>
                    <w:bidi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1#移动</w:t>
                  </w:r>
                  <w:r>
                    <w:rPr>
                      <w:rFonts w:hint="eastAsia" w:ascii="Times New Roman" w:hAnsi="Times New Roman" w:eastAsia="宋体" w:cs="Times New Roman"/>
                      <w:color w:val="auto"/>
                      <w:szCs w:val="21"/>
                    </w:rPr>
                    <w:t>锅炉</w:t>
                  </w:r>
                  <w:r>
                    <w:rPr>
                      <w:rFonts w:hint="eastAsia" w:ascii="Times New Roman" w:hAnsi="Times New Roman" w:eastAsia="宋体" w:cs="Times New Roman"/>
                      <w:color w:val="auto"/>
                      <w:szCs w:val="21"/>
                      <w:lang w:val="en-US" w:eastAsia="zh-CN"/>
                    </w:rPr>
                    <w:t>排气筒</w:t>
                  </w:r>
                </w:p>
              </w:tc>
              <w:tc>
                <w:tcPr>
                  <w:tcW w:w="766" w:type="pct"/>
                  <w:noWrap w:val="0"/>
                  <w:vAlign w:val="center"/>
                </w:tcPr>
                <w:p>
                  <w:pPr>
                    <w:keepLines w:val="0"/>
                    <w:pageBreakBefore w:val="0"/>
                    <w:kinsoku/>
                    <w:topLinePunct w:val="0"/>
                    <w:bidi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DA001</w:t>
                  </w:r>
                </w:p>
              </w:tc>
              <w:tc>
                <w:tcPr>
                  <w:tcW w:w="775" w:type="pct"/>
                  <w:noWrap w:val="0"/>
                  <w:vAlign w:val="center"/>
                </w:tcPr>
                <w:p>
                  <w:pPr>
                    <w:keepLines w:val="0"/>
                    <w:pageBreakBefore w:val="0"/>
                    <w:kinsoku/>
                    <w:topLinePunct w:val="0"/>
                    <w:bidi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w:t>
                  </w:r>
                </w:p>
              </w:tc>
              <w:tc>
                <w:tcPr>
                  <w:tcW w:w="879" w:type="pct"/>
                  <w:noWrap w:val="0"/>
                  <w:vAlign w:val="center"/>
                </w:tcPr>
                <w:p>
                  <w:pPr>
                    <w:keepLines w:val="0"/>
                    <w:pageBreakBefore w:val="0"/>
                    <w:kinsoku/>
                    <w:topLinePunct w:val="0"/>
                    <w:bidi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0.4</w:t>
                  </w:r>
                </w:p>
              </w:tc>
              <w:tc>
                <w:tcPr>
                  <w:tcW w:w="613" w:type="pct"/>
                  <w:noWrap w:val="0"/>
                  <w:vAlign w:val="center"/>
                </w:tcPr>
                <w:p>
                  <w:pPr>
                    <w:keepLines w:val="0"/>
                    <w:pageBreakBefore w:val="0"/>
                    <w:kinsoku/>
                    <w:topLinePunct w:val="0"/>
                    <w:bidi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90</w:t>
                  </w:r>
                </w:p>
              </w:tc>
              <w:tc>
                <w:tcPr>
                  <w:tcW w:w="763" w:type="pct"/>
                  <w:noWrap w:val="0"/>
                  <w:vAlign w:val="center"/>
                </w:tcPr>
                <w:p>
                  <w:pPr>
                    <w:keepLines w:val="0"/>
                    <w:pageBreakBefore w:val="0"/>
                    <w:kinsoku/>
                    <w:topLinePunct w:val="0"/>
                    <w:bidi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一般排放口</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2" w:firstLineChars="200"/>
              <w:jc w:val="both"/>
              <w:textAlignment w:val="auto"/>
              <w:rPr>
                <w:rFonts w:hint="eastAsia" w:ascii="宋体" w:hAnsi="宋体" w:eastAsia="宋体" w:cs="宋体"/>
                <w:b w:val="0"/>
                <w:sz w:val="24"/>
                <w:szCs w:val="24"/>
                <w:lang w:val="en-US" w:eastAsia="zh-CN"/>
              </w:rPr>
            </w:pPr>
            <w:r>
              <w:rPr>
                <w:rFonts w:hint="eastAsia" w:ascii="宋体" w:hAnsi="宋体" w:eastAsia="宋体" w:cs="宋体"/>
                <w:b/>
                <w:bCs/>
                <w:kern w:val="2"/>
                <w:sz w:val="24"/>
                <w:szCs w:val="24"/>
                <w:lang w:val="en-US" w:eastAsia="zh-CN" w:bidi="ar-SA"/>
              </w:rPr>
              <w:t>4、废气治理措施及影响分析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宋体" w:hAnsi="宋体" w:eastAsia="宋体" w:cs="宋体"/>
                <w:b w:val="0"/>
                <w:sz w:val="24"/>
                <w:szCs w:val="24"/>
                <w:lang w:val="en-US" w:eastAsia="zh-CN"/>
              </w:rPr>
            </w:pPr>
            <w:r>
              <w:rPr>
                <w:rFonts w:hint="eastAsia" w:ascii="宋体" w:hAnsi="宋体" w:cs="宋体"/>
                <w:b w:val="0"/>
                <w:sz w:val="24"/>
                <w:szCs w:val="24"/>
                <w:lang w:val="en-US" w:eastAsia="zh-CN"/>
              </w:rPr>
              <w:t>根据《排污许可证申请与核发技术规范 锅炉》（HJ953—2018）“对于锅炉燃烧排放的颗粒物，燃煤锅炉一般采用袋式除尘、电除尘或电袋复合除尘技术，燃油锅炉一般采用袋式除尘技术，燃生物质锅炉一般采用袋式除尘组合技术”，本项目颗粒物采取袋式除尘器为可行技术；经核算，</w:t>
            </w:r>
            <w:r>
              <w:rPr>
                <w:rFonts w:hint="eastAsia" w:ascii="宋体" w:hAnsi="宋体" w:eastAsia="宋体" w:cs="宋体"/>
                <w:b w:val="0"/>
                <w:sz w:val="24"/>
                <w:szCs w:val="24"/>
                <w:lang w:val="en-US" w:eastAsia="zh-CN"/>
              </w:rPr>
              <w:t>项目运营期间蒸汽锅炉采用成型生物质燃料作为燃料，</w:t>
            </w:r>
            <w:r>
              <w:rPr>
                <w:rFonts w:hint="eastAsia" w:ascii="宋体" w:hAnsi="宋体" w:cs="宋体"/>
                <w:b w:val="0"/>
                <w:sz w:val="24"/>
                <w:szCs w:val="24"/>
                <w:lang w:val="en-US" w:eastAsia="zh-CN"/>
              </w:rPr>
              <w:t>烟尘采取袋式除尘器处理，最终</w:t>
            </w:r>
            <w:r>
              <w:rPr>
                <w:rFonts w:hint="eastAsia" w:ascii="宋体" w:hAnsi="宋体" w:eastAsia="宋体" w:cs="宋体"/>
                <w:b w:val="0"/>
                <w:sz w:val="24"/>
                <w:szCs w:val="24"/>
                <w:lang w:val="en-US" w:eastAsia="zh-CN"/>
              </w:rPr>
              <w:t>经30m排气筒排放，排放浓度可满足《锅炉大气污染物排放标准》（GB13271-2014）中表2燃煤锅炉排放限值。</w:t>
            </w:r>
            <w:r>
              <w:rPr>
                <w:rFonts w:hint="eastAsia" w:ascii="宋体" w:hAnsi="宋体" w:cs="宋体"/>
                <w:b w:val="0"/>
                <w:sz w:val="24"/>
                <w:szCs w:val="24"/>
                <w:lang w:val="en-US" w:eastAsia="zh-CN"/>
              </w:rPr>
              <w:t>本项目生物质锅炉使用低氮燃烧技术，燃料分级燃烧将部分燃料在缺氧环境中燃烧，降低燃烧温度和氧气浓度，从而减少氮氧化物（NOx）的生成；空气分级燃烧则将空气分阶段送入燃烧室，抑制NOx的产生，根据《排污许可证申请与核发技术规范 锅炉》（HJ953—2018），使用低氮燃烧技术降低氮氧化物的排放是可行技术。</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2" w:firstLineChars="200"/>
              <w:jc w:val="both"/>
              <w:textAlignment w:val="auto"/>
              <w:rPr>
                <w:rFonts w:hint="eastAsia" w:ascii="宋体" w:hAnsi="宋体" w:eastAsia="宋体" w:cs="宋体"/>
                <w:b/>
                <w:bCs/>
                <w:sz w:val="24"/>
                <w:szCs w:val="24"/>
              </w:rPr>
            </w:pPr>
            <w:r>
              <w:rPr>
                <w:rFonts w:hint="eastAsia" w:ascii="宋体" w:hAnsi="宋体" w:eastAsia="宋体" w:cs="宋体"/>
                <w:b/>
                <w:bCs/>
                <w:kern w:val="2"/>
                <w:sz w:val="24"/>
                <w:szCs w:val="24"/>
                <w:lang w:val="en-US" w:eastAsia="zh-CN" w:bidi="ar-SA"/>
              </w:rPr>
              <w:t>5、</w:t>
            </w:r>
            <w:r>
              <w:rPr>
                <w:rFonts w:hint="eastAsia" w:ascii="宋体" w:hAnsi="宋体" w:eastAsia="宋体" w:cs="宋体"/>
                <w:b/>
                <w:bCs/>
                <w:sz w:val="24"/>
                <w:szCs w:val="24"/>
              </w:rPr>
              <w:t>非正常排污的源强统计与分析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eastAsia" w:ascii="宋体" w:hAnsi="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非正常排放指非正常工况下的排放，一般指生产过程中开停（工、炉）设备检修、工艺设备运转异常等非正常工况下的污染物排放</w:t>
            </w:r>
            <w:r>
              <w:rPr>
                <w:rFonts w:hint="eastAsia" w:ascii="宋体" w:hAnsi="宋体" w:cs="宋体"/>
                <w:b w:val="0"/>
                <w:bCs w:val="0"/>
                <w:kern w:val="2"/>
                <w:sz w:val="24"/>
                <w:szCs w:val="24"/>
                <w:lang w:val="en-US" w:eastAsia="zh-CN" w:bidi="ar-SA"/>
              </w:rPr>
              <w:t>、</w:t>
            </w:r>
            <w:r>
              <w:rPr>
                <w:rFonts w:hint="eastAsia" w:ascii="宋体" w:hAnsi="宋体" w:eastAsia="宋体" w:cs="宋体"/>
                <w:b w:val="0"/>
                <w:bCs w:val="0"/>
                <w:kern w:val="2"/>
                <w:sz w:val="24"/>
                <w:szCs w:val="24"/>
                <w:lang w:val="en-US" w:eastAsia="zh-CN" w:bidi="ar-SA"/>
              </w:rPr>
              <w:t>污染物排放控制措施达不到应有效率等情况下的排放。环保设施出现故障或长时间未检修、没有做到定期更换布袋</w:t>
            </w:r>
            <w:r>
              <w:rPr>
                <w:rFonts w:hint="eastAsia" w:ascii="宋体" w:hAnsi="宋体" w:cs="宋体"/>
                <w:b w:val="0"/>
                <w:bCs w:val="0"/>
                <w:kern w:val="2"/>
                <w:sz w:val="24"/>
                <w:szCs w:val="24"/>
                <w:lang w:val="en-US" w:eastAsia="zh-CN" w:bidi="ar-SA"/>
              </w:rPr>
              <w:t>或未及时检修</w:t>
            </w:r>
            <w:r>
              <w:rPr>
                <w:rFonts w:hint="eastAsia" w:ascii="宋体" w:hAnsi="宋体" w:eastAsia="宋体" w:cs="宋体"/>
                <w:b w:val="0"/>
                <w:bCs w:val="0"/>
                <w:kern w:val="2"/>
                <w:sz w:val="24"/>
                <w:szCs w:val="24"/>
                <w:lang w:val="en-US" w:eastAsia="zh-CN" w:bidi="ar-SA"/>
              </w:rPr>
              <w:t>导致废气处理效率降低，会使污染物处理效率下降或者根本得不到处理而排入环境中，因此本次环保设施故障处理效率按照0计，非正常工况废气污染物排放情况见下表。</w:t>
            </w:r>
          </w:p>
          <w:p>
            <w:pPr>
              <w:keepNext w:val="0"/>
              <w:keepLines w:val="0"/>
              <w:widowControl/>
              <w:suppressLineNumbers w:val="0"/>
              <w:autoSpaceDE/>
              <w:autoSpaceDN/>
              <w:bidi w:val="0"/>
              <w:snapToGrid w:val="0"/>
              <w:spacing w:before="0" w:beforeAutospacing="0" w:after="0" w:afterAutospacing="0" w:line="520" w:lineRule="exact"/>
              <w:ind w:left="0" w:right="0" w:firstLine="0" w:firstLineChars="0"/>
              <w:jc w:val="center"/>
              <w:rPr>
                <w:rFonts w:hint="eastAsia" w:ascii="Times New Roman" w:hAnsi="Times New Roman" w:eastAsia="宋体" w:cs="Times New Roman"/>
                <w:b/>
                <w:kern w:val="0"/>
                <w:sz w:val="21"/>
                <w:szCs w:val="21"/>
                <w:lang w:val="en-US" w:eastAsia="zh-CN" w:bidi="ar-SA"/>
              </w:rPr>
            </w:pPr>
            <w:r>
              <w:rPr>
                <w:rFonts w:hint="eastAsia" w:ascii="宋体" w:hAnsi="宋体" w:eastAsia="宋体" w:cs="宋体"/>
                <w:b/>
                <w:kern w:val="0"/>
                <w:sz w:val="24"/>
                <w:szCs w:val="24"/>
                <w:lang w:val="en-US" w:eastAsia="zh-CN" w:bidi="ar-SA"/>
              </w:rPr>
              <w:t>表4-3    非正常工作污染物排放情况一览表</w:t>
            </w:r>
          </w:p>
          <w:tbl>
            <w:tblPr>
              <w:tblStyle w:val="2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1124"/>
              <w:gridCol w:w="953"/>
              <w:gridCol w:w="924"/>
              <w:gridCol w:w="1048"/>
              <w:gridCol w:w="1125"/>
              <w:gridCol w:w="642"/>
              <w:gridCol w:w="741"/>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noWrap w:val="0"/>
                  <w:vAlign w:val="center"/>
                </w:tcPr>
                <w:p>
                  <w:pPr>
                    <w:pStyle w:val="37"/>
                    <w:keepNext w:val="0"/>
                    <w:keepLines w:val="0"/>
                    <w:suppressLineNumbers w:val="0"/>
                    <w:bidi w:val="0"/>
                    <w:spacing w:before="0" w:beforeAutospacing="0" w:after="0" w:afterAutospacing="0"/>
                    <w:ind w:left="0" w:right="0"/>
                    <w:rPr>
                      <w:rFonts w:hint="default" w:cs="Times New Roman"/>
                    </w:rPr>
                  </w:pPr>
                  <w:r>
                    <w:rPr>
                      <w:rFonts w:hint="default" w:cs="Times New Roman"/>
                    </w:rPr>
                    <w:t>污染源</w:t>
                  </w:r>
                </w:p>
              </w:tc>
              <w:tc>
                <w:tcPr>
                  <w:tcW w:w="672" w:type="pct"/>
                  <w:noWrap w:val="0"/>
                  <w:vAlign w:val="center"/>
                </w:tcPr>
                <w:p>
                  <w:pPr>
                    <w:pStyle w:val="37"/>
                    <w:keepNext w:val="0"/>
                    <w:keepLines w:val="0"/>
                    <w:suppressLineNumbers w:val="0"/>
                    <w:bidi w:val="0"/>
                    <w:spacing w:before="0" w:beforeAutospacing="0" w:after="0" w:afterAutospacing="0"/>
                    <w:ind w:left="0" w:right="0"/>
                    <w:rPr>
                      <w:rFonts w:hint="default" w:cs="Times New Roman"/>
                    </w:rPr>
                  </w:pPr>
                  <w:r>
                    <w:rPr>
                      <w:rFonts w:hint="default" w:cs="Times New Roman"/>
                    </w:rPr>
                    <w:t>非正常排放原因</w:t>
                  </w:r>
                </w:p>
              </w:tc>
              <w:tc>
                <w:tcPr>
                  <w:tcW w:w="570" w:type="pct"/>
                  <w:noWrap w:val="0"/>
                  <w:vAlign w:val="center"/>
                </w:tcPr>
                <w:p>
                  <w:pPr>
                    <w:pStyle w:val="37"/>
                    <w:keepNext w:val="0"/>
                    <w:keepLines w:val="0"/>
                    <w:suppressLineNumbers w:val="0"/>
                    <w:bidi w:val="0"/>
                    <w:spacing w:before="0" w:beforeAutospacing="0" w:after="0" w:afterAutospacing="0"/>
                    <w:ind w:left="0" w:right="0"/>
                    <w:rPr>
                      <w:rFonts w:hint="default" w:cs="Times New Roman"/>
                    </w:rPr>
                  </w:pPr>
                  <w:r>
                    <w:rPr>
                      <w:rFonts w:hint="default" w:cs="Times New Roman"/>
                    </w:rPr>
                    <w:t>污染物</w:t>
                  </w:r>
                </w:p>
              </w:tc>
              <w:tc>
                <w:tcPr>
                  <w:tcW w:w="552" w:type="pct"/>
                  <w:noWrap w:val="0"/>
                  <w:vAlign w:val="center"/>
                </w:tcPr>
                <w:p>
                  <w:pPr>
                    <w:pStyle w:val="37"/>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eastAsia="宋体" w:cs="Times New Roman"/>
                      <w:lang w:val="en-US" w:eastAsia="zh-CN"/>
                    </w:rPr>
                  </w:pPr>
                  <w:r>
                    <w:rPr>
                      <w:rFonts w:hint="eastAsia" w:cs="Times New Roman"/>
                      <w:lang w:val="en-US" w:eastAsia="zh-CN"/>
                    </w:rPr>
                    <w:t>排放量（kg/a）</w:t>
                  </w:r>
                </w:p>
              </w:tc>
              <w:tc>
                <w:tcPr>
                  <w:tcW w:w="626" w:type="pct"/>
                  <w:shd w:val="clear" w:color="auto" w:fill="auto"/>
                  <w:noWrap w:val="0"/>
                  <w:vAlign w:val="center"/>
                </w:tcPr>
                <w:p>
                  <w:pPr>
                    <w:pStyle w:val="5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1"/>
                      <w:highlight w:val="none"/>
                      <w:lang w:val="en-US" w:eastAsia="zh-CN" w:bidi="ar-SA"/>
                    </w:rPr>
                  </w:pPr>
                  <w:r>
                    <w:rPr>
                      <w:rFonts w:hint="eastAsia"/>
                      <w:highlight w:val="none"/>
                      <w:lang w:val="en-US" w:eastAsia="zh-CN"/>
                    </w:rPr>
                    <w:t>非正常排放速率（kg/h）</w:t>
                  </w:r>
                </w:p>
              </w:tc>
              <w:tc>
                <w:tcPr>
                  <w:tcW w:w="672" w:type="pct"/>
                  <w:noWrap w:val="0"/>
                  <w:vAlign w:val="center"/>
                </w:tcPr>
                <w:p>
                  <w:pPr>
                    <w:pStyle w:val="37"/>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eastAsia" w:cs="Times New Roman"/>
                      <w:lang w:eastAsia="zh-CN"/>
                    </w:rPr>
                  </w:pPr>
                  <w:r>
                    <w:rPr>
                      <w:rFonts w:hint="default" w:cs="Times New Roman"/>
                    </w:rPr>
                    <w:t>非正常排放浓度</w:t>
                  </w:r>
                  <w:r>
                    <w:rPr>
                      <w:rFonts w:hint="eastAsia" w:cs="Times New Roman"/>
                      <w:lang w:eastAsia="zh-CN"/>
                    </w:rPr>
                    <w:t>（</w:t>
                  </w:r>
                  <w:r>
                    <w:rPr>
                      <w:rFonts w:hint="eastAsia" w:cs="Times New Roman"/>
                      <w:lang w:val="en-US" w:eastAsia="zh-CN"/>
                    </w:rPr>
                    <w:t>mg</w:t>
                  </w:r>
                  <w:r>
                    <w:rPr>
                      <w:rFonts w:hint="default" w:cs="Times New Roman"/>
                    </w:rPr>
                    <w:t>/</w:t>
                  </w:r>
                  <w:r>
                    <w:rPr>
                      <w:rFonts w:hint="eastAsia" w:cs="Times New Roman"/>
                      <w:lang w:val="en-US" w:eastAsia="zh-CN"/>
                    </w:rPr>
                    <w:t>m</w:t>
                  </w:r>
                  <w:r>
                    <w:rPr>
                      <w:rFonts w:hint="eastAsia" w:cs="Times New Roman"/>
                      <w:vertAlign w:val="superscript"/>
                      <w:lang w:val="en-US" w:eastAsia="zh-CN"/>
                    </w:rPr>
                    <w:t>3</w:t>
                  </w:r>
                  <w:r>
                    <w:rPr>
                      <w:rFonts w:hint="eastAsia" w:cs="Times New Roman"/>
                      <w:lang w:eastAsia="zh-CN"/>
                    </w:rPr>
                    <w:t>）</w:t>
                  </w:r>
                </w:p>
              </w:tc>
              <w:tc>
                <w:tcPr>
                  <w:tcW w:w="384" w:type="pct"/>
                  <w:noWrap w:val="0"/>
                  <w:vAlign w:val="center"/>
                </w:tcPr>
                <w:p>
                  <w:pPr>
                    <w:keepNext w:val="0"/>
                    <w:keepLines w:val="0"/>
                    <w:pageBreakBefore w:val="0"/>
                    <w:suppressLineNumbers w:val="0"/>
                    <w:kinsoku/>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Cs/>
                      <w:spacing w:val="-10"/>
                      <w:szCs w:val="21"/>
                    </w:rPr>
                  </w:pPr>
                  <w:r>
                    <w:rPr>
                      <w:rFonts w:hint="default" w:ascii="Times New Roman" w:hAnsi="Times New Roman" w:eastAsia="宋体" w:cs="Times New Roman"/>
                      <w:bCs/>
                      <w:spacing w:val="-10"/>
                      <w:szCs w:val="21"/>
                    </w:rPr>
                    <w:t>年发生频次</w:t>
                  </w:r>
                </w:p>
                <w:p>
                  <w:pPr>
                    <w:pStyle w:val="37"/>
                    <w:keepNext w:val="0"/>
                    <w:keepLines w:val="0"/>
                    <w:suppressLineNumbers w:val="0"/>
                    <w:bidi w:val="0"/>
                    <w:spacing w:before="0" w:beforeAutospacing="0" w:after="0" w:afterAutospacing="0"/>
                    <w:ind w:left="0" w:right="0"/>
                    <w:rPr>
                      <w:rFonts w:hint="eastAsia" w:cs="Times New Roman"/>
                      <w:lang w:val="en-US" w:eastAsia="zh-CN"/>
                    </w:rPr>
                  </w:pPr>
                  <w:r>
                    <w:rPr>
                      <w:rFonts w:hint="eastAsia" w:eastAsia="宋体" w:cs="Times New Roman"/>
                      <w:bCs/>
                      <w:spacing w:val="-10"/>
                      <w:szCs w:val="21"/>
                      <w:lang w:eastAsia="zh-CN"/>
                    </w:rPr>
                    <w:t>（</w:t>
                  </w:r>
                  <w:r>
                    <w:rPr>
                      <w:rFonts w:hint="default" w:ascii="Times New Roman" w:hAnsi="Times New Roman" w:eastAsia="宋体" w:cs="Times New Roman"/>
                      <w:bCs/>
                      <w:spacing w:val="-10"/>
                      <w:szCs w:val="21"/>
                    </w:rPr>
                    <w:t>次/年</w:t>
                  </w:r>
                </w:p>
              </w:tc>
              <w:tc>
                <w:tcPr>
                  <w:tcW w:w="425" w:type="pct"/>
                  <w:noWrap w:val="0"/>
                  <w:vAlign w:val="center"/>
                </w:tcPr>
                <w:p>
                  <w:pPr>
                    <w:pStyle w:val="37"/>
                    <w:keepNext w:val="0"/>
                    <w:keepLines w:val="0"/>
                    <w:suppressLineNumbers w:val="0"/>
                    <w:bidi w:val="0"/>
                    <w:spacing w:before="0" w:beforeAutospacing="0" w:after="0" w:afterAutospacing="0"/>
                    <w:ind w:left="0" w:right="0"/>
                    <w:rPr>
                      <w:rFonts w:hint="default" w:cs="Times New Roman"/>
                      <w:lang w:val="en-US" w:eastAsia="zh-CN"/>
                    </w:rPr>
                  </w:pPr>
                  <w:r>
                    <w:rPr>
                      <w:rFonts w:hint="eastAsia" w:cs="Times New Roman"/>
                      <w:lang w:val="en-US" w:eastAsia="zh-CN"/>
                    </w:rPr>
                    <w:t>单次持续时间（h）</w:t>
                  </w:r>
                </w:p>
              </w:tc>
              <w:tc>
                <w:tcPr>
                  <w:tcW w:w="568" w:type="pct"/>
                  <w:noWrap w:val="0"/>
                  <w:vAlign w:val="center"/>
                </w:tcPr>
                <w:p>
                  <w:pPr>
                    <w:pStyle w:val="37"/>
                    <w:keepNext w:val="0"/>
                    <w:keepLines w:val="0"/>
                    <w:suppressLineNumbers w:val="0"/>
                    <w:bidi w:val="0"/>
                    <w:spacing w:before="0" w:beforeAutospacing="0" w:after="0" w:afterAutospacing="0"/>
                    <w:ind w:left="0" w:right="0"/>
                    <w:rPr>
                      <w:rFonts w:hint="default" w:cs="Times New Roman"/>
                    </w:rPr>
                  </w:pPr>
                  <w:r>
                    <w:rPr>
                      <w:rFonts w:hint="default" w:cs="Times New Roman"/>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restart"/>
                  <w:noWrap w:val="0"/>
                  <w:vAlign w:val="center"/>
                </w:tcPr>
                <w:p>
                  <w:pPr>
                    <w:pStyle w:val="37"/>
                    <w:keepNext w:val="0"/>
                    <w:keepLines w:val="0"/>
                    <w:suppressLineNumbers w:val="0"/>
                    <w:bidi w:val="0"/>
                    <w:spacing w:before="0" w:beforeAutospacing="0" w:after="0" w:afterAutospacing="0"/>
                    <w:ind w:left="0" w:right="0"/>
                    <w:rPr>
                      <w:rFonts w:hint="default" w:cs="Times New Roman"/>
                      <w:lang w:val="en-US"/>
                    </w:rPr>
                  </w:pPr>
                  <w:r>
                    <w:rPr>
                      <w:rFonts w:hint="eastAsia" w:cs="Times New Roman"/>
                      <w:lang w:val="en-US" w:eastAsia="zh-CN"/>
                    </w:rPr>
                    <w:t>DA001</w:t>
                  </w:r>
                </w:p>
              </w:tc>
              <w:tc>
                <w:tcPr>
                  <w:tcW w:w="672" w:type="pct"/>
                  <w:vMerge w:val="restart"/>
                  <w:noWrap w:val="0"/>
                  <w:vAlign w:val="center"/>
                </w:tcPr>
                <w:p>
                  <w:pPr>
                    <w:pStyle w:val="37"/>
                    <w:keepNext w:val="0"/>
                    <w:keepLines w:val="0"/>
                    <w:suppressLineNumbers w:val="0"/>
                    <w:bidi w:val="0"/>
                    <w:spacing w:before="0" w:beforeAutospacing="0" w:after="0" w:afterAutospacing="0"/>
                    <w:ind w:left="0" w:right="0"/>
                    <w:rPr>
                      <w:rFonts w:hint="eastAsia" w:ascii="宋体" w:hAnsi="Times New Roman" w:eastAsia="宋体" w:cs="Times New Roman"/>
                      <w:lang w:val="en-US" w:eastAsia="zh-CN"/>
                    </w:rPr>
                  </w:pPr>
                  <w:r>
                    <w:rPr>
                      <w:rFonts w:hint="eastAsia" w:ascii="宋体" w:hAnsi="Times New Roman" w:eastAsia="宋体" w:cs="Times New Roman"/>
                      <w:lang w:val="en-US" w:eastAsia="zh-CN"/>
                    </w:rPr>
                    <w:t>除尘器故障或</w:t>
                  </w:r>
                  <w:r>
                    <w:rPr>
                      <w:rFonts w:hint="eastAsia" w:ascii="宋体" w:hAnsi="Times New Roman" w:eastAsia="宋体" w:cs="Times New Roman"/>
                    </w:rPr>
                    <w:t>堵塞</w:t>
                  </w:r>
                  <w:r>
                    <w:rPr>
                      <w:rFonts w:hint="eastAsia" w:ascii="宋体" w:hAnsi="Times New Roman" w:eastAsia="宋体" w:cs="Times New Roman"/>
                      <w:lang w:eastAsia="zh-CN"/>
                    </w:rPr>
                    <w:t>、</w:t>
                  </w:r>
                  <w:r>
                    <w:rPr>
                      <w:rFonts w:hint="eastAsia" w:ascii="宋体" w:hAnsi="Times New Roman" w:eastAsia="宋体" w:cs="Times New Roman"/>
                      <w:lang w:val="en-US" w:eastAsia="zh-CN"/>
                    </w:rPr>
                    <w:t>低氮燃烧器损坏</w:t>
                  </w:r>
                  <w:r>
                    <w:rPr>
                      <w:rFonts w:hint="eastAsia" w:ascii="宋体" w:hAnsi="Times New Roman" w:eastAsia="宋体" w:cs="Times New Roman"/>
                    </w:rPr>
                    <w:t>，</w:t>
                  </w:r>
                  <w:r>
                    <w:rPr>
                      <w:rFonts w:hint="eastAsia" w:ascii="宋体" w:hAnsi="Times New Roman" w:eastAsia="宋体" w:cs="Times New Roman"/>
                      <w:lang w:val="en-US" w:eastAsia="zh-CN"/>
                    </w:rPr>
                    <w:t>治理</w:t>
                  </w:r>
                  <w:r>
                    <w:rPr>
                      <w:rFonts w:hint="eastAsia" w:ascii="宋体" w:hAnsi="Times New Roman" w:eastAsia="宋体" w:cs="Times New Roman"/>
                    </w:rPr>
                    <w:t>效率降为0%</w:t>
                  </w:r>
                </w:p>
              </w:tc>
              <w:tc>
                <w:tcPr>
                  <w:tcW w:w="570" w:type="pct"/>
                  <w:noWrap w:val="0"/>
                  <w:vAlign w:val="center"/>
                </w:tcPr>
                <w:p>
                  <w:pPr>
                    <w:pStyle w:val="37"/>
                    <w:keepNext w:val="0"/>
                    <w:keepLines w:val="0"/>
                    <w:suppressLineNumbers w:val="0"/>
                    <w:bidi w:val="0"/>
                    <w:spacing w:before="0" w:beforeAutospacing="0" w:after="0" w:afterAutospacing="0"/>
                    <w:ind w:left="0" w:right="0"/>
                    <w:rPr>
                      <w:rFonts w:hint="eastAsia" w:ascii="宋体" w:hAnsi="Times New Roman" w:eastAsia="宋体" w:cs="Times New Roman"/>
                      <w:lang w:val="en-US" w:eastAsia="zh-CN"/>
                    </w:rPr>
                  </w:pPr>
                  <w:r>
                    <w:rPr>
                      <w:rFonts w:hint="eastAsia" w:ascii="宋体" w:hAnsi="Times New Roman" w:eastAsia="宋体" w:cs="Times New Roman"/>
                      <w:lang w:val="en-US" w:eastAsia="zh-CN"/>
                    </w:rPr>
                    <w:t>SO</w:t>
                  </w:r>
                  <w:r>
                    <w:rPr>
                      <w:rFonts w:hint="eastAsia" w:ascii="宋体" w:hAnsi="Times New Roman" w:eastAsia="宋体" w:cs="Times New Roman"/>
                      <w:vertAlign w:val="baseline"/>
                      <w:lang w:val="en-US" w:eastAsia="zh-CN"/>
                    </w:rPr>
                    <w:t>2</w:t>
                  </w:r>
                </w:p>
              </w:tc>
              <w:tc>
                <w:tcPr>
                  <w:tcW w:w="931" w:type="dxa"/>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0.306</w:t>
                  </w:r>
                </w:p>
              </w:tc>
              <w:tc>
                <w:tcPr>
                  <w:tcW w:w="1056" w:type="dxa"/>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0.153</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54.487</w:t>
                  </w:r>
                </w:p>
              </w:tc>
              <w:tc>
                <w:tcPr>
                  <w:tcW w:w="384" w:type="pct"/>
                  <w:vMerge w:val="restart"/>
                  <w:noWrap w:val="0"/>
                  <w:vAlign w:val="center"/>
                </w:tcPr>
                <w:p>
                  <w:pPr>
                    <w:pStyle w:val="37"/>
                    <w:keepNext w:val="0"/>
                    <w:keepLines w:val="0"/>
                    <w:suppressLineNumbers w:val="0"/>
                    <w:bidi w:val="0"/>
                    <w:spacing w:before="0" w:beforeAutospacing="0" w:after="0" w:afterAutospacing="0"/>
                    <w:ind w:left="0" w:right="0"/>
                    <w:rPr>
                      <w:rFonts w:hint="default" w:cs="Times New Roman"/>
                      <w:lang w:val="en-US" w:eastAsia="zh-CN"/>
                    </w:rPr>
                  </w:pPr>
                  <w:r>
                    <w:rPr>
                      <w:rFonts w:hint="eastAsia" w:cs="Times New Roman"/>
                      <w:lang w:val="en-US" w:eastAsia="zh-CN"/>
                    </w:rPr>
                    <w:t>2</w:t>
                  </w:r>
                </w:p>
              </w:tc>
              <w:tc>
                <w:tcPr>
                  <w:tcW w:w="425" w:type="pct"/>
                  <w:vMerge w:val="restart"/>
                  <w:noWrap w:val="0"/>
                  <w:vAlign w:val="center"/>
                </w:tcPr>
                <w:p>
                  <w:pPr>
                    <w:pStyle w:val="37"/>
                    <w:keepNext w:val="0"/>
                    <w:keepLines w:val="0"/>
                    <w:suppressLineNumbers w:val="0"/>
                    <w:bidi w:val="0"/>
                    <w:spacing w:before="0" w:beforeAutospacing="0" w:after="0" w:afterAutospacing="0"/>
                    <w:ind w:left="0" w:right="0"/>
                    <w:rPr>
                      <w:rFonts w:hint="eastAsia" w:cs="Times New Roman"/>
                      <w:lang w:val="en-US" w:eastAsia="zh-CN"/>
                    </w:rPr>
                  </w:pPr>
                  <w:r>
                    <w:rPr>
                      <w:rFonts w:hint="eastAsia" w:cs="Times New Roman"/>
                      <w:lang w:val="en-US" w:eastAsia="zh-CN"/>
                    </w:rPr>
                    <w:t>1</w:t>
                  </w:r>
                </w:p>
              </w:tc>
              <w:tc>
                <w:tcPr>
                  <w:tcW w:w="568"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pacing w:val="-10"/>
                      <w:szCs w:val="21"/>
                    </w:rPr>
                  </w:pPr>
                  <w:r>
                    <w:rPr>
                      <w:rFonts w:hint="default" w:cs="Times New Roman"/>
                    </w:rPr>
                    <w:t>发现问题第一时间维修、停止生产，待设备正常后恢复生产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27" w:type="pct"/>
                  <w:vMerge w:val="continue"/>
                  <w:noWrap w:val="0"/>
                  <w:vAlign w:val="center"/>
                </w:tcPr>
                <w:p>
                  <w:pPr>
                    <w:pStyle w:val="37"/>
                    <w:keepNext w:val="0"/>
                    <w:keepLines w:val="0"/>
                    <w:suppressLineNumbers w:val="0"/>
                    <w:bidi w:val="0"/>
                    <w:spacing w:before="0" w:beforeAutospacing="0" w:after="0" w:afterAutospacing="0"/>
                    <w:ind w:left="0" w:right="0"/>
                    <w:rPr>
                      <w:rFonts w:hint="default" w:cs="Times New Roman"/>
                    </w:rPr>
                  </w:pPr>
                </w:p>
              </w:tc>
              <w:tc>
                <w:tcPr>
                  <w:tcW w:w="672" w:type="pct"/>
                  <w:vMerge w:val="continue"/>
                  <w:noWrap w:val="0"/>
                  <w:vAlign w:val="center"/>
                </w:tcPr>
                <w:p>
                  <w:pPr>
                    <w:pStyle w:val="37"/>
                    <w:keepNext w:val="0"/>
                    <w:keepLines w:val="0"/>
                    <w:suppressLineNumbers w:val="0"/>
                    <w:bidi w:val="0"/>
                    <w:spacing w:before="0" w:beforeAutospacing="0" w:after="0" w:afterAutospacing="0"/>
                    <w:ind w:left="0" w:right="0"/>
                    <w:rPr>
                      <w:rFonts w:hint="eastAsia" w:ascii="宋体" w:hAnsi="Times New Roman" w:eastAsia="宋体" w:cs="Times New Roman"/>
                    </w:rPr>
                  </w:pPr>
                </w:p>
              </w:tc>
              <w:tc>
                <w:tcPr>
                  <w:tcW w:w="570" w:type="pct"/>
                  <w:noWrap w:val="0"/>
                  <w:vAlign w:val="center"/>
                </w:tcPr>
                <w:p>
                  <w:pPr>
                    <w:pStyle w:val="37"/>
                    <w:keepNext w:val="0"/>
                    <w:keepLines w:val="0"/>
                    <w:suppressLineNumbers w:val="0"/>
                    <w:bidi w:val="0"/>
                    <w:spacing w:before="0" w:beforeAutospacing="0" w:after="0" w:afterAutospacing="0"/>
                    <w:ind w:left="0" w:right="0"/>
                    <w:rPr>
                      <w:rFonts w:hint="eastAsia" w:ascii="宋体" w:hAnsi="Times New Roman" w:eastAsia="宋体" w:cs="Times New Roman"/>
                      <w:lang w:val="en-US" w:eastAsia="zh-CN"/>
                    </w:rPr>
                  </w:pPr>
                  <w:r>
                    <w:rPr>
                      <w:rFonts w:hint="eastAsia" w:ascii="宋体" w:hAnsi="Times New Roman" w:eastAsia="宋体" w:cs="Times New Roman"/>
                    </w:rPr>
                    <w:t>颗粒物</w:t>
                  </w:r>
                </w:p>
              </w:tc>
              <w:tc>
                <w:tcPr>
                  <w:tcW w:w="931" w:type="dxa"/>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0.45</w:t>
                  </w:r>
                </w:p>
              </w:tc>
              <w:tc>
                <w:tcPr>
                  <w:tcW w:w="1056" w:type="dxa"/>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u w:val="none"/>
                      <w:lang w:val="en-US" w:eastAsia="zh-CN" w:bidi="ar"/>
                    </w:rPr>
                  </w:pPr>
                  <w:r>
                    <w:rPr>
                      <w:rFonts w:hint="eastAsia" w:ascii="宋体" w:hAnsi="宋体" w:eastAsia="宋体" w:cs="宋体"/>
                      <w:color w:val="000000"/>
                      <w:kern w:val="0"/>
                      <w:sz w:val="22"/>
                      <w:szCs w:val="22"/>
                      <w:u w:val="none"/>
                      <w:lang w:val="en-US" w:eastAsia="zh-CN" w:bidi="ar"/>
                    </w:rPr>
                    <w:t>0.225</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80.128</w:t>
                  </w:r>
                </w:p>
              </w:tc>
              <w:tc>
                <w:tcPr>
                  <w:tcW w:w="384" w:type="pct"/>
                  <w:vMerge w:val="continue"/>
                  <w:noWrap w:val="0"/>
                  <w:vAlign w:val="center"/>
                </w:tcPr>
                <w:p>
                  <w:pPr>
                    <w:pStyle w:val="37"/>
                    <w:keepNext w:val="0"/>
                    <w:keepLines w:val="0"/>
                    <w:suppressLineNumbers w:val="0"/>
                    <w:bidi w:val="0"/>
                    <w:spacing w:before="0" w:beforeAutospacing="0" w:after="0" w:afterAutospacing="0"/>
                    <w:ind w:left="0" w:right="0"/>
                    <w:rPr>
                      <w:rFonts w:hint="default" w:cs="Times New Roman"/>
                    </w:rPr>
                  </w:pPr>
                </w:p>
              </w:tc>
              <w:tc>
                <w:tcPr>
                  <w:tcW w:w="425" w:type="pct"/>
                  <w:vMerge w:val="continue"/>
                  <w:noWrap w:val="0"/>
                  <w:vAlign w:val="center"/>
                </w:tcPr>
                <w:p>
                  <w:pPr>
                    <w:pStyle w:val="37"/>
                    <w:keepNext w:val="0"/>
                    <w:keepLines w:val="0"/>
                    <w:suppressLineNumbers w:val="0"/>
                    <w:bidi w:val="0"/>
                    <w:spacing w:before="0" w:beforeAutospacing="0" w:after="0" w:afterAutospacing="0"/>
                    <w:ind w:left="0" w:right="0"/>
                    <w:rPr>
                      <w:rFonts w:hint="default" w:cs="Times New Roman"/>
                    </w:rPr>
                  </w:pPr>
                </w:p>
              </w:tc>
              <w:tc>
                <w:tcPr>
                  <w:tcW w:w="568"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continue"/>
                  <w:noWrap w:val="0"/>
                  <w:vAlign w:val="center"/>
                </w:tcPr>
                <w:p>
                  <w:pPr>
                    <w:pStyle w:val="37"/>
                    <w:keepNext w:val="0"/>
                    <w:keepLines w:val="0"/>
                    <w:suppressLineNumbers w:val="0"/>
                    <w:bidi w:val="0"/>
                    <w:spacing w:before="0" w:beforeAutospacing="0" w:after="0" w:afterAutospacing="0"/>
                    <w:ind w:left="0" w:right="0"/>
                    <w:rPr>
                      <w:rFonts w:hint="default" w:cs="Times New Roman"/>
                      <w:lang w:val="en-US"/>
                    </w:rPr>
                  </w:pPr>
                </w:p>
              </w:tc>
              <w:tc>
                <w:tcPr>
                  <w:tcW w:w="672" w:type="pct"/>
                  <w:vMerge w:val="continue"/>
                  <w:noWrap w:val="0"/>
                  <w:vAlign w:val="center"/>
                </w:tcPr>
                <w:p>
                  <w:pPr>
                    <w:pStyle w:val="37"/>
                    <w:keepNext w:val="0"/>
                    <w:keepLines w:val="0"/>
                    <w:suppressLineNumbers w:val="0"/>
                    <w:bidi w:val="0"/>
                    <w:spacing w:before="0" w:beforeAutospacing="0" w:after="0" w:afterAutospacing="0"/>
                    <w:ind w:left="0" w:right="0"/>
                    <w:rPr>
                      <w:rFonts w:hint="eastAsia" w:ascii="宋体" w:hAnsi="Times New Roman" w:eastAsia="宋体" w:cs="Times New Roman"/>
                      <w:lang w:val="en-US" w:eastAsia="zh-CN"/>
                    </w:rPr>
                  </w:pPr>
                </w:p>
              </w:tc>
              <w:tc>
                <w:tcPr>
                  <w:tcW w:w="570" w:type="pct"/>
                  <w:noWrap w:val="0"/>
                  <w:vAlign w:val="center"/>
                </w:tcPr>
                <w:p>
                  <w:pPr>
                    <w:pStyle w:val="37"/>
                    <w:keepNext w:val="0"/>
                    <w:keepLines w:val="0"/>
                    <w:suppressLineNumbers w:val="0"/>
                    <w:bidi w:val="0"/>
                    <w:spacing w:before="0" w:beforeAutospacing="0" w:after="0" w:afterAutospacing="0"/>
                    <w:ind w:left="0" w:right="0"/>
                    <w:rPr>
                      <w:rFonts w:hint="eastAsia" w:ascii="宋体" w:hAnsi="Times New Roman" w:eastAsia="宋体" w:cs="Times New Roman"/>
                    </w:rPr>
                  </w:pPr>
                  <w:r>
                    <w:rPr>
                      <w:rFonts w:hint="eastAsia" w:ascii="宋体" w:hAnsi="Times New Roman" w:eastAsia="宋体" w:cs="Times New Roman"/>
                      <w:lang w:val="en-US" w:eastAsia="zh-CN"/>
                    </w:rPr>
                    <w:t>NOx</w:t>
                  </w:r>
                </w:p>
              </w:tc>
              <w:tc>
                <w:tcPr>
                  <w:tcW w:w="931" w:type="dxa"/>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0.918</w:t>
                  </w:r>
                </w:p>
              </w:tc>
              <w:tc>
                <w:tcPr>
                  <w:tcW w:w="1056" w:type="dxa"/>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0.459</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163.462</w:t>
                  </w:r>
                </w:p>
              </w:tc>
              <w:tc>
                <w:tcPr>
                  <w:tcW w:w="384" w:type="pct"/>
                  <w:vMerge w:val="continue"/>
                  <w:noWrap w:val="0"/>
                  <w:vAlign w:val="center"/>
                </w:tcPr>
                <w:p>
                  <w:pPr>
                    <w:pStyle w:val="37"/>
                    <w:keepNext w:val="0"/>
                    <w:keepLines w:val="0"/>
                    <w:suppressLineNumbers w:val="0"/>
                    <w:bidi w:val="0"/>
                    <w:spacing w:before="0" w:beforeAutospacing="0" w:after="0" w:afterAutospacing="0"/>
                    <w:ind w:left="0" w:right="0"/>
                    <w:rPr>
                      <w:rFonts w:hint="default" w:cs="Times New Roman"/>
                    </w:rPr>
                  </w:pPr>
                </w:p>
              </w:tc>
              <w:tc>
                <w:tcPr>
                  <w:tcW w:w="425" w:type="pct"/>
                  <w:vMerge w:val="continue"/>
                  <w:noWrap w:val="0"/>
                  <w:vAlign w:val="center"/>
                </w:tcPr>
                <w:p>
                  <w:pPr>
                    <w:pStyle w:val="37"/>
                    <w:keepNext w:val="0"/>
                    <w:keepLines w:val="0"/>
                    <w:suppressLineNumbers w:val="0"/>
                    <w:bidi w:val="0"/>
                    <w:spacing w:before="0" w:beforeAutospacing="0" w:after="0" w:afterAutospacing="0"/>
                    <w:ind w:left="0" w:right="0"/>
                    <w:rPr>
                      <w:rFonts w:hint="default" w:cs="Times New Roman"/>
                    </w:rPr>
                  </w:pPr>
                </w:p>
              </w:tc>
              <w:tc>
                <w:tcPr>
                  <w:tcW w:w="568"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pacing w:val="-10"/>
                      <w:szCs w:val="21"/>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2" w:firstLineChars="200"/>
              <w:jc w:val="both"/>
              <w:textAlignment w:val="auto"/>
              <w:rPr>
                <w:rFonts w:hint="default" w:ascii="宋体" w:hAnsi="宋体" w:eastAsia="宋体" w:cs="宋体"/>
                <w:b/>
                <w:bCs/>
                <w:sz w:val="24"/>
                <w:szCs w:val="24"/>
                <w:lang w:val="en-US" w:eastAsia="zh-CN"/>
              </w:rPr>
            </w:pPr>
            <w:r>
              <w:rPr>
                <w:rFonts w:hint="eastAsia" w:ascii="宋体" w:hAnsi="宋体" w:eastAsia="宋体" w:cs="宋体"/>
                <w:b/>
                <w:bCs/>
                <w:kern w:val="2"/>
                <w:sz w:val="24"/>
                <w:szCs w:val="24"/>
                <w:lang w:val="en-US" w:eastAsia="zh-CN" w:bidi="ar-SA"/>
              </w:rPr>
              <w:t>6、</w:t>
            </w:r>
            <w:r>
              <w:rPr>
                <w:rFonts w:hint="eastAsia" w:ascii="宋体" w:hAnsi="宋体" w:eastAsia="宋体" w:cs="宋体"/>
                <w:b/>
                <w:bCs/>
                <w:sz w:val="24"/>
                <w:szCs w:val="24"/>
                <w:lang w:val="en-US" w:eastAsia="zh-CN"/>
              </w:rPr>
              <w:t>废气自行监测</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40"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Cs/>
                <w:spacing w:val="-10"/>
                <w:sz w:val="24"/>
                <w:szCs w:val="24"/>
              </w:rPr>
              <w:t>根据</w:t>
            </w:r>
            <w:r>
              <w:rPr>
                <w:rFonts w:hint="eastAsia" w:ascii="宋体" w:hAnsi="宋体" w:cs="宋体"/>
                <w:bCs/>
                <w:spacing w:val="-10"/>
                <w:sz w:val="24"/>
                <w:szCs w:val="24"/>
                <w:lang w:eastAsia="zh-CN"/>
              </w:rPr>
              <w:t>《</w:t>
            </w:r>
            <w:r>
              <w:rPr>
                <w:rFonts w:hint="eastAsia" w:ascii="宋体" w:hAnsi="宋体" w:eastAsia="宋体" w:cs="宋体"/>
                <w:bCs/>
                <w:spacing w:val="-10"/>
                <w:sz w:val="24"/>
                <w:szCs w:val="24"/>
              </w:rPr>
              <w:t>排污单位自行监测技术指南 火力发电及锅炉</w:t>
            </w:r>
            <w:r>
              <w:rPr>
                <w:rFonts w:hint="eastAsia" w:ascii="宋体" w:hAnsi="宋体" w:cs="宋体"/>
                <w:bCs/>
                <w:spacing w:val="-10"/>
                <w:sz w:val="24"/>
                <w:szCs w:val="24"/>
                <w:lang w:eastAsia="zh-CN"/>
              </w:rPr>
              <w:t>》（</w:t>
            </w:r>
            <w:r>
              <w:rPr>
                <w:rFonts w:hint="eastAsia" w:ascii="宋体" w:hAnsi="宋体" w:eastAsia="宋体" w:cs="宋体"/>
                <w:bCs/>
                <w:spacing w:val="-10"/>
                <w:sz w:val="24"/>
                <w:szCs w:val="24"/>
              </w:rPr>
              <w:t>HJ 820-2017</w:t>
            </w:r>
            <w:r>
              <w:rPr>
                <w:rFonts w:hint="eastAsia" w:ascii="宋体" w:hAnsi="宋体" w:cs="宋体"/>
                <w:bCs/>
                <w:spacing w:val="-10"/>
                <w:sz w:val="24"/>
                <w:szCs w:val="24"/>
                <w:lang w:eastAsia="zh-CN"/>
              </w:rPr>
              <w:t>）</w:t>
            </w:r>
            <w:r>
              <w:rPr>
                <w:rFonts w:hint="eastAsia" w:ascii="宋体" w:hAnsi="宋体" w:eastAsia="宋体" w:cs="宋体"/>
                <w:bCs/>
                <w:spacing w:val="-10"/>
                <w:sz w:val="24"/>
                <w:szCs w:val="24"/>
              </w:rPr>
              <w:t>的要求，本项目大气监测计划</w:t>
            </w:r>
            <w:r>
              <w:rPr>
                <w:rFonts w:hint="eastAsia" w:ascii="宋体" w:hAnsi="宋体" w:eastAsia="宋体" w:cs="宋体"/>
                <w:bCs/>
                <w:spacing w:val="-10"/>
                <w:sz w:val="24"/>
                <w:szCs w:val="24"/>
                <w:lang w:eastAsia="zh-CN"/>
              </w:rPr>
              <w:t>见表</w:t>
            </w:r>
            <w:r>
              <w:rPr>
                <w:rFonts w:hint="eastAsia" w:ascii="宋体" w:hAnsi="宋体" w:eastAsia="宋体" w:cs="宋体"/>
                <w:bCs/>
                <w:spacing w:val="-10"/>
                <w:sz w:val="24"/>
                <w:szCs w:val="24"/>
                <w:lang w:val="en-US" w:eastAsia="zh-CN"/>
              </w:rPr>
              <w:t>4-</w:t>
            </w:r>
            <w:r>
              <w:rPr>
                <w:rFonts w:hint="eastAsia" w:ascii="宋体" w:hAnsi="宋体" w:cs="宋体"/>
                <w:bCs/>
                <w:spacing w:val="-10"/>
                <w:sz w:val="24"/>
                <w:szCs w:val="24"/>
                <w:lang w:val="en-US" w:eastAsia="zh-CN"/>
              </w:rPr>
              <w:t>4</w:t>
            </w:r>
            <w:r>
              <w:rPr>
                <w:rFonts w:hint="eastAsia" w:ascii="宋体" w:hAnsi="宋体" w:eastAsia="宋体" w:cs="宋体"/>
                <w:bCs/>
                <w:spacing w:val="-10"/>
                <w:sz w:val="24"/>
                <w:szCs w:val="24"/>
              </w:rPr>
              <w:t>：</w:t>
            </w: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表4-</w:t>
            </w:r>
            <w:r>
              <w:rPr>
                <w:rFonts w:hint="eastAsia" w:ascii="宋体" w:hAnsi="宋体" w:cs="宋体"/>
                <w:b/>
                <w:bCs/>
                <w:sz w:val="24"/>
                <w:szCs w:val="24"/>
                <w:lang w:val="en-US" w:eastAsia="zh-CN"/>
              </w:rPr>
              <w:t>4</w:t>
            </w:r>
            <w:r>
              <w:rPr>
                <w:rFonts w:hint="eastAsia" w:ascii="宋体" w:hAnsi="宋体" w:eastAsia="宋体" w:cs="宋体"/>
                <w:b/>
                <w:bCs/>
                <w:sz w:val="24"/>
                <w:szCs w:val="24"/>
                <w:lang w:val="en-US" w:eastAsia="zh-CN"/>
              </w:rPr>
              <w:t xml:space="preserve">     废气环境监测计划</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620"/>
              <w:gridCol w:w="2005"/>
              <w:gridCol w:w="1178"/>
              <w:gridCol w:w="2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08" w:type="pct"/>
                  <w:noWrap w:val="0"/>
                  <w:vAlign w:val="center"/>
                </w:tcPr>
                <w:p>
                  <w:pPr>
                    <w:keepLines w:val="0"/>
                    <w:pageBreakBefore w:val="0"/>
                    <w:kinsoku/>
                    <w:topLinePunct w:val="0"/>
                    <w:bidi w:val="0"/>
                    <w:jc w:val="center"/>
                    <w:rPr>
                      <w:szCs w:val="21"/>
                    </w:rPr>
                  </w:pPr>
                  <w:r>
                    <w:rPr>
                      <w:rFonts w:hint="eastAsia"/>
                      <w:szCs w:val="21"/>
                    </w:rPr>
                    <w:t>类型</w:t>
                  </w:r>
                </w:p>
              </w:tc>
              <w:tc>
                <w:tcPr>
                  <w:tcW w:w="964" w:type="pct"/>
                  <w:noWrap w:val="0"/>
                  <w:vAlign w:val="center"/>
                </w:tcPr>
                <w:p>
                  <w:pPr>
                    <w:keepLines w:val="0"/>
                    <w:pageBreakBefore w:val="0"/>
                    <w:kinsoku/>
                    <w:topLinePunct w:val="0"/>
                    <w:bidi w:val="0"/>
                    <w:jc w:val="center"/>
                    <w:rPr>
                      <w:szCs w:val="21"/>
                    </w:rPr>
                  </w:pPr>
                  <w:r>
                    <w:rPr>
                      <w:rFonts w:hint="eastAsia"/>
                      <w:szCs w:val="21"/>
                    </w:rPr>
                    <w:t>监测</w:t>
                  </w:r>
                  <w:r>
                    <w:rPr>
                      <w:szCs w:val="21"/>
                    </w:rPr>
                    <w:t>位置</w:t>
                  </w:r>
                </w:p>
              </w:tc>
              <w:tc>
                <w:tcPr>
                  <w:tcW w:w="1193" w:type="pct"/>
                  <w:noWrap w:val="0"/>
                  <w:vAlign w:val="center"/>
                </w:tcPr>
                <w:p>
                  <w:pPr>
                    <w:keepLines w:val="0"/>
                    <w:pageBreakBefore w:val="0"/>
                    <w:kinsoku/>
                    <w:topLinePunct w:val="0"/>
                    <w:bidi w:val="0"/>
                    <w:jc w:val="center"/>
                    <w:rPr>
                      <w:szCs w:val="21"/>
                    </w:rPr>
                  </w:pPr>
                  <w:r>
                    <w:rPr>
                      <w:szCs w:val="21"/>
                    </w:rPr>
                    <w:t>监测项目</w:t>
                  </w:r>
                </w:p>
              </w:tc>
              <w:tc>
                <w:tcPr>
                  <w:tcW w:w="701" w:type="pct"/>
                  <w:noWrap w:val="0"/>
                  <w:vAlign w:val="center"/>
                </w:tcPr>
                <w:p>
                  <w:pPr>
                    <w:keepLines w:val="0"/>
                    <w:pageBreakBefore w:val="0"/>
                    <w:kinsoku/>
                    <w:topLinePunct w:val="0"/>
                    <w:bidi w:val="0"/>
                    <w:jc w:val="center"/>
                    <w:rPr>
                      <w:szCs w:val="21"/>
                    </w:rPr>
                  </w:pPr>
                  <w:r>
                    <w:rPr>
                      <w:szCs w:val="21"/>
                    </w:rPr>
                    <w:t>监测频次</w:t>
                  </w:r>
                </w:p>
              </w:tc>
              <w:tc>
                <w:tcPr>
                  <w:tcW w:w="1531" w:type="pct"/>
                  <w:noWrap w:val="0"/>
                  <w:vAlign w:val="center"/>
                </w:tcPr>
                <w:p>
                  <w:pPr>
                    <w:keepLines w:val="0"/>
                    <w:pageBreakBefore w:val="0"/>
                    <w:kinsoku/>
                    <w:topLinePunct w:val="0"/>
                    <w:bidi w:val="0"/>
                    <w:jc w:val="center"/>
                    <w:rPr>
                      <w:szCs w:val="21"/>
                    </w:rPr>
                  </w:pPr>
                  <w:r>
                    <w:rPr>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08" w:type="pct"/>
                  <w:noWrap w:val="0"/>
                  <w:vAlign w:val="center"/>
                </w:tcPr>
                <w:p>
                  <w:pPr>
                    <w:keepLines w:val="0"/>
                    <w:pageBreakBefore w:val="0"/>
                    <w:kinsoku/>
                    <w:topLinePunct w:val="0"/>
                    <w:bidi w:val="0"/>
                    <w:jc w:val="center"/>
                    <w:rPr>
                      <w:rFonts w:hint="default" w:eastAsia="宋体"/>
                      <w:szCs w:val="21"/>
                      <w:lang w:val="en-US" w:eastAsia="zh-CN"/>
                    </w:rPr>
                  </w:pPr>
                  <w:r>
                    <w:rPr>
                      <w:rFonts w:hint="eastAsia"/>
                      <w:szCs w:val="21"/>
                      <w:lang w:val="en-US" w:eastAsia="zh-CN"/>
                    </w:rPr>
                    <w:t>有组织废气</w:t>
                  </w:r>
                </w:p>
              </w:tc>
              <w:tc>
                <w:tcPr>
                  <w:tcW w:w="964" w:type="pct"/>
                  <w:noWrap w:val="0"/>
                  <w:vAlign w:val="center"/>
                </w:tcPr>
                <w:p>
                  <w:pPr>
                    <w:keepLines w:val="0"/>
                    <w:pageBreakBefore w:val="0"/>
                    <w:kinsoku/>
                    <w:topLinePunct w:val="0"/>
                    <w:bidi w:val="0"/>
                    <w:jc w:val="center"/>
                    <w:rPr>
                      <w:rFonts w:hint="default" w:eastAsia="宋体"/>
                      <w:szCs w:val="21"/>
                      <w:lang w:val="en-US" w:eastAsia="zh-CN"/>
                    </w:rPr>
                  </w:pPr>
                  <w:r>
                    <w:rPr>
                      <w:rFonts w:hint="eastAsia"/>
                      <w:szCs w:val="21"/>
                      <w:lang w:val="en-US" w:eastAsia="zh-CN"/>
                    </w:rPr>
                    <w:t>锅炉排气筒</w:t>
                  </w:r>
                </w:p>
              </w:tc>
              <w:tc>
                <w:tcPr>
                  <w:tcW w:w="1193" w:type="pct"/>
                  <w:noWrap w:val="0"/>
                  <w:vAlign w:val="center"/>
                </w:tcPr>
                <w:p>
                  <w:pPr>
                    <w:numPr>
                      <w:ilvl w:val="0"/>
                      <w:numId w:val="0"/>
                    </w:numPr>
                    <w:adjustRightInd w:val="0"/>
                    <w:snapToGrid w:val="0"/>
                    <w:spacing w:line="240" w:lineRule="auto"/>
                    <w:ind w:left="0" w:leftChars="0" w:firstLine="0" w:firstLineChars="0"/>
                    <w:jc w:val="center"/>
                    <w:rPr>
                      <w:rFonts w:hint="default"/>
                      <w:b w:val="0"/>
                      <w:kern w:val="2"/>
                      <w:sz w:val="21"/>
                      <w:szCs w:val="21"/>
                      <w:vertAlign w:val="baseline"/>
                      <w:lang w:val="en-US" w:eastAsia="zh-CN" w:bidi="ar-SA"/>
                    </w:rPr>
                  </w:pPr>
                  <w:r>
                    <w:rPr>
                      <w:rFonts w:hint="eastAsia"/>
                      <w:b w:val="0"/>
                      <w:kern w:val="2"/>
                      <w:sz w:val="21"/>
                      <w:szCs w:val="21"/>
                      <w:vertAlign w:val="baseline"/>
                      <w:lang w:val="en-US" w:eastAsia="zh-CN" w:bidi="ar-SA"/>
                    </w:rPr>
                    <w:t>颗粒物、SO</w:t>
                  </w:r>
                  <w:r>
                    <w:rPr>
                      <w:rFonts w:hint="eastAsia"/>
                      <w:b w:val="0"/>
                      <w:kern w:val="2"/>
                      <w:sz w:val="21"/>
                      <w:szCs w:val="21"/>
                      <w:vertAlign w:val="subscript"/>
                      <w:lang w:val="en-US" w:eastAsia="zh-CN" w:bidi="ar-SA"/>
                    </w:rPr>
                    <w:t>2</w:t>
                  </w:r>
                  <w:r>
                    <w:rPr>
                      <w:rFonts w:hint="eastAsia"/>
                      <w:b w:val="0"/>
                      <w:kern w:val="2"/>
                      <w:sz w:val="21"/>
                      <w:szCs w:val="21"/>
                      <w:vertAlign w:val="baseline"/>
                      <w:lang w:val="en-US" w:eastAsia="zh-CN" w:bidi="ar-SA"/>
                    </w:rPr>
                    <w:t>、NO</w:t>
                  </w:r>
                  <w:r>
                    <w:rPr>
                      <w:rFonts w:hint="eastAsia"/>
                      <w:b w:val="0"/>
                      <w:kern w:val="2"/>
                      <w:sz w:val="21"/>
                      <w:szCs w:val="21"/>
                      <w:vertAlign w:val="subscript"/>
                      <w:lang w:val="en-US" w:eastAsia="zh-CN" w:bidi="ar-SA"/>
                    </w:rPr>
                    <w:t>X</w:t>
                  </w:r>
                  <w:r>
                    <w:rPr>
                      <w:rFonts w:hint="eastAsia" w:ascii="Times New Roman" w:hAnsi="Times New Roman" w:eastAsia="宋体" w:cs="Times New Roman"/>
                      <w:b w:val="0"/>
                      <w:kern w:val="2"/>
                      <w:sz w:val="21"/>
                      <w:szCs w:val="21"/>
                      <w:vertAlign w:val="baseline"/>
                      <w:lang w:val="en-US" w:eastAsia="zh-CN" w:bidi="ar-SA"/>
                    </w:rPr>
                    <w:t>、林格曼黑度</w:t>
                  </w:r>
                </w:p>
              </w:tc>
              <w:tc>
                <w:tcPr>
                  <w:tcW w:w="701" w:type="pct"/>
                  <w:noWrap w:val="0"/>
                  <w:vAlign w:val="center"/>
                </w:tcPr>
                <w:p>
                  <w:pPr>
                    <w:numPr>
                      <w:ilvl w:val="0"/>
                      <w:numId w:val="0"/>
                    </w:numPr>
                    <w:adjustRightInd w:val="0"/>
                    <w:snapToGrid w:val="0"/>
                    <w:spacing w:line="240" w:lineRule="auto"/>
                    <w:ind w:left="0" w:leftChars="0" w:firstLine="0" w:firstLineChars="0"/>
                    <w:jc w:val="center"/>
                    <w:rPr>
                      <w:rFonts w:hint="eastAsia" w:eastAsia="宋体"/>
                      <w:b w:val="0"/>
                      <w:kern w:val="2"/>
                      <w:sz w:val="21"/>
                      <w:szCs w:val="21"/>
                      <w:vertAlign w:val="baseline"/>
                      <w:lang w:val="en-US" w:eastAsia="zh-CN" w:bidi="ar-SA"/>
                    </w:rPr>
                  </w:pPr>
                  <w:r>
                    <w:rPr>
                      <w:szCs w:val="21"/>
                    </w:rPr>
                    <w:t>1次/</w:t>
                  </w:r>
                  <w:r>
                    <w:rPr>
                      <w:rFonts w:hint="eastAsia"/>
                      <w:szCs w:val="21"/>
                      <w:lang w:val="en-US" w:eastAsia="zh-CN"/>
                    </w:rPr>
                    <w:t>月</w:t>
                  </w:r>
                </w:p>
              </w:tc>
              <w:tc>
                <w:tcPr>
                  <w:tcW w:w="1531" w:type="pct"/>
                  <w:noWrap w:val="0"/>
                  <w:vAlign w:val="center"/>
                </w:tcPr>
                <w:p>
                  <w:pPr>
                    <w:numPr>
                      <w:ilvl w:val="0"/>
                      <w:numId w:val="0"/>
                    </w:numPr>
                    <w:adjustRightInd w:val="0"/>
                    <w:snapToGrid w:val="0"/>
                    <w:spacing w:line="240" w:lineRule="auto"/>
                    <w:ind w:left="0" w:leftChars="0" w:firstLine="0" w:firstLineChars="0"/>
                    <w:jc w:val="center"/>
                    <w:rPr>
                      <w:rFonts w:hint="default"/>
                      <w:b w:val="0"/>
                      <w:kern w:val="2"/>
                      <w:sz w:val="21"/>
                      <w:szCs w:val="21"/>
                      <w:vertAlign w:val="baseline"/>
                      <w:lang w:val="en-US" w:eastAsia="zh-CN" w:bidi="ar-SA"/>
                    </w:rPr>
                  </w:pPr>
                  <w:r>
                    <w:rPr>
                      <w:rFonts w:hint="default"/>
                      <w:b w:val="0"/>
                      <w:kern w:val="2"/>
                      <w:sz w:val="21"/>
                      <w:szCs w:val="21"/>
                      <w:vertAlign w:val="baseline"/>
                      <w:lang w:val="en-US" w:eastAsia="zh-CN" w:bidi="ar-SA"/>
                    </w:rPr>
                    <w:t>《锅炉大气污染物排放标准》</w:t>
                  </w:r>
                  <w:r>
                    <w:rPr>
                      <w:rFonts w:hint="eastAsia"/>
                      <w:b w:val="0"/>
                      <w:kern w:val="2"/>
                      <w:sz w:val="21"/>
                      <w:szCs w:val="21"/>
                      <w:vertAlign w:val="baseline"/>
                      <w:lang w:val="en-US" w:eastAsia="zh-CN" w:bidi="ar-SA"/>
                    </w:rPr>
                    <w:t>（</w:t>
                  </w:r>
                  <w:r>
                    <w:rPr>
                      <w:rFonts w:hint="default"/>
                      <w:b w:val="0"/>
                      <w:kern w:val="2"/>
                      <w:sz w:val="21"/>
                      <w:szCs w:val="21"/>
                      <w:vertAlign w:val="baseline"/>
                      <w:lang w:val="en-US" w:eastAsia="zh-CN" w:bidi="ar-SA"/>
                    </w:rPr>
                    <w:t>GB13271-2014</w:t>
                  </w:r>
                  <w:r>
                    <w:rPr>
                      <w:rFonts w:hint="eastAsia"/>
                      <w:b w:val="0"/>
                      <w:kern w:val="2"/>
                      <w:sz w:val="21"/>
                      <w:szCs w:val="21"/>
                      <w:vertAlign w:val="baseline"/>
                      <w:lang w:val="en-US" w:eastAsia="zh-CN" w:bidi="ar-SA"/>
                    </w:rPr>
                    <w:t>）</w:t>
                  </w:r>
                  <w:r>
                    <w:rPr>
                      <w:rFonts w:hint="default"/>
                      <w:b w:val="0"/>
                      <w:kern w:val="2"/>
                      <w:sz w:val="21"/>
                      <w:szCs w:val="21"/>
                      <w:vertAlign w:val="baseline"/>
                      <w:lang w:val="en-US" w:eastAsia="zh-CN" w:bidi="ar-SA"/>
                    </w:rPr>
                    <w:t>中表2燃</w:t>
                  </w:r>
                  <w:r>
                    <w:rPr>
                      <w:rFonts w:hint="eastAsia"/>
                      <w:b w:val="0"/>
                      <w:kern w:val="2"/>
                      <w:sz w:val="21"/>
                      <w:szCs w:val="21"/>
                      <w:vertAlign w:val="baseline"/>
                      <w:lang w:val="en-US" w:eastAsia="zh-CN" w:bidi="ar-SA"/>
                    </w:rPr>
                    <w:t>煤</w:t>
                  </w:r>
                  <w:r>
                    <w:rPr>
                      <w:rFonts w:hint="default"/>
                      <w:b w:val="0"/>
                      <w:kern w:val="2"/>
                      <w:sz w:val="21"/>
                      <w:szCs w:val="21"/>
                      <w:vertAlign w:val="baseline"/>
                      <w:lang w:val="en-US" w:eastAsia="zh-CN" w:bidi="ar-SA"/>
                    </w:rPr>
                    <w:t>锅炉排放限值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08" w:type="pct"/>
                  <w:noWrap w:val="0"/>
                  <w:vAlign w:val="center"/>
                </w:tcPr>
                <w:p>
                  <w:pPr>
                    <w:keepLines w:val="0"/>
                    <w:pageBreakBefore w:val="0"/>
                    <w:kinsoku/>
                    <w:topLinePunct w:val="0"/>
                    <w:bidi w:val="0"/>
                    <w:jc w:val="center"/>
                    <w:rPr>
                      <w:rFonts w:hint="default"/>
                      <w:szCs w:val="21"/>
                      <w:lang w:val="en-US" w:eastAsia="zh-CN"/>
                    </w:rPr>
                  </w:pPr>
                  <w:r>
                    <w:rPr>
                      <w:rFonts w:hint="eastAsia"/>
                      <w:szCs w:val="21"/>
                      <w:lang w:val="en-US" w:eastAsia="zh-CN"/>
                    </w:rPr>
                    <w:t>无组织废气</w:t>
                  </w:r>
                </w:p>
              </w:tc>
              <w:tc>
                <w:tcPr>
                  <w:tcW w:w="964" w:type="pct"/>
                  <w:noWrap w:val="0"/>
                  <w:vAlign w:val="center"/>
                </w:tcPr>
                <w:p>
                  <w:pPr>
                    <w:keepLines w:val="0"/>
                    <w:pageBreakBefore w:val="0"/>
                    <w:kinsoku/>
                    <w:topLinePunct w:val="0"/>
                    <w:bidi w:val="0"/>
                    <w:jc w:val="center"/>
                    <w:rPr>
                      <w:rFonts w:hint="default"/>
                      <w:szCs w:val="21"/>
                      <w:lang w:val="en-US" w:eastAsia="zh-CN"/>
                    </w:rPr>
                  </w:pPr>
                  <w:r>
                    <w:rPr>
                      <w:rFonts w:hint="eastAsia"/>
                      <w:szCs w:val="21"/>
                      <w:lang w:val="en-US" w:eastAsia="zh-CN"/>
                    </w:rPr>
                    <w:t>厂界</w:t>
                  </w:r>
                </w:p>
              </w:tc>
              <w:tc>
                <w:tcPr>
                  <w:tcW w:w="1193" w:type="pct"/>
                  <w:noWrap w:val="0"/>
                  <w:vAlign w:val="center"/>
                </w:tcPr>
                <w:p>
                  <w:pPr>
                    <w:numPr>
                      <w:ilvl w:val="0"/>
                      <w:numId w:val="0"/>
                    </w:numPr>
                    <w:adjustRightInd w:val="0"/>
                    <w:snapToGrid w:val="0"/>
                    <w:spacing w:line="240" w:lineRule="auto"/>
                    <w:ind w:left="0" w:leftChars="0" w:firstLine="0" w:firstLineChars="0"/>
                    <w:jc w:val="center"/>
                    <w:rPr>
                      <w:rFonts w:hint="eastAsia"/>
                      <w:b w:val="0"/>
                      <w:kern w:val="2"/>
                      <w:sz w:val="21"/>
                      <w:szCs w:val="21"/>
                      <w:vertAlign w:val="baseline"/>
                      <w:lang w:val="en-US" w:eastAsia="zh-CN" w:bidi="ar-SA"/>
                    </w:rPr>
                  </w:pPr>
                  <w:r>
                    <w:rPr>
                      <w:rFonts w:hint="eastAsia"/>
                      <w:b w:val="0"/>
                      <w:kern w:val="2"/>
                      <w:sz w:val="21"/>
                      <w:szCs w:val="21"/>
                      <w:vertAlign w:val="baseline"/>
                      <w:lang w:val="en-US" w:eastAsia="zh-CN" w:bidi="ar-SA"/>
                    </w:rPr>
                    <w:t>颗粒物</w:t>
                  </w:r>
                </w:p>
              </w:tc>
              <w:tc>
                <w:tcPr>
                  <w:tcW w:w="701" w:type="pct"/>
                  <w:noWrap w:val="0"/>
                  <w:vAlign w:val="center"/>
                </w:tcPr>
                <w:p>
                  <w:pPr>
                    <w:numPr>
                      <w:ilvl w:val="0"/>
                      <w:numId w:val="0"/>
                    </w:numPr>
                    <w:adjustRightInd w:val="0"/>
                    <w:snapToGrid w:val="0"/>
                    <w:spacing w:line="240" w:lineRule="auto"/>
                    <w:ind w:left="0" w:leftChars="0" w:firstLine="0" w:firstLineChars="0"/>
                    <w:jc w:val="center"/>
                    <w:rPr>
                      <w:rFonts w:hint="eastAsia" w:eastAsia="宋体"/>
                      <w:szCs w:val="21"/>
                      <w:lang w:val="en-US" w:eastAsia="zh-CN"/>
                    </w:rPr>
                  </w:pPr>
                  <w:r>
                    <w:rPr>
                      <w:szCs w:val="21"/>
                    </w:rPr>
                    <w:t>1次/</w:t>
                  </w:r>
                  <w:r>
                    <w:rPr>
                      <w:rFonts w:hint="eastAsia"/>
                      <w:szCs w:val="21"/>
                      <w:lang w:val="en-US" w:eastAsia="zh-CN"/>
                    </w:rPr>
                    <w:t>季度</w:t>
                  </w:r>
                </w:p>
              </w:tc>
              <w:tc>
                <w:tcPr>
                  <w:tcW w:w="1531" w:type="pct"/>
                  <w:noWrap w:val="0"/>
                  <w:vAlign w:val="center"/>
                </w:tcPr>
                <w:p>
                  <w:pPr>
                    <w:numPr>
                      <w:ilvl w:val="0"/>
                      <w:numId w:val="0"/>
                    </w:numPr>
                    <w:adjustRightInd w:val="0"/>
                    <w:snapToGrid w:val="0"/>
                    <w:spacing w:line="240" w:lineRule="auto"/>
                    <w:ind w:left="0" w:leftChars="0" w:firstLine="0" w:firstLineChars="0"/>
                    <w:jc w:val="center"/>
                    <w:rPr>
                      <w:rFonts w:hint="default"/>
                      <w:b w:val="0"/>
                      <w:kern w:val="2"/>
                      <w:sz w:val="21"/>
                      <w:szCs w:val="21"/>
                      <w:vertAlign w:val="baseline"/>
                      <w:lang w:val="en-US" w:eastAsia="zh-CN" w:bidi="ar-SA"/>
                    </w:rPr>
                  </w:pPr>
                  <w:r>
                    <w:rPr>
                      <w:rFonts w:hint="eastAsia"/>
                      <w:b w:val="0"/>
                      <w:kern w:val="2"/>
                      <w:sz w:val="21"/>
                      <w:szCs w:val="21"/>
                      <w:vertAlign w:val="baseline"/>
                      <w:lang w:val="en-US" w:eastAsia="zh-CN" w:bidi="ar-SA"/>
                    </w:rPr>
                    <w:t>《大气污染物综合排放标准》（GB 16297-1996）</w:t>
                  </w:r>
                </w:p>
              </w:tc>
            </w:tr>
          </w:tbl>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cs="宋体"/>
                <w:b/>
                <w:sz w:val="24"/>
              </w:rPr>
            </w:pPr>
            <w:r>
              <w:rPr>
                <w:rFonts w:hint="eastAsia" w:ascii="宋体" w:hAnsi="宋体" w:cs="宋体"/>
                <w:b/>
                <w:sz w:val="24"/>
              </w:rPr>
              <w:t>二</w:t>
            </w:r>
            <w:r>
              <w:rPr>
                <w:rFonts w:hint="eastAsia" w:ascii="宋体" w:hAnsi="宋体" w:cs="宋体"/>
                <w:b/>
                <w:sz w:val="24"/>
                <w:lang w:eastAsia="zh-CN"/>
              </w:rPr>
              <w:t>、</w:t>
            </w:r>
            <w:r>
              <w:rPr>
                <w:rFonts w:hint="eastAsia" w:ascii="宋体" w:hAnsi="宋体" w:cs="宋体"/>
                <w:b/>
                <w:sz w:val="24"/>
              </w:rPr>
              <w:t>运营期水环境影响和保护措施</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default"/>
                <w:bCs/>
                <w:color w:val="000000" w:themeColor="text1"/>
                <w:sz w:val="24"/>
                <w:highlight w:val="none"/>
                <w14:textFill>
                  <w14:solidFill>
                    <w14:schemeClr w14:val="tx1"/>
                  </w14:solidFill>
                </w14:textFill>
              </w:rPr>
              <w:t>项目劳动定员为</w:t>
            </w:r>
            <w:r>
              <w:rPr>
                <w:rFonts w:hint="eastAsia"/>
                <w:bCs/>
                <w:color w:val="000000" w:themeColor="text1"/>
                <w:sz w:val="24"/>
                <w:highlight w:val="none"/>
                <w:lang w:val="en-US" w:eastAsia="zh-CN"/>
                <w14:textFill>
                  <w14:solidFill>
                    <w14:schemeClr w14:val="tx1"/>
                  </w14:solidFill>
                </w14:textFill>
              </w:rPr>
              <w:t>3</w:t>
            </w:r>
            <w:r>
              <w:rPr>
                <w:rFonts w:hint="default"/>
                <w:bCs/>
                <w:color w:val="000000" w:themeColor="text1"/>
                <w:sz w:val="24"/>
                <w:highlight w:val="none"/>
                <w14:textFill>
                  <w14:solidFill>
                    <w14:schemeClr w14:val="tx1"/>
                  </w14:solidFill>
                </w14:textFill>
              </w:rPr>
              <w:t>人，年工作天数为</w:t>
            </w:r>
            <w:r>
              <w:rPr>
                <w:rFonts w:hint="eastAsia"/>
                <w:bCs/>
                <w:color w:val="000000" w:themeColor="text1"/>
                <w:sz w:val="24"/>
                <w:highlight w:val="none"/>
                <w:lang w:val="en-US" w:eastAsia="zh-CN"/>
                <w14:textFill>
                  <w14:solidFill>
                    <w14:schemeClr w14:val="tx1"/>
                  </w14:solidFill>
                </w14:textFill>
              </w:rPr>
              <w:t>150</w:t>
            </w:r>
            <w:r>
              <w:rPr>
                <w:rFonts w:hint="default"/>
                <w:bCs/>
                <w:color w:val="000000" w:themeColor="text1"/>
                <w:sz w:val="24"/>
                <w:highlight w:val="none"/>
                <w14:textFill>
                  <w14:solidFill>
                    <w14:schemeClr w14:val="tx1"/>
                  </w14:solidFill>
                </w14:textFill>
              </w:rPr>
              <w:t>天，</w:t>
            </w:r>
            <w:r>
              <w:rPr>
                <w:rFonts w:hint="eastAsia"/>
                <w:bCs/>
                <w:color w:val="000000" w:themeColor="text1"/>
                <w:sz w:val="24"/>
                <w:highlight w:val="none"/>
                <w:lang w:val="en-US" w:eastAsia="zh-CN"/>
                <w14:textFill>
                  <w14:solidFill>
                    <w14:schemeClr w14:val="tx1"/>
                  </w14:solidFill>
                </w14:textFill>
              </w:rPr>
              <w:t>依托油区</w:t>
            </w:r>
            <w:r>
              <w:rPr>
                <w:rFonts w:hint="default"/>
                <w:bCs/>
                <w:color w:val="000000" w:themeColor="text1"/>
                <w:sz w:val="24"/>
                <w:highlight w:val="none"/>
                <w14:textFill>
                  <w14:solidFill>
                    <w14:schemeClr w14:val="tx1"/>
                  </w14:solidFill>
                </w14:textFill>
              </w:rPr>
              <w:t>员工宿舍</w:t>
            </w:r>
            <w:r>
              <w:rPr>
                <w:rFonts w:hint="eastAsia"/>
                <w:bCs/>
                <w:color w:val="000000" w:themeColor="text1"/>
                <w:sz w:val="24"/>
                <w:highlight w:val="none"/>
                <w:lang w:eastAsia="zh-CN"/>
                <w14:textFill>
                  <w14:solidFill>
                    <w14:schemeClr w14:val="tx1"/>
                  </w14:solidFill>
                </w14:textFill>
              </w:rPr>
              <w:t>。</w:t>
            </w:r>
            <w:r>
              <w:rPr>
                <w:rFonts w:hint="default"/>
                <w:bCs/>
                <w:color w:val="000000" w:themeColor="text1"/>
                <w:sz w:val="24"/>
                <w:highlight w:val="none"/>
                <w14:textFill>
                  <w14:solidFill>
                    <w14:schemeClr w14:val="tx1"/>
                  </w14:solidFill>
                </w14:textFill>
              </w:rPr>
              <w:t>根据《新疆维吾尔自治区自治区生活用水定额》规定，生活用水定额按</w:t>
            </w:r>
            <w:r>
              <w:rPr>
                <w:rFonts w:hint="default"/>
                <w:bCs/>
                <w:color w:val="000000" w:themeColor="text1"/>
                <w:sz w:val="24"/>
                <w:highlight w:val="none"/>
                <w:lang w:val="en-US" w:eastAsia="zh-CN"/>
                <w14:textFill>
                  <w14:solidFill>
                    <w14:schemeClr w14:val="tx1"/>
                  </w14:solidFill>
                </w14:textFill>
              </w:rPr>
              <w:t>人均</w:t>
            </w:r>
            <w:r>
              <w:rPr>
                <w:rFonts w:hint="default"/>
                <w:bCs/>
                <w:color w:val="000000" w:themeColor="text1"/>
                <w:sz w:val="24"/>
                <w:highlight w:val="none"/>
                <w14:textFill>
                  <w14:solidFill>
                    <w14:schemeClr w14:val="tx1"/>
                  </w14:solidFill>
                </w14:textFill>
              </w:rPr>
              <w:t>0.12m</w:t>
            </w:r>
            <w:r>
              <w:rPr>
                <w:rFonts w:hint="default"/>
                <w:bCs/>
                <w:color w:val="000000" w:themeColor="text1"/>
                <w:sz w:val="24"/>
                <w:highlight w:val="none"/>
                <w:vertAlign w:val="superscript"/>
                <w14:textFill>
                  <w14:solidFill>
                    <w14:schemeClr w14:val="tx1"/>
                  </w14:solidFill>
                </w14:textFill>
              </w:rPr>
              <w:t>3</w:t>
            </w:r>
            <w:r>
              <w:rPr>
                <w:rFonts w:hint="default"/>
                <w:bCs/>
                <w:color w:val="000000" w:themeColor="text1"/>
                <w:sz w:val="24"/>
                <w:highlight w:val="none"/>
                <w14:textFill>
                  <w14:solidFill>
                    <w14:schemeClr w14:val="tx1"/>
                  </w14:solidFill>
                </w14:textFill>
              </w:rPr>
              <w:t>/d计，则生活用水量为</w:t>
            </w:r>
            <w:r>
              <w:rPr>
                <w:rFonts w:hint="eastAsia"/>
                <w:bCs/>
                <w:color w:val="000000" w:themeColor="text1"/>
                <w:sz w:val="24"/>
                <w:highlight w:val="none"/>
                <w:lang w:val="en-US" w:eastAsia="zh-CN"/>
                <w14:textFill>
                  <w14:solidFill>
                    <w14:schemeClr w14:val="tx1"/>
                  </w14:solidFill>
                </w14:textFill>
              </w:rPr>
              <w:t>0.36</w:t>
            </w:r>
            <w:r>
              <w:rPr>
                <w:rFonts w:hint="default"/>
                <w:bCs/>
                <w:color w:val="000000" w:themeColor="text1"/>
                <w:sz w:val="24"/>
                <w:highlight w:val="none"/>
                <w14:textFill>
                  <w14:solidFill>
                    <w14:schemeClr w14:val="tx1"/>
                  </w14:solidFill>
                </w14:textFill>
              </w:rPr>
              <w:t>m³/d（</w:t>
            </w:r>
            <w:r>
              <w:rPr>
                <w:rFonts w:hint="eastAsia"/>
                <w:bCs/>
                <w:color w:val="000000" w:themeColor="text1"/>
                <w:sz w:val="24"/>
                <w:highlight w:val="none"/>
                <w:lang w:val="en-US" w:eastAsia="zh-CN"/>
                <w14:textFill>
                  <w14:solidFill>
                    <w14:schemeClr w14:val="tx1"/>
                  </w14:solidFill>
                </w14:textFill>
              </w:rPr>
              <w:t>54</w:t>
            </w:r>
            <w:r>
              <w:rPr>
                <w:rFonts w:hint="default"/>
                <w:bCs/>
                <w:color w:val="000000" w:themeColor="text1"/>
                <w:sz w:val="24"/>
                <w:highlight w:val="none"/>
                <w14:textFill>
                  <w14:solidFill>
                    <w14:schemeClr w14:val="tx1"/>
                  </w14:solidFill>
                </w14:textFill>
              </w:rPr>
              <w:t>m³/a）。生活污水排污系数按用水量的80</w:t>
            </w:r>
            <w:r>
              <w:rPr>
                <w:rFonts w:hint="eastAsia"/>
                <w:bCs/>
                <w:color w:val="000000" w:themeColor="text1"/>
                <w:sz w:val="24"/>
                <w:highlight w:val="none"/>
                <w14:textFill>
                  <w14:solidFill>
                    <w14:schemeClr w14:val="tx1"/>
                  </w14:solidFill>
                </w14:textFill>
              </w:rPr>
              <w:t>%</w:t>
            </w:r>
            <w:r>
              <w:rPr>
                <w:rFonts w:hint="default"/>
                <w:bCs/>
                <w:color w:val="000000" w:themeColor="text1"/>
                <w:sz w:val="24"/>
                <w:highlight w:val="none"/>
                <w14:textFill>
                  <w14:solidFill>
                    <w14:schemeClr w14:val="tx1"/>
                  </w14:solidFill>
                </w14:textFill>
              </w:rPr>
              <w:t>计，则生活污水量为</w:t>
            </w:r>
            <w:r>
              <w:rPr>
                <w:rFonts w:hint="eastAsia"/>
                <w:bCs/>
                <w:color w:val="000000" w:themeColor="text1"/>
                <w:sz w:val="24"/>
                <w:highlight w:val="none"/>
                <w:lang w:val="en-US" w:eastAsia="zh-CN"/>
                <w14:textFill>
                  <w14:solidFill>
                    <w14:schemeClr w14:val="tx1"/>
                  </w14:solidFill>
                </w14:textFill>
              </w:rPr>
              <w:t>0.288</w:t>
            </w:r>
            <w:r>
              <w:rPr>
                <w:rFonts w:hint="default"/>
                <w:bCs/>
                <w:color w:val="000000" w:themeColor="text1"/>
                <w:sz w:val="24"/>
                <w:highlight w:val="none"/>
                <w14:textFill>
                  <w14:solidFill>
                    <w14:schemeClr w14:val="tx1"/>
                  </w14:solidFill>
                </w14:textFill>
              </w:rPr>
              <w:t>m³/d（</w:t>
            </w:r>
            <w:r>
              <w:rPr>
                <w:rFonts w:hint="eastAsia"/>
                <w:bCs/>
                <w:color w:val="000000" w:themeColor="text1"/>
                <w:sz w:val="24"/>
                <w:highlight w:val="none"/>
                <w:lang w:val="en-US" w:eastAsia="zh-CN"/>
                <w14:textFill>
                  <w14:solidFill>
                    <w14:schemeClr w14:val="tx1"/>
                  </w14:solidFill>
                </w14:textFill>
              </w:rPr>
              <w:t>43.2</w:t>
            </w:r>
            <w:r>
              <w:rPr>
                <w:rFonts w:hint="default"/>
                <w:bCs/>
                <w:color w:val="000000" w:themeColor="text1"/>
                <w:sz w:val="24"/>
                <w:highlight w:val="none"/>
                <w14:textFill>
                  <w14:solidFill>
                    <w14:schemeClr w14:val="tx1"/>
                  </w14:solidFill>
                </w14:textFill>
              </w:rPr>
              <w:t>m³/a）</w:t>
            </w:r>
            <w:r>
              <w:rPr>
                <w:rFonts w:hint="default" w:ascii="Times New Roman" w:hAnsi="Times New Roman" w:cs="Times New Roman"/>
                <w:b w:val="0"/>
                <w:bCs/>
                <w:color w:val="auto"/>
                <w:sz w:val="24"/>
                <w:highlight w:val="none"/>
              </w:rPr>
              <w:t>。</w:t>
            </w:r>
          </w:p>
          <w:p>
            <w:pPr>
              <w:keepNext w:val="0"/>
              <w:keepLines w:val="0"/>
              <w:pageBreakBefore w:val="0"/>
              <w:widowControl w:val="0"/>
              <w:tabs>
                <w:tab w:val="left" w:pos="2850"/>
              </w:tabs>
              <w:kinsoku/>
              <w:wordWrap/>
              <w:overflowPunct/>
              <w:topLinePunct w:val="0"/>
              <w:autoSpaceDE/>
              <w:autoSpaceDN/>
              <w:bidi w:val="0"/>
              <w:spacing w:line="520" w:lineRule="exact"/>
              <w:ind w:firstLine="480" w:firstLineChars="200"/>
              <w:textAlignment w:val="auto"/>
              <w:outlineLvl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由于本项目锅炉对水质要求不高，锅炉内水垢定期维修清理即可</w:t>
            </w:r>
            <w:r>
              <w:rPr>
                <w:rFonts w:hint="eastAsia" w:eastAsia="宋体" w:cs="Times New Roman"/>
                <w:sz w:val="24"/>
                <w:szCs w:val="24"/>
                <w:lang w:val="en-US" w:eastAsia="zh-CN"/>
              </w:rPr>
              <w:t>，</w:t>
            </w:r>
            <w:r>
              <w:rPr>
                <w:rFonts w:hint="default" w:ascii="Times New Roman" w:hAnsi="Times New Roman" w:eastAsia="宋体" w:cs="Times New Roman"/>
                <w:sz w:val="24"/>
                <w:szCs w:val="24"/>
                <w:lang w:val="en-US" w:eastAsia="zh-CN"/>
              </w:rPr>
              <w:t>故</w:t>
            </w:r>
            <w:r>
              <w:rPr>
                <w:rFonts w:hint="eastAsia" w:ascii="Times New Roman" w:hAnsi="Times New Roman" w:eastAsia="宋体" w:cs="Times New Roman"/>
                <w:sz w:val="24"/>
                <w:szCs w:val="24"/>
                <w:lang w:val="en-US" w:eastAsia="zh-CN"/>
              </w:rPr>
              <w:t>锅炉</w:t>
            </w:r>
            <w:r>
              <w:rPr>
                <w:rFonts w:hint="default" w:ascii="Times New Roman" w:hAnsi="Times New Roman" w:eastAsia="宋体" w:cs="Times New Roman"/>
                <w:sz w:val="24"/>
                <w:szCs w:val="24"/>
                <w:lang w:val="en-US" w:eastAsia="zh-CN"/>
              </w:rPr>
              <w:t>不</w:t>
            </w:r>
            <w:r>
              <w:rPr>
                <w:rFonts w:hint="default" w:ascii="Times New Roman" w:hAnsi="Times New Roman" w:eastAsia="宋体" w:cs="Times New Roman"/>
                <w:sz w:val="24"/>
                <w:szCs w:val="24"/>
                <w:u w:val="none"/>
                <w:lang w:val="en-US" w:eastAsia="zh-CN"/>
              </w:rPr>
              <w:t>使用软化水装置</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只有锅炉排污水产生</w:t>
            </w:r>
            <w:r>
              <w:rPr>
                <w:rFonts w:hint="default" w:ascii="Times New Roman" w:hAnsi="Times New Roman" w:eastAsia="宋体" w:cs="Times New Roman"/>
                <w:sz w:val="24"/>
                <w:szCs w:val="24"/>
                <w:u w:val="none"/>
                <w:lang w:val="en-US" w:eastAsia="zh-CN"/>
              </w:rPr>
              <w:t>。</w:t>
            </w:r>
            <w:r>
              <w:rPr>
                <w:rFonts w:hint="default" w:ascii="Times New Roman" w:hAnsi="Times New Roman" w:eastAsia="宋体" w:cs="Times New Roman"/>
                <w:sz w:val="24"/>
                <w:szCs w:val="24"/>
                <w:lang w:val="en-US" w:eastAsia="zh-CN"/>
              </w:rPr>
              <w:t>根</w:t>
            </w:r>
            <w:r>
              <w:rPr>
                <w:rFonts w:hint="eastAsia" w:ascii="宋体" w:hAnsi="宋体" w:eastAsia="宋体" w:cs="宋体"/>
                <w:color w:val="auto"/>
                <w:sz w:val="24"/>
                <w:szCs w:val="24"/>
                <w:highlight w:val="none"/>
                <w:lang w:val="en-US" w:eastAsia="zh-CN"/>
              </w:rPr>
              <w:t>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排放源统计调查产排污核算方法和系数手册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4430</w:t>
            </w:r>
            <w:r>
              <w:rPr>
                <w:rFonts w:hint="eastAsia" w:ascii="宋体" w:hAnsi="宋体" w:eastAsia="宋体" w:cs="宋体"/>
                <w:color w:val="auto"/>
                <w:sz w:val="24"/>
                <w:szCs w:val="24"/>
                <w:highlight w:val="none"/>
                <w:lang w:eastAsia="zh-CN"/>
              </w:rPr>
              <w:t>工业锅炉（热力供应）</w:t>
            </w:r>
            <w:r>
              <w:rPr>
                <w:rFonts w:hint="eastAsia" w:ascii="宋体" w:hAnsi="宋体" w:eastAsia="宋体" w:cs="宋体"/>
                <w:color w:val="auto"/>
                <w:sz w:val="24"/>
                <w:szCs w:val="24"/>
                <w:highlight w:val="none"/>
                <w:lang w:val="en-US" w:eastAsia="zh-CN"/>
              </w:rPr>
              <w:t>产排污量核算系数手册</w:t>
            </w:r>
            <w:r>
              <w:rPr>
                <w:rFonts w:hint="eastAsia" w:ascii="宋体" w:hAnsi="宋体" w:cs="宋体"/>
                <w:color w:val="auto"/>
                <w:sz w:val="24"/>
                <w:szCs w:val="24"/>
                <w:highlight w:val="none"/>
                <w:lang w:val="en-US" w:eastAsia="zh-CN"/>
              </w:rPr>
              <w:t>“炉内水处理”产污系数</w:t>
            </w:r>
            <w:r>
              <w:rPr>
                <w:rFonts w:hint="eastAsia" w:ascii="宋体" w:hAnsi="宋体" w:eastAsia="宋体" w:cs="宋体"/>
                <w:color w:val="auto"/>
                <w:sz w:val="24"/>
                <w:szCs w:val="24"/>
                <w:highlight w:val="none"/>
                <w:lang w:val="en-US" w:eastAsia="zh-CN"/>
              </w:rPr>
              <w:t>进行</w:t>
            </w:r>
            <w:r>
              <w:rPr>
                <w:rFonts w:hint="eastAsia" w:ascii="宋体" w:hAnsi="宋体" w:cs="宋体"/>
                <w:color w:val="auto"/>
                <w:sz w:val="24"/>
                <w:szCs w:val="24"/>
                <w:highlight w:val="none"/>
                <w:lang w:val="en-US" w:eastAsia="zh-CN"/>
              </w:rPr>
              <w:t>计算</w:t>
            </w:r>
            <w:r>
              <w:rPr>
                <w:rFonts w:hint="eastAsia" w:ascii="宋体" w:hAnsi="宋体" w:eastAsia="宋体" w:cs="宋体"/>
                <w:color w:val="auto"/>
                <w:sz w:val="24"/>
                <w:szCs w:val="24"/>
                <w:highlight w:val="none"/>
                <w:lang w:val="en-US" w:eastAsia="zh-CN"/>
              </w:rPr>
              <w:t>。废水量</w:t>
            </w:r>
            <w:r>
              <w:rPr>
                <w:rFonts w:hint="eastAsia" w:ascii="宋体" w:hAnsi="宋体" w:eastAsia="宋体" w:cs="宋体"/>
                <w:color w:val="000000"/>
                <w:sz w:val="24"/>
              </w:rPr>
              <w:t>产污系数为</w:t>
            </w:r>
            <w:r>
              <w:rPr>
                <w:rFonts w:hint="eastAsia" w:ascii="宋体" w:hAnsi="宋体" w:eastAsia="宋体" w:cs="宋体"/>
                <w:color w:val="000000"/>
                <w:sz w:val="24"/>
                <w:lang w:val="en-US" w:eastAsia="zh-CN"/>
              </w:rPr>
              <w:t>0.</w:t>
            </w:r>
            <w:r>
              <w:rPr>
                <w:rFonts w:hint="eastAsia" w:ascii="宋体" w:hAnsi="宋体" w:cs="宋体"/>
                <w:color w:val="000000"/>
                <w:sz w:val="24"/>
                <w:lang w:val="en-US" w:eastAsia="zh-CN"/>
              </w:rPr>
              <w:t>259</w:t>
            </w:r>
            <w:r>
              <w:rPr>
                <w:rFonts w:hint="eastAsia" w:ascii="宋体" w:hAnsi="宋体" w:eastAsia="宋体" w:cs="宋体"/>
                <w:color w:val="000000"/>
                <w:sz w:val="24"/>
                <w:lang w:val="en-US" w:eastAsia="zh-CN"/>
              </w:rPr>
              <w:t>t</w:t>
            </w:r>
            <w:r>
              <w:rPr>
                <w:rFonts w:hint="eastAsia" w:ascii="宋体" w:hAnsi="宋体" w:eastAsia="宋体" w:cs="宋体"/>
                <w:color w:val="000000"/>
                <w:sz w:val="24"/>
              </w:rPr>
              <w:t>/t</w:t>
            </w:r>
            <w:r>
              <w:rPr>
                <w:rFonts w:hint="eastAsia" w:ascii="宋体" w:hAnsi="宋体" w:eastAsia="宋体" w:cs="宋体"/>
                <w:color w:val="000000"/>
                <w:sz w:val="24"/>
                <w:lang w:val="en-US" w:eastAsia="zh-CN"/>
              </w:rPr>
              <w:t>-原料</w:t>
            </w:r>
            <w:r>
              <w:rPr>
                <w:rFonts w:hint="eastAsia" w:ascii="宋体" w:hAnsi="宋体" w:eastAsia="宋体" w:cs="宋体"/>
                <w:color w:val="000000"/>
                <w:sz w:val="24"/>
              </w:rPr>
              <w:t>，经计算</w:t>
            </w:r>
            <w:r>
              <w:rPr>
                <w:rFonts w:hint="eastAsia" w:ascii="宋体" w:hAnsi="宋体" w:eastAsia="宋体" w:cs="宋体"/>
                <w:color w:val="000000"/>
                <w:sz w:val="24"/>
                <w:lang w:val="en-US" w:eastAsia="zh-CN"/>
              </w:rPr>
              <w:t>单台锅炉废水排放量</w:t>
            </w:r>
            <w:r>
              <w:rPr>
                <w:rFonts w:hint="eastAsia" w:ascii="宋体" w:hAnsi="宋体" w:eastAsia="宋体" w:cs="宋体"/>
                <w:color w:val="000000"/>
                <w:sz w:val="24"/>
              </w:rPr>
              <w:t>为</w:t>
            </w:r>
            <w:r>
              <w:rPr>
                <w:rFonts w:hint="eastAsia" w:ascii="宋体" w:hAnsi="宋体" w:cs="宋体"/>
                <w:color w:val="000000"/>
                <w:sz w:val="24"/>
                <w:lang w:val="en-US" w:eastAsia="zh-CN"/>
              </w:rPr>
              <w:t>139.86</w:t>
            </w:r>
            <w:r>
              <w:rPr>
                <w:rFonts w:hint="eastAsia" w:ascii="宋体" w:hAnsi="宋体" w:eastAsia="宋体" w:cs="宋体"/>
                <w:color w:val="000000"/>
                <w:sz w:val="24"/>
              </w:rPr>
              <w:t>t/a</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COD</w:t>
            </w:r>
            <w:r>
              <w:rPr>
                <w:rFonts w:hint="eastAsia" w:ascii="宋体" w:hAnsi="宋体" w:eastAsia="宋体" w:cs="宋体"/>
                <w:color w:val="000000"/>
                <w:sz w:val="24"/>
              </w:rPr>
              <w:t>产污系数为</w:t>
            </w:r>
            <w:r>
              <w:rPr>
                <w:rFonts w:hint="eastAsia" w:ascii="宋体" w:hAnsi="宋体" w:cs="宋体"/>
                <w:color w:val="000000"/>
                <w:sz w:val="24"/>
                <w:lang w:val="en-US" w:eastAsia="zh-CN"/>
              </w:rPr>
              <w:t>2</w:t>
            </w:r>
            <w:r>
              <w:rPr>
                <w:rFonts w:hint="eastAsia" w:ascii="宋体" w:hAnsi="宋体" w:eastAsia="宋体" w:cs="宋体"/>
                <w:color w:val="000000"/>
                <w:sz w:val="24"/>
                <w:lang w:val="en-US" w:eastAsia="zh-CN"/>
              </w:rPr>
              <w:t>0g/t原料</w:t>
            </w:r>
            <w:r>
              <w:rPr>
                <w:rFonts w:hint="eastAsia" w:ascii="宋体" w:hAnsi="宋体" w:eastAsia="宋体" w:cs="宋体"/>
                <w:color w:val="000000"/>
                <w:sz w:val="24"/>
              </w:rPr>
              <w:t>，经计算</w:t>
            </w:r>
            <w:r>
              <w:rPr>
                <w:rFonts w:hint="eastAsia" w:ascii="宋体" w:hAnsi="宋体" w:eastAsia="宋体" w:cs="宋体"/>
                <w:color w:val="000000"/>
                <w:sz w:val="24"/>
                <w:lang w:val="en-US" w:eastAsia="zh-CN"/>
              </w:rPr>
              <w:t>COD排放量</w:t>
            </w:r>
            <w:r>
              <w:rPr>
                <w:rFonts w:hint="eastAsia" w:ascii="宋体" w:hAnsi="宋体" w:eastAsia="宋体" w:cs="宋体"/>
                <w:color w:val="000000"/>
                <w:sz w:val="24"/>
              </w:rPr>
              <w:t>为</w:t>
            </w:r>
            <w:r>
              <w:rPr>
                <w:rFonts w:hint="eastAsia" w:ascii="宋体" w:hAnsi="宋体" w:eastAsia="宋体" w:cs="宋体"/>
                <w:color w:val="000000"/>
                <w:sz w:val="24"/>
                <w:lang w:val="en-US" w:eastAsia="zh-CN"/>
              </w:rPr>
              <w:t>0.0</w:t>
            </w:r>
            <w:r>
              <w:rPr>
                <w:rFonts w:hint="eastAsia" w:ascii="宋体" w:hAnsi="宋体" w:cs="宋体"/>
                <w:color w:val="000000"/>
                <w:sz w:val="24"/>
                <w:lang w:val="en-US" w:eastAsia="zh-CN"/>
              </w:rPr>
              <w:t>108</w:t>
            </w:r>
            <w:r>
              <w:rPr>
                <w:rFonts w:hint="eastAsia" w:ascii="宋体" w:hAnsi="宋体" w:eastAsia="宋体" w:cs="宋体"/>
                <w:color w:val="000000"/>
                <w:sz w:val="24"/>
              </w:rPr>
              <w:t>t/a</w:t>
            </w:r>
            <w:r>
              <w:rPr>
                <w:rFonts w:hint="eastAsia" w:ascii="宋体" w:hAnsi="宋体" w:eastAsia="宋体" w:cs="宋体"/>
                <w:color w:val="00000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sz w:val="24"/>
                <w:szCs w:val="24"/>
                <w:u w:val="none"/>
                <w:lang w:val="en-US" w:eastAsia="zh-CN"/>
              </w:rPr>
              <w:t>本项目锅炉水全部转化为蒸汽用以加热输油管线，在移动锅炉运行结束后，</w:t>
            </w:r>
            <w:r>
              <w:rPr>
                <w:rFonts w:hint="eastAsia" w:ascii="Times New Roman" w:hAnsi="Times New Roman" w:eastAsia="宋体" w:cs="Times New Roman"/>
                <w:sz w:val="24"/>
                <w:szCs w:val="24"/>
                <w:u w:val="none"/>
                <w:lang w:val="en-US" w:eastAsia="zh-CN"/>
              </w:rPr>
              <w:t>每台</w:t>
            </w:r>
            <w:r>
              <w:rPr>
                <w:rFonts w:hint="default" w:ascii="Times New Roman" w:hAnsi="Times New Roman" w:eastAsia="宋体" w:cs="Times New Roman"/>
                <w:sz w:val="24"/>
                <w:szCs w:val="24"/>
                <w:u w:val="none"/>
                <w:lang w:val="en-US" w:eastAsia="zh-CN"/>
              </w:rPr>
              <w:t>会产生少量锅炉排污水</w:t>
            </w:r>
            <w:r>
              <w:rPr>
                <w:rFonts w:hint="eastAsia" w:cs="Times New Roman"/>
                <w:sz w:val="24"/>
                <w:szCs w:val="24"/>
                <w:u w:val="none"/>
                <w:lang w:val="en-US" w:eastAsia="zh-CN"/>
              </w:rPr>
              <w:t>139.86</w:t>
            </w:r>
            <w:r>
              <w:rPr>
                <w:rFonts w:hint="eastAsia" w:eastAsia="宋体" w:cs="Times New Roman"/>
                <w:sz w:val="24"/>
                <w:szCs w:val="24"/>
                <w:u w:val="none"/>
                <w:lang w:val="en-US" w:eastAsia="zh-CN"/>
              </w:rPr>
              <w:t>m</w:t>
            </w:r>
            <w:r>
              <w:rPr>
                <w:rFonts w:hint="eastAsia" w:eastAsia="宋体" w:cs="Times New Roman"/>
                <w:sz w:val="24"/>
                <w:szCs w:val="24"/>
                <w:u w:val="none"/>
                <w:vertAlign w:val="superscript"/>
                <w:lang w:val="en-US" w:eastAsia="zh-CN"/>
              </w:rPr>
              <w:t>3</w:t>
            </w:r>
            <w:r>
              <w:rPr>
                <w:rFonts w:hint="eastAsia" w:eastAsia="宋体" w:cs="Times New Roman"/>
                <w:sz w:val="24"/>
                <w:szCs w:val="24"/>
                <w:u w:val="none"/>
                <w:lang w:val="en-US" w:eastAsia="zh-CN"/>
              </w:rPr>
              <w:t>/a</w:t>
            </w:r>
            <w:r>
              <w:rPr>
                <w:rFonts w:hint="default" w:ascii="Times New Roman" w:hAnsi="Times New Roman" w:eastAsia="宋体" w:cs="Times New Roman"/>
                <w:sz w:val="24"/>
                <w:szCs w:val="24"/>
                <w:u w:val="none"/>
                <w:lang w:val="en-US" w:eastAsia="zh-CN"/>
              </w:rPr>
              <w:t>。其水质较为洁净。</w:t>
            </w:r>
            <w:r>
              <w:rPr>
                <w:rFonts w:hint="default" w:ascii="Times New Roman" w:hAnsi="Times New Roman" w:eastAsia="宋体" w:cs="Times New Roman"/>
                <w:sz w:val="24"/>
                <w:szCs w:val="24"/>
                <w:u w:val="none"/>
              </w:rPr>
              <w:t>锅炉排污水属于清净下水，污染物浓度均较低</w:t>
            </w:r>
            <w:r>
              <w:rPr>
                <w:rFonts w:hint="eastAsia" w:eastAsia="宋体" w:cs="Times New Roman"/>
                <w:sz w:val="24"/>
                <w:szCs w:val="24"/>
                <w:u w:val="none"/>
                <w:lang w:eastAsia="zh-CN"/>
              </w:rPr>
              <w:t>。</w:t>
            </w:r>
            <w:r>
              <w:rPr>
                <w:rFonts w:hint="eastAsia" w:eastAsia="宋体" w:cs="Times New Roman"/>
                <w:sz w:val="24"/>
                <w:szCs w:val="24"/>
                <w:u w:val="none"/>
                <w:lang w:val="en-US" w:eastAsia="zh-CN"/>
              </w:rPr>
              <w:t>项目</w:t>
            </w:r>
            <w:r>
              <w:rPr>
                <w:rFonts w:hint="default" w:ascii="Times New Roman" w:hAnsi="Times New Roman" w:eastAsia="宋体" w:cs="Times New Roman"/>
                <w:sz w:val="24"/>
                <w:szCs w:val="24"/>
                <w:u w:val="none"/>
                <w:lang w:val="en-US" w:eastAsia="zh-CN"/>
              </w:rPr>
              <w:t>锅炉排污水</w:t>
            </w:r>
            <w:r>
              <w:rPr>
                <w:rFonts w:hint="eastAsia" w:eastAsia="宋体" w:cs="Times New Roman"/>
                <w:sz w:val="24"/>
                <w:szCs w:val="24"/>
                <w:u w:val="none"/>
                <w:lang w:val="en-US" w:eastAsia="zh-CN"/>
              </w:rPr>
              <w:t>产生量较少，且其水质较为清洁可用于油区周边洒水降尘</w:t>
            </w:r>
            <w:r>
              <w:rPr>
                <w:rFonts w:hint="default" w:ascii="Times New Roman" w:hAnsi="Times New Roman" w:eastAsia="宋体" w:cs="Times New Roman"/>
                <w:sz w:val="24"/>
                <w:szCs w:val="24"/>
                <w:u w:val="none"/>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三</w:t>
            </w:r>
            <w:r>
              <w:rPr>
                <w:rFonts w:hint="eastAsia" w:ascii="宋体" w:hAnsi="宋体" w:eastAsia="宋体" w:cs="宋体"/>
                <w:b/>
                <w:sz w:val="24"/>
                <w:szCs w:val="24"/>
                <w:lang w:eastAsia="zh-CN"/>
              </w:rPr>
              <w:t>、</w:t>
            </w:r>
            <w:r>
              <w:rPr>
                <w:rFonts w:hint="eastAsia" w:ascii="宋体" w:hAnsi="宋体" w:eastAsia="宋体" w:cs="宋体"/>
                <w:b/>
                <w:sz w:val="24"/>
                <w:szCs w:val="24"/>
              </w:rPr>
              <w:t>运营期</w:t>
            </w:r>
            <w:r>
              <w:rPr>
                <w:rFonts w:hint="eastAsia" w:ascii="宋体" w:hAnsi="宋体" w:eastAsia="宋体" w:cs="宋体"/>
                <w:b/>
                <w:sz w:val="24"/>
                <w:szCs w:val="24"/>
                <w:lang w:val="en-US" w:eastAsia="zh-CN"/>
              </w:rPr>
              <w:t>声环境</w:t>
            </w:r>
            <w:r>
              <w:rPr>
                <w:rFonts w:hint="eastAsia" w:ascii="宋体" w:hAnsi="宋体" w:eastAsia="宋体" w:cs="宋体"/>
                <w:b/>
                <w:sz w:val="24"/>
                <w:szCs w:val="24"/>
              </w:rPr>
              <w:t>影响和保护措施</w:t>
            </w:r>
          </w:p>
          <w:p>
            <w:pPr>
              <w:adjustRightInd w:val="0"/>
              <w:snapToGrid w:val="0"/>
              <w:spacing w:line="520" w:lineRule="exact"/>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lang w:val="en-US" w:eastAsia="zh-CN"/>
              </w:rPr>
              <w:t>1</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噪声污染源强</w:t>
            </w:r>
          </w:p>
          <w:p>
            <w:pPr>
              <w:adjustRightInd w:val="0"/>
              <w:snapToGrid w:val="0"/>
              <w:spacing w:line="5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highlight w:val="none"/>
              </w:rPr>
              <w:t>本项目运营期噪声主要为设备噪声，声级值大约</w:t>
            </w:r>
            <w:r>
              <w:rPr>
                <w:rFonts w:hint="eastAsia" w:ascii="宋体" w:hAnsi="宋体" w:eastAsia="宋体" w:cs="宋体"/>
                <w:color w:val="000000"/>
                <w:sz w:val="24"/>
                <w:highlight w:val="none"/>
                <w:lang w:val="en-US" w:eastAsia="zh-CN"/>
              </w:rPr>
              <w:t>8</w:t>
            </w:r>
            <w:r>
              <w:rPr>
                <w:rFonts w:hint="eastAsia" w:ascii="宋体" w:hAnsi="宋体" w:eastAsia="宋体" w:cs="宋体"/>
                <w:color w:val="000000"/>
                <w:sz w:val="24"/>
                <w:highlight w:val="none"/>
              </w:rPr>
              <w:t>0~</w:t>
            </w:r>
            <w:r>
              <w:rPr>
                <w:rFonts w:hint="eastAsia" w:ascii="宋体" w:hAnsi="宋体" w:cs="宋体"/>
                <w:color w:val="000000"/>
                <w:sz w:val="24"/>
                <w:highlight w:val="none"/>
                <w:lang w:val="en-US" w:eastAsia="zh-CN"/>
              </w:rPr>
              <w:t>9</w:t>
            </w:r>
            <w:r>
              <w:rPr>
                <w:rFonts w:hint="eastAsia" w:ascii="宋体" w:hAnsi="宋体" w:eastAsia="宋体" w:cs="宋体"/>
                <w:color w:val="000000"/>
                <w:sz w:val="24"/>
                <w:highlight w:val="none"/>
              </w:rPr>
              <w:t>0dB（A），设备噪声为昼间连续性噪声，运输车辆噪声为间断性噪声。项目主要噪声源强见表4-</w:t>
            </w:r>
            <w:r>
              <w:rPr>
                <w:rFonts w:hint="eastAsia" w:ascii="宋体" w:hAnsi="宋体" w:eastAsia="宋体" w:cs="宋体"/>
                <w:color w:val="000000"/>
                <w:sz w:val="24"/>
                <w:highlight w:val="none"/>
                <w:lang w:val="en-US" w:eastAsia="zh-CN"/>
              </w:rPr>
              <w:t>5</w:t>
            </w:r>
            <w:r>
              <w:rPr>
                <w:rFonts w:hint="eastAsia" w:ascii="宋体" w:hAnsi="宋体" w:eastAsia="宋体" w:cs="宋体"/>
                <w:color w:val="000000"/>
                <w:sz w:val="24"/>
                <w:szCs w:val="24"/>
                <w:highlight w:val="none"/>
              </w:rPr>
              <w:t>。</w:t>
            </w:r>
          </w:p>
          <w:p>
            <w:pPr>
              <w:widowControl/>
              <w:adjustRightInd w:val="0"/>
              <w:snapToGrid w:val="0"/>
              <w:spacing w:before="0" w:after="0" w:line="520" w:lineRule="exact"/>
              <w:ind w:right="0" w:firstLine="482" w:firstLineChars="200"/>
              <w:jc w:val="center"/>
              <w:rPr>
                <w:rFonts w:hint="eastAsia" w:ascii="宋体" w:hAnsi="宋体" w:eastAsia="宋体" w:cs="宋体"/>
                <w:b/>
                <w:bCs/>
                <w:color w:val="000000"/>
                <w:kern w:val="0"/>
                <w:sz w:val="24"/>
                <w:szCs w:val="24"/>
                <w:highlight w:val="none"/>
                <w:lang w:val="en-US" w:eastAsia="zh-CN" w:bidi="ar-SA"/>
              </w:rPr>
            </w:pPr>
            <w:r>
              <w:rPr>
                <w:rFonts w:hint="eastAsia" w:ascii="宋体" w:hAnsi="宋体" w:eastAsia="宋体" w:cs="宋体"/>
                <w:b/>
                <w:bCs/>
                <w:color w:val="000000"/>
                <w:kern w:val="0"/>
                <w:sz w:val="24"/>
                <w:szCs w:val="24"/>
                <w:highlight w:val="none"/>
                <w:lang w:val="en-US" w:eastAsia="zh-CN" w:bidi="ar-SA"/>
              </w:rPr>
              <w:t xml:space="preserve">表4-5 </w:t>
            </w:r>
            <w:r>
              <w:rPr>
                <w:rFonts w:hint="eastAsia" w:ascii="宋体" w:hAnsi="宋体" w:cs="宋体"/>
                <w:b/>
                <w:bCs/>
                <w:color w:val="000000"/>
                <w:kern w:val="0"/>
                <w:sz w:val="24"/>
                <w:szCs w:val="24"/>
                <w:highlight w:val="none"/>
                <w:lang w:val="en-US" w:eastAsia="zh-CN" w:bidi="ar-SA"/>
              </w:rPr>
              <w:t xml:space="preserve">  </w:t>
            </w:r>
            <w:r>
              <w:rPr>
                <w:rFonts w:hint="eastAsia" w:ascii="宋体" w:hAnsi="宋体" w:eastAsia="宋体" w:cs="宋体"/>
                <w:b/>
                <w:bCs/>
                <w:color w:val="000000"/>
                <w:kern w:val="0"/>
                <w:sz w:val="24"/>
                <w:szCs w:val="24"/>
                <w:highlight w:val="none"/>
                <w:lang w:val="en-US" w:eastAsia="zh-CN" w:bidi="ar-SA"/>
              </w:rPr>
              <w:t xml:space="preserve"> 项目主要噪源强一览表</w:t>
            </w:r>
          </w:p>
          <w:tbl>
            <w:tblPr>
              <w:tblStyle w:val="21"/>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
              <w:gridCol w:w="1119"/>
              <w:gridCol w:w="1086"/>
              <w:gridCol w:w="1161"/>
              <w:gridCol w:w="825"/>
              <w:gridCol w:w="604"/>
              <w:gridCol w:w="195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1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color w:val="000000"/>
                      <w:kern w:val="0"/>
                      <w:sz w:val="18"/>
                      <w:szCs w:val="18"/>
                      <w:highlight w:val="none"/>
                      <w:lang w:val="en-US" w:eastAsia="zh-CN" w:bidi="ar-SA"/>
                    </w:rPr>
                  </w:pPr>
                  <w:r>
                    <w:rPr>
                      <w:rFonts w:ascii="Times New Roman" w:hAnsi="Times New Roman" w:eastAsia="宋体" w:cs="Times New Roman"/>
                      <w:color w:val="000000"/>
                      <w:kern w:val="0"/>
                      <w:sz w:val="18"/>
                      <w:szCs w:val="18"/>
                      <w:highlight w:val="none"/>
                      <w:lang w:val="en-US" w:eastAsia="zh-CN" w:bidi="ar-SA"/>
                    </w:rPr>
                    <w:t>序号</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color w:val="000000"/>
                      <w:kern w:val="0"/>
                      <w:sz w:val="18"/>
                      <w:szCs w:val="18"/>
                      <w:highlight w:val="none"/>
                      <w:lang w:val="en-US" w:eastAsia="zh-CN" w:bidi="ar-SA"/>
                    </w:rPr>
                  </w:pPr>
                  <w:r>
                    <w:rPr>
                      <w:rFonts w:ascii="Times New Roman" w:hAnsi="Times New Roman" w:eastAsia="宋体" w:cs="Times New Roman"/>
                      <w:color w:val="000000"/>
                      <w:kern w:val="0"/>
                      <w:sz w:val="18"/>
                      <w:szCs w:val="18"/>
                      <w:highlight w:val="none"/>
                      <w:lang w:val="en-US" w:eastAsia="zh-CN" w:bidi="ar-SA"/>
                    </w:rPr>
                    <w:t>噪声源</w:t>
                  </w:r>
                </w:p>
              </w:tc>
              <w:tc>
                <w:tcPr>
                  <w:tcW w:w="1086"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color w:val="000000"/>
                      <w:kern w:val="0"/>
                      <w:sz w:val="18"/>
                      <w:szCs w:val="18"/>
                      <w:highlight w:val="none"/>
                      <w:lang w:val="en-US" w:eastAsia="zh-CN" w:bidi="ar-SA"/>
                    </w:rPr>
                  </w:pPr>
                  <w:r>
                    <w:rPr>
                      <w:rFonts w:ascii="Times New Roman" w:hAnsi="Times New Roman" w:eastAsia="宋体" w:cs="Times New Roman"/>
                      <w:color w:val="000000"/>
                      <w:kern w:val="0"/>
                      <w:sz w:val="18"/>
                      <w:szCs w:val="18"/>
                      <w:highlight w:val="none"/>
                      <w:lang w:val="en-US" w:eastAsia="zh-CN" w:bidi="ar-SA"/>
                    </w:rPr>
                    <w:t>噪声源位置</w:t>
                  </w:r>
                </w:p>
              </w:tc>
              <w:tc>
                <w:tcPr>
                  <w:tcW w:w="116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color w:val="000000"/>
                      <w:kern w:val="0"/>
                      <w:sz w:val="18"/>
                      <w:szCs w:val="18"/>
                      <w:highlight w:val="none"/>
                      <w:lang w:val="en-US" w:eastAsia="zh-CN" w:bidi="ar-SA"/>
                    </w:rPr>
                  </w:pPr>
                  <w:r>
                    <w:rPr>
                      <w:rFonts w:ascii="Times New Roman" w:hAnsi="Times New Roman" w:eastAsia="宋体" w:cs="Times New Roman"/>
                      <w:color w:val="000000"/>
                      <w:kern w:val="0"/>
                      <w:sz w:val="18"/>
                      <w:szCs w:val="18"/>
                      <w:highlight w:val="none"/>
                      <w:lang w:val="en-US" w:eastAsia="zh-CN" w:bidi="ar-SA"/>
                    </w:rPr>
                    <w:t>声源强度[dB（A）]</w:t>
                  </w:r>
                </w:p>
              </w:tc>
              <w:tc>
                <w:tcPr>
                  <w:tcW w:w="82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color w:val="000000"/>
                      <w:kern w:val="0"/>
                      <w:sz w:val="18"/>
                      <w:szCs w:val="18"/>
                      <w:highlight w:val="none"/>
                      <w:lang w:val="en-US" w:eastAsia="zh-CN" w:bidi="ar-SA"/>
                    </w:rPr>
                  </w:pPr>
                  <w:r>
                    <w:rPr>
                      <w:rFonts w:ascii="Times New Roman" w:hAnsi="Times New Roman" w:eastAsia="宋体" w:cs="Times New Roman"/>
                      <w:color w:val="000000"/>
                      <w:kern w:val="0"/>
                      <w:sz w:val="18"/>
                      <w:szCs w:val="18"/>
                      <w:highlight w:val="none"/>
                      <w:lang w:val="en-US" w:eastAsia="zh-CN" w:bidi="ar-SA"/>
                    </w:rPr>
                    <w:t>运转方式</w:t>
                  </w:r>
                </w:p>
              </w:tc>
              <w:tc>
                <w:tcPr>
                  <w:tcW w:w="604"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color w:val="000000"/>
                      <w:kern w:val="0"/>
                      <w:sz w:val="18"/>
                      <w:szCs w:val="18"/>
                      <w:highlight w:val="none"/>
                      <w:lang w:val="en-US" w:eastAsia="zh-CN" w:bidi="ar-SA"/>
                    </w:rPr>
                  </w:pPr>
                  <w:r>
                    <w:rPr>
                      <w:rFonts w:hint="eastAsia" w:cs="Times New Roman"/>
                      <w:color w:val="000000"/>
                      <w:kern w:val="0"/>
                      <w:sz w:val="18"/>
                      <w:szCs w:val="18"/>
                      <w:highlight w:val="none"/>
                      <w:lang w:val="en-US" w:eastAsia="zh-CN" w:bidi="ar-SA"/>
                    </w:rPr>
                    <w:t>时间</w:t>
                  </w:r>
                </w:p>
              </w:tc>
              <w:tc>
                <w:tcPr>
                  <w:tcW w:w="1954"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hint="eastAsia" w:ascii="Times New Roman" w:hAnsi="Times New Roman" w:eastAsia="宋体" w:cs="Times New Roman"/>
                      <w:color w:val="000000"/>
                      <w:kern w:val="0"/>
                      <w:sz w:val="18"/>
                      <w:szCs w:val="18"/>
                      <w:highlight w:val="none"/>
                      <w:lang w:val="en-US" w:eastAsia="zh-CN" w:bidi="ar-SA"/>
                    </w:rPr>
                  </w:pPr>
                  <w:r>
                    <w:rPr>
                      <w:rFonts w:hint="eastAsia" w:ascii="Times New Roman" w:hAnsi="Times New Roman" w:eastAsia="宋体" w:cs="Times New Roman"/>
                      <w:color w:val="000000"/>
                      <w:kern w:val="0"/>
                      <w:sz w:val="18"/>
                      <w:szCs w:val="18"/>
                      <w:highlight w:val="none"/>
                      <w:lang w:val="en-US" w:eastAsia="zh-CN" w:bidi="ar-SA"/>
                    </w:rPr>
                    <w:t>治理措施</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降噪效果</w:t>
                  </w:r>
                  <w:r>
                    <w:rPr>
                      <w:rFonts w:ascii="Times New Roman" w:hAnsi="Times New Roman" w:eastAsia="宋体" w:cs="Times New Roman"/>
                      <w:color w:val="000000"/>
                      <w:kern w:val="2"/>
                      <w:sz w:val="18"/>
                      <w:szCs w:val="18"/>
                      <w:highlight w:val="none"/>
                      <w:lang w:val="en-US" w:eastAsia="zh-CN" w:bidi="ar-SA"/>
                    </w:rPr>
                    <w:t>dB</w:t>
                  </w:r>
                  <w:r>
                    <w:rPr>
                      <w:rFonts w:hint="eastAsia" w:ascii="Times New Roman" w:hAnsi="Times New Roman" w:eastAsia="宋体" w:cs="Times New Roman"/>
                      <w:color w:val="000000"/>
                      <w:kern w:val="2"/>
                      <w:sz w:val="18"/>
                      <w:szCs w:val="18"/>
                      <w:highlight w:val="none"/>
                      <w:lang w:val="en-US" w:eastAsia="zh-CN" w:bidi="ar-SA"/>
                    </w:rPr>
                    <w:t>（</w:t>
                  </w:r>
                  <w:r>
                    <w:rPr>
                      <w:rFonts w:ascii="Times New Roman" w:hAnsi="Times New Roman" w:eastAsia="宋体" w:cs="Times New Roman"/>
                      <w:color w:val="000000"/>
                      <w:kern w:val="2"/>
                      <w:sz w:val="18"/>
                      <w:szCs w:val="18"/>
                      <w:highlight w:val="none"/>
                      <w:lang w:val="en-US" w:eastAsia="zh-CN" w:bidi="ar-SA"/>
                    </w:rPr>
                    <w:t>A</w:t>
                  </w:r>
                  <w:r>
                    <w:rPr>
                      <w:rFonts w:hint="eastAsia" w:ascii="Times New Roman" w:hAnsi="Times New Roman" w:eastAsia="宋体" w:cs="Times New Roman"/>
                      <w:color w:val="000000"/>
                      <w:kern w:val="2"/>
                      <w:sz w:val="18"/>
                      <w:szCs w:val="18"/>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1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bCs/>
                      <w:color w:val="000000"/>
                      <w:kern w:val="0"/>
                      <w:sz w:val="18"/>
                      <w:szCs w:val="18"/>
                      <w:highlight w:val="none"/>
                      <w:lang w:val="en-US" w:eastAsia="zh-CN" w:bidi="ar-SA"/>
                    </w:rPr>
                  </w:pPr>
                  <w:r>
                    <w:rPr>
                      <w:rFonts w:ascii="Times New Roman" w:hAnsi="Times New Roman" w:eastAsia="宋体" w:cs="Times New Roman"/>
                      <w:bCs/>
                      <w:color w:val="000000"/>
                      <w:kern w:val="0"/>
                      <w:sz w:val="18"/>
                      <w:szCs w:val="18"/>
                      <w:highlight w:val="none"/>
                      <w:lang w:val="en-US" w:eastAsia="zh-CN" w:bidi="ar-SA"/>
                    </w:rPr>
                    <w:t>1</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color w:val="000000"/>
                      <w:kern w:val="0"/>
                      <w:sz w:val="18"/>
                      <w:szCs w:val="18"/>
                      <w:highlight w:val="none"/>
                      <w:lang w:val="en-US" w:eastAsia="zh-CN" w:bidi="ar-SA"/>
                    </w:rPr>
                  </w:pPr>
                  <w:r>
                    <w:rPr>
                      <w:rFonts w:ascii="Times New Roman" w:hAnsi="Times New Roman" w:eastAsia="宋体" w:cs="Times New Roman"/>
                      <w:color w:val="000000"/>
                      <w:kern w:val="0"/>
                      <w:sz w:val="18"/>
                      <w:szCs w:val="18"/>
                      <w:highlight w:val="none"/>
                      <w:lang w:val="en-US" w:eastAsia="zh-CN" w:bidi="ar-SA"/>
                    </w:rPr>
                    <w:t>锅炉排汽</w:t>
                  </w:r>
                </w:p>
              </w:tc>
              <w:tc>
                <w:tcPr>
                  <w:tcW w:w="1086"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color w:val="000000"/>
                      <w:kern w:val="0"/>
                      <w:sz w:val="18"/>
                      <w:szCs w:val="18"/>
                      <w:highlight w:val="none"/>
                      <w:lang w:val="en-US" w:eastAsia="zh-CN" w:bidi="ar-SA"/>
                    </w:rPr>
                  </w:pPr>
                  <w:r>
                    <w:rPr>
                      <w:rFonts w:ascii="Times New Roman" w:hAnsi="Times New Roman" w:eastAsia="宋体" w:cs="Times New Roman"/>
                      <w:color w:val="000000"/>
                      <w:kern w:val="0"/>
                      <w:sz w:val="18"/>
                      <w:szCs w:val="18"/>
                      <w:highlight w:val="none"/>
                      <w:lang w:val="en-US" w:eastAsia="zh-CN" w:bidi="ar-SA"/>
                    </w:rPr>
                    <w:t>锅炉</w:t>
                  </w:r>
                </w:p>
              </w:tc>
              <w:tc>
                <w:tcPr>
                  <w:tcW w:w="116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color w:val="000000"/>
                      <w:kern w:val="0"/>
                      <w:sz w:val="18"/>
                      <w:szCs w:val="18"/>
                      <w:highlight w:val="none"/>
                      <w:lang w:val="en-US" w:eastAsia="zh-CN" w:bidi="ar-SA"/>
                    </w:rPr>
                  </w:pPr>
                  <w:r>
                    <w:rPr>
                      <w:rFonts w:hint="eastAsia" w:cs="Times New Roman"/>
                      <w:color w:val="000000"/>
                      <w:kern w:val="0"/>
                      <w:sz w:val="18"/>
                      <w:szCs w:val="18"/>
                      <w:highlight w:val="none"/>
                      <w:lang w:val="en-US" w:eastAsia="zh-CN" w:bidi="ar-SA"/>
                    </w:rPr>
                    <w:t>85~90</w:t>
                  </w:r>
                </w:p>
              </w:tc>
              <w:tc>
                <w:tcPr>
                  <w:tcW w:w="82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color w:val="000000"/>
                      <w:kern w:val="0"/>
                      <w:sz w:val="18"/>
                      <w:szCs w:val="18"/>
                      <w:highlight w:val="none"/>
                      <w:lang w:val="en-US" w:eastAsia="zh-CN" w:bidi="ar-SA"/>
                    </w:rPr>
                  </w:pPr>
                  <w:r>
                    <w:rPr>
                      <w:rFonts w:ascii="Times New Roman" w:hAnsi="Times New Roman" w:eastAsia="宋体" w:cs="Times New Roman"/>
                      <w:color w:val="000000"/>
                      <w:kern w:val="0"/>
                      <w:sz w:val="18"/>
                      <w:szCs w:val="18"/>
                      <w:highlight w:val="none"/>
                      <w:lang w:val="en-US" w:eastAsia="zh-CN" w:bidi="ar-SA"/>
                    </w:rPr>
                    <w:t>连续</w:t>
                  </w:r>
                </w:p>
              </w:tc>
              <w:tc>
                <w:tcPr>
                  <w:tcW w:w="604" w:type="dxa"/>
                  <w:vMerge w:val="restart"/>
                  <w:tcBorders>
                    <w:top w:val="single" w:color="auto" w:sz="4" w:space="0"/>
                    <w:left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color w:val="000000"/>
                      <w:kern w:val="0"/>
                      <w:sz w:val="18"/>
                      <w:szCs w:val="18"/>
                      <w:highlight w:val="none"/>
                      <w:lang w:val="en-US" w:eastAsia="zh-CN" w:bidi="ar-SA"/>
                    </w:rPr>
                  </w:pPr>
                  <w:r>
                    <w:rPr>
                      <w:rFonts w:hint="eastAsia" w:cs="Times New Roman"/>
                      <w:color w:val="000000"/>
                      <w:kern w:val="0"/>
                      <w:sz w:val="18"/>
                      <w:szCs w:val="18"/>
                      <w:highlight w:val="none"/>
                      <w:lang w:val="en-US" w:eastAsia="zh-CN" w:bidi="ar-SA"/>
                    </w:rPr>
                    <w:t>8h</w:t>
                  </w:r>
                </w:p>
              </w:tc>
              <w:tc>
                <w:tcPr>
                  <w:tcW w:w="1954" w:type="dxa"/>
                  <w:vMerge w:val="restart"/>
                  <w:tcBorders>
                    <w:top w:val="single" w:color="auto" w:sz="4" w:space="0"/>
                    <w:left w:val="single" w:color="auto" w:sz="4" w:space="0"/>
                    <w:right w:val="single" w:color="auto" w:sz="4" w:space="0"/>
                  </w:tcBorders>
                  <w:noWrap w:val="0"/>
                  <w:vAlign w:val="center"/>
                </w:tcPr>
                <w:p>
                  <w:pPr>
                    <w:widowControl w:val="0"/>
                    <w:adjustRightInd w:val="0"/>
                    <w:snapToGrid w:val="0"/>
                    <w:spacing w:before="24" w:beforeLines="10" w:after="24" w:afterLines="10" w:line="240" w:lineRule="auto"/>
                    <w:jc w:val="center"/>
                    <w:rPr>
                      <w:rFonts w:hint="eastAsia" w:ascii="Times New Roman" w:hAnsi="Times New Roman" w:eastAsia="宋体" w:cs="Times New Roman"/>
                      <w:color w:val="000000"/>
                      <w:kern w:val="0"/>
                      <w:sz w:val="18"/>
                      <w:szCs w:val="18"/>
                      <w:highlight w:val="none"/>
                      <w:lang w:val="en-US" w:eastAsia="zh-CN" w:bidi="ar-SA"/>
                    </w:rPr>
                  </w:pPr>
                  <w:r>
                    <w:rPr>
                      <w:rFonts w:hint="eastAsia" w:ascii="Times New Roman" w:hAnsi="Times New Roman" w:eastAsia="宋体" w:cs="Times New Roman"/>
                      <w:color w:val="000000"/>
                      <w:kern w:val="0"/>
                      <w:sz w:val="18"/>
                      <w:szCs w:val="18"/>
                      <w:highlight w:val="none"/>
                      <w:lang w:val="en-US" w:eastAsia="zh-CN" w:bidi="ar-SA"/>
                    </w:rPr>
                    <w:t>对鼓风机进行减振处理。采用弹簧隔振器对鼓、引风机进行减振，每台鼓、引风机底座安装隔振器，同时考虑鼓、引风机的进、排风连接的金属风管必须加软连接，防止风机的振动通过金属管道引起振动噪声</w:t>
                  </w:r>
                  <w:r>
                    <w:rPr>
                      <w:rFonts w:hint="eastAsia" w:cs="Times New Roman"/>
                      <w:color w:val="000000"/>
                      <w:kern w:val="0"/>
                      <w:sz w:val="18"/>
                      <w:szCs w:val="18"/>
                      <w:highlight w:val="none"/>
                      <w:lang w:val="en-US" w:eastAsia="zh-CN" w:bidi="ar-SA"/>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Times New Roman" w:hAnsi="Times New Roman" w:eastAsia="宋体" w:cs="Times New Roman"/>
                      <w:color w:val="000000"/>
                      <w:kern w:val="2"/>
                      <w:sz w:val="18"/>
                      <w:szCs w:val="18"/>
                      <w:highlight w:val="none"/>
                      <w:lang w:val="en-US" w:eastAsia="zh-CN" w:bidi="ar-SA"/>
                    </w:rPr>
                  </w:pPr>
                  <w:r>
                    <w:rPr>
                      <w:rFonts w:ascii="Times New Roman" w:hAnsi="Times New Roman" w:eastAsia="宋体" w:cs="Times New Roman"/>
                      <w:color w:val="000000"/>
                      <w:kern w:val="2"/>
                      <w:sz w:val="18"/>
                      <w:szCs w:val="18"/>
                      <w:highlight w:val="none"/>
                      <w:lang w:val="en-US" w:eastAsia="zh-CN" w:bidi="ar-SA"/>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51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hint="eastAsia" w:ascii="Times New Roman" w:hAnsi="Times New Roman" w:eastAsia="宋体" w:cs="Times New Roman"/>
                      <w:bCs/>
                      <w:color w:val="000000"/>
                      <w:kern w:val="0"/>
                      <w:sz w:val="18"/>
                      <w:szCs w:val="18"/>
                      <w:highlight w:val="none"/>
                      <w:lang w:val="en-US" w:eastAsia="zh-CN" w:bidi="ar-SA"/>
                    </w:rPr>
                  </w:pPr>
                  <w:r>
                    <w:rPr>
                      <w:rFonts w:hint="eastAsia" w:ascii="Times New Roman" w:hAnsi="Times New Roman" w:eastAsia="宋体" w:cs="Times New Roman"/>
                      <w:bCs/>
                      <w:color w:val="000000"/>
                      <w:kern w:val="0"/>
                      <w:sz w:val="18"/>
                      <w:szCs w:val="18"/>
                      <w:highlight w:val="none"/>
                      <w:lang w:val="en-US" w:eastAsia="zh-CN" w:bidi="ar-SA"/>
                    </w:rPr>
                    <w:t>2</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hint="eastAsia" w:ascii="Times New Roman" w:hAnsi="Times New Roman" w:eastAsia="宋体" w:cs="Times New Roman"/>
                      <w:bCs/>
                      <w:color w:val="000000"/>
                      <w:kern w:val="0"/>
                      <w:sz w:val="18"/>
                      <w:szCs w:val="18"/>
                      <w:highlight w:val="none"/>
                      <w:lang w:val="en-US" w:eastAsia="zh-CN" w:bidi="ar-SA"/>
                    </w:rPr>
                  </w:pPr>
                  <w:r>
                    <w:rPr>
                      <w:rFonts w:hint="eastAsia" w:ascii="Times New Roman" w:hAnsi="Times New Roman" w:eastAsia="宋体" w:cs="Times New Roman"/>
                      <w:bCs/>
                      <w:color w:val="000000"/>
                      <w:kern w:val="0"/>
                      <w:sz w:val="18"/>
                      <w:szCs w:val="18"/>
                      <w:highlight w:val="none"/>
                      <w:lang w:val="en-US" w:eastAsia="zh-CN" w:bidi="ar-SA"/>
                    </w:rPr>
                    <w:t>引风机</w:t>
                  </w:r>
                </w:p>
              </w:tc>
              <w:tc>
                <w:tcPr>
                  <w:tcW w:w="1086"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bCs/>
                      <w:color w:val="000000"/>
                      <w:kern w:val="0"/>
                      <w:sz w:val="18"/>
                      <w:szCs w:val="18"/>
                      <w:highlight w:val="none"/>
                      <w:lang w:val="en-US" w:eastAsia="zh-CN" w:bidi="ar-SA"/>
                    </w:rPr>
                  </w:pPr>
                  <w:r>
                    <w:rPr>
                      <w:rFonts w:ascii="Times New Roman" w:hAnsi="Times New Roman" w:eastAsia="宋体" w:cs="Times New Roman"/>
                      <w:bCs/>
                      <w:color w:val="000000"/>
                      <w:kern w:val="0"/>
                      <w:sz w:val="18"/>
                      <w:szCs w:val="18"/>
                      <w:highlight w:val="none"/>
                      <w:lang w:val="en-US" w:eastAsia="zh-CN" w:bidi="ar-SA"/>
                    </w:rPr>
                    <w:t>锅炉</w:t>
                  </w:r>
                  <w:r>
                    <w:rPr>
                      <w:rFonts w:hint="eastAsia" w:ascii="Times New Roman" w:hAnsi="Times New Roman" w:eastAsia="宋体" w:cs="Times New Roman"/>
                      <w:bCs/>
                      <w:color w:val="000000"/>
                      <w:kern w:val="0"/>
                      <w:sz w:val="18"/>
                      <w:szCs w:val="18"/>
                      <w:highlight w:val="none"/>
                      <w:lang w:val="en-US" w:eastAsia="zh-CN" w:bidi="ar-SA"/>
                    </w:rPr>
                    <w:t>旁</w:t>
                  </w:r>
                </w:p>
              </w:tc>
              <w:tc>
                <w:tcPr>
                  <w:tcW w:w="116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hint="eastAsia" w:ascii="Times New Roman" w:hAnsi="Times New Roman" w:eastAsia="宋体" w:cs="Times New Roman"/>
                      <w:bCs/>
                      <w:color w:val="000000"/>
                      <w:kern w:val="2"/>
                      <w:sz w:val="18"/>
                      <w:szCs w:val="18"/>
                      <w:highlight w:val="none"/>
                      <w:lang w:val="en-US" w:eastAsia="zh-CN" w:bidi="ar-SA"/>
                    </w:rPr>
                  </w:pPr>
                  <w:r>
                    <w:rPr>
                      <w:rFonts w:hint="eastAsia" w:ascii="Times New Roman" w:hAnsi="Times New Roman" w:eastAsia="宋体" w:cs="Times New Roman"/>
                      <w:bCs/>
                      <w:color w:val="000000"/>
                      <w:kern w:val="0"/>
                      <w:sz w:val="18"/>
                      <w:szCs w:val="18"/>
                      <w:highlight w:val="none"/>
                      <w:lang w:val="en-US" w:eastAsia="zh-CN" w:bidi="ar-SA"/>
                    </w:rPr>
                    <w:t>80~90</w:t>
                  </w:r>
                </w:p>
              </w:tc>
              <w:tc>
                <w:tcPr>
                  <w:tcW w:w="82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bCs/>
                      <w:color w:val="000000"/>
                      <w:kern w:val="0"/>
                      <w:sz w:val="18"/>
                      <w:szCs w:val="18"/>
                      <w:highlight w:val="none"/>
                      <w:lang w:val="en-US" w:eastAsia="zh-CN" w:bidi="ar-SA"/>
                    </w:rPr>
                  </w:pPr>
                  <w:r>
                    <w:rPr>
                      <w:rFonts w:ascii="Times New Roman" w:hAnsi="Times New Roman" w:eastAsia="宋体" w:cs="Times New Roman"/>
                      <w:bCs/>
                      <w:color w:val="000000"/>
                      <w:kern w:val="0"/>
                      <w:sz w:val="18"/>
                      <w:szCs w:val="18"/>
                      <w:highlight w:val="none"/>
                      <w:lang w:val="en-US" w:eastAsia="zh-CN" w:bidi="ar-SA"/>
                    </w:rPr>
                    <w:t>连续</w:t>
                  </w:r>
                </w:p>
              </w:tc>
              <w:tc>
                <w:tcPr>
                  <w:tcW w:w="604" w:type="dxa"/>
                  <w:vMerge w:val="continue"/>
                  <w:tcBorders>
                    <w:left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bCs/>
                      <w:color w:val="000000"/>
                      <w:kern w:val="0"/>
                      <w:sz w:val="18"/>
                      <w:szCs w:val="18"/>
                      <w:highlight w:val="none"/>
                      <w:lang w:val="en-US" w:eastAsia="zh-CN" w:bidi="ar-SA"/>
                    </w:rPr>
                  </w:pPr>
                </w:p>
              </w:tc>
              <w:tc>
                <w:tcPr>
                  <w:tcW w:w="1954" w:type="dxa"/>
                  <w:vMerge w:val="continue"/>
                  <w:tcBorders>
                    <w:left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bCs/>
                      <w:color w:val="000000"/>
                      <w:kern w:val="0"/>
                      <w:sz w:val="18"/>
                      <w:szCs w:val="18"/>
                      <w:highlight w:val="none"/>
                      <w:lang w:val="en-US" w:eastAsia="zh-CN" w:bidi="ar-SA"/>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ascii="Times New Roman" w:hAnsi="Times New Roman" w:eastAsia="宋体" w:cs="Times New Roman"/>
                      <w:color w:val="000000"/>
                      <w:kern w:val="2"/>
                      <w:sz w:val="18"/>
                      <w:szCs w:val="18"/>
                      <w:highlight w:val="none"/>
                      <w:lang w:val="en-US" w:eastAsia="zh-CN" w:bidi="ar-SA"/>
                    </w:rPr>
                  </w:pPr>
                  <w:r>
                    <w:rPr>
                      <w:rFonts w:ascii="Times New Roman" w:hAnsi="Times New Roman" w:eastAsia="宋体" w:cs="Times New Roman"/>
                      <w:color w:val="000000"/>
                      <w:kern w:val="2"/>
                      <w:sz w:val="18"/>
                      <w:szCs w:val="18"/>
                      <w:highlight w:val="none"/>
                      <w:lang w:val="en-US" w:eastAsia="zh-CN" w:bidi="ar-SA"/>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51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hint="eastAsia" w:ascii="Times New Roman" w:hAnsi="Times New Roman" w:eastAsia="宋体" w:cs="Times New Roman"/>
                      <w:bCs/>
                      <w:color w:val="000000"/>
                      <w:kern w:val="0"/>
                      <w:sz w:val="18"/>
                      <w:szCs w:val="18"/>
                      <w:highlight w:val="none"/>
                      <w:lang w:val="en-US" w:eastAsia="zh-CN" w:bidi="ar-SA"/>
                    </w:rPr>
                  </w:pPr>
                  <w:r>
                    <w:rPr>
                      <w:rFonts w:hint="eastAsia" w:ascii="Times New Roman" w:hAnsi="Times New Roman" w:eastAsia="宋体" w:cs="Times New Roman"/>
                      <w:bCs/>
                      <w:color w:val="000000"/>
                      <w:kern w:val="0"/>
                      <w:sz w:val="18"/>
                      <w:szCs w:val="18"/>
                      <w:highlight w:val="none"/>
                      <w:lang w:val="en-US" w:eastAsia="zh-CN" w:bidi="ar-SA"/>
                    </w:rPr>
                    <w:t>3</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hint="eastAsia" w:ascii="Times New Roman" w:hAnsi="Times New Roman" w:eastAsia="宋体" w:cs="Times New Roman"/>
                      <w:bCs/>
                      <w:color w:val="000000"/>
                      <w:kern w:val="0"/>
                      <w:sz w:val="18"/>
                      <w:szCs w:val="18"/>
                      <w:highlight w:val="none"/>
                      <w:lang w:val="en-US" w:eastAsia="zh-CN" w:bidi="ar-SA"/>
                    </w:rPr>
                  </w:pPr>
                  <w:r>
                    <w:rPr>
                      <w:rFonts w:hint="eastAsia" w:ascii="Times New Roman" w:hAnsi="Times New Roman" w:eastAsia="宋体" w:cs="Times New Roman"/>
                      <w:bCs/>
                      <w:color w:val="000000"/>
                      <w:kern w:val="0"/>
                      <w:sz w:val="18"/>
                      <w:szCs w:val="18"/>
                      <w:highlight w:val="none"/>
                      <w:lang w:val="en-US" w:eastAsia="zh-CN" w:bidi="ar-SA"/>
                    </w:rPr>
                    <w:t>鼓风机</w:t>
                  </w:r>
                </w:p>
              </w:tc>
              <w:tc>
                <w:tcPr>
                  <w:tcW w:w="1086"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bCs/>
                      <w:color w:val="000000"/>
                      <w:kern w:val="0"/>
                      <w:sz w:val="18"/>
                      <w:szCs w:val="18"/>
                      <w:highlight w:val="none"/>
                      <w:lang w:val="en-US" w:eastAsia="zh-CN" w:bidi="ar-SA"/>
                    </w:rPr>
                  </w:pPr>
                  <w:r>
                    <w:rPr>
                      <w:rFonts w:ascii="Times New Roman" w:hAnsi="Times New Roman" w:eastAsia="宋体" w:cs="Times New Roman"/>
                      <w:bCs/>
                      <w:color w:val="000000"/>
                      <w:kern w:val="0"/>
                      <w:sz w:val="18"/>
                      <w:szCs w:val="18"/>
                      <w:highlight w:val="none"/>
                      <w:lang w:val="en-US" w:eastAsia="zh-CN" w:bidi="ar-SA"/>
                    </w:rPr>
                    <w:t>锅炉</w:t>
                  </w:r>
                  <w:r>
                    <w:rPr>
                      <w:rFonts w:hint="eastAsia" w:ascii="Times New Roman" w:hAnsi="Times New Roman" w:eastAsia="宋体" w:cs="Times New Roman"/>
                      <w:bCs/>
                      <w:color w:val="000000"/>
                      <w:kern w:val="0"/>
                      <w:sz w:val="18"/>
                      <w:szCs w:val="18"/>
                      <w:highlight w:val="none"/>
                      <w:lang w:val="en-US" w:eastAsia="zh-CN" w:bidi="ar-SA"/>
                    </w:rPr>
                    <w:t>旁</w:t>
                  </w:r>
                </w:p>
              </w:tc>
              <w:tc>
                <w:tcPr>
                  <w:tcW w:w="116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hint="eastAsia" w:ascii="Times New Roman" w:hAnsi="Times New Roman" w:eastAsia="宋体" w:cs="Times New Roman"/>
                      <w:bCs/>
                      <w:color w:val="000000"/>
                      <w:kern w:val="0"/>
                      <w:sz w:val="18"/>
                      <w:szCs w:val="18"/>
                      <w:highlight w:val="none"/>
                      <w:lang w:val="en-US" w:eastAsia="zh-CN" w:bidi="ar-SA"/>
                    </w:rPr>
                  </w:pPr>
                  <w:r>
                    <w:rPr>
                      <w:rFonts w:hint="eastAsia" w:ascii="Times New Roman" w:hAnsi="Times New Roman" w:eastAsia="宋体" w:cs="Times New Roman"/>
                      <w:bCs/>
                      <w:color w:val="000000"/>
                      <w:kern w:val="0"/>
                      <w:sz w:val="18"/>
                      <w:szCs w:val="18"/>
                      <w:highlight w:val="none"/>
                      <w:lang w:val="en-US" w:eastAsia="zh-CN" w:bidi="ar-SA"/>
                    </w:rPr>
                    <w:t>80~90</w:t>
                  </w:r>
                </w:p>
              </w:tc>
              <w:tc>
                <w:tcPr>
                  <w:tcW w:w="82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bCs/>
                      <w:color w:val="000000"/>
                      <w:kern w:val="0"/>
                      <w:sz w:val="18"/>
                      <w:szCs w:val="18"/>
                      <w:highlight w:val="none"/>
                      <w:lang w:val="en-US" w:eastAsia="zh-CN" w:bidi="ar-SA"/>
                    </w:rPr>
                  </w:pPr>
                  <w:r>
                    <w:rPr>
                      <w:rFonts w:ascii="Times New Roman" w:hAnsi="Times New Roman" w:eastAsia="宋体" w:cs="Times New Roman"/>
                      <w:bCs/>
                      <w:color w:val="000000"/>
                      <w:kern w:val="0"/>
                      <w:sz w:val="18"/>
                      <w:szCs w:val="18"/>
                      <w:highlight w:val="none"/>
                      <w:lang w:val="en-US" w:eastAsia="zh-CN" w:bidi="ar-SA"/>
                    </w:rPr>
                    <w:t>连续</w:t>
                  </w:r>
                </w:p>
              </w:tc>
              <w:tc>
                <w:tcPr>
                  <w:tcW w:w="604" w:type="dxa"/>
                  <w:vMerge w:val="continue"/>
                  <w:tcBorders>
                    <w:left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bCs/>
                      <w:color w:val="000000"/>
                      <w:kern w:val="0"/>
                      <w:sz w:val="18"/>
                      <w:szCs w:val="18"/>
                      <w:highlight w:val="none"/>
                      <w:lang w:val="en-US" w:eastAsia="zh-CN" w:bidi="ar-SA"/>
                    </w:rPr>
                  </w:pPr>
                </w:p>
              </w:tc>
              <w:tc>
                <w:tcPr>
                  <w:tcW w:w="1954" w:type="dxa"/>
                  <w:vMerge w:val="continue"/>
                  <w:tcBorders>
                    <w:left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bCs/>
                      <w:color w:val="000000"/>
                      <w:kern w:val="0"/>
                      <w:sz w:val="18"/>
                      <w:szCs w:val="18"/>
                      <w:highlight w:val="none"/>
                      <w:lang w:val="en-US" w:eastAsia="zh-CN" w:bidi="ar-SA"/>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ascii="Times New Roman" w:hAnsi="Times New Roman" w:eastAsia="宋体" w:cs="Times New Roman"/>
                      <w:color w:val="000000"/>
                      <w:kern w:val="2"/>
                      <w:sz w:val="18"/>
                      <w:szCs w:val="18"/>
                      <w:highlight w:val="none"/>
                      <w:lang w:val="en-US" w:eastAsia="zh-CN" w:bidi="ar-SA"/>
                    </w:rPr>
                  </w:pPr>
                  <w:r>
                    <w:rPr>
                      <w:rFonts w:ascii="Times New Roman" w:hAnsi="Times New Roman" w:eastAsia="宋体" w:cs="Times New Roman"/>
                      <w:color w:val="000000"/>
                      <w:kern w:val="2"/>
                      <w:sz w:val="18"/>
                      <w:szCs w:val="18"/>
                      <w:highlight w:val="none"/>
                      <w:lang w:val="en-US" w:eastAsia="zh-CN" w:bidi="ar-SA"/>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hint="eastAsia" w:ascii="Times New Roman" w:hAnsi="Times New Roman" w:eastAsia="宋体" w:cs="Times New Roman"/>
                      <w:bCs/>
                      <w:color w:val="000000"/>
                      <w:kern w:val="0"/>
                      <w:sz w:val="18"/>
                      <w:szCs w:val="18"/>
                      <w:highlight w:val="none"/>
                      <w:lang w:val="en-US" w:eastAsia="zh-CN" w:bidi="ar-SA"/>
                    </w:rPr>
                  </w:pPr>
                  <w:r>
                    <w:rPr>
                      <w:rFonts w:hint="eastAsia" w:ascii="Times New Roman" w:hAnsi="Times New Roman" w:eastAsia="宋体" w:cs="Times New Roman"/>
                      <w:bCs/>
                      <w:color w:val="000000"/>
                      <w:kern w:val="0"/>
                      <w:sz w:val="18"/>
                      <w:szCs w:val="18"/>
                      <w:highlight w:val="none"/>
                      <w:lang w:val="en-US" w:eastAsia="zh-CN" w:bidi="ar-SA"/>
                    </w:rPr>
                    <w:t>4</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bCs/>
                      <w:color w:val="000000"/>
                      <w:kern w:val="0"/>
                      <w:sz w:val="18"/>
                      <w:szCs w:val="18"/>
                      <w:highlight w:val="none"/>
                      <w:lang w:val="en-US" w:eastAsia="zh-CN" w:bidi="ar-SA"/>
                    </w:rPr>
                  </w:pPr>
                  <w:r>
                    <w:rPr>
                      <w:rFonts w:ascii="Times New Roman" w:hAnsi="Times New Roman" w:eastAsia="宋体" w:cs="Times New Roman"/>
                      <w:bCs/>
                      <w:color w:val="000000"/>
                      <w:kern w:val="0"/>
                      <w:sz w:val="18"/>
                      <w:szCs w:val="18"/>
                      <w:highlight w:val="none"/>
                      <w:lang w:val="en-US" w:eastAsia="zh-CN" w:bidi="ar-SA"/>
                    </w:rPr>
                    <w:t>水泵</w:t>
                  </w:r>
                </w:p>
              </w:tc>
              <w:tc>
                <w:tcPr>
                  <w:tcW w:w="1086"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bCs/>
                      <w:color w:val="000000"/>
                      <w:kern w:val="0"/>
                      <w:sz w:val="18"/>
                      <w:szCs w:val="18"/>
                      <w:highlight w:val="none"/>
                      <w:lang w:val="en-US" w:eastAsia="zh-CN" w:bidi="ar-SA"/>
                    </w:rPr>
                  </w:pPr>
                  <w:r>
                    <w:rPr>
                      <w:rFonts w:ascii="Times New Roman" w:hAnsi="Times New Roman" w:eastAsia="宋体" w:cs="Times New Roman"/>
                      <w:bCs/>
                      <w:color w:val="000000"/>
                      <w:kern w:val="0"/>
                      <w:sz w:val="18"/>
                      <w:szCs w:val="18"/>
                      <w:highlight w:val="none"/>
                      <w:lang w:val="en-US" w:eastAsia="zh-CN" w:bidi="ar-SA"/>
                    </w:rPr>
                    <w:t>锅炉</w:t>
                  </w:r>
                  <w:r>
                    <w:rPr>
                      <w:rFonts w:hint="eastAsia" w:ascii="Times New Roman" w:hAnsi="Times New Roman" w:eastAsia="宋体" w:cs="Times New Roman"/>
                      <w:bCs/>
                      <w:color w:val="000000"/>
                      <w:kern w:val="0"/>
                      <w:sz w:val="18"/>
                      <w:szCs w:val="18"/>
                      <w:highlight w:val="none"/>
                      <w:lang w:val="en-US" w:eastAsia="zh-CN" w:bidi="ar-SA"/>
                    </w:rPr>
                    <w:t>旁</w:t>
                  </w:r>
                </w:p>
              </w:tc>
              <w:tc>
                <w:tcPr>
                  <w:tcW w:w="116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hint="eastAsia" w:ascii="Times New Roman" w:hAnsi="Times New Roman" w:eastAsia="宋体" w:cs="Times New Roman"/>
                      <w:bCs/>
                      <w:color w:val="000000"/>
                      <w:kern w:val="2"/>
                      <w:sz w:val="18"/>
                      <w:szCs w:val="18"/>
                      <w:highlight w:val="none"/>
                      <w:lang w:val="en-US" w:eastAsia="zh-CN" w:bidi="ar-SA"/>
                    </w:rPr>
                  </w:pPr>
                  <w:r>
                    <w:rPr>
                      <w:rFonts w:hint="eastAsia" w:ascii="Times New Roman" w:hAnsi="Times New Roman" w:eastAsia="宋体" w:cs="Times New Roman"/>
                      <w:bCs/>
                      <w:color w:val="000000"/>
                      <w:kern w:val="0"/>
                      <w:sz w:val="18"/>
                      <w:szCs w:val="18"/>
                      <w:highlight w:val="none"/>
                      <w:lang w:val="en-US" w:eastAsia="zh-CN" w:bidi="ar-SA"/>
                    </w:rPr>
                    <w:t>80~90</w:t>
                  </w:r>
                </w:p>
              </w:tc>
              <w:tc>
                <w:tcPr>
                  <w:tcW w:w="82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bCs/>
                      <w:color w:val="000000"/>
                      <w:kern w:val="0"/>
                      <w:sz w:val="18"/>
                      <w:szCs w:val="18"/>
                      <w:highlight w:val="none"/>
                      <w:lang w:val="en-US" w:eastAsia="zh-CN" w:bidi="ar-SA"/>
                    </w:rPr>
                  </w:pPr>
                  <w:r>
                    <w:rPr>
                      <w:rFonts w:ascii="Times New Roman" w:hAnsi="Times New Roman" w:eastAsia="宋体" w:cs="Times New Roman"/>
                      <w:bCs/>
                      <w:color w:val="000000"/>
                      <w:kern w:val="0"/>
                      <w:sz w:val="18"/>
                      <w:szCs w:val="18"/>
                      <w:highlight w:val="none"/>
                      <w:lang w:val="en-US" w:eastAsia="zh-CN" w:bidi="ar-SA"/>
                    </w:rPr>
                    <w:t>连续</w:t>
                  </w:r>
                </w:p>
              </w:tc>
              <w:tc>
                <w:tcPr>
                  <w:tcW w:w="604" w:type="dxa"/>
                  <w:vMerge w:val="continue"/>
                  <w:tcBorders>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bCs/>
                      <w:color w:val="000000"/>
                      <w:kern w:val="0"/>
                      <w:sz w:val="18"/>
                      <w:szCs w:val="18"/>
                      <w:highlight w:val="none"/>
                      <w:lang w:val="en-US" w:eastAsia="zh-CN" w:bidi="ar-SA"/>
                    </w:rPr>
                  </w:pPr>
                </w:p>
              </w:tc>
              <w:tc>
                <w:tcPr>
                  <w:tcW w:w="1954" w:type="dxa"/>
                  <w:vMerge w:val="continue"/>
                  <w:tcBorders>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jc w:val="center"/>
                    <w:rPr>
                      <w:rFonts w:ascii="Times New Roman" w:hAnsi="Times New Roman" w:eastAsia="宋体" w:cs="Times New Roman"/>
                      <w:bCs/>
                      <w:color w:val="000000"/>
                      <w:kern w:val="0"/>
                      <w:sz w:val="18"/>
                      <w:szCs w:val="18"/>
                      <w:highlight w:val="none"/>
                      <w:lang w:val="en-US" w:eastAsia="zh-CN" w:bidi="ar-SA"/>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ascii="Times New Roman" w:hAnsi="Times New Roman" w:eastAsia="宋体" w:cs="Times New Roman"/>
                      <w:color w:val="000000"/>
                      <w:kern w:val="2"/>
                      <w:sz w:val="18"/>
                      <w:szCs w:val="18"/>
                      <w:highlight w:val="none"/>
                      <w:lang w:val="en-US" w:eastAsia="zh-CN" w:bidi="ar-SA"/>
                    </w:rPr>
                  </w:pPr>
                  <w:r>
                    <w:rPr>
                      <w:rFonts w:ascii="Times New Roman" w:hAnsi="Times New Roman" w:eastAsia="宋体" w:cs="Times New Roman"/>
                      <w:color w:val="000000"/>
                      <w:kern w:val="2"/>
                      <w:sz w:val="18"/>
                      <w:szCs w:val="18"/>
                      <w:highlight w:val="none"/>
                      <w:lang w:val="en-US" w:eastAsia="zh-CN" w:bidi="ar-SA"/>
                    </w:rPr>
                    <w:t>15-20</w:t>
                  </w:r>
                </w:p>
              </w:tc>
            </w:tr>
          </w:tbl>
          <w:p>
            <w:pPr>
              <w:adjustRightInd w:val="0"/>
              <w:snapToGrid w:val="0"/>
              <w:spacing w:line="520" w:lineRule="exact"/>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lang w:val="en-US" w:eastAsia="zh-CN"/>
              </w:rPr>
              <w:t>2</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达标可行性分析</w:t>
            </w:r>
          </w:p>
          <w:p>
            <w:pPr>
              <w:adjustRightInd w:val="0"/>
              <w:snapToGrid w:val="0"/>
              <w:spacing w:line="5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影响声波从声源到受声点传播的因素有很多，它们主要包括几何发散、大气吸收、地面效应、屏障屏蔽及其他多方面效应，其中对声波的传播影响最大的是与声源到受声点的距离有关的几何发散，即声波随距离的衰减。</w:t>
            </w:r>
          </w:p>
          <w:p>
            <w:pPr>
              <w:adjustRightInd w:val="0"/>
              <w:snapToGrid w:val="0"/>
              <w:spacing w:line="5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根据《</w:t>
            </w:r>
            <w:r>
              <w:rPr>
                <w:rFonts w:hint="eastAsia" w:ascii="宋体" w:hAnsi="宋体" w:cs="宋体"/>
                <w:color w:val="000000"/>
                <w:sz w:val="24"/>
                <w:szCs w:val="24"/>
                <w:highlight w:val="none"/>
                <w:lang w:eastAsia="zh-CN"/>
              </w:rPr>
              <w:t>环境影响评价技术导则 声环境</w:t>
            </w:r>
            <w:r>
              <w:rPr>
                <w:rFonts w:hint="eastAsia" w:ascii="宋体" w:hAnsi="宋体" w:eastAsia="宋体" w:cs="宋体"/>
                <w:color w:val="000000"/>
                <w:sz w:val="24"/>
                <w:szCs w:val="24"/>
                <w:highlight w:val="none"/>
              </w:rPr>
              <w:t>》（HJ2.4-2021）的推荐公式：</w:t>
            </w:r>
          </w:p>
          <w:p>
            <w:pPr>
              <w:widowControl/>
              <w:snapToGrid w:val="0"/>
              <w:spacing w:line="520" w:lineRule="exact"/>
              <w:ind w:firstLine="480" w:firstLineChars="200"/>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L</w:t>
            </w:r>
            <w:r>
              <w:rPr>
                <w:rFonts w:hint="eastAsia" w:ascii="宋体" w:hAnsi="宋体" w:eastAsia="宋体" w:cs="宋体"/>
                <w:color w:val="000000"/>
                <w:kern w:val="0"/>
                <w:sz w:val="24"/>
                <w:szCs w:val="24"/>
                <w:highlight w:val="none"/>
                <w:vertAlign w:val="subscript"/>
              </w:rPr>
              <w:t>p</w:t>
            </w:r>
            <w:r>
              <w:rPr>
                <w:rFonts w:hint="eastAsia" w:ascii="宋体" w:hAnsi="宋体" w:eastAsia="宋体" w:cs="宋体"/>
                <w:color w:val="000000"/>
                <w:kern w:val="0"/>
                <w:sz w:val="24"/>
                <w:szCs w:val="24"/>
                <w:highlight w:val="none"/>
              </w:rPr>
              <w:t>（r）=L</w:t>
            </w:r>
            <w:r>
              <w:rPr>
                <w:rFonts w:hint="eastAsia" w:ascii="宋体" w:hAnsi="宋体" w:eastAsia="宋体" w:cs="宋体"/>
                <w:color w:val="000000"/>
                <w:kern w:val="0"/>
                <w:sz w:val="24"/>
                <w:szCs w:val="24"/>
                <w:highlight w:val="none"/>
                <w:vertAlign w:val="subscript"/>
              </w:rPr>
              <w:t>p</w:t>
            </w:r>
            <w:r>
              <w:rPr>
                <w:rFonts w:hint="eastAsia" w:ascii="宋体" w:hAnsi="宋体" w:eastAsia="宋体" w:cs="宋体"/>
                <w:color w:val="000000"/>
                <w:kern w:val="0"/>
                <w:sz w:val="24"/>
                <w:szCs w:val="24"/>
                <w:highlight w:val="none"/>
              </w:rPr>
              <w:t>（r</w:t>
            </w:r>
            <w:r>
              <w:rPr>
                <w:rFonts w:hint="eastAsia" w:ascii="宋体" w:hAnsi="宋体" w:eastAsia="宋体" w:cs="宋体"/>
                <w:color w:val="000000"/>
                <w:kern w:val="0"/>
                <w:sz w:val="24"/>
                <w:szCs w:val="24"/>
                <w:highlight w:val="none"/>
                <w:vertAlign w:val="subscript"/>
              </w:rPr>
              <w:t>0</w:t>
            </w:r>
            <w:r>
              <w:rPr>
                <w:rFonts w:hint="eastAsia" w:ascii="宋体" w:hAnsi="宋体" w:eastAsia="宋体" w:cs="宋体"/>
                <w:color w:val="000000"/>
                <w:kern w:val="0"/>
                <w:sz w:val="24"/>
                <w:szCs w:val="24"/>
                <w:highlight w:val="none"/>
              </w:rPr>
              <w:t>）</w:t>
            </w:r>
            <w:r>
              <w:rPr>
                <w:rFonts w:hint="eastAsia" w:ascii="宋体" w:hAnsi="宋体" w:cs="宋体"/>
                <w:color w:val="000000"/>
                <w:kern w:val="0"/>
                <w:sz w:val="24"/>
                <w:szCs w:val="24"/>
                <w:highlight w:val="none"/>
                <w:lang w:val="en-US" w:eastAsia="zh-CN"/>
              </w:rPr>
              <w:t>+Dc</w:t>
            </w:r>
            <w:r>
              <w:rPr>
                <w:rFonts w:hint="eastAsia" w:ascii="宋体" w:hAnsi="宋体" w:eastAsia="宋体" w:cs="宋体"/>
                <w:color w:val="000000"/>
                <w:kern w:val="0"/>
                <w:sz w:val="24"/>
                <w:szCs w:val="24"/>
                <w:highlight w:val="none"/>
              </w:rPr>
              <w:t>-（A</w:t>
            </w:r>
            <w:r>
              <w:rPr>
                <w:rFonts w:hint="eastAsia" w:ascii="宋体" w:hAnsi="宋体" w:eastAsia="宋体" w:cs="宋体"/>
                <w:color w:val="000000"/>
                <w:kern w:val="0"/>
                <w:sz w:val="24"/>
                <w:szCs w:val="24"/>
                <w:highlight w:val="none"/>
                <w:vertAlign w:val="subscript"/>
              </w:rPr>
              <w:t>div</w:t>
            </w:r>
            <w:r>
              <w:rPr>
                <w:rFonts w:hint="eastAsia" w:ascii="宋体" w:hAnsi="宋体" w:eastAsia="宋体" w:cs="宋体"/>
                <w:color w:val="000000"/>
                <w:kern w:val="0"/>
                <w:sz w:val="24"/>
                <w:szCs w:val="24"/>
                <w:highlight w:val="none"/>
              </w:rPr>
              <w:t>+A</w:t>
            </w:r>
            <w:r>
              <w:rPr>
                <w:rFonts w:hint="eastAsia" w:ascii="宋体" w:hAnsi="宋体" w:eastAsia="宋体" w:cs="宋体"/>
                <w:color w:val="000000"/>
                <w:kern w:val="0"/>
                <w:sz w:val="24"/>
                <w:szCs w:val="24"/>
                <w:highlight w:val="none"/>
                <w:vertAlign w:val="subscript"/>
              </w:rPr>
              <w:t>atm</w:t>
            </w:r>
            <w:r>
              <w:rPr>
                <w:rFonts w:hint="eastAsia" w:ascii="宋体" w:hAnsi="宋体" w:eastAsia="宋体" w:cs="宋体"/>
                <w:color w:val="000000"/>
                <w:kern w:val="0"/>
                <w:sz w:val="24"/>
                <w:szCs w:val="24"/>
                <w:highlight w:val="none"/>
              </w:rPr>
              <w:t>+ A</w:t>
            </w:r>
            <w:r>
              <w:rPr>
                <w:rFonts w:hint="eastAsia" w:ascii="宋体" w:hAnsi="宋体" w:eastAsia="宋体" w:cs="宋体"/>
                <w:color w:val="000000"/>
                <w:kern w:val="0"/>
                <w:sz w:val="24"/>
                <w:szCs w:val="24"/>
                <w:highlight w:val="none"/>
                <w:vertAlign w:val="subscript"/>
              </w:rPr>
              <w:t>bar</w:t>
            </w:r>
            <w:r>
              <w:rPr>
                <w:rFonts w:hint="eastAsia" w:ascii="宋体" w:hAnsi="宋体" w:eastAsia="宋体" w:cs="宋体"/>
                <w:color w:val="000000"/>
                <w:kern w:val="0"/>
                <w:sz w:val="24"/>
                <w:szCs w:val="24"/>
                <w:highlight w:val="none"/>
              </w:rPr>
              <w:t>+A</w:t>
            </w:r>
            <w:r>
              <w:rPr>
                <w:rFonts w:hint="eastAsia" w:ascii="宋体" w:hAnsi="宋体" w:eastAsia="宋体" w:cs="宋体"/>
                <w:color w:val="000000"/>
                <w:kern w:val="0"/>
                <w:sz w:val="24"/>
                <w:szCs w:val="24"/>
                <w:highlight w:val="none"/>
                <w:vertAlign w:val="subscript"/>
              </w:rPr>
              <w:t>gr</w:t>
            </w:r>
            <w:r>
              <w:rPr>
                <w:rFonts w:hint="eastAsia" w:ascii="宋体" w:hAnsi="宋体" w:eastAsia="宋体" w:cs="宋体"/>
                <w:color w:val="000000"/>
                <w:kern w:val="0"/>
                <w:sz w:val="24"/>
                <w:szCs w:val="24"/>
                <w:highlight w:val="none"/>
              </w:rPr>
              <w:t>+A</w:t>
            </w:r>
            <w:r>
              <w:rPr>
                <w:rFonts w:hint="eastAsia" w:ascii="宋体" w:hAnsi="宋体" w:eastAsia="宋体" w:cs="宋体"/>
                <w:color w:val="000000"/>
                <w:kern w:val="0"/>
                <w:sz w:val="24"/>
                <w:szCs w:val="24"/>
                <w:highlight w:val="none"/>
                <w:vertAlign w:val="subscript"/>
              </w:rPr>
              <w:t>misc</w:t>
            </w:r>
            <w:r>
              <w:rPr>
                <w:rFonts w:hint="eastAsia" w:ascii="宋体" w:hAnsi="宋体" w:eastAsia="宋体" w:cs="宋体"/>
                <w:color w:val="000000"/>
                <w:kern w:val="0"/>
                <w:sz w:val="24"/>
                <w:szCs w:val="24"/>
                <w:highlight w:val="none"/>
              </w:rPr>
              <w:t>）</w:t>
            </w:r>
          </w:p>
          <w:p>
            <w:pPr>
              <w:widowControl/>
              <w:snapToGrid w:val="0"/>
              <w:spacing w:line="520" w:lineRule="exact"/>
              <w:ind w:firstLine="480" w:firstLineChars="200"/>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对单个点声源的几何衰减用以下公式计算：</w:t>
            </w:r>
          </w:p>
          <w:p>
            <w:pPr>
              <w:widowControl/>
              <w:snapToGrid w:val="0"/>
              <w:spacing w:line="520" w:lineRule="exact"/>
              <w:ind w:firstLine="480" w:firstLineChars="200"/>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L</w:t>
            </w:r>
            <w:r>
              <w:rPr>
                <w:rFonts w:hint="eastAsia" w:ascii="宋体" w:hAnsi="宋体" w:eastAsia="宋体" w:cs="宋体"/>
                <w:color w:val="000000"/>
                <w:kern w:val="0"/>
                <w:sz w:val="24"/>
                <w:szCs w:val="24"/>
                <w:highlight w:val="none"/>
                <w:vertAlign w:val="subscript"/>
              </w:rPr>
              <w:t>p</w:t>
            </w:r>
            <w:r>
              <w:rPr>
                <w:rFonts w:hint="eastAsia" w:ascii="宋体" w:hAnsi="宋体" w:eastAsia="宋体" w:cs="宋体"/>
                <w:color w:val="000000"/>
                <w:kern w:val="0"/>
                <w:sz w:val="24"/>
                <w:szCs w:val="24"/>
                <w:highlight w:val="none"/>
              </w:rPr>
              <w:t>（r）=L</w:t>
            </w:r>
            <w:r>
              <w:rPr>
                <w:rFonts w:hint="eastAsia" w:ascii="宋体" w:hAnsi="宋体" w:eastAsia="宋体" w:cs="宋体"/>
                <w:color w:val="000000"/>
                <w:kern w:val="0"/>
                <w:sz w:val="24"/>
                <w:szCs w:val="24"/>
                <w:highlight w:val="none"/>
                <w:vertAlign w:val="subscript"/>
              </w:rPr>
              <w:t>p</w:t>
            </w:r>
            <w:r>
              <w:rPr>
                <w:rFonts w:hint="eastAsia" w:ascii="宋体" w:hAnsi="宋体" w:eastAsia="宋体" w:cs="宋体"/>
                <w:color w:val="000000"/>
                <w:kern w:val="0"/>
                <w:sz w:val="24"/>
                <w:szCs w:val="24"/>
                <w:highlight w:val="none"/>
              </w:rPr>
              <w:t>（r</w:t>
            </w:r>
            <w:r>
              <w:rPr>
                <w:rFonts w:hint="eastAsia" w:ascii="宋体" w:hAnsi="宋体" w:eastAsia="宋体" w:cs="宋体"/>
                <w:color w:val="000000"/>
                <w:kern w:val="0"/>
                <w:sz w:val="24"/>
                <w:szCs w:val="24"/>
                <w:highlight w:val="none"/>
                <w:vertAlign w:val="subscript"/>
              </w:rPr>
              <w:t>0</w:t>
            </w:r>
            <w:r>
              <w:rPr>
                <w:rFonts w:hint="eastAsia" w:ascii="宋体" w:hAnsi="宋体" w:eastAsia="宋体" w:cs="宋体"/>
                <w:color w:val="000000"/>
                <w:kern w:val="0"/>
                <w:sz w:val="24"/>
                <w:szCs w:val="24"/>
                <w:highlight w:val="none"/>
              </w:rPr>
              <w:t>）-20lg(r/r</w:t>
            </w:r>
            <w:r>
              <w:rPr>
                <w:rFonts w:hint="eastAsia" w:ascii="宋体" w:hAnsi="宋体" w:eastAsia="宋体" w:cs="宋体"/>
                <w:color w:val="000000"/>
                <w:kern w:val="0"/>
                <w:sz w:val="24"/>
                <w:szCs w:val="24"/>
                <w:highlight w:val="none"/>
                <w:vertAlign w:val="subscript"/>
              </w:rPr>
              <w:t>0</w:t>
            </w:r>
            <w:r>
              <w:rPr>
                <w:rFonts w:hint="eastAsia" w:ascii="宋体" w:hAnsi="宋体" w:eastAsia="宋体" w:cs="宋体"/>
                <w:color w:val="000000"/>
                <w:kern w:val="0"/>
                <w:sz w:val="24"/>
                <w:szCs w:val="24"/>
                <w:highlight w:val="none"/>
              </w:rPr>
              <w:t>)</w:t>
            </w:r>
          </w:p>
          <w:p>
            <w:pPr>
              <w:widowControl/>
              <w:snapToGrid w:val="0"/>
              <w:spacing w:line="520" w:lineRule="exact"/>
              <w:ind w:firstLine="480" w:firstLineChars="200"/>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式中：L</w:t>
            </w:r>
            <w:r>
              <w:rPr>
                <w:rFonts w:hint="eastAsia" w:ascii="宋体" w:hAnsi="宋体" w:eastAsia="宋体" w:cs="宋体"/>
                <w:color w:val="000000"/>
                <w:kern w:val="0"/>
                <w:sz w:val="24"/>
                <w:szCs w:val="24"/>
                <w:highlight w:val="none"/>
                <w:vertAlign w:val="subscript"/>
              </w:rPr>
              <w:t>p</w:t>
            </w:r>
            <w:r>
              <w:rPr>
                <w:rFonts w:hint="eastAsia" w:ascii="宋体" w:hAnsi="宋体" w:eastAsia="宋体" w:cs="宋体"/>
                <w:color w:val="000000"/>
                <w:kern w:val="0"/>
                <w:sz w:val="24"/>
                <w:szCs w:val="24"/>
                <w:highlight w:val="none"/>
              </w:rPr>
              <w:t>（r</w:t>
            </w:r>
            <w:r>
              <w:rPr>
                <w:rFonts w:hint="eastAsia" w:ascii="宋体" w:hAnsi="宋体" w:eastAsia="宋体" w:cs="宋体"/>
                <w:color w:val="000000"/>
                <w:kern w:val="0"/>
                <w:sz w:val="24"/>
                <w:szCs w:val="24"/>
                <w:highlight w:val="none"/>
                <w:vertAlign w:val="subscript"/>
              </w:rPr>
              <w:t>0</w:t>
            </w:r>
            <w:r>
              <w:rPr>
                <w:rFonts w:hint="eastAsia" w:ascii="宋体" w:hAnsi="宋体" w:eastAsia="宋体" w:cs="宋体"/>
                <w:color w:val="000000"/>
                <w:kern w:val="0"/>
                <w:sz w:val="24"/>
                <w:szCs w:val="24"/>
                <w:highlight w:val="none"/>
              </w:rPr>
              <w:t>）—声源在参考距离r</w:t>
            </w:r>
            <w:r>
              <w:rPr>
                <w:rFonts w:hint="eastAsia" w:ascii="宋体" w:hAnsi="宋体" w:eastAsia="宋体" w:cs="宋体"/>
                <w:color w:val="000000"/>
                <w:kern w:val="0"/>
                <w:sz w:val="24"/>
                <w:szCs w:val="24"/>
                <w:highlight w:val="none"/>
                <w:vertAlign w:val="subscript"/>
              </w:rPr>
              <w:t>0</w:t>
            </w:r>
            <w:r>
              <w:rPr>
                <w:rFonts w:hint="eastAsia" w:ascii="宋体" w:hAnsi="宋体" w:eastAsia="宋体" w:cs="宋体"/>
                <w:color w:val="000000"/>
                <w:kern w:val="0"/>
                <w:sz w:val="24"/>
                <w:szCs w:val="24"/>
                <w:highlight w:val="none"/>
              </w:rPr>
              <w:t>处的声压级，dB</w:t>
            </w:r>
            <w:r>
              <w:rPr>
                <w:rFonts w:hint="eastAsia" w:ascii="宋体" w:hAnsi="宋体" w:cs="宋体"/>
                <w:color w:val="000000"/>
                <w:kern w:val="0"/>
                <w:sz w:val="24"/>
                <w:szCs w:val="24"/>
                <w:highlight w:val="none"/>
                <w:lang w:eastAsia="zh-CN"/>
              </w:rPr>
              <w:t>（</w:t>
            </w:r>
            <w:r>
              <w:rPr>
                <w:rFonts w:hint="eastAsia" w:ascii="宋体" w:hAnsi="宋体" w:cs="宋体"/>
                <w:color w:val="000000"/>
                <w:kern w:val="0"/>
                <w:sz w:val="24"/>
                <w:szCs w:val="24"/>
                <w:highlight w:val="none"/>
                <w:lang w:val="en-US" w:eastAsia="zh-CN"/>
              </w:rPr>
              <w:t>A</w:t>
            </w:r>
            <w:r>
              <w:rPr>
                <w:rFonts w:hint="eastAsia" w:ascii="宋体" w:hAnsi="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w:t>
            </w:r>
          </w:p>
          <w:p>
            <w:pPr>
              <w:widowControl/>
              <w:snapToGrid w:val="0"/>
              <w:spacing w:line="520" w:lineRule="exact"/>
              <w:ind w:firstLine="480" w:firstLineChars="200"/>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A</w:t>
            </w:r>
            <w:r>
              <w:rPr>
                <w:rFonts w:hint="eastAsia" w:ascii="宋体" w:hAnsi="宋体" w:eastAsia="宋体" w:cs="宋体"/>
                <w:color w:val="000000"/>
                <w:kern w:val="0"/>
                <w:sz w:val="24"/>
                <w:szCs w:val="24"/>
                <w:highlight w:val="none"/>
                <w:vertAlign w:val="subscript"/>
              </w:rPr>
              <w:t>div</w:t>
            </w:r>
            <w:r>
              <w:rPr>
                <w:rFonts w:hint="eastAsia" w:ascii="宋体" w:hAnsi="宋体" w:eastAsia="宋体" w:cs="宋体"/>
                <w:color w:val="000000"/>
                <w:kern w:val="0"/>
                <w:sz w:val="24"/>
                <w:szCs w:val="24"/>
                <w:highlight w:val="none"/>
              </w:rPr>
              <w:t>—距离衰减，dB</w:t>
            </w:r>
            <w:r>
              <w:rPr>
                <w:rFonts w:hint="eastAsia" w:ascii="宋体" w:hAnsi="宋体" w:cs="宋体"/>
                <w:color w:val="000000"/>
                <w:kern w:val="0"/>
                <w:sz w:val="24"/>
                <w:szCs w:val="24"/>
                <w:highlight w:val="none"/>
                <w:lang w:eastAsia="zh-CN"/>
              </w:rPr>
              <w:t>（</w:t>
            </w:r>
            <w:r>
              <w:rPr>
                <w:rFonts w:hint="eastAsia" w:ascii="宋体" w:hAnsi="宋体" w:cs="宋体"/>
                <w:color w:val="000000"/>
                <w:kern w:val="0"/>
                <w:sz w:val="24"/>
                <w:szCs w:val="24"/>
                <w:highlight w:val="none"/>
                <w:lang w:val="en-US" w:eastAsia="zh-CN"/>
              </w:rPr>
              <w:t>A</w:t>
            </w:r>
            <w:r>
              <w:rPr>
                <w:rFonts w:hint="eastAsia" w:ascii="宋体" w:hAnsi="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w:t>
            </w:r>
          </w:p>
          <w:p>
            <w:pPr>
              <w:widowControl/>
              <w:snapToGrid w:val="0"/>
              <w:spacing w:line="520" w:lineRule="exact"/>
              <w:ind w:firstLine="480" w:firstLineChars="200"/>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A</w:t>
            </w:r>
            <w:r>
              <w:rPr>
                <w:rFonts w:hint="eastAsia" w:ascii="宋体" w:hAnsi="宋体" w:eastAsia="宋体" w:cs="宋体"/>
                <w:color w:val="000000"/>
                <w:kern w:val="0"/>
                <w:sz w:val="24"/>
                <w:szCs w:val="24"/>
                <w:highlight w:val="none"/>
                <w:vertAlign w:val="subscript"/>
              </w:rPr>
              <w:t>atm</w:t>
            </w:r>
            <w:r>
              <w:rPr>
                <w:rFonts w:hint="eastAsia" w:ascii="宋体" w:hAnsi="宋体" w:eastAsia="宋体" w:cs="宋体"/>
                <w:color w:val="000000"/>
                <w:kern w:val="0"/>
                <w:sz w:val="24"/>
                <w:szCs w:val="24"/>
                <w:highlight w:val="none"/>
              </w:rPr>
              <w:t>—空气吸收衰减，dB</w:t>
            </w:r>
            <w:r>
              <w:rPr>
                <w:rFonts w:hint="eastAsia" w:ascii="宋体" w:hAnsi="宋体" w:cs="宋体"/>
                <w:color w:val="000000"/>
                <w:kern w:val="0"/>
                <w:sz w:val="24"/>
                <w:szCs w:val="24"/>
                <w:highlight w:val="none"/>
                <w:lang w:eastAsia="zh-CN"/>
              </w:rPr>
              <w:t>（</w:t>
            </w:r>
            <w:r>
              <w:rPr>
                <w:rFonts w:hint="eastAsia" w:ascii="宋体" w:hAnsi="宋体" w:cs="宋体"/>
                <w:color w:val="000000"/>
                <w:kern w:val="0"/>
                <w:sz w:val="24"/>
                <w:szCs w:val="24"/>
                <w:highlight w:val="none"/>
                <w:lang w:val="en-US" w:eastAsia="zh-CN"/>
              </w:rPr>
              <w:t>A</w:t>
            </w:r>
            <w:r>
              <w:rPr>
                <w:rFonts w:hint="eastAsia" w:ascii="宋体" w:hAnsi="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w:t>
            </w:r>
          </w:p>
          <w:p>
            <w:pPr>
              <w:widowControl/>
              <w:snapToGrid w:val="0"/>
              <w:spacing w:line="520" w:lineRule="exact"/>
              <w:ind w:firstLine="480" w:firstLineChars="200"/>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A</w:t>
            </w:r>
            <w:r>
              <w:rPr>
                <w:rFonts w:hint="eastAsia" w:ascii="宋体" w:hAnsi="宋体" w:eastAsia="宋体" w:cs="宋体"/>
                <w:color w:val="000000"/>
                <w:kern w:val="0"/>
                <w:sz w:val="24"/>
                <w:szCs w:val="24"/>
                <w:highlight w:val="none"/>
                <w:vertAlign w:val="subscript"/>
              </w:rPr>
              <w:t>bar</w:t>
            </w:r>
            <w:r>
              <w:rPr>
                <w:rFonts w:hint="eastAsia" w:ascii="宋体" w:hAnsi="宋体" w:eastAsia="宋体" w:cs="宋体"/>
                <w:color w:val="000000"/>
                <w:kern w:val="0"/>
                <w:sz w:val="24"/>
                <w:szCs w:val="24"/>
                <w:highlight w:val="none"/>
              </w:rPr>
              <w:t>—遮挡物衰减，dB</w:t>
            </w:r>
            <w:r>
              <w:rPr>
                <w:rFonts w:hint="eastAsia" w:ascii="宋体" w:hAnsi="宋体" w:cs="宋体"/>
                <w:color w:val="000000"/>
                <w:kern w:val="0"/>
                <w:sz w:val="24"/>
                <w:szCs w:val="24"/>
                <w:highlight w:val="none"/>
                <w:lang w:eastAsia="zh-CN"/>
              </w:rPr>
              <w:t>（</w:t>
            </w:r>
            <w:r>
              <w:rPr>
                <w:rFonts w:hint="eastAsia" w:ascii="宋体" w:hAnsi="宋体" w:cs="宋体"/>
                <w:color w:val="000000"/>
                <w:kern w:val="0"/>
                <w:sz w:val="24"/>
                <w:szCs w:val="24"/>
                <w:highlight w:val="none"/>
                <w:lang w:val="en-US" w:eastAsia="zh-CN"/>
              </w:rPr>
              <w:t>A</w:t>
            </w:r>
            <w:r>
              <w:rPr>
                <w:rFonts w:hint="eastAsia" w:ascii="宋体" w:hAnsi="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w:t>
            </w:r>
          </w:p>
          <w:p>
            <w:pPr>
              <w:widowControl/>
              <w:snapToGrid w:val="0"/>
              <w:spacing w:line="520" w:lineRule="exact"/>
              <w:ind w:firstLine="480" w:firstLineChars="200"/>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A</w:t>
            </w:r>
            <w:r>
              <w:rPr>
                <w:rFonts w:hint="eastAsia" w:ascii="宋体" w:hAnsi="宋体" w:eastAsia="宋体" w:cs="宋体"/>
                <w:color w:val="000000"/>
                <w:kern w:val="0"/>
                <w:sz w:val="24"/>
                <w:szCs w:val="24"/>
                <w:highlight w:val="none"/>
                <w:vertAlign w:val="subscript"/>
              </w:rPr>
              <w:t>gr</w:t>
            </w:r>
            <w:r>
              <w:rPr>
                <w:rFonts w:hint="eastAsia" w:ascii="宋体" w:hAnsi="宋体" w:eastAsia="宋体" w:cs="宋体"/>
                <w:color w:val="000000"/>
                <w:kern w:val="0"/>
                <w:sz w:val="24"/>
                <w:szCs w:val="24"/>
                <w:highlight w:val="none"/>
              </w:rPr>
              <w:t>—地面效应，dB</w:t>
            </w:r>
            <w:r>
              <w:rPr>
                <w:rFonts w:hint="eastAsia" w:ascii="宋体" w:hAnsi="宋体" w:cs="宋体"/>
                <w:color w:val="000000"/>
                <w:kern w:val="0"/>
                <w:sz w:val="24"/>
                <w:szCs w:val="24"/>
                <w:highlight w:val="none"/>
                <w:lang w:eastAsia="zh-CN"/>
              </w:rPr>
              <w:t>（</w:t>
            </w:r>
            <w:r>
              <w:rPr>
                <w:rFonts w:hint="eastAsia" w:ascii="宋体" w:hAnsi="宋体" w:cs="宋体"/>
                <w:color w:val="000000"/>
                <w:kern w:val="0"/>
                <w:sz w:val="24"/>
                <w:szCs w:val="24"/>
                <w:highlight w:val="none"/>
                <w:lang w:val="en-US" w:eastAsia="zh-CN"/>
              </w:rPr>
              <w:t>A</w:t>
            </w:r>
            <w:r>
              <w:rPr>
                <w:rFonts w:hint="eastAsia" w:ascii="宋体" w:hAnsi="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w:t>
            </w:r>
          </w:p>
          <w:p>
            <w:pPr>
              <w:widowControl/>
              <w:snapToGrid w:val="0"/>
              <w:spacing w:line="520" w:lineRule="exact"/>
              <w:ind w:firstLine="480" w:firstLineChars="200"/>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A</w:t>
            </w:r>
            <w:r>
              <w:rPr>
                <w:rFonts w:hint="eastAsia" w:ascii="宋体" w:hAnsi="宋体" w:eastAsia="宋体" w:cs="宋体"/>
                <w:color w:val="000000"/>
                <w:kern w:val="0"/>
                <w:sz w:val="24"/>
                <w:szCs w:val="24"/>
                <w:highlight w:val="none"/>
                <w:vertAlign w:val="subscript"/>
              </w:rPr>
              <w:t>misc</w:t>
            </w:r>
            <w:r>
              <w:rPr>
                <w:rFonts w:hint="eastAsia" w:ascii="宋体" w:hAnsi="宋体" w:eastAsia="宋体" w:cs="宋体"/>
                <w:color w:val="000000"/>
                <w:kern w:val="0"/>
                <w:sz w:val="24"/>
                <w:szCs w:val="24"/>
                <w:highlight w:val="none"/>
              </w:rPr>
              <w:t>—其他多方面效应，dB</w:t>
            </w:r>
            <w:r>
              <w:rPr>
                <w:rFonts w:hint="eastAsia" w:ascii="宋体" w:hAnsi="宋体" w:cs="宋体"/>
                <w:color w:val="000000"/>
                <w:kern w:val="0"/>
                <w:sz w:val="24"/>
                <w:szCs w:val="24"/>
                <w:highlight w:val="none"/>
                <w:lang w:eastAsia="zh-CN"/>
              </w:rPr>
              <w:t>（</w:t>
            </w:r>
            <w:r>
              <w:rPr>
                <w:rFonts w:hint="eastAsia" w:ascii="宋体" w:hAnsi="宋体" w:cs="宋体"/>
                <w:color w:val="000000"/>
                <w:kern w:val="0"/>
                <w:sz w:val="24"/>
                <w:szCs w:val="24"/>
                <w:highlight w:val="none"/>
                <w:lang w:val="en-US" w:eastAsia="zh-CN"/>
              </w:rPr>
              <w:t>A</w:t>
            </w:r>
            <w:r>
              <w:rPr>
                <w:rFonts w:hint="eastAsia" w:ascii="宋体" w:hAnsi="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w:t>
            </w:r>
          </w:p>
          <w:p>
            <w:pPr>
              <w:widowControl/>
              <w:snapToGrid w:val="0"/>
              <w:spacing w:line="520" w:lineRule="exact"/>
              <w:ind w:firstLine="480" w:firstLineChars="200"/>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L</w:t>
            </w:r>
            <w:r>
              <w:rPr>
                <w:rFonts w:hint="eastAsia" w:ascii="宋体" w:hAnsi="宋体" w:eastAsia="宋体" w:cs="宋体"/>
                <w:color w:val="000000"/>
                <w:kern w:val="0"/>
                <w:sz w:val="24"/>
                <w:szCs w:val="24"/>
                <w:highlight w:val="none"/>
                <w:vertAlign w:val="subscript"/>
              </w:rPr>
              <w:t>p</w:t>
            </w:r>
            <w:r>
              <w:rPr>
                <w:rFonts w:hint="eastAsia" w:ascii="宋体" w:hAnsi="宋体" w:eastAsia="宋体" w:cs="宋体"/>
                <w:color w:val="000000"/>
                <w:kern w:val="0"/>
                <w:sz w:val="24"/>
                <w:szCs w:val="24"/>
                <w:highlight w:val="none"/>
              </w:rPr>
              <w:t>（r）—声源衰减至r处的声压级，dB；</w:t>
            </w:r>
          </w:p>
          <w:p>
            <w:pPr>
              <w:widowControl/>
              <w:snapToGrid w:val="0"/>
              <w:spacing w:line="520" w:lineRule="exact"/>
              <w:ind w:firstLine="480" w:firstLineChars="200"/>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r—预测点到声源的距离；</w:t>
            </w:r>
          </w:p>
          <w:p>
            <w:pPr>
              <w:widowControl/>
              <w:snapToGrid w:val="0"/>
              <w:spacing w:line="520" w:lineRule="exact"/>
              <w:ind w:firstLine="480" w:firstLineChars="200"/>
              <w:outlineLvl w:val="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r</w:t>
            </w:r>
            <w:r>
              <w:rPr>
                <w:rFonts w:hint="eastAsia" w:ascii="宋体" w:hAnsi="宋体" w:eastAsia="宋体" w:cs="宋体"/>
                <w:color w:val="000000"/>
                <w:kern w:val="0"/>
                <w:sz w:val="24"/>
                <w:szCs w:val="24"/>
                <w:highlight w:val="none"/>
                <w:vertAlign w:val="subscript"/>
              </w:rPr>
              <w:t>0</w:t>
            </w:r>
            <w:r>
              <w:rPr>
                <w:rFonts w:hint="eastAsia" w:ascii="宋体" w:hAnsi="宋体" w:eastAsia="宋体" w:cs="宋体"/>
                <w:color w:val="000000"/>
                <w:kern w:val="0"/>
                <w:sz w:val="24"/>
                <w:szCs w:val="24"/>
                <w:highlight w:val="none"/>
              </w:rPr>
              <w:t>—预测参考距离，m。</w:t>
            </w:r>
          </w:p>
          <w:p>
            <w:pPr>
              <w:widowControl/>
              <w:snapToGrid w:val="0"/>
              <w:spacing w:line="520" w:lineRule="exact"/>
              <w:ind w:firstLine="480" w:firstLineChars="20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本次噪声预测计算从偏保守角度出发，只考虑声波随距离的衰减A</w:t>
            </w:r>
            <w:r>
              <w:rPr>
                <w:rFonts w:hint="eastAsia" w:ascii="宋体" w:hAnsi="宋体" w:eastAsia="宋体" w:cs="宋体"/>
                <w:color w:val="000000"/>
                <w:kern w:val="0"/>
                <w:sz w:val="24"/>
                <w:szCs w:val="24"/>
                <w:highlight w:val="none"/>
                <w:vertAlign w:val="subscript"/>
              </w:rPr>
              <w:t>div</w:t>
            </w:r>
            <w:r>
              <w:rPr>
                <w:rFonts w:hint="eastAsia" w:ascii="宋体" w:hAnsi="宋体" w:eastAsia="宋体" w:cs="宋体"/>
                <w:color w:val="000000"/>
                <w:kern w:val="0"/>
                <w:sz w:val="24"/>
                <w:szCs w:val="24"/>
                <w:highlight w:val="none"/>
              </w:rPr>
              <w:t>，以保证实际效果优于预测结果。</w:t>
            </w:r>
          </w:p>
          <w:p>
            <w:pPr>
              <w:spacing w:line="5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由于锅炉为移动式注汽锅炉，目前在</w:t>
            </w:r>
            <w:r>
              <w:rPr>
                <w:rFonts w:hint="eastAsia" w:ascii="宋体" w:hAnsi="宋体" w:eastAsia="宋体" w:cs="宋体"/>
                <w:color w:val="000000"/>
                <w:kern w:val="0"/>
                <w:sz w:val="24"/>
                <w:szCs w:val="24"/>
                <w:highlight w:val="none"/>
                <w:lang w:val="en-US" w:eastAsia="zh-CN"/>
              </w:rPr>
              <w:t>轮台县轮南镇油井</w:t>
            </w:r>
            <w:r>
              <w:rPr>
                <w:rFonts w:hint="eastAsia" w:ascii="宋体" w:hAnsi="宋体" w:eastAsia="宋体" w:cs="宋体"/>
                <w:color w:val="000000"/>
                <w:kern w:val="0"/>
                <w:sz w:val="24"/>
                <w:szCs w:val="24"/>
                <w:highlight w:val="none"/>
                <w:lang w:eastAsia="zh-CN"/>
              </w:rPr>
              <w:t>生产区</w:t>
            </w:r>
            <w:r>
              <w:rPr>
                <w:rFonts w:hint="eastAsia" w:ascii="宋体" w:hAnsi="宋体" w:eastAsia="宋体" w:cs="宋体"/>
                <w:color w:val="000000"/>
                <w:kern w:val="0"/>
                <w:sz w:val="24"/>
                <w:szCs w:val="24"/>
                <w:highlight w:val="none"/>
              </w:rPr>
              <w:t>范围内为油井提供注汽服务。油区单台锅炉运行噪声约</w:t>
            </w:r>
            <w:r>
              <w:rPr>
                <w:rFonts w:hint="eastAsia" w:ascii="宋体" w:hAnsi="宋体" w:cs="宋体"/>
                <w:color w:val="000000"/>
                <w:kern w:val="0"/>
                <w:sz w:val="24"/>
                <w:szCs w:val="24"/>
                <w:highlight w:val="none"/>
                <w:lang w:val="en-US" w:eastAsia="zh-CN"/>
              </w:rPr>
              <w:t>90</w:t>
            </w:r>
            <w:r>
              <w:rPr>
                <w:rFonts w:hint="eastAsia" w:ascii="宋体" w:hAnsi="宋体" w:eastAsia="宋体" w:cs="宋体"/>
                <w:color w:val="000000"/>
                <w:kern w:val="0"/>
                <w:sz w:val="24"/>
                <w:szCs w:val="24"/>
                <w:highlight w:val="none"/>
              </w:rPr>
              <w:t>dB(A)，经计算，噪声随距离衰减情况见表4-</w:t>
            </w:r>
            <w:r>
              <w:rPr>
                <w:rFonts w:hint="eastAsia" w:ascii="宋体" w:hAnsi="宋体" w:eastAsia="宋体" w:cs="宋体"/>
                <w:color w:val="000000"/>
                <w:kern w:val="0"/>
                <w:sz w:val="24"/>
                <w:szCs w:val="24"/>
                <w:highlight w:val="none"/>
                <w:lang w:val="en-US" w:eastAsia="zh-CN"/>
              </w:rPr>
              <w:t>6</w:t>
            </w:r>
            <w:r>
              <w:rPr>
                <w:rFonts w:hint="eastAsia" w:ascii="宋体" w:hAnsi="宋体" w:eastAsia="宋体" w:cs="宋体"/>
                <w:color w:val="000000"/>
                <w:sz w:val="24"/>
                <w:szCs w:val="24"/>
                <w:highlight w:val="none"/>
              </w:rPr>
              <w:t>。</w:t>
            </w:r>
          </w:p>
          <w:p>
            <w:pPr>
              <w:widowControl/>
              <w:snapToGrid w:val="0"/>
              <w:spacing w:line="520" w:lineRule="exact"/>
              <w:ind w:firstLine="482" w:firstLineChars="200"/>
              <w:jc w:val="center"/>
              <w:rPr>
                <w:rFonts w:eastAsia="宋体"/>
                <w:b/>
                <w:color w:val="000000"/>
                <w:kern w:val="0"/>
                <w:sz w:val="24"/>
                <w:szCs w:val="24"/>
                <w:highlight w:val="none"/>
              </w:rPr>
            </w:pPr>
            <w:r>
              <w:rPr>
                <w:rFonts w:ascii="宋体" w:hAnsi="宋体" w:eastAsia="宋体"/>
                <w:b/>
                <w:color w:val="000000"/>
                <w:kern w:val="0"/>
                <w:sz w:val="24"/>
                <w:highlight w:val="none"/>
              </w:rPr>
              <w:t>表</w:t>
            </w:r>
            <w:r>
              <w:rPr>
                <w:rFonts w:eastAsia="宋体"/>
                <w:b/>
                <w:color w:val="000000"/>
                <w:kern w:val="0"/>
                <w:sz w:val="24"/>
                <w:highlight w:val="none"/>
              </w:rPr>
              <w:t>4-</w:t>
            </w:r>
            <w:r>
              <w:rPr>
                <w:rFonts w:hint="eastAsia" w:eastAsia="宋体"/>
                <w:b/>
                <w:color w:val="000000"/>
                <w:kern w:val="0"/>
                <w:sz w:val="24"/>
                <w:highlight w:val="none"/>
                <w:lang w:val="en-US" w:eastAsia="zh-CN"/>
              </w:rPr>
              <w:t>6</w:t>
            </w:r>
            <w:r>
              <w:rPr>
                <w:rFonts w:eastAsia="宋体"/>
                <w:b/>
                <w:color w:val="000000"/>
                <w:kern w:val="0"/>
                <w:sz w:val="24"/>
                <w:highlight w:val="none"/>
              </w:rPr>
              <w:t xml:space="preserve">  </w:t>
            </w:r>
            <w:r>
              <w:rPr>
                <w:rFonts w:ascii="宋体" w:hAnsi="宋体" w:eastAsia="宋体"/>
                <w:b/>
                <w:color w:val="000000"/>
                <w:kern w:val="0"/>
                <w:sz w:val="24"/>
                <w:highlight w:val="none"/>
              </w:rPr>
              <w:t>项目厂界噪声预测结果</w:t>
            </w:r>
            <w:r>
              <w:rPr>
                <w:rFonts w:eastAsia="宋体"/>
                <w:b/>
                <w:color w:val="000000"/>
                <w:kern w:val="0"/>
                <w:sz w:val="24"/>
                <w:highlight w:val="none"/>
              </w:rPr>
              <w:t xml:space="preserve">   </w:t>
            </w:r>
            <w:r>
              <w:rPr>
                <w:rFonts w:ascii="宋体" w:hAnsi="宋体" w:eastAsia="宋体"/>
                <w:b/>
                <w:color w:val="000000"/>
                <w:kern w:val="0"/>
                <w:sz w:val="24"/>
                <w:highlight w:val="none"/>
              </w:rPr>
              <w:t>单位：</w:t>
            </w:r>
            <w:r>
              <w:rPr>
                <w:rFonts w:eastAsia="宋体"/>
                <w:b/>
                <w:color w:val="000000"/>
                <w:kern w:val="0"/>
                <w:sz w:val="24"/>
                <w:highlight w:val="none"/>
              </w:rPr>
              <w:t>dB</w:t>
            </w:r>
            <w:r>
              <w:rPr>
                <w:rFonts w:ascii="宋体" w:hAnsi="宋体" w:eastAsia="宋体"/>
                <w:b/>
                <w:color w:val="000000"/>
                <w:kern w:val="0"/>
                <w:sz w:val="24"/>
                <w:highlight w:val="none"/>
              </w:rPr>
              <w:t>（</w:t>
            </w:r>
            <w:r>
              <w:rPr>
                <w:rFonts w:eastAsia="宋体"/>
                <w:b/>
                <w:color w:val="000000"/>
                <w:kern w:val="0"/>
                <w:sz w:val="24"/>
                <w:highlight w:val="none"/>
              </w:rPr>
              <w:t>A</w:t>
            </w:r>
            <w:r>
              <w:rPr>
                <w:rFonts w:ascii="宋体" w:hAnsi="宋体" w:eastAsia="宋体"/>
                <w:b/>
                <w:color w:val="000000"/>
                <w:kern w:val="0"/>
                <w:sz w:val="24"/>
                <w:highlight w:val="none"/>
              </w:rPr>
              <w:t>）</w:t>
            </w:r>
          </w:p>
          <w:tbl>
            <w:tblPr>
              <w:tblStyle w:val="21"/>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830"/>
              <w:gridCol w:w="830"/>
              <w:gridCol w:w="830"/>
              <w:gridCol w:w="830"/>
              <w:gridCol w:w="831"/>
              <w:gridCol w:w="833"/>
              <w:gridCol w:w="833"/>
              <w:gridCol w:w="833"/>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30" w:type="dxa"/>
                  <w:noWrap w:val="0"/>
                  <w:vAlign w:val="center"/>
                </w:tcPr>
                <w:p>
                  <w:pPr>
                    <w:widowControl/>
                    <w:spacing w:before="100" w:beforeAutospacing="1" w:after="100" w:afterAutospacing="1"/>
                    <w:jc w:val="center"/>
                    <w:outlineLvl w:val="2"/>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与厂界距离</w:t>
                  </w:r>
                </w:p>
              </w:tc>
              <w:tc>
                <w:tcPr>
                  <w:tcW w:w="830" w:type="dxa"/>
                  <w:noWrap w:val="0"/>
                  <w:vAlign w:val="center"/>
                </w:tcPr>
                <w:p>
                  <w:pPr>
                    <w:widowControl/>
                    <w:spacing w:before="100" w:beforeAutospacing="1" w:after="100" w:afterAutospacing="1"/>
                    <w:jc w:val="center"/>
                    <w:outlineLvl w:val="2"/>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10m</w:t>
                  </w:r>
                </w:p>
              </w:tc>
              <w:tc>
                <w:tcPr>
                  <w:tcW w:w="830" w:type="dxa"/>
                  <w:noWrap w:val="0"/>
                  <w:vAlign w:val="center"/>
                </w:tcPr>
                <w:p>
                  <w:pPr>
                    <w:widowControl/>
                    <w:spacing w:before="100" w:beforeAutospacing="1" w:after="100" w:afterAutospacing="1"/>
                    <w:jc w:val="center"/>
                    <w:outlineLvl w:val="2"/>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20m</w:t>
                  </w:r>
                </w:p>
              </w:tc>
              <w:tc>
                <w:tcPr>
                  <w:tcW w:w="830" w:type="dxa"/>
                  <w:noWrap w:val="0"/>
                  <w:vAlign w:val="center"/>
                </w:tcPr>
                <w:p>
                  <w:pPr>
                    <w:widowControl/>
                    <w:spacing w:before="100" w:beforeAutospacing="1" w:after="100" w:afterAutospacing="1"/>
                    <w:jc w:val="center"/>
                    <w:outlineLvl w:val="2"/>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30m</w:t>
                  </w:r>
                </w:p>
              </w:tc>
              <w:tc>
                <w:tcPr>
                  <w:tcW w:w="830" w:type="dxa"/>
                  <w:noWrap w:val="0"/>
                  <w:vAlign w:val="center"/>
                </w:tcPr>
                <w:p>
                  <w:pPr>
                    <w:widowControl/>
                    <w:spacing w:before="100" w:beforeAutospacing="1" w:after="100" w:afterAutospacing="1"/>
                    <w:jc w:val="center"/>
                    <w:outlineLvl w:val="2"/>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40m</w:t>
                  </w:r>
                </w:p>
              </w:tc>
              <w:tc>
                <w:tcPr>
                  <w:tcW w:w="831" w:type="dxa"/>
                  <w:noWrap w:val="0"/>
                  <w:vAlign w:val="center"/>
                </w:tcPr>
                <w:p>
                  <w:pPr>
                    <w:widowControl/>
                    <w:spacing w:before="100" w:beforeAutospacing="1" w:after="100" w:afterAutospacing="1"/>
                    <w:jc w:val="center"/>
                    <w:outlineLvl w:val="2"/>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50m</w:t>
                  </w:r>
                </w:p>
              </w:tc>
              <w:tc>
                <w:tcPr>
                  <w:tcW w:w="833" w:type="dxa"/>
                  <w:noWrap w:val="0"/>
                  <w:vAlign w:val="center"/>
                </w:tcPr>
                <w:p>
                  <w:pPr>
                    <w:widowControl/>
                    <w:spacing w:before="100" w:beforeAutospacing="1" w:after="100" w:afterAutospacing="1"/>
                    <w:jc w:val="center"/>
                    <w:outlineLvl w:val="2"/>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60m</w:t>
                  </w:r>
                </w:p>
              </w:tc>
              <w:tc>
                <w:tcPr>
                  <w:tcW w:w="833" w:type="dxa"/>
                  <w:noWrap w:val="0"/>
                  <w:vAlign w:val="center"/>
                </w:tcPr>
                <w:p>
                  <w:pPr>
                    <w:widowControl/>
                    <w:spacing w:before="100" w:beforeAutospacing="1" w:after="100" w:afterAutospacing="1"/>
                    <w:jc w:val="center"/>
                    <w:outlineLvl w:val="2"/>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70m</w:t>
                  </w:r>
                </w:p>
              </w:tc>
              <w:tc>
                <w:tcPr>
                  <w:tcW w:w="833" w:type="dxa"/>
                  <w:noWrap w:val="0"/>
                  <w:vAlign w:val="center"/>
                </w:tcPr>
                <w:p>
                  <w:pPr>
                    <w:widowControl/>
                    <w:spacing w:before="100" w:beforeAutospacing="1" w:after="100" w:afterAutospacing="1"/>
                    <w:jc w:val="center"/>
                    <w:outlineLvl w:val="2"/>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100m</w:t>
                  </w:r>
                </w:p>
              </w:tc>
              <w:tc>
                <w:tcPr>
                  <w:tcW w:w="833" w:type="dxa"/>
                  <w:noWrap w:val="0"/>
                  <w:vAlign w:val="center"/>
                </w:tcPr>
                <w:p>
                  <w:pPr>
                    <w:widowControl/>
                    <w:spacing w:before="100" w:beforeAutospacing="1" w:after="100" w:afterAutospacing="1"/>
                    <w:jc w:val="center"/>
                    <w:outlineLvl w:val="2"/>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30" w:type="dxa"/>
                  <w:noWrap w:val="0"/>
                  <w:vAlign w:val="center"/>
                </w:tcPr>
                <w:p>
                  <w:pPr>
                    <w:widowControl/>
                    <w:spacing w:before="100" w:beforeAutospacing="1" w:after="100" w:afterAutospacing="1"/>
                    <w:jc w:val="center"/>
                    <w:outlineLvl w:val="2"/>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预测值</w:t>
                  </w:r>
                </w:p>
              </w:tc>
              <w:tc>
                <w:tcPr>
                  <w:tcW w:w="830" w:type="dxa"/>
                  <w:noWrap w:val="0"/>
                  <w:vAlign w:val="center"/>
                </w:tcPr>
                <w:p>
                  <w:pPr>
                    <w:widowControl/>
                    <w:spacing w:before="100" w:beforeAutospacing="1" w:after="100" w:afterAutospacing="1"/>
                    <w:jc w:val="center"/>
                    <w:outlineLvl w:val="2"/>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55</w:t>
                  </w:r>
                </w:p>
              </w:tc>
              <w:tc>
                <w:tcPr>
                  <w:tcW w:w="830" w:type="dxa"/>
                  <w:noWrap w:val="0"/>
                  <w:vAlign w:val="center"/>
                </w:tcPr>
                <w:p>
                  <w:pPr>
                    <w:widowControl/>
                    <w:spacing w:before="100" w:beforeAutospacing="1" w:after="100" w:afterAutospacing="1"/>
                    <w:jc w:val="center"/>
                    <w:outlineLvl w:val="2"/>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48.98</w:t>
                  </w:r>
                </w:p>
              </w:tc>
              <w:tc>
                <w:tcPr>
                  <w:tcW w:w="830" w:type="dxa"/>
                  <w:noWrap w:val="0"/>
                  <w:vAlign w:val="center"/>
                </w:tcPr>
                <w:p>
                  <w:pPr>
                    <w:widowControl/>
                    <w:spacing w:before="100" w:beforeAutospacing="1" w:after="100" w:afterAutospacing="1"/>
                    <w:jc w:val="center"/>
                    <w:outlineLvl w:val="2"/>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45.46</w:t>
                  </w:r>
                </w:p>
              </w:tc>
              <w:tc>
                <w:tcPr>
                  <w:tcW w:w="830" w:type="dxa"/>
                  <w:noWrap w:val="0"/>
                  <w:vAlign w:val="center"/>
                </w:tcPr>
                <w:p>
                  <w:pPr>
                    <w:widowControl/>
                    <w:spacing w:before="100" w:beforeAutospacing="1" w:after="100" w:afterAutospacing="1"/>
                    <w:jc w:val="center"/>
                    <w:outlineLvl w:val="2"/>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42.96</w:t>
                  </w:r>
                </w:p>
              </w:tc>
              <w:tc>
                <w:tcPr>
                  <w:tcW w:w="831" w:type="dxa"/>
                  <w:noWrap w:val="0"/>
                  <w:vAlign w:val="center"/>
                </w:tcPr>
                <w:p>
                  <w:pPr>
                    <w:widowControl/>
                    <w:spacing w:before="100" w:beforeAutospacing="1" w:after="100" w:afterAutospacing="1"/>
                    <w:jc w:val="center"/>
                    <w:outlineLvl w:val="2"/>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41.02</w:t>
                  </w:r>
                </w:p>
              </w:tc>
              <w:tc>
                <w:tcPr>
                  <w:tcW w:w="833" w:type="dxa"/>
                  <w:noWrap w:val="0"/>
                  <w:vAlign w:val="center"/>
                </w:tcPr>
                <w:p>
                  <w:pPr>
                    <w:widowControl/>
                    <w:spacing w:before="100" w:beforeAutospacing="1" w:after="100" w:afterAutospacing="1"/>
                    <w:jc w:val="center"/>
                    <w:outlineLvl w:val="2"/>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39.44</w:t>
                  </w:r>
                </w:p>
              </w:tc>
              <w:tc>
                <w:tcPr>
                  <w:tcW w:w="833" w:type="dxa"/>
                  <w:noWrap w:val="0"/>
                  <w:vAlign w:val="center"/>
                </w:tcPr>
                <w:p>
                  <w:pPr>
                    <w:widowControl/>
                    <w:spacing w:before="100" w:beforeAutospacing="1" w:after="100" w:afterAutospacing="1"/>
                    <w:jc w:val="center"/>
                    <w:outlineLvl w:val="2"/>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38.10</w:t>
                  </w:r>
                </w:p>
              </w:tc>
              <w:tc>
                <w:tcPr>
                  <w:tcW w:w="833" w:type="dxa"/>
                  <w:noWrap w:val="0"/>
                  <w:vAlign w:val="center"/>
                </w:tcPr>
                <w:p>
                  <w:pPr>
                    <w:widowControl/>
                    <w:spacing w:before="100" w:beforeAutospacing="1" w:after="100" w:afterAutospacing="1"/>
                    <w:jc w:val="center"/>
                    <w:outlineLvl w:val="2"/>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35</w:t>
                  </w:r>
                </w:p>
              </w:tc>
              <w:tc>
                <w:tcPr>
                  <w:tcW w:w="833" w:type="dxa"/>
                  <w:noWrap w:val="0"/>
                  <w:vAlign w:val="center"/>
                </w:tcPr>
                <w:p>
                  <w:pPr>
                    <w:widowControl/>
                    <w:spacing w:before="100" w:beforeAutospacing="1" w:after="100" w:afterAutospacing="1"/>
                    <w:jc w:val="center"/>
                    <w:outlineLvl w:val="2"/>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25.46</w:t>
                  </w:r>
                </w:p>
              </w:tc>
            </w:tr>
          </w:tbl>
          <w:p>
            <w:pPr>
              <w:spacing w:line="520" w:lineRule="exact"/>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由预测结果可知，运营期的噪声在厂界外</w:t>
            </w:r>
            <w:r>
              <w:rPr>
                <w:rStyle w:val="60"/>
                <w:rFonts w:hint="eastAsia" w:ascii="宋体" w:hAnsi="宋体" w:eastAsia="宋体" w:cs="宋体"/>
                <w:color w:val="000000"/>
                <w:kern w:val="0"/>
                <w:sz w:val="24"/>
                <w:szCs w:val="24"/>
                <w:highlight w:val="none"/>
              </w:rPr>
              <w:t>100</w:t>
            </w:r>
            <w:r>
              <w:rPr>
                <w:rFonts w:hint="eastAsia" w:ascii="宋体" w:hAnsi="宋体" w:eastAsia="宋体" w:cs="宋体"/>
                <w:color w:val="000000"/>
                <w:sz w:val="24"/>
                <w:highlight w:val="none"/>
              </w:rPr>
              <w:t>m处时昼间噪声值满足《工业企业厂界环境噪声排放标准》（GB 12348-2008）</w:t>
            </w:r>
            <w:r>
              <w:rPr>
                <w:rFonts w:hint="eastAsia" w:ascii="宋体" w:hAnsi="宋体" w:eastAsia="宋体" w:cs="宋体"/>
                <w:color w:val="000000"/>
                <w:sz w:val="24"/>
                <w:highlight w:val="none"/>
                <w:lang w:val="en-US" w:eastAsia="zh-CN"/>
              </w:rPr>
              <w:t>2</w:t>
            </w:r>
            <w:r>
              <w:rPr>
                <w:rFonts w:hint="eastAsia" w:ascii="宋体" w:hAnsi="宋体" w:eastAsia="宋体" w:cs="宋体"/>
                <w:color w:val="000000"/>
                <w:sz w:val="24"/>
                <w:highlight w:val="none"/>
              </w:rPr>
              <w:t>类标准限值，运营期的噪声在厂界外300m处时夜间噪声值满足《工业企业厂界环境噪声排放标准》（GB 12348-2008）</w:t>
            </w:r>
            <w:r>
              <w:rPr>
                <w:rFonts w:hint="eastAsia" w:ascii="宋体" w:hAnsi="宋体" w:eastAsia="宋体" w:cs="宋体"/>
                <w:color w:val="000000"/>
                <w:sz w:val="24"/>
                <w:highlight w:val="none"/>
                <w:lang w:val="en-US" w:eastAsia="zh-CN"/>
              </w:rPr>
              <w:t>2</w:t>
            </w:r>
            <w:r>
              <w:rPr>
                <w:rFonts w:hint="eastAsia" w:ascii="宋体" w:hAnsi="宋体" w:eastAsia="宋体" w:cs="宋体"/>
                <w:color w:val="000000"/>
                <w:sz w:val="24"/>
                <w:highlight w:val="none"/>
              </w:rPr>
              <w:t>类标准限值。</w:t>
            </w:r>
          </w:p>
          <w:p>
            <w:pPr>
              <w:pageBreakBefore w:val="0"/>
              <w:widowControl/>
              <w:kinsoku/>
              <w:wordWrap/>
              <w:overflowPunct/>
              <w:topLinePunct w:val="0"/>
              <w:bidi w:val="0"/>
              <w:snapToGrid/>
              <w:spacing w:line="520" w:lineRule="exact"/>
              <w:ind w:firstLine="480" w:firstLineChars="200"/>
              <w:jc w:val="left"/>
              <w:textAlignment w:val="auto"/>
              <w:rPr>
                <w:rFonts w:hint="eastAsia" w:ascii="宋体" w:hAnsi="宋体" w:eastAsia="宋体" w:cs="宋体"/>
                <w:sz w:val="24"/>
              </w:rPr>
            </w:pPr>
            <w:r>
              <w:rPr>
                <w:rFonts w:hint="eastAsia" w:ascii="宋体" w:hAnsi="宋体" w:eastAsia="宋体" w:cs="宋体"/>
                <w:color w:val="000000"/>
                <w:kern w:val="0"/>
                <w:sz w:val="24"/>
                <w:highlight w:val="none"/>
              </w:rPr>
              <w:t>根据</w:t>
            </w:r>
            <w:r>
              <w:rPr>
                <w:rFonts w:hint="eastAsia" w:ascii="宋体" w:hAnsi="宋体" w:eastAsia="宋体" w:cs="宋体"/>
                <w:color w:val="000000"/>
                <w:sz w:val="24"/>
                <w:highlight w:val="none"/>
              </w:rPr>
              <w:t>《工业企业厂界环境噪声排放标准》（GB 12348-2008）</w:t>
            </w:r>
            <w:r>
              <w:rPr>
                <w:rFonts w:hint="eastAsia" w:ascii="宋体" w:hAnsi="宋体" w:eastAsia="宋体" w:cs="宋体"/>
                <w:color w:val="000000"/>
                <w:sz w:val="24"/>
                <w:highlight w:val="none"/>
                <w:lang w:val="en-US" w:eastAsia="zh-CN"/>
              </w:rPr>
              <w:t>2</w:t>
            </w:r>
            <w:r>
              <w:rPr>
                <w:rFonts w:hint="eastAsia" w:ascii="宋体" w:hAnsi="宋体" w:eastAsia="宋体" w:cs="宋体"/>
                <w:color w:val="000000"/>
                <w:sz w:val="24"/>
                <w:highlight w:val="none"/>
              </w:rPr>
              <w:t>类标准限值</w:t>
            </w:r>
            <w:r>
              <w:rPr>
                <w:rFonts w:hint="eastAsia" w:ascii="宋体" w:hAnsi="宋体" w:eastAsia="宋体" w:cs="宋体"/>
                <w:color w:val="000000"/>
                <w:kern w:val="0"/>
                <w:sz w:val="24"/>
                <w:highlight w:val="none"/>
              </w:rPr>
              <w:t>可知，对周边声环境昼间影响范围为</w:t>
            </w:r>
            <w:r>
              <w:rPr>
                <w:rFonts w:hint="eastAsia" w:ascii="宋体" w:hAnsi="宋体" w:eastAsia="宋体" w:cs="宋体"/>
                <w:color w:val="000000"/>
                <w:kern w:val="0"/>
                <w:sz w:val="24"/>
                <w:highlight w:val="none"/>
                <w:lang w:val="en-US" w:eastAsia="zh-CN"/>
              </w:rPr>
              <w:t>10</w:t>
            </w:r>
            <w:r>
              <w:rPr>
                <w:rFonts w:hint="eastAsia" w:ascii="宋体" w:hAnsi="宋体" w:eastAsia="宋体" w:cs="宋体"/>
                <w:color w:val="000000"/>
                <w:kern w:val="0"/>
                <w:sz w:val="24"/>
                <w:highlight w:val="none"/>
              </w:rPr>
              <w:t>0m，夜间影响范围为300m。</w:t>
            </w:r>
            <w:r>
              <w:rPr>
                <w:rFonts w:hint="eastAsia" w:ascii="宋体" w:hAnsi="宋体" w:eastAsia="宋体" w:cs="宋体"/>
                <w:bCs/>
                <w:color w:val="000000"/>
                <w:sz w:val="24"/>
                <w:highlight w:val="none"/>
              </w:rPr>
              <w:t>根据计划安排，本项目位于油田区域内，周围2km范围内无声环境敏感点。因此，本项目运营期锅炉噪声不会对周边敏感点造成影响。</w:t>
            </w:r>
          </w:p>
          <w:p>
            <w:pPr>
              <w:keepLines w:val="0"/>
              <w:pageBreakBefore w:val="0"/>
              <w:kinsoku/>
              <w:wordWrap/>
              <w:overflowPunct/>
              <w:topLinePunct w:val="0"/>
              <w:bidi w:val="0"/>
              <w:spacing w:line="520" w:lineRule="exact"/>
              <w:ind w:firstLine="482" w:firstLineChars="200"/>
              <w:textAlignment w:val="auto"/>
              <w:rPr>
                <w:sz w:val="24"/>
              </w:rPr>
            </w:pPr>
            <w:r>
              <w:rPr>
                <w:rFonts w:hint="eastAsia"/>
                <w:b/>
                <w:bCs/>
                <w:sz w:val="24"/>
                <w:lang w:val="en-US" w:eastAsia="zh-CN"/>
              </w:rPr>
              <w:t>（4）</w:t>
            </w:r>
            <w:r>
              <w:rPr>
                <w:rFonts w:hint="eastAsia" w:ascii="宋体" w:hAnsi="宋体" w:cs="宋体"/>
                <w:b/>
                <w:bCs/>
                <w:sz w:val="24"/>
              </w:rPr>
              <w:t>噪声污染防治措施</w:t>
            </w:r>
          </w:p>
          <w:p>
            <w:pPr>
              <w:keepLines w:val="0"/>
              <w:pageBreakBefore w:val="0"/>
              <w:kinsoku/>
              <w:wordWrap/>
              <w:overflowPunct/>
              <w:topLinePunct w:val="0"/>
              <w:bidi w:val="0"/>
              <w:spacing w:line="520" w:lineRule="exact"/>
              <w:ind w:firstLine="480" w:firstLineChars="200"/>
              <w:textAlignment w:val="auto"/>
              <w:rPr>
                <w:rFonts w:hint="eastAsia" w:ascii="宋体" w:hAnsi="宋体" w:eastAsia="宋体" w:cs="宋体"/>
                <w:sz w:val="24"/>
                <w:lang w:eastAsia="zh-CN"/>
              </w:rPr>
            </w:pPr>
            <w:r>
              <w:rPr>
                <w:rFonts w:hint="eastAsia" w:ascii="宋体" w:hAnsi="宋体" w:cs="宋体"/>
                <w:sz w:val="24"/>
                <w:lang w:val="en-US" w:eastAsia="zh-CN"/>
              </w:rPr>
              <w:t>项目</w:t>
            </w:r>
            <w:r>
              <w:rPr>
                <w:rFonts w:hint="eastAsia" w:ascii="宋体" w:hAnsi="宋体" w:cs="宋体"/>
                <w:sz w:val="24"/>
              </w:rPr>
              <w:t>拟采取的噪声污染防治措施</w:t>
            </w:r>
            <w:r>
              <w:rPr>
                <w:rFonts w:hint="eastAsia" w:ascii="宋体" w:hAnsi="宋体" w:cs="宋体"/>
                <w:sz w:val="24"/>
                <w:lang w:eastAsia="zh-CN"/>
              </w:rPr>
              <w:t>：</w:t>
            </w:r>
          </w:p>
          <w:p>
            <w:pPr>
              <w:keepLines w:val="0"/>
              <w:pageBreakBefore w:val="0"/>
              <w:kinsoku/>
              <w:wordWrap/>
              <w:overflowPunct/>
              <w:topLinePunct w:val="0"/>
              <w:bidi w:val="0"/>
              <w:spacing w:line="520" w:lineRule="exact"/>
              <w:ind w:firstLine="480" w:firstLineChars="200"/>
              <w:textAlignment w:val="auto"/>
              <w:rPr>
                <w:rFonts w:hint="eastAsia" w:ascii="宋体" w:hAnsi="宋体" w:cs="宋体"/>
                <w:sz w:val="24"/>
              </w:rPr>
            </w:pPr>
            <w:r>
              <w:rPr>
                <w:rFonts w:hint="eastAsia" w:ascii="宋体" w:hAnsi="宋体" w:cs="宋体"/>
                <w:sz w:val="24"/>
              </w:rPr>
              <w:t>Ⅰ</w:t>
            </w:r>
            <w:r>
              <w:rPr>
                <w:rFonts w:hint="eastAsia" w:ascii="宋体" w:hAnsi="宋体" w:cs="宋体"/>
                <w:sz w:val="24"/>
                <w:lang w:val="en-US" w:eastAsia="zh-CN"/>
              </w:rPr>
              <w:t>定期</w:t>
            </w:r>
            <w:r>
              <w:rPr>
                <w:rFonts w:hint="eastAsia" w:ascii="宋体" w:hAnsi="宋体" w:cs="宋体"/>
                <w:sz w:val="24"/>
              </w:rPr>
              <w:t>维护锅炉</w:t>
            </w:r>
            <w:r>
              <w:rPr>
                <w:rFonts w:hint="eastAsia" w:ascii="宋体" w:hAnsi="宋体" w:cs="宋体"/>
                <w:sz w:val="24"/>
                <w:lang w:eastAsia="zh-CN"/>
              </w:rPr>
              <w:t>，</w:t>
            </w:r>
            <w:r>
              <w:rPr>
                <w:rFonts w:hint="eastAsia" w:ascii="宋体" w:hAnsi="宋体" w:cs="宋体"/>
                <w:sz w:val="24"/>
              </w:rPr>
              <w:t>保持锅炉的良好状态可以减少噪音的产生。</w:t>
            </w:r>
          </w:p>
          <w:p>
            <w:pPr>
              <w:keepNext w:val="0"/>
              <w:keepLines w:val="0"/>
              <w:pageBreakBefore w:val="0"/>
              <w:kinsoku/>
              <w:wordWrap/>
              <w:overflowPunct/>
              <w:topLinePunct w:val="0"/>
              <w:autoSpaceDE/>
              <w:autoSpaceDN/>
              <w:bidi w:val="0"/>
              <w:adjustRightInd/>
              <w:spacing w:line="52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cs="宋体"/>
                <w:sz w:val="24"/>
              </w:rPr>
              <w:t>Ⅱ</w:t>
            </w:r>
            <w:r>
              <w:rPr>
                <w:rFonts w:hint="eastAsia" w:ascii="宋体" w:hAnsi="宋体" w:cs="宋体"/>
                <w:sz w:val="24"/>
                <w:lang w:val="en-US" w:eastAsia="zh-CN"/>
              </w:rPr>
              <w:t>对鼓风机进行减振处理。采用弹簧隔振器对鼓、引风机进行减振，每台鼓、引风机底座安装隔振器，同时考虑鼓、引风机的进、排风连接的金属风管必须加软连接，防止风机的振动通过金属管道引起振动噪声。</w:t>
            </w:r>
          </w:p>
          <w:p>
            <w:pPr>
              <w:keepNext w:val="0"/>
              <w:keepLines w:val="0"/>
              <w:pageBreakBefore w:val="0"/>
              <w:kinsoku/>
              <w:wordWrap/>
              <w:overflowPunct/>
              <w:topLinePunct w:val="0"/>
              <w:autoSpaceDE/>
              <w:autoSpaceDN/>
              <w:bidi w:val="0"/>
              <w:adjustRightInd/>
              <w:spacing w:line="5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（5）</w:t>
            </w:r>
            <w:r>
              <w:rPr>
                <w:rFonts w:hint="eastAsia" w:ascii="宋体" w:hAnsi="宋体" w:eastAsia="宋体" w:cs="宋体"/>
                <w:b/>
                <w:bCs/>
                <w:sz w:val="24"/>
                <w:szCs w:val="24"/>
              </w:rPr>
              <w:t>监测要求</w:t>
            </w:r>
          </w:p>
          <w:p>
            <w:pPr>
              <w:keepNext w:val="0"/>
              <w:keepLines w:val="0"/>
              <w:pageBreakBefore w:val="0"/>
              <w:widowControl/>
              <w:kinsoku/>
              <w:wordWrap/>
              <w:overflowPunct/>
              <w:topLinePunct w:val="0"/>
              <w:autoSpaceDE/>
              <w:autoSpaceDN/>
              <w:bidi w:val="0"/>
              <w:adjustRightInd/>
              <w:snapToGrid w:val="0"/>
              <w:spacing w:line="520" w:lineRule="exact"/>
              <w:ind w:firstLine="480" w:firstLineChars="200"/>
              <w:textAlignment w:val="auto"/>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本项目锅炉的建设主要为油田开采进行服务，可纳入油区监测计划中，根据《排污单位自行监测技术指南 陆上石油天然气开采工业》（HJ1248-2022）中5.3厂界环境噪声监测，本项目移动锅炉建设在已开发油区，无明显厂界限制且周边2km范围内无噪声敏感建筑物的场站，因此可不开展厂界环境噪声监测。</w:t>
            </w:r>
          </w:p>
          <w:p>
            <w:pPr>
              <w:keepNext w:val="0"/>
              <w:keepLines w:val="0"/>
              <w:pageBreakBefore w:val="0"/>
              <w:kinsoku/>
              <w:wordWrap/>
              <w:overflowPunct/>
              <w:topLinePunct w:val="0"/>
              <w:autoSpaceDE/>
              <w:autoSpaceDN/>
              <w:bidi w:val="0"/>
              <w:spacing w:line="52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四</w:t>
            </w:r>
            <w:r>
              <w:rPr>
                <w:rFonts w:hint="eastAsia" w:ascii="宋体" w:hAnsi="宋体" w:eastAsia="宋体" w:cs="宋体"/>
                <w:b/>
                <w:sz w:val="24"/>
                <w:szCs w:val="24"/>
                <w:lang w:eastAsia="zh-CN"/>
              </w:rPr>
              <w:t>、</w:t>
            </w:r>
            <w:r>
              <w:rPr>
                <w:rFonts w:hint="eastAsia" w:ascii="宋体" w:hAnsi="宋体" w:eastAsia="宋体" w:cs="宋体"/>
                <w:b/>
                <w:sz w:val="24"/>
                <w:szCs w:val="24"/>
                <w:lang w:val="en-US" w:eastAsia="zh-CN"/>
              </w:rPr>
              <w:t>固废</w:t>
            </w:r>
            <w:r>
              <w:rPr>
                <w:rFonts w:hint="eastAsia" w:ascii="宋体" w:hAnsi="宋体" w:eastAsia="宋体" w:cs="宋体"/>
                <w:b/>
                <w:sz w:val="24"/>
                <w:szCs w:val="24"/>
              </w:rPr>
              <w:t>影响</w:t>
            </w:r>
            <w:r>
              <w:rPr>
                <w:rFonts w:hint="eastAsia" w:ascii="宋体" w:hAnsi="宋体" w:eastAsia="宋体" w:cs="宋体"/>
                <w:b/>
                <w:sz w:val="24"/>
                <w:szCs w:val="24"/>
                <w:lang w:val="en-US" w:eastAsia="zh-CN"/>
              </w:rPr>
              <w:t>分析</w:t>
            </w:r>
          </w:p>
          <w:p>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szCs w:val="24"/>
              </w:rPr>
            </w:pPr>
            <w:r>
              <w:rPr>
                <w:rFonts w:hint="eastAsia" w:cs="Times New Roman"/>
                <w:color w:val="000000"/>
                <w:kern w:val="0"/>
                <w:sz w:val="24"/>
                <w:szCs w:val="24"/>
                <w:highlight w:val="none"/>
                <w:lang w:val="en-US" w:eastAsia="zh-CN"/>
              </w:rPr>
              <w:t>（1）本项目劳动定员3人，</w:t>
            </w:r>
            <w:r>
              <w:rPr>
                <w:rFonts w:hint="eastAsia"/>
                <w:color w:val="auto"/>
                <w:sz w:val="24"/>
                <w:highlight w:val="none"/>
              </w:rPr>
              <w:t>人均垃圾产生量以</w:t>
            </w:r>
            <w:r>
              <w:rPr>
                <w:rFonts w:hint="eastAsia"/>
                <w:color w:val="auto"/>
                <w:sz w:val="24"/>
                <w:highlight w:val="none"/>
                <w:lang w:val="en-US" w:eastAsia="zh-CN"/>
              </w:rPr>
              <w:t>1</w:t>
            </w:r>
            <w:r>
              <w:rPr>
                <w:rFonts w:hint="eastAsia"/>
                <w:color w:val="auto"/>
                <w:sz w:val="24"/>
                <w:highlight w:val="none"/>
              </w:rPr>
              <w:t>kg/d计，年工作</w:t>
            </w:r>
            <w:r>
              <w:rPr>
                <w:rFonts w:hint="eastAsia"/>
                <w:color w:val="auto"/>
                <w:sz w:val="24"/>
                <w:highlight w:val="none"/>
                <w:lang w:val="en-US" w:eastAsia="zh-CN"/>
              </w:rPr>
              <w:t>150</w:t>
            </w:r>
            <w:r>
              <w:rPr>
                <w:rFonts w:hint="eastAsia"/>
                <w:color w:val="auto"/>
                <w:sz w:val="24"/>
                <w:highlight w:val="none"/>
              </w:rPr>
              <w:t>d，则可知本项目生活垃圾产生量为</w:t>
            </w:r>
            <w:r>
              <w:rPr>
                <w:rFonts w:hint="eastAsia"/>
                <w:color w:val="auto"/>
                <w:sz w:val="24"/>
                <w:highlight w:val="none"/>
                <w:lang w:val="en-US" w:eastAsia="zh-CN"/>
              </w:rPr>
              <w:t>0.45t</w:t>
            </w:r>
            <w:r>
              <w:rPr>
                <w:rFonts w:hint="eastAsia"/>
                <w:color w:val="auto"/>
                <w:sz w:val="24"/>
                <w:highlight w:val="none"/>
              </w:rPr>
              <w:t>/a。</w:t>
            </w:r>
            <w:r>
              <w:rPr>
                <w:rFonts w:hint="eastAsia" w:ascii="宋体" w:hAnsi="宋体" w:eastAsia="宋体" w:cs="宋体"/>
                <w:kern w:val="24"/>
                <w:sz w:val="24"/>
                <w:szCs w:val="24"/>
                <w:lang w:val="en-US" w:eastAsia="zh-CN"/>
              </w:rPr>
              <w:t>生活垃圾依托油区环卫部门清运处理。</w:t>
            </w:r>
          </w:p>
          <w:p>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pPr>
            <w:r>
              <w:rPr>
                <w:rFonts w:hint="eastAsia" w:cs="Times New Roman"/>
                <w:color w:val="000000"/>
                <w:kern w:val="0"/>
                <w:sz w:val="24"/>
                <w:szCs w:val="24"/>
                <w:highlight w:val="none"/>
                <w:lang w:val="en-US" w:eastAsia="zh-CN"/>
              </w:rPr>
              <w:t>（2）</w:t>
            </w:r>
            <w:r>
              <w:rPr>
                <w:rFonts w:hint="eastAsia" w:ascii="Times New Roman" w:hAnsi="Times New Roman" w:eastAsia="宋体" w:cs="Times New Roman"/>
                <w:color w:val="000000"/>
                <w:kern w:val="0"/>
                <w:sz w:val="24"/>
                <w:szCs w:val="24"/>
                <w:highlight w:val="none"/>
                <w:lang w:val="en-US" w:eastAsia="zh-CN"/>
              </w:rPr>
              <w:t>生物质燃料在燃烧过程中会产生少量灰渣（灰色粉状），产生量约为</w:t>
            </w:r>
            <w:r>
              <w:rPr>
                <w:rFonts w:hint="eastAsia" w:eastAsia="宋体" w:cs="Times New Roman"/>
                <w:color w:val="000000"/>
                <w:kern w:val="0"/>
                <w:sz w:val="24"/>
                <w:szCs w:val="24"/>
                <w:highlight w:val="none"/>
                <w:lang w:val="en-US" w:eastAsia="zh-CN"/>
              </w:rPr>
              <w:t>10</w:t>
            </w:r>
            <w:r>
              <w:rPr>
                <w:rFonts w:hint="eastAsia" w:cs="Times New Roman"/>
                <w:color w:val="000000"/>
                <w:kern w:val="0"/>
                <w:sz w:val="24"/>
                <w:szCs w:val="24"/>
                <w:highlight w:val="none"/>
                <w:lang w:val="en-US" w:eastAsia="zh-CN"/>
              </w:rPr>
              <w:t>.</w:t>
            </w:r>
            <w:r>
              <w:rPr>
                <w:rFonts w:hint="eastAsia" w:eastAsia="宋体" w:cs="Times New Roman"/>
                <w:color w:val="000000"/>
                <w:kern w:val="0"/>
                <w:sz w:val="24"/>
                <w:szCs w:val="24"/>
                <w:highlight w:val="none"/>
                <w:lang w:val="en-US" w:eastAsia="zh-CN"/>
              </w:rPr>
              <w:t>8</w:t>
            </w:r>
            <w:r>
              <w:rPr>
                <w:rFonts w:hint="eastAsia" w:ascii="Times New Roman" w:hAnsi="Times New Roman" w:eastAsia="宋体" w:cs="Times New Roman"/>
                <w:color w:val="000000"/>
                <w:kern w:val="0"/>
                <w:sz w:val="24"/>
                <w:szCs w:val="24"/>
                <w:highlight w:val="none"/>
                <w:lang w:val="en-US" w:eastAsia="zh-CN"/>
              </w:rPr>
              <w:t>t/a，炉渣交由种植户作为基肥使用或拉运至一般固废填埋场进行处理。根据《固体废物分类与代码目录（2024年）》</w:t>
            </w:r>
            <w:r>
              <w:rPr>
                <w:rFonts w:hint="eastAsia" w:eastAsia="宋体" w:cs="Times New Roman"/>
                <w:color w:val="000000"/>
                <w:kern w:val="0"/>
                <w:sz w:val="24"/>
                <w:szCs w:val="24"/>
                <w:highlight w:val="none"/>
                <w:lang w:val="en-US" w:eastAsia="zh-CN"/>
              </w:rPr>
              <w:t>，灰渣废物种类为SW03炉渣，废物代码为900-099-S03（其他炉渣工业生产过程中产生的其他炉渣，包括农林生物质燃烧产生的炉渣等）。</w:t>
            </w:r>
          </w:p>
          <w:p>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default" w:ascii="宋体" w:hAnsi="宋体" w:cs="宋体"/>
                <w:kern w:val="24"/>
                <w:sz w:val="24"/>
                <w:szCs w:val="24"/>
                <w:lang w:val="en-US" w:eastAsia="zh-CN"/>
              </w:rPr>
            </w:pPr>
            <w:r>
              <w:rPr>
                <w:rFonts w:hint="eastAsia" w:ascii="宋体" w:hAnsi="宋体" w:cs="宋体"/>
                <w:kern w:val="24"/>
                <w:sz w:val="24"/>
                <w:szCs w:val="24"/>
                <w:lang w:val="en-US" w:eastAsia="zh-CN"/>
              </w:rPr>
              <w:t>（3）除尘器收集到的除尘灰，经计算产生量为0.216t/a，</w:t>
            </w:r>
            <w:r>
              <w:rPr>
                <w:rFonts w:hint="eastAsia" w:ascii="Times New Roman" w:hAnsi="Times New Roman" w:eastAsia="宋体" w:cs="Times New Roman"/>
                <w:color w:val="000000"/>
                <w:kern w:val="0"/>
                <w:sz w:val="24"/>
                <w:szCs w:val="24"/>
                <w:highlight w:val="none"/>
                <w:lang w:val="en-US" w:eastAsia="zh-CN"/>
              </w:rPr>
              <w:t>除尘灰交由种植户作为基肥使用或拉运至一般固废填埋场进行处理。</w:t>
            </w:r>
            <w:r>
              <w:rPr>
                <w:rFonts w:hint="eastAsia" w:eastAsia="宋体" w:cs="Times New Roman"/>
                <w:color w:val="000000"/>
                <w:kern w:val="0"/>
                <w:sz w:val="24"/>
                <w:szCs w:val="24"/>
                <w:highlight w:val="none"/>
                <w:lang w:val="en-US" w:eastAsia="zh-CN"/>
              </w:rPr>
              <w:t>废物种类为SW</w:t>
            </w:r>
            <w:r>
              <w:rPr>
                <w:rFonts w:hint="eastAsia" w:cs="Times New Roman"/>
                <w:color w:val="000000"/>
                <w:kern w:val="0"/>
                <w:sz w:val="24"/>
                <w:szCs w:val="24"/>
                <w:highlight w:val="none"/>
                <w:lang w:val="en-US" w:eastAsia="zh-CN"/>
              </w:rPr>
              <w:t>59其他工业固体废物（非特定行业），900-099-S59其他工业生产过程中产生的固体废物。</w:t>
            </w:r>
          </w:p>
          <w:p>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cs="宋体"/>
                <w:kern w:val="24"/>
                <w:sz w:val="24"/>
                <w:szCs w:val="24"/>
                <w:lang w:val="en-US" w:eastAsia="zh-CN"/>
              </w:rPr>
            </w:pPr>
            <w:r>
              <w:rPr>
                <w:rFonts w:hint="eastAsia" w:ascii="宋体" w:hAnsi="宋体" w:cs="宋体"/>
                <w:kern w:val="24"/>
                <w:sz w:val="24"/>
                <w:szCs w:val="24"/>
                <w:lang w:val="en-US" w:eastAsia="zh-CN"/>
              </w:rPr>
              <w:t>固废处置可行性分析：炉渣和除尘灰洒水后进行铲装进包装袋，送水车运输至轮南镇种植户作为基肥使用或拉运至一般固废填埋场进行处理。移动锅炉车更换一次服务地点，一周清理一次固废，0.514t/次。</w:t>
            </w:r>
          </w:p>
          <w:p>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default" w:ascii="宋体" w:hAnsi="宋体" w:cs="宋体"/>
                <w:kern w:val="24"/>
                <w:sz w:val="24"/>
                <w:szCs w:val="24"/>
                <w:lang w:val="en-US" w:eastAsia="zh-CN"/>
              </w:rPr>
            </w:pPr>
            <w:r>
              <w:rPr>
                <w:rFonts w:hint="eastAsia" w:ascii="宋体" w:hAnsi="宋体" w:cs="宋体"/>
                <w:kern w:val="24"/>
                <w:sz w:val="24"/>
                <w:szCs w:val="24"/>
                <w:lang w:val="en-US" w:eastAsia="zh-CN"/>
              </w:rPr>
              <w:t>（4）</w:t>
            </w:r>
            <w:r>
              <w:rPr>
                <w:rFonts w:hint="eastAsia" w:ascii="宋体" w:hAnsi="宋体" w:cs="宋体"/>
                <w:b w:val="0"/>
                <w:bCs w:val="0"/>
                <w:kern w:val="24"/>
                <w:sz w:val="24"/>
                <w:szCs w:val="24"/>
                <w:lang w:val="en-US" w:eastAsia="zh-CN"/>
              </w:rPr>
              <w:t>本项目随车携带防渗土工布、吸油毡，移动锅炉车在停止或小范围检修时，可使用防渗土工布当作车辆垫层，防止油类物质污染</w:t>
            </w:r>
            <w:r>
              <w:rPr>
                <w:rFonts w:hint="eastAsia" w:ascii="宋体" w:hAnsi="宋体" w:eastAsia="宋体" w:cs="宋体"/>
                <w:b w:val="0"/>
                <w:bCs w:val="0"/>
                <w:kern w:val="24"/>
                <w:sz w:val="24"/>
                <w:szCs w:val="24"/>
                <w:lang w:val="en-US" w:eastAsia="zh-CN"/>
              </w:rPr>
              <w:t>地下水、土壤</w:t>
            </w:r>
            <w:r>
              <w:rPr>
                <w:rFonts w:hint="eastAsia" w:ascii="宋体" w:hAnsi="宋体" w:cs="宋体"/>
                <w:b w:val="0"/>
                <w:bCs w:val="0"/>
                <w:kern w:val="24"/>
                <w:sz w:val="24"/>
                <w:szCs w:val="24"/>
                <w:lang w:val="en-US" w:eastAsia="zh-CN"/>
              </w:rPr>
              <w:t>。含油毛毡、含油土工布产生量预计0.05t/a</w:t>
            </w:r>
            <w:r>
              <w:rPr>
                <w:rFonts w:hint="eastAsia" w:ascii="宋体" w:hAnsi="宋体" w:cs="宋体"/>
                <w:kern w:val="24"/>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0" w:firstLineChars="0"/>
              <w:jc w:val="center"/>
              <w:textAlignment w:val="auto"/>
              <w:rPr>
                <w:rFonts w:hint="eastAsia"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表4-7    项目固体废物属性判定一览表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728"/>
              <w:gridCol w:w="728"/>
              <w:gridCol w:w="729"/>
              <w:gridCol w:w="1426"/>
              <w:gridCol w:w="796"/>
              <w:gridCol w:w="729"/>
              <w:gridCol w:w="1072"/>
              <w:gridCol w:w="729"/>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序号</w:t>
                  </w:r>
                </w:p>
              </w:tc>
              <w:tc>
                <w:tcPr>
                  <w:tcW w:w="4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产生环节</w:t>
                  </w:r>
                </w:p>
              </w:tc>
              <w:tc>
                <w:tcPr>
                  <w:tcW w:w="4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名称</w:t>
                  </w:r>
                </w:p>
              </w:tc>
              <w:tc>
                <w:tcPr>
                  <w:tcW w:w="4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属性</w:t>
                  </w:r>
                </w:p>
              </w:tc>
              <w:tc>
                <w:tcPr>
                  <w:tcW w:w="8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废物代码</w:t>
                  </w:r>
                </w:p>
              </w:tc>
              <w:tc>
                <w:tcPr>
                  <w:tcW w:w="4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性状</w:t>
                  </w:r>
                </w:p>
              </w:tc>
              <w:tc>
                <w:tcPr>
                  <w:tcW w:w="4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储存方式</w:t>
                  </w:r>
                </w:p>
              </w:tc>
              <w:tc>
                <w:tcPr>
                  <w:tcW w:w="6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产生量（t/a）</w:t>
                  </w:r>
                </w:p>
              </w:tc>
              <w:tc>
                <w:tcPr>
                  <w:tcW w:w="4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危险特性</w:t>
                  </w:r>
                </w:p>
              </w:tc>
              <w:tc>
                <w:tcPr>
                  <w:tcW w:w="4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处理处置措施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1</w:t>
                  </w:r>
                </w:p>
              </w:tc>
              <w:tc>
                <w:tcPr>
                  <w:tcW w:w="4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生物质燃烧</w:t>
                  </w:r>
                </w:p>
              </w:tc>
              <w:tc>
                <w:tcPr>
                  <w:tcW w:w="4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灰渣</w:t>
                  </w:r>
                </w:p>
              </w:tc>
              <w:tc>
                <w:tcPr>
                  <w:tcW w:w="4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一般工业固废</w:t>
                  </w:r>
                </w:p>
              </w:tc>
              <w:tc>
                <w:tcPr>
                  <w:tcW w:w="8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SW03炉渣</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900-099-S03</w:t>
                  </w:r>
                </w:p>
              </w:tc>
              <w:tc>
                <w:tcPr>
                  <w:tcW w:w="4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泥状</w:t>
                  </w:r>
                </w:p>
              </w:tc>
              <w:tc>
                <w:tcPr>
                  <w:tcW w:w="4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洒水浸湿后袋装，存在车上</w:t>
                  </w:r>
                </w:p>
              </w:tc>
              <w:tc>
                <w:tcPr>
                  <w:tcW w:w="6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10.8</w:t>
                  </w:r>
                </w:p>
              </w:tc>
              <w:tc>
                <w:tcPr>
                  <w:tcW w:w="4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w:t>
                  </w:r>
                </w:p>
              </w:tc>
              <w:tc>
                <w:tcPr>
                  <w:tcW w:w="43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rPr>
                  </w:pPr>
                  <w:r>
                    <w:rPr>
                      <w:rFonts w:hint="default" w:ascii="宋体" w:hAnsi="宋体" w:eastAsia="宋体" w:cs="宋体"/>
                      <w:color w:val="auto"/>
                      <w:sz w:val="21"/>
                      <w:szCs w:val="21"/>
                      <w:vertAlign w:val="baseline"/>
                      <w:lang w:val="en-US" w:eastAsia="zh-CN"/>
                    </w:rPr>
                    <w:t>送水车运输至轮南镇种植户作为基肥使用或拉运至一般固废填埋场进行处理。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2</w:t>
                  </w:r>
                </w:p>
              </w:tc>
              <w:tc>
                <w:tcPr>
                  <w:tcW w:w="4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烟气治理</w:t>
                  </w:r>
                </w:p>
              </w:tc>
              <w:tc>
                <w:tcPr>
                  <w:tcW w:w="4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除尘灰</w:t>
                  </w:r>
                </w:p>
              </w:tc>
              <w:tc>
                <w:tcPr>
                  <w:tcW w:w="4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一般工业固废</w:t>
                  </w:r>
                </w:p>
              </w:tc>
              <w:tc>
                <w:tcPr>
                  <w:tcW w:w="8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SW59其他工业固体废物（非特定行业）</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900-099-S59</w:t>
                  </w:r>
                </w:p>
              </w:tc>
              <w:tc>
                <w:tcPr>
                  <w:tcW w:w="4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泥状</w:t>
                  </w:r>
                </w:p>
              </w:tc>
              <w:tc>
                <w:tcPr>
                  <w:tcW w:w="4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洒水浸湿后袋装，存在车上</w:t>
                  </w:r>
                </w:p>
              </w:tc>
              <w:tc>
                <w:tcPr>
                  <w:tcW w:w="6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0.21</w:t>
                  </w:r>
                </w:p>
              </w:tc>
              <w:tc>
                <w:tcPr>
                  <w:tcW w:w="4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w:t>
                  </w:r>
                </w:p>
              </w:tc>
              <w:tc>
                <w:tcPr>
                  <w:tcW w:w="4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3</w:t>
                  </w:r>
                </w:p>
              </w:tc>
              <w:tc>
                <w:tcPr>
                  <w:tcW w:w="4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车辆小修</w:t>
                  </w:r>
                </w:p>
              </w:tc>
              <w:tc>
                <w:tcPr>
                  <w:tcW w:w="4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含油毛毡、含油土工布</w:t>
                  </w:r>
                </w:p>
              </w:tc>
              <w:tc>
                <w:tcPr>
                  <w:tcW w:w="4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豁免</w:t>
                  </w:r>
                </w:p>
              </w:tc>
              <w:tc>
                <w:tcPr>
                  <w:tcW w:w="8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HW49 </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其他废物</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900-041-49</w:t>
                  </w:r>
                </w:p>
              </w:tc>
              <w:tc>
                <w:tcPr>
                  <w:tcW w:w="4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固体</w:t>
                  </w:r>
                </w:p>
              </w:tc>
              <w:tc>
                <w:tcPr>
                  <w:tcW w:w="4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w:t>
                  </w:r>
                </w:p>
              </w:tc>
              <w:tc>
                <w:tcPr>
                  <w:tcW w:w="6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0.05</w:t>
                  </w:r>
                </w:p>
              </w:tc>
              <w:tc>
                <w:tcPr>
                  <w:tcW w:w="4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w:t>
                  </w:r>
                </w:p>
              </w:tc>
              <w:tc>
                <w:tcPr>
                  <w:tcW w:w="4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产生后拉运至油井生活区</w:t>
                  </w:r>
                </w:p>
              </w:tc>
            </w:tr>
          </w:tbl>
          <w:p>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cs="宋体"/>
                <w:kern w:val="24"/>
                <w:sz w:val="24"/>
                <w:szCs w:val="24"/>
                <w:lang w:val="en-US" w:eastAsia="zh-CN"/>
              </w:rPr>
            </w:pPr>
            <w:r>
              <w:rPr>
                <w:rFonts w:hint="eastAsia" w:ascii="宋体" w:hAnsi="宋体" w:cs="宋体"/>
                <w:kern w:val="24"/>
                <w:sz w:val="24"/>
                <w:szCs w:val="24"/>
                <w:lang w:val="en-US" w:eastAsia="zh-CN"/>
              </w:rPr>
              <w:t>（4）</w:t>
            </w:r>
            <w:r>
              <w:rPr>
                <w:rFonts w:hint="eastAsia" w:ascii="宋体" w:hAnsi="宋体" w:eastAsia="宋体" w:cs="宋体"/>
                <w:sz w:val="24"/>
                <w:szCs w:val="24"/>
                <w:lang w:val="en-US" w:eastAsia="zh-CN"/>
              </w:rPr>
              <w:t>一般工业固体废物</w:t>
            </w:r>
            <w:r>
              <w:rPr>
                <w:rFonts w:hint="eastAsia" w:ascii="宋体" w:hAnsi="宋体" w:cs="宋体"/>
                <w:kern w:val="24"/>
                <w:sz w:val="24"/>
                <w:szCs w:val="24"/>
                <w:lang w:val="en-US" w:eastAsia="zh-CN"/>
              </w:rPr>
              <w:t>环境管理要求及措施</w:t>
            </w:r>
          </w:p>
          <w:p>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产生单位应当按照《一般工业固体废物管理台账制定指南（试行）》要求，建立管理台账，全面、准确地记录一般工业固体废物种类、数量、流向、贮存、利用、处置等信息。鼓励优先使用信息系统建立电子台账，建立电子台账的产生单位，无需再记录纸质台账。无法建立或者不适于使用电子台账的，建立纸质台账。</w:t>
            </w:r>
          </w:p>
          <w:p>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cs="宋体"/>
                <w:kern w:val="24"/>
                <w:sz w:val="24"/>
                <w:szCs w:val="24"/>
                <w:lang w:val="en-US" w:eastAsia="zh-CN"/>
              </w:rPr>
            </w:pPr>
            <w:r>
              <w:rPr>
                <w:rFonts w:hint="eastAsia" w:ascii="宋体" w:hAnsi="宋体" w:cs="宋体"/>
                <w:sz w:val="24"/>
                <w:szCs w:val="24"/>
                <w:lang w:val="en-US" w:eastAsia="zh-CN"/>
              </w:rPr>
              <w:t>根据《一般工业固体废物贮存和填埋污染控制标准》（GB 18599-2020）“采用库房、包装工具（罐、桶、包装袋等）贮存一般工业固体废物过程的污染控制，不适用本标准，其贮存过程应满足相应防渗漏、防雨淋、防扬尘等环境保护要求”。炉渣和除尘灰在移动锅炉车内，洒水后铲装至包装袋，移动锅炉车</w:t>
            </w:r>
            <w:r>
              <w:rPr>
                <w:rFonts w:ascii="宋体" w:hAnsi="宋体" w:eastAsia="宋体" w:cs="宋体"/>
                <w:sz w:val="24"/>
                <w:szCs w:val="24"/>
              </w:rPr>
              <w:t>满足防扬散、防流失、防渗漏、防雨淋等环境保护要求。</w:t>
            </w:r>
          </w:p>
          <w:p>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cs="宋体"/>
                <w:kern w:val="24"/>
                <w:sz w:val="24"/>
                <w:szCs w:val="24"/>
                <w:lang w:val="en-US" w:eastAsia="zh-CN"/>
              </w:rPr>
            </w:pPr>
            <w:r>
              <w:rPr>
                <w:rFonts w:hint="eastAsia" w:ascii="宋体" w:hAnsi="宋体" w:cs="宋体"/>
                <w:kern w:val="24"/>
                <w:sz w:val="24"/>
                <w:szCs w:val="24"/>
                <w:lang w:val="en-US" w:eastAsia="zh-CN"/>
              </w:rPr>
              <w:t>一般工业固体废物不得混入生活垃圾和危险废物，不得向生活垃圾收集设施中投放工业固体废物。</w:t>
            </w:r>
          </w:p>
          <w:p>
            <w:pPr>
              <w:keepNext w:val="0"/>
              <w:keepLines w:val="0"/>
              <w:pageBreakBefore w:val="0"/>
              <w:numPr>
                <w:ilvl w:val="0"/>
                <w:numId w:val="0"/>
              </w:numPr>
              <w:kinsoku/>
              <w:wordWrap/>
              <w:overflowPunct/>
              <w:topLinePunct w:val="0"/>
              <w:autoSpaceDE/>
              <w:autoSpaceDN/>
              <w:bidi w:val="0"/>
              <w:adjustRightInd w:val="0"/>
              <w:snapToGrid w:val="0"/>
              <w:spacing w:line="520" w:lineRule="exact"/>
              <w:ind w:firstLine="482" w:firstLineChars="200"/>
              <w:textAlignment w:val="auto"/>
              <w:rPr>
                <w:rFonts w:hint="eastAsia" w:ascii="宋体" w:hAnsi="宋体" w:eastAsia="宋体" w:cs="宋体"/>
                <w:b/>
                <w:bCs/>
                <w:kern w:val="24"/>
                <w:sz w:val="24"/>
                <w:szCs w:val="24"/>
                <w:lang w:val="en-US" w:eastAsia="zh-CN"/>
              </w:rPr>
            </w:pPr>
            <w:r>
              <w:rPr>
                <w:rFonts w:hint="eastAsia" w:ascii="宋体" w:hAnsi="宋体" w:eastAsia="宋体" w:cs="宋体"/>
                <w:b/>
                <w:bCs/>
                <w:kern w:val="24"/>
                <w:sz w:val="24"/>
                <w:szCs w:val="24"/>
                <w:lang w:val="en-US" w:eastAsia="zh-CN" w:bidi="ar-SA"/>
              </w:rPr>
              <w:t>五、</w:t>
            </w:r>
            <w:r>
              <w:rPr>
                <w:rFonts w:hint="eastAsia" w:ascii="宋体" w:hAnsi="宋体" w:eastAsia="宋体" w:cs="宋体"/>
                <w:b/>
                <w:bCs/>
                <w:kern w:val="24"/>
                <w:sz w:val="24"/>
                <w:szCs w:val="24"/>
                <w:lang w:val="en-US" w:eastAsia="zh-CN"/>
              </w:rPr>
              <w:t>地下水、土壤影响分析</w:t>
            </w:r>
          </w:p>
          <w:p>
            <w:pPr>
              <w:keepNext w:val="0"/>
              <w:keepLines w:val="0"/>
              <w:pageBreakBefore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cs="宋体"/>
                <w:b w:val="0"/>
                <w:bCs w:val="0"/>
                <w:kern w:val="24"/>
                <w:sz w:val="24"/>
                <w:szCs w:val="24"/>
                <w:lang w:val="en-US" w:eastAsia="zh-CN"/>
              </w:rPr>
            </w:pPr>
            <w:r>
              <w:rPr>
                <w:rFonts w:hint="eastAsia" w:ascii="宋体" w:hAnsi="宋体" w:eastAsia="宋体" w:cs="宋体"/>
                <w:b w:val="0"/>
                <w:bCs w:val="0"/>
                <w:color w:val="000000"/>
                <w:sz w:val="24"/>
                <w:szCs w:val="24"/>
                <w:lang w:val="en-US" w:eastAsia="zh-CN"/>
              </w:rPr>
              <w:t>移动锅炉租赁前进行全面维护保养，避免行车期间发生油品</w:t>
            </w:r>
            <w:r>
              <w:rPr>
                <w:rFonts w:hint="eastAsia" w:ascii="宋体" w:hAnsi="宋体" w:cs="宋体"/>
                <w:b w:val="0"/>
                <w:bCs w:val="0"/>
                <w:color w:val="000000"/>
                <w:sz w:val="24"/>
                <w:szCs w:val="24"/>
                <w:lang w:val="en-US" w:eastAsia="zh-CN"/>
              </w:rPr>
              <w:t>泄漏</w:t>
            </w:r>
            <w:r>
              <w:rPr>
                <w:rFonts w:hint="eastAsia" w:ascii="宋体" w:hAnsi="宋体" w:eastAsia="宋体" w:cs="宋体"/>
                <w:b w:val="0"/>
                <w:bCs w:val="0"/>
                <w:color w:val="000000"/>
                <w:sz w:val="24"/>
                <w:szCs w:val="24"/>
                <w:lang w:val="en-US" w:eastAsia="zh-CN"/>
              </w:rPr>
              <w:t>事件。</w:t>
            </w:r>
            <w:r>
              <w:rPr>
                <w:rFonts w:hint="eastAsia" w:ascii="宋体" w:hAnsi="宋体" w:cs="宋体"/>
                <w:b w:val="0"/>
                <w:bCs w:val="0"/>
                <w:kern w:val="24"/>
                <w:sz w:val="24"/>
                <w:szCs w:val="24"/>
                <w:lang w:val="en-US" w:eastAsia="zh-CN"/>
              </w:rPr>
              <w:t>本项目随车携带防渗土工布、吸油毡，移动锅炉车在停止或小范围检修时，可使用防渗土工布当作车辆垫层，防止油类物质污染</w:t>
            </w:r>
            <w:r>
              <w:rPr>
                <w:rFonts w:hint="eastAsia" w:ascii="宋体" w:hAnsi="宋体" w:eastAsia="宋体" w:cs="宋体"/>
                <w:b w:val="0"/>
                <w:bCs w:val="0"/>
                <w:kern w:val="24"/>
                <w:sz w:val="24"/>
                <w:szCs w:val="24"/>
                <w:lang w:val="en-US" w:eastAsia="zh-CN"/>
              </w:rPr>
              <w:t>地下水、土壤</w:t>
            </w:r>
            <w:r>
              <w:rPr>
                <w:rFonts w:hint="eastAsia" w:ascii="宋体" w:hAnsi="宋体" w:cs="宋体"/>
                <w:b w:val="0"/>
                <w:bCs w:val="0"/>
                <w:kern w:val="24"/>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b w:val="0"/>
                <w:bCs w:val="0"/>
                <w:kern w:val="24"/>
                <w:sz w:val="24"/>
                <w:szCs w:val="24"/>
                <w:lang w:val="en-US" w:eastAsia="zh-CN"/>
              </w:rPr>
            </w:pPr>
            <w:r>
              <w:rPr>
                <w:rFonts w:hint="eastAsia" w:ascii="宋体" w:hAnsi="宋体" w:cs="宋体"/>
                <w:b w:val="0"/>
                <w:bCs w:val="0"/>
                <w:kern w:val="24"/>
                <w:sz w:val="24"/>
                <w:szCs w:val="24"/>
                <w:lang w:val="en-US" w:eastAsia="zh-CN"/>
              </w:rPr>
              <w:t>采取上述措施后</w:t>
            </w:r>
            <w:r>
              <w:rPr>
                <w:rFonts w:hint="eastAsia" w:ascii="宋体" w:hAnsi="宋体" w:eastAsia="宋体" w:cs="宋体"/>
                <w:b w:val="0"/>
                <w:bCs w:val="0"/>
                <w:kern w:val="24"/>
                <w:sz w:val="24"/>
                <w:szCs w:val="24"/>
                <w:lang w:val="en-US" w:eastAsia="zh-CN"/>
              </w:rPr>
              <w:t>本项目不存在地下水、土壤污染途径。</w:t>
            </w:r>
          </w:p>
          <w:p>
            <w:pPr>
              <w:keepNext w:val="0"/>
              <w:keepLines w:val="0"/>
              <w:pageBreakBefore w:val="0"/>
              <w:numPr>
                <w:ilvl w:val="0"/>
                <w:numId w:val="0"/>
              </w:numPr>
              <w:kinsoku/>
              <w:wordWrap/>
              <w:overflowPunct/>
              <w:topLinePunct w:val="0"/>
              <w:autoSpaceDE/>
              <w:autoSpaceDN/>
              <w:bidi w:val="0"/>
              <w:adjustRightInd w:val="0"/>
              <w:snapToGrid w:val="0"/>
              <w:spacing w:line="520" w:lineRule="exact"/>
              <w:ind w:firstLine="482" w:firstLineChars="200"/>
              <w:textAlignment w:val="auto"/>
              <w:rPr>
                <w:rFonts w:hint="eastAsia" w:ascii="宋体" w:hAnsi="宋体" w:eastAsia="宋体" w:cs="宋体"/>
                <w:b/>
                <w:bCs/>
                <w:kern w:val="24"/>
                <w:sz w:val="24"/>
                <w:szCs w:val="24"/>
                <w:lang w:val="en-US" w:eastAsia="zh-CN" w:bidi="ar-SA"/>
              </w:rPr>
            </w:pPr>
            <w:r>
              <w:rPr>
                <w:rFonts w:hint="eastAsia" w:ascii="宋体" w:hAnsi="宋体" w:eastAsia="宋体" w:cs="宋体"/>
                <w:b/>
                <w:bCs/>
                <w:kern w:val="24"/>
                <w:sz w:val="24"/>
                <w:szCs w:val="24"/>
                <w:lang w:val="en-US" w:eastAsia="zh-CN" w:bidi="ar-SA"/>
              </w:rPr>
              <w:t>六、生态影响分析</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（1）对植物的影响</w:t>
            </w:r>
          </w:p>
          <w:p>
            <w:pPr>
              <w:keepNext w:val="0"/>
              <w:keepLines w:val="0"/>
              <w:pageBreakBefore w:val="0"/>
              <w:kinsoku/>
              <w:wordWrap/>
              <w:overflowPunct/>
              <w:topLinePunct w:val="0"/>
              <w:autoSpaceDE/>
              <w:autoSpaceDN/>
              <w:bidi w:val="0"/>
              <w:spacing w:line="520" w:lineRule="exact"/>
              <w:ind w:firstLine="480"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highlight w:val="none"/>
                <w:lang w:val="en-US" w:eastAsia="zh-CN"/>
              </w:rPr>
              <w:t>运营</w:t>
            </w:r>
            <w:r>
              <w:rPr>
                <w:rFonts w:hint="eastAsia" w:ascii="宋体" w:hAnsi="宋体" w:eastAsia="宋体" w:cs="宋体"/>
                <w:sz w:val="24"/>
                <w:szCs w:val="24"/>
                <w:highlight w:val="none"/>
              </w:rPr>
              <w:t>期内</w:t>
            </w:r>
            <w:r>
              <w:rPr>
                <w:rFonts w:hint="eastAsia" w:ascii="宋体" w:hAnsi="宋体" w:eastAsia="宋体" w:cs="宋体"/>
                <w:sz w:val="24"/>
                <w:szCs w:val="24"/>
                <w:highlight w:val="none"/>
                <w:lang w:val="en-US" w:eastAsia="zh-CN"/>
              </w:rPr>
              <w:t>移动锅炉</w:t>
            </w:r>
            <w:r>
              <w:rPr>
                <w:rFonts w:hint="eastAsia" w:ascii="宋体" w:hAnsi="宋体" w:eastAsia="宋体" w:cs="宋体"/>
                <w:sz w:val="24"/>
                <w:szCs w:val="24"/>
                <w:highlight w:val="none"/>
              </w:rPr>
              <w:t>的压占会造成剥离后的表层土壤过于紧实，降低土壤的通透性和渗水性，对后期植物的生长会造成不良影响。</w:t>
            </w:r>
            <w:r>
              <w:rPr>
                <w:rFonts w:hint="eastAsia" w:ascii="宋体" w:hAnsi="宋体" w:eastAsia="宋体" w:cs="宋体"/>
                <w:sz w:val="24"/>
                <w:szCs w:val="24"/>
                <w:highlight w:val="none"/>
                <w:lang w:val="en-US" w:eastAsia="zh-CN"/>
              </w:rPr>
              <w:t>本项目服务区为油田，植被</w:t>
            </w:r>
            <w:r>
              <w:rPr>
                <w:rFonts w:hint="eastAsia" w:ascii="宋体" w:hAnsi="宋体" w:eastAsia="宋体" w:cs="宋体"/>
                <w:sz w:val="24"/>
                <w:szCs w:val="24"/>
                <w:highlight w:val="none"/>
              </w:rPr>
              <w:t>种类、数量均较少</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植被发育较差</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不涉及保护植物，移动锅炉车对植被产生一定的负面影响。</w:t>
            </w:r>
          </w:p>
          <w:p>
            <w:pPr>
              <w:keepNext w:val="0"/>
              <w:keepLines w:val="0"/>
              <w:pageBreakBefore w:val="0"/>
              <w:numPr>
                <w:ilvl w:val="0"/>
                <w:numId w:val="0"/>
              </w:numPr>
              <w:kinsoku/>
              <w:wordWrap/>
              <w:overflowPunct/>
              <w:topLinePunct w:val="0"/>
              <w:autoSpaceDE/>
              <w:autoSpaceDN/>
              <w:bidi w:val="0"/>
              <w:adjustRightInd w:val="0"/>
              <w:snapToGrid w:val="0"/>
              <w:spacing w:line="52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kern w:val="2"/>
                <w:sz w:val="24"/>
                <w:szCs w:val="24"/>
                <w:lang w:val="en-US" w:eastAsia="zh-CN" w:bidi="ar-SA"/>
              </w:rPr>
              <w:t>（2）</w:t>
            </w:r>
            <w:r>
              <w:rPr>
                <w:rFonts w:hint="eastAsia" w:ascii="宋体" w:hAnsi="宋体" w:eastAsia="宋体" w:cs="宋体"/>
                <w:b/>
                <w:bCs/>
                <w:sz w:val="24"/>
                <w:szCs w:val="24"/>
                <w:lang w:val="en-US" w:eastAsia="zh-CN"/>
              </w:rPr>
              <w:t>对动物的影响</w:t>
            </w:r>
          </w:p>
          <w:p>
            <w:pPr>
              <w:pStyle w:val="54"/>
              <w:keepNext w:val="0"/>
              <w:keepLines w:val="0"/>
              <w:pageBreakBefore w:val="0"/>
              <w:widowControl w:val="0"/>
              <w:kinsoku/>
              <w:wordWrap/>
              <w:overflowPunct/>
              <w:topLinePunct w:val="0"/>
              <w:autoSpaceDE/>
              <w:autoSpaceDN/>
              <w:bidi w:val="0"/>
              <w:snapToGrid/>
              <w:spacing w:line="520" w:lineRule="exact"/>
              <w:ind w:left="0" w:firstLine="480"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color w:val="000000"/>
                <w:kern w:val="0"/>
                <w:sz w:val="24"/>
                <w:szCs w:val="24"/>
                <w:lang w:val="en-US" w:eastAsia="zh-CN"/>
              </w:rPr>
              <w:t>运营期活动会对所在区域动物栖息环境产生扰动，迫使动物离开原有栖息环境迁移</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本项目运营</w:t>
            </w:r>
            <w:r>
              <w:rPr>
                <w:rFonts w:hint="eastAsia" w:ascii="宋体" w:hAnsi="宋体" w:eastAsia="宋体" w:cs="宋体"/>
                <w:sz w:val="24"/>
                <w:szCs w:val="24"/>
                <w:highlight w:val="none"/>
              </w:rPr>
              <w:t>过程中各类</w:t>
            </w:r>
            <w:r>
              <w:rPr>
                <w:rFonts w:hint="eastAsia" w:ascii="宋体" w:hAnsi="宋体" w:eastAsia="宋体" w:cs="宋体"/>
                <w:sz w:val="24"/>
                <w:szCs w:val="24"/>
                <w:highlight w:val="none"/>
                <w:lang w:val="en-US" w:eastAsia="zh-CN"/>
              </w:rPr>
              <w:t>器械</w:t>
            </w:r>
            <w:r>
              <w:rPr>
                <w:rFonts w:hint="eastAsia" w:ascii="宋体" w:hAnsi="宋体" w:eastAsia="宋体" w:cs="宋体"/>
                <w:sz w:val="24"/>
                <w:szCs w:val="24"/>
                <w:highlight w:val="none"/>
              </w:rPr>
              <w:t>运转、人员活动等产生的噪声会使</w:t>
            </w:r>
            <w:r>
              <w:rPr>
                <w:rFonts w:hint="eastAsia" w:ascii="宋体" w:hAnsi="宋体" w:eastAsia="宋体" w:cs="宋体"/>
                <w:sz w:val="24"/>
                <w:szCs w:val="24"/>
                <w:highlight w:val="none"/>
                <w:lang w:val="en-US" w:eastAsia="zh-CN"/>
              </w:rPr>
              <w:t>所在区域</w:t>
            </w:r>
            <w:r>
              <w:rPr>
                <w:rFonts w:hint="eastAsia" w:ascii="宋体" w:hAnsi="宋体" w:eastAsia="宋体" w:cs="宋体"/>
                <w:sz w:val="24"/>
                <w:szCs w:val="24"/>
                <w:highlight w:val="none"/>
              </w:rPr>
              <w:t>动物的正常生活受到暂时的轻微干扰，将会使区域内少量动物出现迁徙</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使油田生物量降低，分布、数量、生物多样性发生变化。</w:t>
            </w:r>
            <w:r>
              <w:rPr>
                <w:rFonts w:hint="eastAsia" w:ascii="宋体" w:hAnsi="宋体" w:eastAsia="宋体" w:cs="宋体"/>
                <w:snapToGrid w:val="0"/>
                <w:spacing w:val="0"/>
                <w:kern w:val="0"/>
                <w:sz w:val="24"/>
                <w:szCs w:val="24"/>
                <w:highlight w:val="none"/>
                <w:lang w:val="en-US" w:eastAsia="zh-CN" w:bidi="ar-SA"/>
              </w:rPr>
              <w:t>项目运营时移动锅炉车应尽量避让野生动物，不追逐，不惊吓。</w:t>
            </w:r>
            <w:r>
              <w:rPr>
                <w:rFonts w:hint="eastAsia" w:ascii="宋体" w:hAnsi="宋体" w:eastAsia="宋体" w:cs="宋体"/>
                <w:sz w:val="24"/>
                <w:szCs w:val="24"/>
                <w:highlight w:val="none"/>
                <w:lang w:val="en-US" w:eastAsia="zh-CN"/>
              </w:rPr>
              <w:t>故本项目对陆生野生动物</w:t>
            </w:r>
            <w:r>
              <w:rPr>
                <w:rFonts w:hint="eastAsia" w:ascii="宋体" w:hAnsi="宋体" w:cs="宋体"/>
                <w:sz w:val="24"/>
                <w:szCs w:val="24"/>
                <w:highlight w:val="none"/>
                <w:lang w:val="en-US" w:eastAsia="zh-CN"/>
              </w:rPr>
              <w:t>的</w:t>
            </w:r>
            <w:r>
              <w:rPr>
                <w:rFonts w:hint="eastAsia" w:ascii="宋体" w:hAnsi="宋体" w:eastAsia="宋体" w:cs="宋体"/>
                <w:sz w:val="24"/>
                <w:szCs w:val="24"/>
                <w:highlight w:val="none"/>
                <w:lang w:val="en-US" w:eastAsia="zh-CN"/>
              </w:rPr>
              <w:t>影响在时间和空间维度上都是较为有限的。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2" w:firstLineChars="200"/>
              <w:textAlignment w:val="auto"/>
              <w:rPr>
                <w:rFonts w:hint="eastAsia" w:ascii="宋体" w:hAnsi="宋体" w:eastAsia="宋体" w:cs="宋体"/>
                <w:b/>
                <w:bCs/>
                <w:kern w:val="24"/>
                <w:sz w:val="24"/>
                <w:szCs w:val="24"/>
                <w:lang w:val="en-US" w:eastAsia="zh-CN"/>
              </w:rPr>
            </w:pPr>
            <w:r>
              <w:rPr>
                <w:rFonts w:hint="eastAsia" w:ascii="宋体" w:hAnsi="宋体" w:eastAsia="宋体" w:cs="宋体"/>
                <w:b/>
                <w:bCs/>
                <w:kern w:val="24"/>
                <w:sz w:val="24"/>
                <w:szCs w:val="24"/>
                <w:lang w:val="en-US" w:eastAsia="zh-CN" w:bidi="ar-SA"/>
              </w:rPr>
              <w:t>七、</w:t>
            </w:r>
            <w:r>
              <w:rPr>
                <w:rFonts w:hint="eastAsia" w:ascii="宋体" w:hAnsi="宋体" w:eastAsia="宋体" w:cs="宋体"/>
                <w:b/>
                <w:bCs/>
                <w:kern w:val="24"/>
                <w:sz w:val="24"/>
                <w:szCs w:val="24"/>
                <w:lang w:val="en-US" w:eastAsia="zh-CN"/>
              </w:rPr>
              <w:t>环境风险分析</w:t>
            </w:r>
          </w:p>
          <w:p>
            <w:pPr>
              <w:keepNext w:val="0"/>
              <w:keepLines w:val="0"/>
              <w:pageBreakBefore w:val="0"/>
              <w:widowControl w:val="0"/>
              <w:kinsoku/>
              <w:wordWrap/>
              <w:overflowPunct/>
              <w:topLinePunct w:val="0"/>
              <w:bidi w:val="0"/>
              <w:spacing w:line="520" w:lineRule="exact"/>
              <w:ind w:firstLine="482" w:firstLineChars="200"/>
              <w:textAlignment w:val="auto"/>
              <w:rPr>
                <w:rFonts w:hint="default"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7.1 环境风险物质</w:t>
            </w:r>
          </w:p>
          <w:p>
            <w:pPr>
              <w:keepNext w:val="0"/>
              <w:keepLines w:val="0"/>
              <w:pageBreakBefore w:val="0"/>
              <w:widowControl w:val="0"/>
              <w:kinsoku/>
              <w:wordWrap/>
              <w:overflowPunct/>
              <w:topLinePunct w:val="0"/>
              <w:bidi w:val="0"/>
              <w:spacing w:line="520" w:lineRule="exact"/>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rPr>
              <w:t>按照《</w:t>
            </w:r>
            <w:bookmarkStart w:id="3" w:name="OLE_LINK9"/>
            <w:r>
              <w:rPr>
                <w:rFonts w:hint="eastAsia" w:ascii="宋体" w:hAnsi="宋体" w:eastAsia="宋体" w:cs="宋体"/>
                <w:sz w:val="24"/>
                <w:highlight w:val="none"/>
              </w:rPr>
              <w:t>建设项目环境风险评价技术导则</w:t>
            </w:r>
            <w:bookmarkEnd w:id="3"/>
            <w:r>
              <w:rPr>
                <w:rFonts w:hint="eastAsia" w:ascii="宋体" w:hAnsi="宋体" w:eastAsia="宋体" w:cs="宋体"/>
                <w:sz w:val="24"/>
                <w:highlight w:val="none"/>
              </w:rPr>
              <w:t>》（</w:t>
            </w:r>
            <w:r>
              <w:rPr>
                <w:rFonts w:hint="eastAsia" w:ascii="宋体" w:hAnsi="宋体" w:eastAsia="宋体" w:cs="宋体"/>
                <w:sz w:val="24"/>
                <w:highlight w:val="none"/>
                <w:lang w:eastAsia="zh-CN"/>
              </w:rPr>
              <w:t>HJ 169-2018</w:t>
            </w:r>
            <w:r>
              <w:rPr>
                <w:rFonts w:hint="eastAsia" w:ascii="宋体" w:hAnsi="宋体" w:eastAsia="宋体" w:cs="宋体"/>
                <w:sz w:val="24"/>
                <w:highlight w:val="none"/>
              </w:rPr>
              <w:t>）中附录B中的“突发环境事件风险物质及临界量表”进行危险性识别，本项目</w:t>
            </w:r>
            <w:r>
              <w:rPr>
                <w:rFonts w:hint="eastAsia" w:ascii="宋体" w:hAnsi="宋体" w:eastAsia="宋体" w:cs="宋体"/>
                <w:sz w:val="24"/>
                <w:highlight w:val="none"/>
                <w:lang w:eastAsia="zh-CN"/>
              </w:rPr>
              <w:t>涉及的</w:t>
            </w:r>
            <w:r>
              <w:rPr>
                <w:rFonts w:hint="eastAsia" w:ascii="宋体" w:hAnsi="宋体" w:eastAsia="宋体" w:cs="宋体"/>
                <w:sz w:val="24"/>
                <w:highlight w:val="none"/>
              </w:rPr>
              <w:t>环境风险物质主要为</w:t>
            </w:r>
            <w:r>
              <w:rPr>
                <w:rFonts w:hint="eastAsia" w:ascii="宋体" w:hAnsi="宋体" w:eastAsia="宋体" w:cs="宋体"/>
                <w:sz w:val="24"/>
                <w:highlight w:val="none"/>
                <w:lang w:val="en-US" w:eastAsia="zh-CN"/>
              </w:rPr>
              <w:t>车辆燃油</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本项目危险物质分布情况见表4-8。</w:t>
            </w:r>
          </w:p>
          <w:p>
            <w:pPr>
              <w:pStyle w:val="39"/>
              <w:keepNext w:val="0"/>
              <w:keepLines w:val="0"/>
              <w:pageBreakBefore w:val="0"/>
              <w:widowControl w:val="0"/>
              <w:tabs>
                <w:tab w:val="left" w:pos="1845"/>
              </w:tabs>
              <w:kinsoku/>
              <w:wordWrap/>
              <w:overflowPunct/>
              <w:topLinePunct w:val="0"/>
              <w:bidi w:val="0"/>
              <w:spacing w:line="520" w:lineRule="exact"/>
              <w:jc w:val="center"/>
              <w:textAlignment w:val="auto"/>
              <w:rPr>
                <w:rFonts w:hint="default" w:ascii="Times New Roman" w:hAnsi="Times New Roman" w:eastAsia="宋体" w:cs="Times New Roman"/>
                <w:b/>
                <w:bCs/>
                <w:color w:val="auto"/>
                <w:kern w:val="2"/>
                <w:highlight w:val="none"/>
                <w:lang w:val="en-US" w:eastAsia="zh-CN"/>
              </w:rPr>
            </w:pPr>
            <w:r>
              <w:rPr>
                <w:rFonts w:hint="default" w:ascii="Times New Roman" w:hAnsi="Times New Roman" w:eastAsia="宋体" w:cs="Times New Roman"/>
                <w:b/>
                <w:bCs/>
                <w:color w:val="auto"/>
                <w:kern w:val="2"/>
                <w:highlight w:val="none"/>
                <w:lang w:eastAsia="zh-CN"/>
              </w:rPr>
              <w:t>表</w:t>
            </w:r>
            <w:r>
              <w:rPr>
                <w:rFonts w:hint="eastAsia" w:ascii="Times New Roman" w:hAnsi="Times New Roman" w:cs="Times New Roman"/>
                <w:b/>
                <w:bCs/>
                <w:color w:val="auto"/>
                <w:kern w:val="2"/>
                <w:highlight w:val="none"/>
                <w:lang w:val="en-US" w:eastAsia="zh-CN"/>
              </w:rPr>
              <w:t xml:space="preserve">4-8    </w:t>
            </w:r>
            <w:r>
              <w:rPr>
                <w:rFonts w:hint="default" w:ascii="Times New Roman" w:hAnsi="Times New Roman" w:eastAsia="宋体" w:cs="Times New Roman"/>
                <w:b/>
                <w:bCs/>
                <w:color w:val="auto"/>
                <w:kern w:val="2"/>
                <w:highlight w:val="none"/>
                <w:lang w:val="en-US" w:eastAsia="zh-CN"/>
              </w:rPr>
              <w:t xml:space="preserve">  危险物质及分布</w:t>
            </w:r>
            <w:r>
              <w:rPr>
                <w:rFonts w:hint="default" w:ascii="Times New Roman" w:hAnsi="Times New Roman" w:cs="Times New Roman"/>
                <w:b/>
                <w:bCs/>
                <w:color w:val="auto"/>
                <w:kern w:val="2"/>
                <w:highlight w:val="none"/>
                <w:lang w:val="en-US" w:eastAsia="zh-CN"/>
              </w:rPr>
              <w:t>情况</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1328"/>
              <w:gridCol w:w="1524"/>
              <w:gridCol w:w="1677"/>
              <w:gridCol w:w="1363"/>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51" w:type="pct"/>
                  <w:noWrap w:val="0"/>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eastAsia="zh-CN"/>
                    </w:rPr>
                  </w:pPr>
                  <w:r>
                    <w:rPr>
                      <w:rFonts w:hint="default" w:ascii="Times New Roman" w:hAnsi="Times New Roman" w:cs="Times New Roman"/>
                      <w:sz w:val="21"/>
                      <w:szCs w:val="21"/>
                      <w:highlight w:val="none"/>
                      <w:vertAlign w:val="baseline"/>
                      <w:lang w:eastAsia="zh-CN"/>
                    </w:rPr>
                    <w:t>危险物质</w:t>
                  </w:r>
                </w:p>
              </w:tc>
              <w:tc>
                <w:tcPr>
                  <w:tcW w:w="791" w:type="pct"/>
                  <w:noWrap w:val="0"/>
                  <w:vAlign w:val="center"/>
                </w:tcPr>
                <w:p>
                  <w:pPr>
                    <w:adjustRightInd w:val="0"/>
                    <w:snapToGrid w:val="0"/>
                    <w:spacing w:line="240" w:lineRule="auto"/>
                    <w:jc w:val="center"/>
                    <w:rPr>
                      <w:rFonts w:hint="default" w:ascii="Times New Roman" w:hAnsi="Times New Roman" w:cs="Times New Roman"/>
                      <w:sz w:val="21"/>
                      <w:szCs w:val="21"/>
                      <w:highlight w:val="none"/>
                      <w:vertAlign w:val="baseline"/>
                      <w:lang w:eastAsia="zh-CN"/>
                    </w:rPr>
                  </w:pPr>
                  <w:r>
                    <w:rPr>
                      <w:rFonts w:hint="default" w:ascii="Times New Roman" w:hAnsi="Times New Roman" w:cs="Times New Roman"/>
                      <w:sz w:val="21"/>
                      <w:szCs w:val="21"/>
                      <w:highlight w:val="none"/>
                      <w:vertAlign w:val="baseline"/>
                      <w:lang w:eastAsia="zh-CN"/>
                    </w:rPr>
                    <w:t>主要成分</w:t>
                  </w:r>
                </w:p>
              </w:tc>
              <w:tc>
                <w:tcPr>
                  <w:tcW w:w="908" w:type="pct"/>
                  <w:noWrap w:val="0"/>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eastAsia="zh-CN"/>
                    </w:rPr>
                    <w:t>最大储存量</w:t>
                  </w:r>
                  <w:r>
                    <w:rPr>
                      <w:rFonts w:hint="default" w:ascii="Times New Roman" w:hAnsi="Times New Roman" w:cs="Times New Roman"/>
                      <w:sz w:val="21"/>
                      <w:szCs w:val="21"/>
                      <w:highlight w:val="none"/>
                      <w:vertAlign w:val="baseline"/>
                      <w:lang w:val="en-US" w:eastAsia="zh-CN"/>
                    </w:rPr>
                    <w:t>t/a</w:t>
                  </w:r>
                </w:p>
              </w:tc>
              <w:tc>
                <w:tcPr>
                  <w:tcW w:w="999" w:type="pct"/>
                  <w:noWrap w:val="0"/>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eastAsia="zh-CN"/>
                    </w:rPr>
                  </w:pPr>
                  <w:r>
                    <w:rPr>
                      <w:rFonts w:hint="default" w:ascii="Times New Roman" w:hAnsi="Times New Roman" w:cs="Times New Roman"/>
                      <w:sz w:val="21"/>
                      <w:szCs w:val="21"/>
                      <w:highlight w:val="none"/>
                      <w:vertAlign w:val="baseline"/>
                      <w:lang w:eastAsia="zh-CN"/>
                    </w:rPr>
                    <w:t>储存方式</w:t>
                  </w:r>
                </w:p>
              </w:tc>
              <w:tc>
                <w:tcPr>
                  <w:tcW w:w="812" w:type="pct"/>
                  <w:noWrap w:val="0"/>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eastAsia="zh-CN"/>
                    </w:rPr>
                    <w:t>临界量（</w:t>
                  </w:r>
                  <w:r>
                    <w:rPr>
                      <w:rFonts w:hint="default" w:ascii="Times New Roman" w:hAnsi="Times New Roman" w:cs="Times New Roman"/>
                      <w:sz w:val="21"/>
                      <w:szCs w:val="21"/>
                      <w:highlight w:val="none"/>
                      <w:vertAlign w:val="baseline"/>
                      <w:lang w:val="en-US" w:eastAsia="zh-CN"/>
                    </w:rPr>
                    <w:t>t）</w:t>
                  </w:r>
                </w:p>
              </w:tc>
              <w:tc>
                <w:tcPr>
                  <w:tcW w:w="737" w:type="pct"/>
                  <w:noWrap w:val="0"/>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1" w:type="pct"/>
                  <w:noWrap w:val="0"/>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eastAsia="zh-CN"/>
                    </w:rPr>
                  </w:pPr>
                  <w:r>
                    <w:rPr>
                      <w:rFonts w:hint="eastAsia" w:ascii="Times New Roman" w:hAnsi="Times New Roman" w:eastAsia="宋体" w:cs="Times New Roman"/>
                      <w:sz w:val="21"/>
                      <w:szCs w:val="21"/>
                      <w:highlight w:val="none"/>
                      <w:vertAlign w:val="baseline"/>
                      <w:lang w:val="en-US" w:eastAsia="zh-CN"/>
                    </w:rPr>
                    <w:t>柴油</w:t>
                  </w:r>
                </w:p>
              </w:tc>
              <w:tc>
                <w:tcPr>
                  <w:tcW w:w="791" w:type="pct"/>
                  <w:noWrap w:val="0"/>
                  <w:vAlign w:val="center"/>
                </w:tcPr>
                <w:p>
                  <w:pPr>
                    <w:adjustRightInd w:val="0"/>
                    <w:snapToGrid w:val="0"/>
                    <w:spacing w:line="240" w:lineRule="auto"/>
                    <w:jc w:val="center"/>
                    <w:rPr>
                      <w:rFonts w:hint="default" w:ascii="Times New Roman" w:hAnsi="Times New Roman" w:cs="Times New Roman"/>
                      <w:sz w:val="21"/>
                      <w:szCs w:val="21"/>
                      <w:highlight w:val="none"/>
                      <w:vertAlign w:val="baseline"/>
                      <w:lang w:eastAsia="zh-CN"/>
                    </w:rPr>
                  </w:pPr>
                  <w:r>
                    <w:rPr>
                      <w:rFonts w:hint="default" w:ascii="Times New Roman" w:hAnsi="Times New Roman" w:cs="Times New Roman"/>
                      <w:sz w:val="21"/>
                      <w:szCs w:val="21"/>
                      <w:highlight w:val="none"/>
                      <w:vertAlign w:val="baseline"/>
                      <w:lang w:eastAsia="zh-CN"/>
                    </w:rPr>
                    <w:t>油类物质</w:t>
                  </w:r>
                </w:p>
              </w:tc>
              <w:tc>
                <w:tcPr>
                  <w:tcW w:w="908" w:type="pct"/>
                  <w:noWrap w:val="0"/>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0.07</w:t>
                  </w:r>
                </w:p>
              </w:tc>
              <w:tc>
                <w:tcPr>
                  <w:tcW w:w="999" w:type="pct"/>
                  <w:noWrap w:val="0"/>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eastAsia"/>
                      <w:lang w:val="en-US" w:eastAsia="zh-CN"/>
                    </w:rPr>
                    <w:t>车辆</w:t>
                  </w:r>
                </w:p>
              </w:tc>
              <w:tc>
                <w:tcPr>
                  <w:tcW w:w="812" w:type="pct"/>
                  <w:noWrap w:val="0"/>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2500</w:t>
                  </w:r>
                </w:p>
              </w:tc>
              <w:tc>
                <w:tcPr>
                  <w:tcW w:w="737" w:type="pct"/>
                  <w:noWrap w:val="0"/>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0.0028</w:t>
                  </w:r>
                </w:p>
              </w:tc>
            </w:tr>
          </w:tbl>
          <w:p>
            <w:pPr>
              <w:pStyle w:val="16"/>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宋体" w:hAnsi="宋体" w:eastAsia="宋体" w:cs="宋体"/>
                <w:b/>
                <w:bCs/>
                <w:sz w:val="24"/>
                <w:szCs w:val="24"/>
                <w:highlight w:val="none"/>
                <w:vertAlign w:val="baseline"/>
                <w:lang w:val="en-US"/>
              </w:rPr>
            </w:pPr>
            <w:r>
              <w:rPr>
                <w:rFonts w:hint="eastAsia" w:ascii="宋体" w:hAnsi="宋体" w:eastAsia="宋体" w:cs="宋体"/>
                <w:color w:val="auto"/>
                <w:sz w:val="24"/>
                <w:szCs w:val="24"/>
                <w:highlight w:val="none"/>
                <w:lang w:val="en-US" w:eastAsia="zh-CN"/>
              </w:rPr>
              <w:t>根据《建设项目环境影响报告表编制技术指南（污染影响类）（试行）》中关于环境风险的描述，“有毒有害和易燃易爆物质存储量超过临界量的建设项目”需要编制环境风险专项评价，临界量及其计算方法可参考《建设项目环境风险评价技术导则》（HJ169）附录B、附录C。按照《建设项目环境风险评价技术导则》（HJ 169-2018）附录B中的“突发环境事件风险物质及临界量表</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进行危险性识别，本项目涉及的环境风险物质主要为</w:t>
            </w:r>
            <w:r>
              <w:rPr>
                <w:rFonts w:hint="eastAsia" w:ascii="宋体" w:hAnsi="宋体" w:cs="宋体"/>
                <w:color w:val="auto"/>
                <w:sz w:val="24"/>
                <w:szCs w:val="24"/>
                <w:highlight w:val="none"/>
                <w:lang w:val="en-US" w:eastAsia="zh-CN"/>
              </w:rPr>
              <w:t>柴油</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车辆</w:t>
            </w:r>
            <w:r>
              <w:rPr>
                <w:rFonts w:hint="eastAsia" w:ascii="宋体" w:hAnsi="宋体" w:eastAsia="宋体" w:cs="宋体"/>
                <w:color w:val="auto"/>
                <w:sz w:val="24"/>
                <w:szCs w:val="24"/>
                <w:highlight w:val="none"/>
                <w:lang w:val="en-US" w:eastAsia="zh-CN"/>
              </w:rPr>
              <w:t>中储量为0.0</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t，其Q值=0.00</w:t>
            </w:r>
            <w:r>
              <w:rPr>
                <w:rFonts w:hint="eastAsia" w:ascii="宋体" w:hAnsi="宋体" w:cs="宋体"/>
                <w:color w:val="auto"/>
                <w:sz w:val="24"/>
                <w:szCs w:val="24"/>
                <w:highlight w:val="none"/>
                <w:lang w:val="en-US" w:eastAsia="zh-CN"/>
              </w:rPr>
              <w:t>0008</w:t>
            </w:r>
            <w:r>
              <w:rPr>
                <w:rFonts w:hint="eastAsia" w:ascii="宋体" w:hAnsi="宋体" w:eastAsia="宋体" w:cs="宋体"/>
                <w:color w:val="auto"/>
                <w:sz w:val="24"/>
                <w:szCs w:val="24"/>
                <w:highlight w:val="none"/>
                <w:vertAlign w:val="baseline"/>
                <w:lang w:val="en-US" w:eastAsia="zh-CN"/>
              </w:rPr>
              <w:t>，</w:t>
            </w:r>
            <w:r>
              <w:rPr>
                <w:rFonts w:hint="eastAsia" w:ascii="宋体" w:hAnsi="宋体" w:cs="宋体"/>
                <w:color w:val="auto"/>
                <w:sz w:val="24"/>
                <w:szCs w:val="24"/>
                <w:highlight w:val="none"/>
                <w:vertAlign w:val="baseline"/>
                <w:lang w:val="en-US" w:eastAsia="zh-CN"/>
              </w:rPr>
              <w:t>环境风险较小</w:t>
            </w:r>
            <w:r>
              <w:rPr>
                <w:rFonts w:hint="eastAsia" w:ascii="宋体" w:hAnsi="宋体" w:eastAsia="宋体" w:cs="宋体"/>
                <w:color w:val="auto"/>
                <w:sz w:val="24"/>
                <w:szCs w:val="24"/>
                <w:highlight w:val="none"/>
                <w:vertAlign w:val="baseline"/>
                <w:lang w:val="en-US" w:eastAsia="zh-CN"/>
              </w:rPr>
              <w:t>，</w:t>
            </w:r>
            <w:r>
              <w:rPr>
                <w:rFonts w:hint="eastAsia" w:ascii="宋体" w:hAnsi="宋体" w:eastAsia="宋体" w:cs="宋体"/>
                <w:color w:val="auto"/>
                <w:sz w:val="24"/>
                <w:szCs w:val="24"/>
                <w:highlight w:val="none"/>
                <w:lang w:val="en-US" w:eastAsia="zh-CN"/>
              </w:rPr>
              <w:t>无需编制环境风险专项评价</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 xml:space="preserve">7.2 </w:t>
            </w:r>
            <w:r>
              <w:rPr>
                <w:rFonts w:hint="eastAsia" w:ascii="宋体" w:hAnsi="宋体" w:eastAsia="宋体" w:cs="宋体"/>
                <w:b/>
                <w:bCs/>
                <w:sz w:val="24"/>
                <w:szCs w:val="24"/>
              </w:rPr>
              <w:t>环境风险源影响途径</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泄漏事故：当</w:t>
            </w:r>
            <w:r>
              <w:rPr>
                <w:rFonts w:hint="eastAsia" w:ascii="宋体" w:hAnsi="宋体" w:eastAsia="宋体" w:cs="宋体"/>
                <w:sz w:val="24"/>
                <w:szCs w:val="24"/>
                <w:lang w:val="en-US" w:eastAsia="zh-CN"/>
              </w:rPr>
              <w:t>车辆故障泄漏</w:t>
            </w:r>
            <w:r>
              <w:rPr>
                <w:rFonts w:hint="eastAsia" w:ascii="宋体" w:hAnsi="宋体" w:eastAsia="宋体" w:cs="宋体"/>
                <w:sz w:val="24"/>
                <w:szCs w:val="24"/>
              </w:rPr>
              <w:t>发生破损造成</w:t>
            </w:r>
            <w:r>
              <w:rPr>
                <w:rFonts w:hint="eastAsia" w:ascii="宋体" w:hAnsi="宋体" w:eastAsia="宋体" w:cs="宋体"/>
                <w:sz w:val="24"/>
                <w:szCs w:val="24"/>
                <w:lang w:val="en-US" w:eastAsia="zh-CN"/>
              </w:rPr>
              <w:t>柴油</w:t>
            </w:r>
            <w:r>
              <w:rPr>
                <w:rFonts w:hint="eastAsia" w:ascii="宋体" w:hAnsi="宋体" w:eastAsia="宋体" w:cs="宋体"/>
                <w:sz w:val="24"/>
                <w:szCs w:val="24"/>
              </w:rPr>
              <w:t>泄漏，一旦发生泄漏，可能会污染周围土壤和地下水，污染的土壤不仅会造成植物的死亡，而且土壤层吸附的油品还会随着下渗补充到地下水。</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火灾爆炸事故引发的伴生/次生污染：由于</w:t>
            </w:r>
            <w:r>
              <w:rPr>
                <w:rFonts w:hint="eastAsia" w:ascii="宋体" w:hAnsi="宋体" w:eastAsia="宋体" w:cs="宋体"/>
                <w:color w:val="auto"/>
                <w:sz w:val="24"/>
                <w:szCs w:val="24"/>
                <w:lang w:val="en-US" w:eastAsia="zh-CN"/>
              </w:rPr>
              <w:t>柴油</w:t>
            </w:r>
            <w:r>
              <w:rPr>
                <w:rFonts w:hint="eastAsia" w:ascii="宋体" w:hAnsi="宋体" w:eastAsia="宋体" w:cs="宋体"/>
                <w:sz w:val="24"/>
                <w:szCs w:val="24"/>
              </w:rPr>
              <w:t>具有易燃易爆的危险特性</w:t>
            </w:r>
            <w:r>
              <w:rPr>
                <w:rFonts w:hint="eastAsia" w:ascii="宋体" w:hAnsi="宋体" w:eastAsia="宋体" w:cs="宋体"/>
                <w:sz w:val="24"/>
                <w:szCs w:val="24"/>
                <w:lang w:eastAsia="zh-CN"/>
              </w:rPr>
              <w:t>，</w:t>
            </w:r>
            <w:r>
              <w:rPr>
                <w:rFonts w:hint="eastAsia" w:ascii="宋体" w:hAnsi="宋体" w:eastAsia="宋体" w:cs="宋体"/>
                <w:sz w:val="24"/>
                <w:szCs w:val="24"/>
              </w:rPr>
              <w:t>如果在其生产场所有火源存在，就可能造成火灾事故的发生，因此在生产管理中应重视火源的诱发因素。火灾爆炸事故一旦发生，产生的二氧化碳、一氧化碳等污染物会对大气环境造成较大影响，火灾事故可能破坏地面防渗，从而造成二次污染。</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 xml:space="preserve">6.3 </w:t>
            </w:r>
            <w:r>
              <w:rPr>
                <w:rFonts w:hint="eastAsia" w:ascii="宋体" w:hAnsi="宋体" w:eastAsia="宋体" w:cs="宋体"/>
                <w:b/>
                <w:bCs/>
                <w:sz w:val="24"/>
                <w:szCs w:val="24"/>
              </w:rPr>
              <w:t>环境风险防范措施</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bCs/>
                <w:color w:val="000000"/>
                <w:sz w:val="24"/>
                <w:szCs w:val="24"/>
                <w:highlight w:val="none"/>
              </w:rPr>
            </w:pPr>
            <w:r>
              <w:rPr>
                <w:rFonts w:hint="eastAsia" w:ascii="宋体" w:hAnsi="宋体" w:eastAsia="宋体" w:cs="宋体"/>
                <w:b w:val="0"/>
                <w:bCs w:val="0"/>
                <w:color w:val="000000"/>
                <w:sz w:val="24"/>
                <w:szCs w:val="24"/>
                <w:lang w:val="en-US" w:eastAsia="zh-CN"/>
              </w:rPr>
              <w:t>移动锅炉租赁前进行全面维护保养，避免行车期间发生油品</w:t>
            </w:r>
            <w:r>
              <w:rPr>
                <w:rFonts w:hint="eastAsia" w:ascii="宋体" w:hAnsi="宋体" w:cs="宋体"/>
                <w:b w:val="0"/>
                <w:bCs w:val="0"/>
                <w:color w:val="000000"/>
                <w:sz w:val="24"/>
                <w:szCs w:val="24"/>
                <w:lang w:val="en-US" w:eastAsia="zh-CN"/>
              </w:rPr>
              <w:t>泄漏</w:t>
            </w:r>
            <w:r>
              <w:rPr>
                <w:rFonts w:hint="eastAsia" w:ascii="宋体" w:hAnsi="宋体" w:eastAsia="宋体" w:cs="宋体"/>
                <w:b w:val="0"/>
                <w:bCs w:val="0"/>
                <w:color w:val="000000"/>
                <w:sz w:val="24"/>
                <w:szCs w:val="24"/>
                <w:lang w:val="en-US" w:eastAsia="zh-CN"/>
              </w:rPr>
              <w:t>事件。</w:t>
            </w:r>
            <w:r>
              <w:rPr>
                <w:rFonts w:hint="eastAsia" w:ascii="宋体" w:hAnsi="宋体" w:cs="宋体"/>
                <w:b w:val="0"/>
                <w:bCs w:val="0"/>
                <w:kern w:val="24"/>
                <w:sz w:val="24"/>
                <w:szCs w:val="24"/>
                <w:lang w:val="en-US" w:eastAsia="zh-CN"/>
              </w:rPr>
              <w:t>本项目随车携带防渗土工布、吸油毡，移动锅炉车在停止或小范围检修时，可使用防渗土工布当作车辆垫层，防止油类物质污染</w:t>
            </w:r>
            <w:r>
              <w:rPr>
                <w:rFonts w:hint="eastAsia" w:ascii="宋体" w:hAnsi="宋体" w:eastAsia="宋体" w:cs="宋体"/>
                <w:b w:val="0"/>
                <w:bCs w:val="0"/>
                <w:kern w:val="24"/>
                <w:sz w:val="24"/>
                <w:szCs w:val="24"/>
                <w:lang w:val="en-US" w:eastAsia="zh-CN"/>
              </w:rPr>
              <w:t>地下水、土壤</w:t>
            </w:r>
            <w:r>
              <w:rPr>
                <w:rFonts w:hint="eastAsia" w:ascii="宋体" w:hAnsi="宋体" w:cs="宋体"/>
                <w:b w:val="0"/>
                <w:bCs w:val="0"/>
                <w:kern w:val="24"/>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bCs/>
                <w:color w:val="000000"/>
                <w:sz w:val="24"/>
                <w:szCs w:val="24"/>
                <w:highlight w:val="none"/>
              </w:rPr>
            </w:pPr>
          </w:p>
          <w:p>
            <w:pPr>
              <w:numPr>
                <w:ilvl w:val="0"/>
                <w:numId w:val="0"/>
              </w:numPr>
              <w:adjustRightInd w:val="0"/>
              <w:snapToGrid w:val="0"/>
              <w:spacing w:line="360" w:lineRule="auto"/>
              <w:jc w:val="both"/>
              <w:rPr>
                <w:rFonts w:hint="default"/>
                <w:b w:val="0"/>
                <w:sz w:val="24"/>
                <w:lang w:val="en-US" w:eastAsia="zh-CN"/>
              </w:rPr>
            </w:pPr>
          </w:p>
        </w:tc>
      </w:tr>
    </w:tbl>
    <w:p>
      <w:pPr>
        <w:adjustRightInd w:val="0"/>
        <w:snapToGrid w:val="0"/>
        <w:spacing w:line="360" w:lineRule="auto"/>
        <w:rPr>
          <w:rFonts w:hint="default" w:ascii="Times New Roman" w:hAnsi="Times New Roman" w:cs="Times New Roman"/>
          <w:b/>
          <w:kern w:val="0"/>
          <w:sz w:val="28"/>
          <w:szCs w:val="28"/>
        </w:rPr>
        <w:sectPr>
          <w:pgSz w:w="11907" w:h="16840"/>
          <w:pgMar w:top="1701" w:right="1531" w:bottom="2127" w:left="1531" w:header="851" w:footer="851" w:gutter="0"/>
          <w:pgNumType w:fmt="numberInDash"/>
          <w:cols w:space="720" w:num="1"/>
          <w:docGrid w:linePitch="312" w:charSpace="0"/>
        </w:sectPr>
      </w:pPr>
    </w:p>
    <w:p>
      <w:pPr>
        <w:pStyle w:val="18"/>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五、</w:t>
      </w:r>
      <w:bookmarkStart w:id="4" w:name="_Hlk54167917"/>
      <w:r>
        <w:rPr>
          <w:rFonts w:hint="default" w:ascii="Times New Roman" w:hAnsi="Times New Roman" w:eastAsia="黑体" w:cs="Times New Roman"/>
          <w:snapToGrid w:val="0"/>
          <w:sz w:val="30"/>
          <w:szCs w:val="30"/>
        </w:rPr>
        <w:t>环境保护措施监督检查清单</w:t>
      </w:r>
      <w:bookmarkEnd w:id="4"/>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pPr>
              <w:adjustRightInd w:val="0"/>
              <w:snapToGrid w:val="0"/>
              <w:ind w:firstLine="84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内容</w:t>
            </w:r>
          </w:p>
          <w:p>
            <w:pPr>
              <w:adjustRightInd w:val="0"/>
              <w:snapToGrid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要素</w:t>
            </w:r>
          </w:p>
        </w:tc>
        <w:tc>
          <w:tcPr>
            <w:tcW w:w="1755" w:type="dxa"/>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排放口</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编号、</w:t>
            </w:r>
          </w:p>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名称</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/污染源</w:t>
            </w:r>
          </w:p>
        </w:tc>
        <w:tc>
          <w:tcPr>
            <w:tcW w:w="1755" w:type="dxa"/>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污染物项目</w:t>
            </w:r>
          </w:p>
        </w:tc>
        <w:tc>
          <w:tcPr>
            <w:tcW w:w="1755" w:type="dxa"/>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环境保护措施</w:t>
            </w:r>
          </w:p>
        </w:tc>
        <w:tc>
          <w:tcPr>
            <w:tcW w:w="1757" w:type="dxa"/>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778" w:type="dxa"/>
            <w:vMerge w:val="restart"/>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大气环境</w:t>
            </w:r>
          </w:p>
        </w:tc>
        <w:tc>
          <w:tcPr>
            <w:tcW w:w="1755"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移动式生物质锅炉</w:t>
            </w:r>
            <w:r>
              <w:rPr>
                <w:rFonts w:hint="eastAsia" w:cs="Times New Roman"/>
                <w:sz w:val="24"/>
                <w:szCs w:val="24"/>
                <w:lang w:val="en-US" w:eastAsia="zh-CN"/>
              </w:rPr>
              <w:t>除尘设施排放口DA001</w:t>
            </w:r>
          </w:p>
        </w:tc>
        <w:tc>
          <w:tcPr>
            <w:tcW w:w="1755"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颗粒物、二氧化硫、氮氧化物、林格曼黑度</w:t>
            </w:r>
          </w:p>
        </w:tc>
        <w:tc>
          <w:tcPr>
            <w:tcW w:w="1755"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使用成型生物质燃料</w:t>
            </w:r>
            <w:r>
              <w:rPr>
                <w:rFonts w:hint="eastAsia" w:cs="Times New Roman"/>
                <w:sz w:val="24"/>
                <w:szCs w:val="24"/>
                <w:lang w:val="en-US" w:eastAsia="zh-CN"/>
              </w:rPr>
              <w:t>，袋式除尘器处理后通过一根</w:t>
            </w:r>
            <w:r>
              <w:rPr>
                <w:rFonts w:hint="eastAsia" w:ascii="Times New Roman" w:hAnsi="Times New Roman" w:eastAsia="宋体" w:cs="Times New Roman"/>
                <w:sz w:val="24"/>
                <w:szCs w:val="24"/>
                <w:lang w:val="en-US" w:eastAsia="zh-CN"/>
              </w:rPr>
              <w:t>30m排气筒排放</w:t>
            </w:r>
          </w:p>
        </w:tc>
        <w:tc>
          <w:tcPr>
            <w:tcW w:w="1757" w:type="dxa"/>
            <w:noWrap w:val="0"/>
            <w:vAlign w:val="center"/>
          </w:tcPr>
          <w:p>
            <w:pPr>
              <w:adjustRightInd w:val="0"/>
              <w:snapToGrid w:val="0"/>
              <w:jc w:val="center"/>
              <w:rPr>
                <w:rFonts w:hint="default" w:ascii="Times New Roman" w:hAnsi="Times New Roman" w:eastAsia="宋体" w:cs="Times New Roman"/>
                <w:sz w:val="24"/>
                <w:szCs w:val="24"/>
                <w:lang w:val="en-US"/>
              </w:rPr>
            </w:pPr>
            <w:r>
              <w:rPr>
                <w:rFonts w:hint="eastAsia" w:ascii="Times New Roman" w:hAnsi="Times New Roman" w:cs="Times New Roman"/>
                <w:kern w:val="0"/>
                <w:sz w:val="24"/>
                <w:szCs w:val="24"/>
                <w:lang w:val="en-US" w:eastAsia="zh-CN" w:bidi="ar-SA"/>
              </w:rPr>
              <w:t>《锅炉大气污染物排放标准》（GB13271-2014）表2新建燃煤锅炉标准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778" w:type="dxa"/>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地表水环境</w:t>
            </w:r>
          </w:p>
        </w:tc>
        <w:tc>
          <w:tcPr>
            <w:tcW w:w="1755" w:type="dxa"/>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755" w:type="dxa"/>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755" w:type="dxa"/>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757" w:type="dxa"/>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78" w:type="dxa"/>
            <w:vMerge w:val="restart"/>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声环境</w:t>
            </w:r>
          </w:p>
        </w:tc>
        <w:tc>
          <w:tcPr>
            <w:tcW w:w="1755" w:type="dxa"/>
            <w:vMerge w:val="restart"/>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锅炉、风机、水泵等设备运行</w:t>
            </w:r>
          </w:p>
        </w:tc>
        <w:tc>
          <w:tcPr>
            <w:tcW w:w="1755" w:type="dxa"/>
            <w:vMerge w:val="restart"/>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噪声</w:t>
            </w:r>
          </w:p>
        </w:tc>
        <w:tc>
          <w:tcPr>
            <w:tcW w:w="1755" w:type="dxa"/>
            <w:vMerge w:val="restart"/>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优先选用低噪声设备，基础减振，锅炉隔声，加强维护和保养</w:t>
            </w:r>
          </w:p>
        </w:tc>
        <w:tc>
          <w:tcPr>
            <w:tcW w:w="1757" w:type="dxa"/>
            <w:vMerge w:val="restart"/>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sz w:val="24"/>
              </w:rPr>
              <w:t>《工业企业厂界环境噪声排放标准》（GB12348-2008）</w:t>
            </w:r>
            <w:r>
              <w:rPr>
                <w:rFonts w:hint="eastAsia"/>
                <w:sz w:val="24"/>
                <w:lang w:val="en-US" w:eastAsia="zh-CN"/>
              </w:rPr>
              <w:t>2类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1755"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1755"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1755"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1757"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1755"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1755"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1755"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1757"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vMerge w:val="restart"/>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电磁辐射</w:t>
            </w:r>
          </w:p>
        </w:tc>
        <w:tc>
          <w:tcPr>
            <w:tcW w:w="1755" w:type="dxa"/>
            <w:vMerge w:val="restart"/>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755" w:type="dxa"/>
            <w:vMerge w:val="restart"/>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755" w:type="dxa"/>
            <w:vMerge w:val="restart"/>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757" w:type="dxa"/>
            <w:vMerge w:val="restart"/>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1755"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1755"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1755"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1757"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1755"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1755"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1755"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c>
          <w:tcPr>
            <w:tcW w:w="1757" w:type="dxa"/>
            <w:vMerge w:val="continue"/>
            <w:noWrap w:val="0"/>
            <w:vAlign w:val="center"/>
          </w:tcPr>
          <w:p>
            <w:pPr>
              <w:adjustRightInd w:val="0"/>
              <w:snapToGrid w:val="0"/>
              <w:jc w:val="center"/>
              <w:rPr>
                <w:rFonts w:hint="default" w:ascii="Times New Roman" w:hAnsi="Times New Roman"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固体废物</w:t>
            </w:r>
          </w:p>
        </w:tc>
        <w:tc>
          <w:tcPr>
            <w:tcW w:w="7022" w:type="dxa"/>
            <w:gridSpan w:val="4"/>
            <w:noWrap w:val="0"/>
            <w:vAlign w:val="center"/>
          </w:tcPr>
          <w:p>
            <w:pPr>
              <w:adjustRightInd w:val="0"/>
              <w:snapToGrid w:val="0"/>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锅炉在外界修理厂维修保养，本项目不单独储存危废；炉渣和袋式除尘器的除尘灰交由种植户作为基肥使用或拉运至一般固废填埋场进行处理；</w:t>
            </w:r>
            <w:r>
              <w:rPr>
                <w:rFonts w:hint="default" w:ascii="Times New Roman" w:hAnsi="Times New Roman" w:eastAsia="宋体" w:cs="Times New Roman"/>
                <w:sz w:val="24"/>
                <w:szCs w:val="24"/>
              </w:rPr>
              <w:t>生活垃圾依托油区环卫部门清运处理</w:t>
            </w:r>
            <w:r>
              <w:rPr>
                <w:rFonts w:hint="default" w:ascii="Times New Roman" w:hAnsi="Times New Roman" w:eastAsia="宋体" w:cs="Times New Roman"/>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土壤及地下水</w:t>
            </w:r>
          </w:p>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污染防治措施</w:t>
            </w:r>
          </w:p>
        </w:tc>
        <w:tc>
          <w:tcPr>
            <w:tcW w:w="7022" w:type="dxa"/>
            <w:gridSpan w:val="4"/>
            <w:noWrap w:val="0"/>
            <w:vAlign w:val="center"/>
          </w:tcPr>
          <w:p>
            <w:pPr>
              <w:adjustRightInd w:val="0"/>
              <w:snapToGrid w:val="0"/>
              <w:ind w:firstLine="480" w:firstLineChars="200"/>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生态保护措施</w:t>
            </w:r>
          </w:p>
        </w:tc>
        <w:tc>
          <w:tcPr>
            <w:tcW w:w="702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合理规划路线，禁止车辆乱碾乱压，</w:t>
            </w:r>
            <w:r>
              <w:rPr>
                <w:rFonts w:hint="eastAsia" w:ascii="Times New Roman" w:hAnsi="Times New Roman" w:eastAsia="宋体" w:cs="Times New Roman"/>
                <w:sz w:val="24"/>
                <w:szCs w:val="24"/>
                <w:lang w:eastAsia="zh-CN"/>
              </w:rPr>
              <w:t>减少</w:t>
            </w:r>
            <w:r>
              <w:rPr>
                <w:rFonts w:hint="default" w:ascii="Times New Roman" w:hAnsi="Times New Roman" w:eastAsia="宋体" w:cs="Times New Roman"/>
                <w:sz w:val="24"/>
                <w:szCs w:val="24"/>
              </w:rPr>
              <w:t>对地表植被的破坏。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环境风险</w:t>
            </w:r>
          </w:p>
          <w:p>
            <w:pPr>
              <w:adjustRightInd w:val="0"/>
              <w:snapToGrid w:val="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防范措施</w:t>
            </w:r>
          </w:p>
        </w:tc>
        <w:tc>
          <w:tcPr>
            <w:tcW w:w="702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制定环境应急预案等。加强管理，建设单位应树立并强化环境风险意识。建立健全突发环境事故应急组织机构等。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pPr>
              <w:adjustRightInd w:val="0"/>
              <w:snapToGrid w:val="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其他环境</w:t>
            </w:r>
          </w:p>
          <w:p>
            <w:pPr>
              <w:adjustRightInd w:val="0"/>
              <w:snapToGrid w:val="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管理要求</w:t>
            </w:r>
          </w:p>
        </w:tc>
        <w:tc>
          <w:tcPr>
            <w:tcW w:w="7022" w:type="dxa"/>
            <w:gridSpan w:val="4"/>
            <w:noWrap w:val="0"/>
            <w:vAlign w:val="center"/>
          </w:tcPr>
          <w:p>
            <w:pPr>
              <w:keepNext/>
              <w:keepLines/>
              <w:pageBreakBefore w:val="0"/>
              <w:widowControl w:val="0"/>
              <w:kinsoku/>
              <w:wordWrap/>
              <w:overflowPunct/>
              <w:topLinePunct w:val="0"/>
              <w:autoSpaceDE/>
              <w:autoSpaceDN/>
              <w:bidi w:val="0"/>
              <w:spacing w:line="520" w:lineRule="exact"/>
              <w:ind w:firstLine="482" w:firstLineChars="200"/>
              <w:jc w:val="both"/>
              <w:textAlignment w:val="auto"/>
              <w:outlineLvl w:val="1"/>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一、环境管理措施</w:t>
            </w:r>
          </w:p>
          <w:p>
            <w:pPr>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建设单位应按规定填报排污单位基本信息表，并按照</w:t>
            </w:r>
            <w:r>
              <w:rPr>
                <w:rFonts w:hint="eastAsia" w:cs="Times New Roman"/>
                <w:sz w:val="24"/>
                <w:szCs w:val="24"/>
                <w:lang w:eastAsia="zh-CN"/>
              </w:rPr>
              <w:t>《环境保护图形标志-排放口（源）》</w:t>
            </w:r>
            <w:r>
              <w:rPr>
                <w:rFonts w:hint="default" w:ascii="Times New Roman" w:hAnsi="Times New Roman" w:eastAsia="宋体" w:cs="Times New Roman"/>
                <w:sz w:val="24"/>
                <w:szCs w:val="24"/>
              </w:rPr>
              <w:t>（GB 15562.1-1995）</w:t>
            </w:r>
            <w:r>
              <w:rPr>
                <w:rFonts w:hint="eastAsia" w:cs="Times New Roman"/>
                <w:sz w:val="24"/>
                <w:szCs w:val="24"/>
                <w:lang w:eastAsia="zh-CN"/>
              </w:rPr>
              <w:t>、《排污口规范化整治技术要求（试行）》（环监〔1999〕470）、《排污单位污染物排放口二维码标识技术规范》（HJ1297-2023）进行规范化管理</w:t>
            </w:r>
            <w:r>
              <w:rPr>
                <w:rFonts w:hint="default" w:ascii="Times New Roman" w:hAnsi="Times New Roman" w:eastAsia="宋体" w:cs="Times New Roman"/>
                <w:sz w:val="24"/>
                <w:szCs w:val="24"/>
              </w:rPr>
              <w:t>。</w:t>
            </w:r>
          </w:p>
          <w:p>
            <w:pPr>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严格执行各项环境管理制度，保证排污口的正常运行。</w:t>
            </w:r>
          </w:p>
          <w:p>
            <w:pPr>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合理利用能源、资源、节水、节能。</w:t>
            </w:r>
            <w:r>
              <w:rPr>
                <w:rFonts w:hint="default" w:ascii="Times New Roman" w:hAnsi="Times New Roman" w:eastAsia="宋体" w:cs="Times New Roman"/>
                <w:sz w:val="24"/>
                <w:szCs w:val="24"/>
                <w:lang w:val="en-US" w:eastAsia="zh-CN"/>
              </w:rPr>
              <w:t>生物质产品质量标准纳入竣工环境保护验收和日常环境管理，避免使用挂生物质名义的高污染燃料。</w:t>
            </w:r>
          </w:p>
          <w:p>
            <w:pPr>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按照《</w:t>
            </w:r>
            <w:r>
              <w:rPr>
                <w:rFonts w:hint="eastAsia" w:cs="Times New Roman"/>
                <w:sz w:val="24"/>
                <w:szCs w:val="24"/>
                <w:lang w:eastAsia="zh-CN"/>
              </w:rPr>
              <w:t>排污许可证申请与核发技术规范 锅炉</w:t>
            </w:r>
            <w:r>
              <w:rPr>
                <w:sz w:val="24"/>
              </w:rPr>
              <w:t>》（HJ953—2018）</w:t>
            </w:r>
            <w:r>
              <w:rPr>
                <w:rFonts w:hint="default" w:ascii="Times New Roman" w:hAnsi="Times New Roman" w:eastAsia="宋体" w:cs="Times New Roman"/>
                <w:sz w:val="24"/>
                <w:szCs w:val="24"/>
              </w:rPr>
              <w:t>中要求，排污单位应查清本单位的污染源、污染物指标及潜在的环境影响，制定监测方案，设置和维护监测设施，按照监测方案开展自行监测，做好质量保证和质量控制，记录和保存监测数据，依法向社会公开监测结果</w:t>
            </w:r>
            <w:r>
              <w:rPr>
                <w:rFonts w:hint="eastAsia" w:ascii="Times New Roman" w:hAnsi="Times New Roman" w:eastAsia="宋体" w:cs="Times New Roman"/>
                <w:sz w:val="24"/>
                <w:szCs w:val="24"/>
                <w:lang w:eastAsia="zh-CN"/>
              </w:rPr>
              <w:t>。</w:t>
            </w:r>
          </w:p>
          <w:p>
            <w:pPr>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按规定程序实施竣工环境保护验收，验收合格后方可投入生产。</w:t>
            </w:r>
          </w:p>
          <w:p>
            <w:pPr>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default" w:cs="Times New Roman"/>
                <w:sz w:val="24"/>
                <w:szCs w:val="24"/>
                <w:lang w:val="en-US" w:eastAsia="zh-CN"/>
              </w:rPr>
            </w:pPr>
            <w:r>
              <w:rPr>
                <w:rFonts w:hint="default" w:cs="Times New Roman"/>
                <w:sz w:val="24"/>
                <w:szCs w:val="24"/>
                <w:lang w:val="en-US" w:eastAsia="zh-CN"/>
              </w:rPr>
              <w:t>6、排污许可管理</w:t>
            </w:r>
          </w:p>
          <w:p>
            <w:pPr>
              <w:adjustRightInd w:val="0"/>
              <w:spacing w:line="520" w:lineRule="exact"/>
              <w:ind w:firstLine="480" w:firstLineChars="200"/>
              <w:rPr>
                <w:rFonts w:hint="default"/>
                <w:sz w:val="24"/>
                <w:lang w:val="en-US" w:eastAsia="zh-CN"/>
              </w:rPr>
            </w:pPr>
            <w:r>
              <w:rPr>
                <w:rFonts w:hint="default"/>
                <w:sz w:val="24"/>
                <w:lang w:val="en-US" w:eastAsia="zh-CN"/>
              </w:rPr>
              <w:t>根据《固定污染源排污许可分类管理名录（2019年版）》，本项目建设一台2.5t/h生物质锅炉，属于该名录“三十九、电力、热力生产和供应业</w:t>
            </w:r>
            <w:r>
              <w:rPr>
                <w:rFonts w:hint="eastAsia"/>
                <w:sz w:val="24"/>
                <w:lang w:val="en-US" w:eastAsia="zh-CN"/>
              </w:rPr>
              <w:t>－</w:t>
            </w:r>
            <w:r>
              <w:rPr>
                <w:rFonts w:hint="default"/>
                <w:sz w:val="24"/>
                <w:lang w:val="en-US" w:eastAsia="zh-CN"/>
              </w:rPr>
              <w:t>热力生产和供应443</w:t>
            </w:r>
            <w:r>
              <w:rPr>
                <w:rFonts w:hint="eastAsia"/>
                <w:sz w:val="24"/>
                <w:lang w:val="en-US" w:eastAsia="zh-CN"/>
              </w:rPr>
              <w:t>－</w:t>
            </w:r>
            <w:r>
              <w:rPr>
                <w:rFonts w:hint="default"/>
                <w:sz w:val="24"/>
                <w:lang w:val="en-US" w:eastAsia="zh-CN"/>
              </w:rPr>
              <w:t>单台且合计出力20吨/小时（14兆瓦）以下的锅炉（不含电热锅炉和单台且合计出力1吨/小时（0.7兆瓦）及以下的天然气锅炉）”，本项目为简化管理。</w:t>
            </w:r>
          </w:p>
          <w:p>
            <w:pPr>
              <w:keepNext/>
              <w:keepLines/>
              <w:pageBreakBefore w:val="0"/>
              <w:widowControl w:val="0"/>
              <w:kinsoku/>
              <w:wordWrap/>
              <w:overflowPunct/>
              <w:topLinePunct w:val="0"/>
              <w:autoSpaceDE/>
              <w:autoSpaceDN/>
              <w:bidi w:val="0"/>
              <w:spacing w:line="520" w:lineRule="exact"/>
              <w:ind w:firstLine="482" w:firstLineChars="200"/>
              <w:jc w:val="both"/>
              <w:textAlignment w:val="auto"/>
              <w:outlineLvl w:val="1"/>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二、项目环保投资估算</w:t>
            </w:r>
          </w:p>
          <w:p>
            <w:pPr>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sz w:val="24"/>
                <w:szCs w:val="24"/>
              </w:rPr>
            </w:pPr>
            <w:r>
              <w:rPr>
                <w:sz w:val="24"/>
                <w:szCs w:val="24"/>
              </w:rPr>
              <w:t>本项目总</w:t>
            </w:r>
            <w:r>
              <w:rPr>
                <w:rFonts w:hint="eastAsia"/>
                <w:sz w:val="24"/>
                <w:szCs w:val="24"/>
              </w:rPr>
              <w:t>投资</w:t>
            </w:r>
            <w:r>
              <w:rPr>
                <w:rFonts w:hint="eastAsia"/>
                <w:sz w:val="24"/>
                <w:szCs w:val="24"/>
                <w:lang w:val="en-US" w:eastAsia="zh-CN"/>
              </w:rPr>
              <w:t>40</w:t>
            </w:r>
            <w:r>
              <w:rPr>
                <w:sz w:val="24"/>
                <w:szCs w:val="24"/>
              </w:rPr>
              <w:t>万元，其中环保投资</w:t>
            </w:r>
            <w:r>
              <w:rPr>
                <w:rFonts w:hint="eastAsia"/>
                <w:sz w:val="24"/>
                <w:szCs w:val="24"/>
                <w:lang w:val="en-US" w:eastAsia="zh-CN"/>
              </w:rPr>
              <w:t>2</w:t>
            </w:r>
            <w:r>
              <w:rPr>
                <w:rFonts w:hint="eastAsia"/>
                <w:sz w:val="24"/>
                <w:szCs w:val="24"/>
              </w:rPr>
              <w:t>万元</w:t>
            </w:r>
            <w:r>
              <w:rPr>
                <w:sz w:val="24"/>
                <w:szCs w:val="24"/>
              </w:rPr>
              <w:t>，占投资的</w:t>
            </w:r>
            <w:r>
              <w:rPr>
                <w:rFonts w:hint="eastAsia"/>
                <w:sz w:val="24"/>
                <w:szCs w:val="24"/>
                <w:lang w:val="en-US" w:eastAsia="zh-CN"/>
              </w:rPr>
              <w:t>2</w:t>
            </w:r>
            <w:r>
              <w:rPr>
                <w:rFonts w:hint="eastAsia"/>
                <w:sz w:val="24"/>
                <w:szCs w:val="24"/>
              </w:rPr>
              <w:t>%</w:t>
            </w:r>
            <w:r>
              <w:rPr>
                <w:sz w:val="24"/>
                <w:szCs w:val="24"/>
              </w:rPr>
              <w:t>，具体情况</w:t>
            </w:r>
            <w:r>
              <w:rPr>
                <w:rFonts w:hint="eastAsia"/>
                <w:sz w:val="24"/>
                <w:szCs w:val="24"/>
                <w:lang w:eastAsia="zh-CN"/>
              </w:rPr>
              <w:t>见表</w:t>
            </w:r>
            <w:r>
              <w:rPr>
                <w:rFonts w:hint="eastAsia"/>
                <w:sz w:val="24"/>
                <w:szCs w:val="24"/>
                <w:lang w:val="en-US" w:eastAsia="zh-CN"/>
              </w:rPr>
              <w:t>5-1</w:t>
            </w:r>
            <w:r>
              <w:rPr>
                <w:sz w:val="24"/>
                <w:szCs w:val="24"/>
              </w:rPr>
              <w:t>。</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Times New Roman" w:hAnsi="Times New Roman" w:eastAsia="宋体" w:cs="Times New Roman"/>
                <w:b/>
                <w:bCs/>
                <w:kern w:val="0"/>
                <w:sz w:val="24"/>
                <w:szCs w:val="24"/>
                <w:lang w:val="en-US" w:eastAsia="zh-CN" w:bidi="ar-SA"/>
              </w:rPr>
            </w:pPr>
            <w:r>
              <w:rPr>
                <w:rFonts w:hint="eastAsia" w:ascii="Times New Roman" w:hAnsi="Times New Roman" w:eastAsia="宋体" w:cs="Times New Roman"/>
                <w:b/>
                <w:bCs/>
                <w:kern w:val="0"/>
                <w:sz w:val="24"/>
                <w:szCs w:val="24"/>
                <w:lang w:val="en-US" w:eastAsia="zh-CN" w:bidi="ar-SA"/>
              </w:rPr>
              <w:t>表5-1     环保设施（措施）及投资估算一览表</w:t>
            </w:r>
          </w:p>
          <w:tbl>
            <w:tblPr>
              <w:tblStyle w:val="21"/>
              <w:tblW w:w="4823"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87"/>
              <w:gridCol w:w="1723"/>
              <w:gridCol w:w="3188"/>
              <w:gridCol w:w="114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71" w:type="pct"/>
                  <w:noWrap w:val="0"/>
                  <w:vAlign w:val="center"/>
                </w:tcPr>
                <w:p>
                  <w:pPr>
                    <w:jc w:val="center"/>
                    <w:rPr>
                      <w:sz w:val="21"/>
                      <w:szCs w:val="21"/>
                    </w:rPr>
                  </w:pPr>
                  <w:r>
                    <w:rPr>
                      <w:sz w:val="21"/>
                      <w:szCs w:val="21"/>
                    </w:rPr>
                    <w:t>时段</w:t>
                  </w:r>
                </w:p>
              </w:tc>
              <w:tc>
                <w:tcPr>
                  <w:tcW w:w="1315" w:type="pct"/>
                  <w:noWrap w:val="0"/>
                  <w:vAlign w:val="center"/>
                </w:tcPr>
                <w:p>
                  <w:pPr>
                    <w:jc w:val="center"/>
                    <w:rPr>
                      <w:sz w:val="21"/>
                      <w:szCs w:val="21"/>
                    </w:rPr>
                  </w:pPr>
                  <w:r>
                    <w:rPr>
                      <w:caps/>
                      <w:sz w:val="21"/>
                      <w:szCs w:val="21"/>
                    </w:rPr>
                    <w:t>项目</w:t>
                  </w:r>
                </w:p>
              </w:tc>
              <w:tc>
                <w:tcPr>
                  <w:tcW w:w="2434" w:type="pct"/>
                  <w:noWrap w:val="0"/>
                  <w:vAlign w:val="center"/>
                </w:tcPr>
                <w:p>
                  <w:pPr>
                    <w:jc w:val="center"/>
                    <w:rPr>
                      <w:sz w:val="21"/>
                      <w:szCs w:val="21"/>
                    </w:rPr>
                  </w:pPr>
                  <w:r>
                    <w:rPr>
                      <w:sz w:val="21"/>
                      <w:szCs w:val="21"/>
                    </w:rPr>
                    <w:t>环保措施</w:t>
                  </w:r>
                </w:p>
              </w:tc>
              <w:tc>
                <w:tcPr>
                  <w:tcW w:w="877" w:type="pct"/>
                  <w:noWrap w:val="0"/>
                  <w:vAlign w:val="center"/>
                </w:tcPr>
                <w:p>
                  <w:pPr>
                    <w:jc w:val="center"/>
                    <w:rPr>
                      <w:sz w:val="21"/>
                      <w:szCs w:val="21"/>
                    </w:rPr>
                  </w:pPr>
                  <w:r>
                    <w:rPr>
                      <w:sz w:val="21"/>
                      <w:szCs w:val="21"/>
                    </w:rPr>
                    <w:t>投资（万元）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71" w:type="pct"/>
                  <w:vMerge w:val="restart"/>
                  <w:noWrap w:val="0"/>
                  <w:vAlign w:val="center"/>
                </w:tcPr>
                <w:p>
                  <w:pPr>
                    <w:jc w:val="center"/>
                    <w:rPr>
                      <w:rFonts w:hint="eastAsia" w:eastAsia="宋体"/>
                      <w:sz w:val="21"/>
                      <w:szCs w:val="21"/>
                      <w:lang w:val="en-US" w:eastAsia="zh-CN"/>
                    </w:rPr>
                  </w:pPr>
                  <w:r>
                    <w:rPr>
                      <w:rFonts w:hint="eastAsia"/>
                      <w:sz w:val="21"/>
                      <w:szCs w:val="21"/>
                      <w:lang w:val="en-US" w:eastAsia="zh-CN"/>
                    </w:rPr>
                    <w:t>运营期</w:t>
                  </w:r>
                </w:p>
              </w:tc>
              <w:tc>
                <w:tcPr>
                  <w:tcW w:w="1315" w:type="pct"/>
                  <w:noWrap w:val="0"/>
                  <w:vAlign w:val="center"/>
                </w:tcPr>
                <w:p>
                  <w:pPr>
                    <w:jc w:val="center"/>
                    <w:rPr>
                      <w:rFonts w:hint="default" w:eastAsia="宋体"/>
                      <w:caps/>
                      <w:sz w:val="21"/>
                      <w:szCs w:val="21"/>
                      <w:lang w:val="en-US" w:eastAsia="zh-CN"/>
                    </w:rPr>
                  </w:pPr>
                  <w:r>
                    <w:rPr>
                      <w:rFonts w:hint="eastAsia"/>
                      <w:caps/>
                      <w:sz w:val="21"/>
                      <w:szCs w:val="21"/>
                      <w:lang w:val="en-US" w:eastAsia="zh-CN"/>
                    </w:rPr>
                    <w:t>废气治理</w:t>
                  </w:r>
                </w:p>
              </w:tc>
              <w:tc>
                <w:tcPr>
                  <w:tcW w:w="2434" w:type="pct"/>
                  <w:noWrap w:val="0"/>
                  <w:vAlign w:val="center"/>
                </w:tcPr>
                <w:p>
                  <w:pPr>
                    <w:jc w:val="center"/>
                    <w:rPr>
                      <w:sz w:val="21"/>
                      <w:szCs w:val="21"/>
                    </w:rPr>
                  </w:pPr>
                  <w:r>
                    <w:rPr>
                      <w:rFonts w:hint="eastAsia"/>
                      <w:sz w:val="21"/>
                      <w:szCs w:val="21"/>
                    </w:rPr>
                    <w:t>采用</w:t>
                  </w:r>
                  <w:r>
                    <w:rPr>
                      <w:rFonts w:hint="eastAsia"/>
                      <w:sz w:val="21"/>
                      <w:szCs w:val="21"/>
                      <w:lang w:val="en-US" w:eastAsia="zh-CN"/>
                    </w:rPr>
                    <w:t>成型生物质燃料</w:t>
                  </w:r>
                  <w:r>
                    <w:rPr>
                      <w:rFonts w:hint="eastAsia"/>
                      <w:sz w:val="21"/>
                      <w:szCs w:val="21"/>
                    </w:rPr>
                    <w:t>、</w:t>
                  </w:r>
                  <w:r>
                    <w:rPr>
                      <w:rFonts w:hint="eastAsia"/>
                      <w:sz w:val="21"/>
                      <w:szCs w:val="21"/>
                      <w:lang w:val="en-US" w:eastAsia="zh-CN"/>
                    </w:rPr>
                    <w:t>锅炉自带袋式除尘器</w:t>
                  </w:r>
                  <w:r>
                    <w:rPr>
                      <w:rFonts w:hint="eastAsia"/>
                      <w:sz w:val="21"/>
                      <w:szCs w:val="21"/>
                      <w:lang w:eastAsia="zh-CN"/>
                    </w:rPr>
                    <w:t>、</w:t>
                  </w:r>
                  <w:r>
                    <w:rPr>
                      <w:rFonts w:hint="eastAsia"/>
                      <w:sz w:val="21"/>
                      <w:szCs w:val="21"/>
                      <w:lang w:val="en-US" w:eastAsia="zh-CN"/>
                    </w:rPr>
                    <w:t>30</w:t>
                  </w:r>
                  <w:r>
                    <w:rPr>
                      <w:rFonts w:hint="eastAsia"/>
                      <w:sz w:val="21"/>
                      <w:szCs w:val="21"/>
                    </w:rPr>
                    <w:t>米排气筒</w:t>
                  </w:r>
                  <w:r>
                    <w:rPr>
                      <w:rFonts w:hint="eastAsia"/>
                      <w:sz w:val="21"/>
                      <w:szCs w:val="21"/>
                      <w:lang w:eastAsia="zh-CN"/>
                    </w:rPr>
                    <w:t>（</w:t>
                  </w:r>
                  <w:r>
                    <w:rPr>
                      <w:rFonts w:hint="eastAsia"/>
                      <w:sz w:val="21"/>
                      <w:szCs w:val="21"/>
                    </w:rPr>
                    <w:t>可拆卸式排气筒</w:t>
                  </w:r>
                  <w:r>
                    <w:rPr>
                      <w:rFonts w:hint="eastAsia"/>
                      <w:sz w:val="21"/>
                      <w:szCs w:val="21"/>
                      <w:lang w:eastAsia="zh-CN"/>
                    </w:rPr>
                    <w:t>）</w:t>
                  </w:r>
                </w:p>
              </w:tc>
              <w:tc>
                <w:tcPr>
                  <w:tcW w:w="877" w:type="pct"/>
                  <w:noWrap w:val="0"/>
                  <w:vAlign w:val="center"/>
                </w:tcPr>
                <w:p>
                  <w:pPr>
                    <w:jc w:val="center"/>
                    <w:rPr>
                      <w:rFonts w:hint="default" w:eastAsia="宋体"/>
                      <w:sz w:val="21"/>
                      <w:szCs w:val="21"/>
                      <w:lang w:val="en-US" w:eastAsia="zh-CN"/>
                    </w:rPr>
                  </w:pPr>
                  <w:r>
                    <w:rPr>
                      <w:rFonts w:hint="eastAsia"/>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71" w:type="pct"/>
                  <w:vMerge w:val="continue"/>
                  <w:noWrap w:val="0"/>
                  <w:vAlign w:val="center"/>
                </w:tcPr>
                <w:p>
                  <w:pPr>
                    <w:jc w:val="center"/>
                    <w:rPr>
                      <w:sz w:val="21"/>
                      <w:szCs w:val="21"/>
                    </w:rPr>
                  </w:pPr>
                </w:p>
              </w:tc>
              <w:tc>
                <w:tcPr>
                  <w:tcW w:w="1315" w:type="pct"/>
                  <w:noWrap w:val="0"/>
                  <w:vAlign w:val="center"/>
                </w:tcPr>
                <w:p>
                  <w:pPr>
                    <w:jc w:val="center"/>
                    <w:rPr>
                      <w:rFonts w:hint="default" w:eastAsia="宋体"/>
                      <w:caps/>
                      <w:sz w:val="21"/>
                      <w:szCs w:val="21"/>
                      <w:lang w:val="en-US" w:eastAsia="zh-CN"/>
                    </w:rPr>
                  </w:pPr>
                  <w:r>
                    <w:rPr>
                      <w:rFonts w:hint="eastAsia"/>
                      <w:caps/>
                      <w:sz w:val="21"/>
                      <w:szCs w:val="21"/>
                      <w:lang w:val="en-US" w:eastAsia="zh-CN"/>
                    </w:rPr>
                    <w:t>噪声治理</w:t>
                  </w:r>
                </w:p>
              </w:tc>
              <w:tc>
                <w:tcPr>
                  <w:tcW w:w="2434" w:type="pct"/>
                  <w:noWrap w:val="0"/>
                  <w:vAlign w:val="center"/>
                </w:tcPr>
                <w:p>
                  <w:pPr>
                    <w:jc w:val="center"/>
                    <w:rPr>
                      <w:sz w:val="21"/>
                      <w:szCs w:val="21"/>
                    </w:rPr>
                  </w:pPr>
                  <w:r>
                    <w:rPr>
                      <w:rFonts w:hint="eastAsia"/>
                      <w:sz w:val="21"/>
                      <w:szCs w:val="21"/>
                      <w:lang w:val="en-US" w:eastAsia="zh-CN"/>
                    </w:rPr>
                    <w:t>对鼓风机进行减振处理。采用弹簧隔振器对鼓、引风机进行减振，每台鼓、引风机底座安装隔振器，同时考虑鼓、引风机的进、排风连接的金属风管必须加软连接，防止风机的振动通过金属管道引起振动噪声。</w:t>
                  </w:r>
                </w:p>
              </w:tc>
              <w:tc>
                <w:tcPr>
                  <w:tcW w:w="877" w:type="pct"/>
                  <w:noWrap w:val="0"/>
                  <w:vAlign w:val="center"/>
                </w:tcPr>
                <w:p>
                  <w:pPr>
                    <w:jc w:val="center"/>
                    <w:rPr>
                      <w:rFonts w:hint="default" w:eastAsia="宋体"/>
                      <w:sz w:val="21"/>
                      <w:szCs w:val="21"/>
                      <w:lang w:val="en-US" w:eastAsia="zh-CN"/>
                    </w:rPr>
                  </w:pPr>
                  <w:r>
                    <w:rPr>
                      <w:rFonts w:hint="eastAsia"/>
                      <w:sz w:val="21"/>
                      <w:szCs w:val="21"/>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122" w:type="pct"/>
                  <w:gridSpan w:val="3"/>
                  <w:noWrap w:val="0"/>
                  <w:vAlign w:val="center"/>
                </w:tcPr>
                <w:p>
                  <w:pPr>
                    <w:jc w:val="center"/>
                    <w:rPr>
                      <w:rFonts w:hint="eastAsia" w:eastAsia="宋体"/>
                      <w:sz w:val="21"/>
                      <w:szCs w:val="21"/>
                      <w:lang w:val="en-US" w:eastAsia="zh-CN"/>
                    </w:rPr>
                  </w:pPr>
                  <w:r>
                    <w:rPr>
                      <w:rFonts w:hint="eastAsia"/>
                      <w:sz w:val="21"/>
                      <w:szCs w:val="21"/>
                      <w:lang w:val="en-US" w:eastAsia="zh-CN"/>
                    </w:rPr>
                    <w:t>合计</w:t>
                  </w:r>
                </w:p>
              </w:tc>
              <w:tc>
                <w:tcPr>
                  <w:tcW w:w="877" w:type="pct"/>
                  <w:noWrap w:val="0"/>
                  <w:vAlign w:val="center"/>
                </w:tcPr>
                <w:p>
                  <w:pPr>
                    <w:jc w:val="center"/>
                    <w:rPr>
                      <w:rFonts w:hint="default" w:eastAsia="宋体"/>
                      <w:sz w:val="21"/>
                      <w:szCs w:val="21"/>
                      <w:lang w:val="en-US" w:eastAsia="zh-CN"/>
                    </w:rPr>
                  </w:pPr>
                  <w:r>
                    <w:rPr>
                      <w:rFonts w:hint="eastAsia"/>
                      <w:sz w:val="21"/>
                      <w:szCs w:val="21"/>
                      <w:lang w:val="en-US" w:eastAsia="zh-CN"/>
                    </w:rPr>
                    <w:t>2</w:t>
                  </w:r>
                </w:p>
              </w:tc>
            </w:tr>
          </w:tbl>
          <w:p>
            <w:pPr>
              <w:adjustRightInd w:val="0"/>
              <w:snapToGrid w:val="0"/>
              <w:spacing w:line="360" w:lineRule="auto"/>
              <w:ind w:firstLine="480" w:firstLineChars="200"/>
              <w:jc w:val="left"/>
              <w:rPr>
                <w:rFonts w:hint="default" w:ascii="Times New Roman" w:hAnsi="Times New Roman" w:eastAsia="宋体" w:cs="Times New Roman"/>
                <w:sz w:val="24"/>
                <w:szCs w:val="24"/>
              </w:rPr>
            </w:pPr>
          </w:p>
        </w:tc>
      </w:tr>
    </w:tbl>
    <w:p>
      <w:pPr>
        <w:pStyle w:val="18"/>
        <w:jc w:val="center"/>
        <w:outlineLvl w:val="0"/>
        <w:rPr>
          <w:rFonts w:hint="default" w:ascii="Times New Roman" w:hAnsi="Times New Roman" w:eastAsia="黑体" w:cs="Times New Roman"/>
          <w:snapToGrid w:val="0"/>
          <w:sz w:val="30"/>
          <w:szCs w:val="30"/>
        </w:rPr>
      </w:pPr>
      <w:r>
        <w:rPr>
          <w:rFonts w:hint="default" w:ascii="Times New Roman" w:hAnsi="Times New Roman" w:cs="Times New Roman"/>
          <w:snapToGrid w:val="0"/>
        </w:rPr>
        <w:br w:type="page"/>
      </w:r>
      <w:r>
        <w:rPr>
          <w:rFonts w:hint="default" w:ascii="Times New Roman" w:hAnsi="Times New Roman" w:eastAsia="黑体" w:cs="Times New Roman"/>
          <w:snapToGrid w:val="0"/>
          <w:sz w:val="30"/>
          <w:szCs w:val="30"/>
        </w:rPr>
        <w:t>六、结论</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该项目只要切实落实报告表中提出的各项防治措施，严格执行各项污染物的排放标准，积极有效地进行污染治理和防范，并使各项污染物达标排放，从环境保护角度考虑，该项目的环境影响是可行的。</w:t>
            </w:r>
          </w:p>
        </w:tc>
      </w:tr>
    </w:tbl>
    <w:p>
      <w:pPr>
        <w:rPr>
          <w:rFonts w:hint="default" w:ascii="Times New Roman" w:hAnsi="Times New Roman" w:cs="Times New Roman"/>
        </w:rPr>
        <w:sectPr>
          <w:pgSz w:w="11906" w:h="16838"/>
          <w:pgMar w:top="1701" w:right="1531" w:bottom="1701" w:left="1531" w:header="851" w:footer="851" w:gutter="0"/>
          <w:pgNumType w:fmt="numberInDash"/>
          <w:cols w:space="720" w:num="1"/>
          <w:docGrid w:linePitch="312" w:charSpace="0"/>
        </w:sectPr>
      </w:pPr>
    </w:p>
    <w:p>
      <w:pPr>
        <w:pStyle w:val="18"/>
        <w:adjustRightInd w:val="0"/>
        <w:snapToGrid w:val="0"/>
        <w:spacing w:before="0" w:beforeAutospacing="0" w:after="0" w:afterAutospacing="0" w:line="648" w:lineRule="auto"/>
        <w:outlineLvl w:val="0"/>
        <w:rPr>
          <w:rFonts w:hint="default" w:ascii="Times New Roman" w:hAnsi="Times New Roman" w:eastAsia="黑体" w:cs="Times New Roman"/>
          <w:snapToGrid w:val="0"/>
          <w:sz w:val="32"/>
          <w:szCs w:val="32"/>
        </w:rPr>
      </w:pPr>
      <w:r>
        <w:rPr>
          <w:rFonts w:hint="default" w:ascii="Times New Roman" w:hAnsi="Times New Roman" w:eastAsia="黑体" w:cs="Times New Roman"/>
          <w:snapToGrid w:val="0"/>
          <w:sz w:val="32"/>
          <w:szCs w:val="32"/>
        </w:rPr>
        <w:t>附表</w:t>
      </w:r>
    </w:p>
    <w:p>
      <w:pPr>
        <w:pStyle w:val="18"/>
        <w:adjustRightInd w:val="0"/>
        <w:snapToGrid w:val="0"/>
        <w:spacing w:before="0" w:beforeAutospacing="0" w:after="0" w:afterAutospacing="0" w:line="552" w:lineRule="auto"/>
        <w:jc w:val="center"/>
        <w:outlineLvl w:val="0"/>
        <w:rPr>
          <w:rFonts w:hint="default" w:ascii="Times New Roman" w:hAnsi="Times New Roman" w:eastAsia="方正小标宋_GBK" w:cs="Times New Roman"/>
          <w:snapToGrid w:val="0"/>
          <w:sz w:val="38"/>
          <w:szCs w:val="38"/>
        </w:rPr>
      </w:pPr>
      <w:r>
        <w:rPr>
          <w:rFonts w:hint="default" w:ascii="Times New Roman" w:hAnsi="Times New Roman" w:eastAsia="方正小标宋_GBK" w:cs="Times New Roman"/>
          <w:snapToGrid w:val="0"/>
          <w:sz w:val="38"/>
          <w:szCs w:val="38"/>
        </w:rPr>
        <w:t>建设项目污染物排放量汇总表</w:t>
      </w:r>
    </w:p>
    <w:tbl>
      <w:tblPr>
        <w:tblStyle w:val="21"/>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113"/>
        <w:gridCol w:w="1566"/>
        <w:gridCol w:w="1467"/>
        <w:gridCol w:w="1550"/>
        <w:gridCol w:w="2233"/>
        <w:gridCol w:w="11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37"/>
              <w:spacing w:beforeLines="0" w:afterLines="0" w:line="240" w:lineRule="auto"/>
              <w:jc w:val="right"/>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项目</w:t>
            </w:r>
          </w:p>
          <w:p>
            <w:pPr>
              <w:pStyle w:val="37"/>
              <w:spacing w:beforeLines="0" w:afterLines="0" w:line="240" w:lineRule="auto"/>
              <w:jc w:val="left"/>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分类</w:t>
            </w:r>
          </w:p>
        </w:tc>
        <w:tc>
          <w:tcPr>
            <w:tcW w:w="1417" w:type="dxa"/>
            <w:noWrap w:val="0"/>
            <w:tcMar>
              <w:left w:w="28" w:type="dxa"/>
              <w:right w:w="28" w:type="dxa"/>
            </w:tcMar>
            <w:vAlign w:val="center"/>
          </w:tcPr>
          <w:p>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污染物名称</w:t>
            </w:r>
          </w:p>
        </w:tc>
        <w:tc>
          <w:tcPr>
            <w:tcW w:w="1701" w:type="dxa"/>
            <w:noWrap w:val="0"/>
            <w:tcMar>
              <w:left w:w="28" w:type="dxa"/>
              <w:right w:w="28" w:type="dxa"/>
            </w:tcMar>
            <w:vAlign w:val="center"/>
          </w:tcPr>
          <w:p>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现有工程</w:t>
            </w:r>
          </w:p>
          <w:p>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1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①</w:t>
            </w:r>
            <w:r>
              <w:rPr>
                <w:rFonts w:hint="default" w:ascii="Times New Roman" w:hAnsi="Times New Roman" w:eastAsia="黑体" w:cs="Times New Roman"/>
                <w:snapToGrid w:val="0"/>
                <w:color w:val="000000"/>
                <w:spacing w:val="-6"/>
                <w:kern w:val="21"/>
                <w:szCs w:val="21"/>
              </w:rPr>
              <w:fldChar w:fldCharType="end"/>
            </w:r>
          </w:p>
        </w:tc>
        <w:tc>
          <w:tcPr>
            <w:tcW w:w="1113" w:type="dxa"/>
            <w:noWrap w:val="0"/>
            <w:tcMar>
              <w:left w:w="28" w:type="dxa"/>
              <w:right w:w="28" w:type="dxa"/>
            </w:tcMar>
            <w:vAlign w:val="center"/>
          </w:tcPr>
          <w:p>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现有工程</w:t>
            </w:r>
          </w:p>
          <w:p>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许可排放量</w:t>
            </w:r>
          </w:p>
          <w:p>
            <w:pPr>
              <w:pStyle w:val="37"/>
              <w:spacing w:beforeLines="0" w:afterLines="0"/>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2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snapToGrid w:val="0"/>
                <w:color w:val="000000"/>
                <w:spacing w:val="-6"/>
                <w:kern w:val="21"/>
                <w:szCs w:val="21"/>
              </w:rPr>
              <w:t>②</w:t>
            </w:r>
            <w:r>
              <w:rPr>
                <w:rFonts w:hint="default" w:ascii="Times New Roman" w:hAnsi="Times New Roman" w:eastAsia="黑体" w:cs="Times New Roman"/>
                <w:snapToGrid w:val="0"/>
                <w:color w:val="000000"/>
                <w:spacing w:val="-6"/>
                <w:kern w:val="21"/>
                <w:szCs w:val="21"/>
              </w:rPr>
              <w:fldChar w:fldCharType="end"/>
            </w:r>
          </w:p>
        </w:tc>
        <w:tc>
          <w:tcPr>
            <w:tcW w:w="1566" w:type="dxa"/>
            <w:noWrap w:val="0"/>
            <w:tcMar>
              <w:left w:w="28" w:type="dxa"/>
              <w:right w:w="28" w:type="dxa"/>
            </w:tcMar>
            <w:vAlign w:val="center"/>
          </w:tcPr>
          <w:p>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在建工程</w:t>
            </w:r>
          </w:p>
          <w:p>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3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③</w:t>
            </w:r>
            <w:r>
              <w:rPr>
                <w:rFonts w:hint="default" w:ascii="Times New Roman" w:hAnsi="Times New Roman" w:eastAsia="黑体" w:cs="Times New Roman"/>
                <w:snapToGrid w:val="0"/>
                <w:color w:val="000000"/>
                <w:spacing w:val="-6"/>
                <w:kern w:val="21"/>
                <w:szCs w:val="21"/>
              </w:rPr>
              <w:fldChar w:fldCharType="end"/>
            </w:r>
          </w:p>
        </w:tc>
        <w:tc>
          <w:tcPr>
            <w:tcW w:w="1467" w:type="dxa"/>
            <w:noWrap w:val="0"/>
            <w:tcMar>
              <w:left w:w="28" w:type="dxa"/>
              <w:right w:w="28" w:type="dxa"/>
            </w:tcMar>
            <w:vAlign w:val="center"/>
          </w:tcPr>
          <w:p>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本项目</w:t>
            </w:r>
          </w:p>
          <w:p>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4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④</w:t>
            </w:r>
            <w:r>
              <w:rPr>
                <w:rFonts w:hint="default" w:ascii="Times New Roman" w:hAnsi="Times New Roman" w:eastAsia="黑体" w:cs="Times New Roman"/>
                <w:snapToGrid w:val="0"/>
                <w:color w:val="000000"/>
                <w:spacing w:val="-6"/>
                <w:kern w:val="21"/>
                <w:szCs w:val="21"/>
              </w:rPr>
              <w:fldChar w:fldCharType="end"/>
            </w:r>
          </w:p>
        </w:tc>
        <w:tc>
          <w:tcPr>
            <w:tcW w:w="1550" w:type="dxa"/>
            <w:noWrap w:val="0"/>
            <w:tcMar>
              <w:left w:w="28" w:type="dxa"/>
              <w:right w:w="28" w:type="dxa"/>
            </w:tcMar>
            <w:vAlign w:val="center"/>
          </w:tcPr>
          <w:p>
            <w:pPr>
              <w:pStyle w:val="37"/>
              <w:spacing w:beforeLines="0" w:afterLines="0" w:line="240" w:lineRule="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以新带老削减量</w:t>
            </w:r>
          </w:p>
          <w:p>
            <w:pPr>
              <w:pStyle w:val="37"/>
              <w:spacing w:beforeLines="0" w:afterLines="0" w:line="240" w:lineRule="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（新建项目不填）</w:t>
            </w:r>
            <w:r>
              <w:rPr>
                <w:rFonts w:hint="default" w:ascii="Times New Roman" w:hAnsi="Times New Roman" w:eastAsia="黑体" w:cs="Times New Roman"/>
                <w:snapToGrid w:val="0"/>
                <w:color w:val="000000"/>
                <w:spacing w:val="-16"/>
                <w:kern w:val="21"/>
                <w:szCs w:val="21"/>
              </w:rPr>
              <w:fldChar w:fldCharType="begin"/>
            </w:r>
            <w:r>
              <w:rPr>
                <w:rFonts w:hint="default" w:ascii="Times New Roman" w:hAnsi="Times New Roman" w:eastAsia="黑体" w:cs="Times New Roman"/>
                <w:snapToGrid w:val="0"/>
                <w:color w:val="000000"/>
                <w:spacing w:val="-16"/>
                <w:kern w:val="21"/>
                <w:szCs w:val="21"/>
              </w:rPr>
              <w:instrText xml:space="preserve"> = 5 \* GB3 \* MERGEFORMAT </w:instrText>
            </w:r>
            <w:r>
              <w:rPr>
                <w:rFonts w:hint="default" w:ascii="Times New Roman" w:hAnsi="Times New Roman" w:eastAsia="黑体" w:cs="Times New Roman"/>
                <w:snapToGrid w:val="0"/>
                <w:color w:val="000000"/>
                <w:spacing w:val="-16"/>
                <w:kern w:val="21"/>
                <w:szCs w:val="21"/>
              </w:rPr>
              <w:fldChar w:fldCharType="separate"/>
            </w:r>
            <w:r>
              <w:rPr>
                <w:rFonts w:hint="default" w:ascii="Times New Roman" w:hAnsi="Times New Roman" w:eastAsia="黑体" w:cs="Times New Roman"/>
                <w:kern w:val="2"/>
                <w:szCs w:val="21"/>
              </w:rPr>
              <w:t>⑤</w:t>
            </w:r>
            <w:r>
              <w:rPr>
                <w:rFonts w:hint="default" w:ascii="Times New Roman" w:hAnsi="Times New Roman" w:eastAsia="黑体" w:cs="Times New Roman"/>
                <w:snapToGrid w:val="0"/>
                <w:color w:val="000000"/>
                <w:spacing w:val="-16"/>
                <w:kern w:val="21"/>
                <w:szCs w:val="21"/>
              </w:rPr>
              <w:fldChar w:fldCharType="end"/>
            </w:r>
          </w:p>
        </w:tc>
        <w:tc>
          <w:tcPr>
            <w:tcW w:w="2233" w:type="dxa"/>
            <w:noWrap w:val="0"/>
            <w:tcMar>
              <w:left w:w="28" w:type="dxa"/>
              <w:right w:w="28" w:type="dxa"/>
            </w:tcMar>
            <w:vAlign w:val="center"/>
          </w:tcPr>
          <w:p>
            <w:pPr>
              <w:pStyle w:val="37"/>
              <w:spacing w:beforeLines="0" w:afterLines="0" w:line="240" w:lineRule="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本项目建成后</w:t>
            </w:r>
          </w:p>
          <w:p>
            <w:pPr>
              <w:pStyle w:val="37"/>
              <w:spacing w:beforeLines="0" w:afterLines="0" w:line="240" w:lineRule="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全厂排放量（固体废物产生量）</w:t>
            </w:r>
            <w:r>
              <w:rPr>
                <w:rFonts w:hint="default" w:ascii="Times New Roman" w:hAnsi="Times New Roman" w:eastAsia="黑体" w:cs="Times New Roman"/>
                <w:snapToGrid w:val="0"/>
                <w:color w:val="000000"/>
                <w:spacing w:val="-16"/>
                <w:kern w:val="21"/>
                <w:szCs w:val="21"/>
              </w:rPr>
              <w:fldChar w:fldCharType="begin"/>
            </w:r>
            <w:r>
              <w:rPr>
                <w:rFonts w:hint="default" w:ascii="Times New Roman" w:hAnsi="Times New Roman" w:eastAsia="黑体" w:cs="Times New Roman"/>
                <w:snapToGrid w:val="0"/>
                <w:color w:val="000000"/>
                <w:spacing w:val="-16"/>
                <w:kern w:val="21"/>
                <w:szCs w:val="21"/>
              </w:rPr>
              <w:instrText xml:space="preserve"> = 6 \* GB3 \* MERGEFORMAT </w:instrText>
            </w:r>
            <w:r>
              <w:rPr>
                <w:rFonts w:hint="default" w:ascii="Times New Roman" w:hAnsi="Times New Roman" w:eastAsia="黑体" w:cs="Times New Roman"/>
                <w:snapToGrid w:val="0"/>
                <w:color w:val="000000"/>
                <w:spacing w:val="-16"/>
                <w:kern w:val="21"/>
                <w:szCs w:val="21"/>
              </w:rPr>
              <w:fldChar w:fldCharType="separate"/>
            </w:r>
            <w:r>
              <w:rPr>
                <w:rFonts w:hint="default" w:ascii="Times New Roman" w:hAnsi="Times New Roman" w:eastAsia="黑体" w:cs="Times New Roman"/>
                <w:kern w:val="2"/>
                <w:szCs w:val="21"/>
              </w:rPr>
              <w:t>⑥</w:t>
            </w:r>
            <w:r>
              <w:rPr>
                <w:rFonts w:hint="default" w:ascii="Times New Roman" w:hAnsi="Times New Roman" w:eastAsia="黑体" w:cs="Times New Roman"/>
                <w:snapToGrid w:val="0"/>
                <w:color w:val="000000"/>
                <w:spacing w:val="-16"/>
                <w:kern w:val="21"/>
                <w:szCs w:val="21"/>
              </w:rPr>
              <w:fldChar w:fldCharType="end"/>
            </w:r>
          </w:p>
        </w:tc>
        <w:tc>
          <w:tcPr>
            <w:tcW w:w="1153" w:type="dxa"/>
            <w:noWrap w:val="0"/>
            <w:tcMar>
              <w:left w:w="28" w:type="dxa"/>
              <w:right w:w="28" w:type="dxa"/>
            </w:tcMar>
            <w:vAlign w:val="center"/>
          </w:tcPr>
          <w:p>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变化量</w:t>
            </w:r>
          </w:p>
          <w:p>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7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⑦</w:t>
            </w:r>
            <w:r>
              <w:rPr>
                <w:rFonts w:hint="default" w:ascii="Times New Roman" w:hAnsi="Times New Roman" w:eastAsia="黑体" w:cs="Times New Roman"/>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37"/>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废气</w:t>
            </w:r>
          </w:p>
        </w:tc>
        <w:tc>
          <w:tcPr>
            <w:tcW w:w="1417" w:type="dxa"/>
            <w:noWrap w:val="0"/>
            <w:vAlign w:val="center"/>
          </w:tcPr>
          <w:p>
            <w:pPr>
              <w:pStyle w:val="37"/>
              <w:spacing w:beforeLines="0" w:afterLines="0"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颗粒物</w:t>
            </w:r>
          </w:p>
        </w:tc>
        <w:tc>
          <w:tcPr>
            <w:tcW w:w="1701" w:type="dxa"/>
            <w:noWrap w:val="0"/>
            <w:vAlign w:val="center"/>
          </w:tcPr>
          <w:p>
            <w:pPr>
              <w:pStyle w:val="37"/>
              <w:spacing w:beforeLines="0" w:afterLines="0" w:line="240" w:lineRule="auto"/>
              <w:rPr>
                <w:rFonts w:hint="default" w:ascii="Times New Roman" w:hAnsi="Times New Roman" w:cs="Times New Roman"/>
                <w:snapToGrid w:val="0"/>
                <w:color w:val="000000"/>
                <w:kern w:val="21"/>
                <w:szCs w:val="21"/>
              </w:rPr>
            </w:pPr>
          </w:p>
        </w:tc>
        <w:tc>
          <w:tcPr>
            <w:tcW w:w="1113" w:type="dxa"/>
            <w:noWrap w:val="0"/>
            <w:vAlign w:val="center"/>
          </w:tcPr>
          <w:p>
            <w:pPr>
              <w:pStyle w:val="37"/>
              <w:spacing w:beforeLines="0" w:afterLines="0" w:line="240" w:lineRule="auto"/>
              <w:rPr>
                <w:rFonts w:hint="default" w:ascii="Times New Roman" w:hAnsi="Times New Roman" w:cs="Times New Roman"/>
                <w:snapToGrid w:val="0"/>
                <w:color w:val="000000"/>
                <w:kern w:val="21"/>
                <w:szCs w:val="21"/>
              </w:rPr>
            </w:pPr>
          </w:p>
        </w:tc>
        <w:tc>
          <w:tcPr>
            <w:tcW w:w="1566" w:type="dxa"/>
            <w:noWrap w:val="0"/>
            <w:vAlign w:val="center"/>
          </w:tcPr>
          <w:p>
            <w:pPr>
              <w:pStyle w:val="37"/>
              <w:spacing w:beforeLines="0" w:afterLines="0" w:line="240" w:lineRule="auto"/>
              <w:rPr>
                <w:rFonts w:hint="default" w:ascii="Times New Roman" w:hAnsi="Times New Roman" w:cs="Times New Roman"/>
                <w:snapToGrid w:val="0"/>
                <w:color w:val="000000"/>
                <w:kern w:val="21"/>
                <w:szCs w:val="21"/>
              </w:rPr>
            </w:pPr>
          </w:p>
        </w:tc>
        <w:tc>
          <w:tcPr>
            <w:tcW w:w="1467" w:type="dxa"/>
            <w:noWrap w:val="0"/>
            <w:vAlign w:val="center"/>
          </w:tcPr>
          <w:p>
            <w:pPr>
              <w:pStyle w:val="37"/>
              <w:spacing w:beforeLines="-2147483648" w:afterLines="-2147483648" w:line="240" w:lineRule="auto"/>
              <w:rPr>
                <w:rFonts w:hint="default" w:ascii="宋体" w:hAnsi="Times New Roman" w:eastAsia="宋体" w:cs="Times New Roman"/>
                <w:snapToGrid/>
                <w:kern w:val="0"/>
                <w:szCs w:val="20"/>
                <w:lang w:val="en-US" w:eastAsia="zh-CN"/>
              </w:rPr>
            </w:pPr>
            <w:r>
              <w:rPr>
                <w:rFonts w:hint="default" w:ascii="宋体" w:cs="Times New Roman"/>
                <w:snapToGrid/>
                <w:kern w:val="0"/>
                <w:szCs w:val="20"/>
                <w:lang w:val="en-US" w:eastAsia="zh-CN"/>
              </w:rPr>
              <w:t>0.054</w:t>
            </w:r>
            <w:r>
              <w:rPr>
                <w:rFonts w:hint="default" w:ascii="宋体" w:hAnsi="Times New Roman" w:eastAsia="宋体" w:cs="Times New Roman"/>
                <w:snapToGrid/>
                <w:kern w:val="0"/>
                <w:sz w:val="21"/>
                <w:szCs w:val="20"/>
                <w:lang w:val="en-US" w:eastAsia="zh-CN" w:bidi="ar-SA"/>
              </w:rPr>
              <w:t>t/a</w:t>
            </w:r>
          </w:p>
        </w:tc>
        <w:tc>
          <w:tcPr>
            <w:tcW w:w="1550" w:type="dxa"/>
            <w:noWrap w:val="0"/>
            <w:vAlign w:val="center"/>
          </w:tcPr>
          <w:p>
            <w:pPr>
              <w:pStyle w:val="37"/>
              <w:spacing w:beforeLines="-2147483648" w:afterLines="-2147483648" w:line="240" w:lineRule="auto"/>
              <w:rPr>
                <w:rFonts w:hint="default" w:ascii="宋体" w:hAnsi="Times New Roman" w:cs="Times New Roman"/>
                <w:snapToGrid/>
                <w:kern w:val="0"/>
                <w:szCs w:val="20"/>
              </w:rPr>
            </w:pPr>
          </w:p>
        </w:tc>
        <w:tc>
          <w:tcPr>
            <w:tcW w:w="2233" w:type="dxa"/>
            <w:noWrap w:val="0"/>
            <w:vAlign w:val="center"/>
          </w:tcPr>
          <w:p>
            <w:pPr>
              <w:pStyle w:val="37"/>
              <w:spacing w:beforeLines="-2147483648" w:afterLines="-2147483648" w:line="240" w:lineRule="auto"/>
              <w:rPr>
                <w:rFonts w:hint="default" w:ascii="宋体" w:hAnsi="Times New Roman" w:eastAsia="宋体" w:cs="Times New Roman"/>
                <w:snapToGrid/>
                <w:kern w:val="0"/>
                <w:sz w:val="21"/>
                <w:szCs w:val="20"/>
                <w:lang w:val="en-US" w:eastAsia="zh-CN" w:bidi="ar-SA"/>
              </w:rPr>
            </w:pPr>
            <w:r>
              <w:rPr>
                <w:rFonts w:hint="default" w:ascii="宋体" w:cs="Times New Roman"/>
                <w:snapToGrid/>
                <w:kern w:val="0"/>
                <w:szCs w:val="20"/>
                <w:lang w:val="en-US" w:eastAsia="zh-CN"/>
              </w:rPr>
              <w:t>0.054</w:t>
            </w:r>
            <w:r>
              <w:rPr>
                <w:rFonts w:hint="default" w:ascii="宋体" w:hAnsi="Times New Roman" w:eastAsia="宋体" w:cs="Times New Roman"/>
                <w:snapToGrid/>
                <w:kern w:val="0"/>
                <w:sz w:val="21"/>
                <w:szCs w:val="20"/>
                <w:lang w:val="en-US" w:eastAsia="zh-CN" w:bidi="ar-SA"/>
              </w:rPr>
              <w:t>t/a</w:t>
            </w:r>
          </w:p>
        </w:tc>
        <w:tc>
          <w:tcPr>
            <w:tcW w:w="1153" w:type="dxa"/>
            <w:noWrap w:val="0"/>
            <w:vAlign w:val="center"/>
          </w:tcPr>
          <w:p>
            <w:pPr>
              <w:pStyle w:val="37"/>
              <w:spacing w:beforeLines="-2147483648" w:afterLines="-2147483648" w:line="240" w:lineRule="auto"/>
              <w:rPr>
                <w:rFonts w:hint="default" w:ascii="宋体" w:hAnsi="Times New Roman" w:eastAsia="宋体" w:cs="Times New Roman"/>
                <w:snapToGrid/>
                <w:kern w:val="0"/>
                <w:sz w:val="21"/>
                <w:szCs w:val="20"/>
                <w:lang w:val="en-US" w:eastAsia="zh-CN" w:bidi="ar-SA"/>
              </w:rPr>
            </w:pPr>
            <w:r>
              <w:rPr>
                <w:rFonts w:hint="default" w:ascii="宋体" w:cs="Times New Roman"/>
                <w:snapToGrid/>
                <w:kern w:val="0"/>
                <w:szCs w:val="20"/>
                <w:lang w:val="en-US" w:eastAsia="zh-CN"/>
              </w:rPr>
              <w:t>0.054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37"/>
              <w:spacing w:beforeLines="0" w:afterLines="0" w:line="240" w:lineRule="auto"/>
              <w:rPr>
                <w:rFonts w:hint="default" w:ascii="Times New Roman" w:hAnsi="Times New Roman" w:cs="Times New Roman"/>
                <w:snapToGrid w:val="0"/>
                <w:color w:val="000000"/>
                <w:kern w:val="21"/>
                <w:szCs w:val="21"/>
              </w:rPr>
            </w:pPr>
          </w:p>
        </w:tc>
        <w:tc>
          <w:tcPr>
            <w:tcW w:w="1417" w:type="dxa"/>
            <w:noWrap w:val="0"/>
            <w:vAlign w:val="center"/>
          </w:tcPr>
          <w:p>
            <w:pPr>
              <w:keepLines w:val="0"/>
              <w:pageBreakBefore w:val="0"/>
              <w:kinsoku/>
              <w:topLinePunct w:val="0"/>
              <w:bidi w:val="0"/>
              <w:jc w:val="center"/>
              <w:rPr>
                <w:rFonts w:hint="eastAsia" w:eastAsia="宋体"/>
                <w:kern w:val="2"/>
                <w:sz w:val="21"/>
                <w:szCs w:val="24"/>
                <w:lang w:val="en-US" w:eastAsia="zh-CN" w:bidi="ar-SA"/>
              </w:rPr>
            </w:pPr>
            <w:r>
              <w:rPr>
                <w:rFonts w:hint="eastAsia"/>
                <w:lang w:val="en-US" w:eastAsia="zh-CN"/>
              </w:rPr>
              <w:t>SO</w:t>
            </w:r>
            <w:r>
              <w:rPr>
                <w:rFonts w:hint="eastAsia"/>
                <w:vertAlign w:val="subscript"/>
                <w:lang w:val="en-US" w:eastAsia="zh-CN"/>
              </w:rPr>
              <w:t>2</w:t>
            </w:r>
          </w:p>
        </w:tc>
        <w:tc>
          <w:tcPr>
            <w:tcW w:w="1701" w:type="dxa"/>
            <w:noWrap w:val="0"/>
            <w:vAlign w:val="center"/>
          </w:tcPr>
          <w:p>
            <w:pPr>
              <w:pStyle w:val="37"/>
              <w:spacing w:beforeLines="0" w:afterLines="0" w:line="240" w:lineRule="auto"/>
              <w:rPr>
                <w:rFonts w:hint="default" w:ascii="Times New Roman" w:hAnsi="Times New Roman" w:cs="Times New Roman"/>
                <w:snapToGrid w:val="0"/>
                <w:color w:val="000000"/>
                <w:kern w:val="21"/>
                <w:szCs w:val="21"/>
              </w:rPr>
            </w:pPr>
          </w:p>
        </w:tc>
        <w:tc>
          <w:tcPr>
            <w:tcW w:w="1113" w:type="dxa"/>
            <w:noWrap w:val="0"/>
            <w:vAlign w:val="center"/>
          </w:tcPr>
          <w:p>
            <w:pPr>
              <w:pStyle w:val="37"/>
              <w:spacing w:beforeLines="0" w:afterLines="0" w:line="240" w:lineRule="auto"/>
              <w:rPr>
                <w:rFonts w:hint="default" w:ascii="Times New Roman" w:hAnsi="Times New Roman" w:cs="Times New Roman"/>
                <w:snapToGrid w:val="0"/>
                <w:color w:val="000000"/>
                <w:kern w:val="21"/>
                <w:szCs w:val="21"/>
              </w:rPr>
            </w:pPr>
          </w:p>
        </w:tc>
        <w:tc>
          <w:tcPr>
            <w:tcW w:w="1566" w:type="dxa"/>
            <w:noWrap w:val="0"/>
            <w:vAlign w:val="center"/>
          </w:tcPr>
          <w:p>
            <w:pPr>
              <w:pStyle w:val="37"/>
              <w:spacing w:beforeLines="0" w:afterLines="0" w:line="240" w:lineRule="auto"/>
              <w:rPr>
                <w:rFonts w:hint="default" w:ascii="Times New Roman" w:hAnsi="Times New Roman" w:cs="Times New Roman"/>
                <w:snapToGrid w:val="0"/>
                <w:color w:val="000000"/>
                <w:kern w:val="21"/>
                <w:szCs w:val="21"/>
              </w:rPr>
            </w:pPr>
          </w:p>
        </w:tc>
        <w:tc>
          <w:tcPr>
            <w:tcW w:w="1467" w:type="dxa"/>
            <w:noWrap w:val="0"/>
            <w:vAlign w:val="center"/>
          </w:tcPr>
          <w:p>
            <w:pPr>
              <w:pStyle w:val="37"/>
              <w:spacing w:beforeLines="-2147483648" w:afterLines="-2147483648" w:line="240" w:lineRule="auto"/>
              <w:rPr>
                <w:rFonts w:hint="default" w:ascii="宋体" w:hAnsi="Times New Roman" w:eastAsia="宋体" w:cs="Times New Roman"/>
                <w:snapToGrid/>
                <w:kern w:val="0"/>
                <w:szCs w:val="20"/>
                <w:lang w:val="en-US" w:eastAsia="zh-CN"/>
              </w:rPr>
            </w:pPr>
            <w:r>
              <w:rPr>
                <w:rFonts w:hint="default" w:ascii="宋体" w:cs="Times New Roman"/>
                <w:snapToGrid/>
                <w:kern w:val="0"/>
                <w:szCs w:val="20"/>
                <w:lang w:val="en-US" w:eastAsia="zh-CN"/>
              </w:rPr>
              <w:t>0.184</w:t>
            </w:r>
            <w:r>
              <w:rPr>
                <w:rFonts w:hint="default" w:ascii="宋体" w:hAnsi="Times New Roman" w:eastAsia="宋体" w:cs="Times New Roman"/>
                <w:snapToGrid/>
                <w:kern w:val="0"/>
                <w:sz w:val="21"/>
                <w:szCs w:val="20"/>
                <w:lang w:val="en-US" w:eastAsia="zh-CN" w:bidi="ar-SA"/>
              </w:rPr>
              <w:t>t/a</w:t>
            </w:r>
          </w:p>
        </w:tc>
        <w:tc>
          <w:tcPr>
            <w:tcW w:w="1550" w:type="dxa"/>
            <w:noWrap w:val="0"/>
            <w:vAlign w:val="center"/>
          </w:tcPr>
          <w:p>
            <w:pPr>
              <w:pStyle w:val="37"/>
              <w:spacing w:beforeLines="-2147483648" w:afterLines="-2147483648" w:line="240" w:lineRule="auto"/>
              <w:rPr>
                <w:rFonts w:hint="default" w:ascii="宋体" w:hAnsi="Times New Roman" w:cs="Times New Roman"/>
                <w:snapToGrid/>
                <w:kern w:val="0"/>
                <w:szCs w:val="20"/>
              </w:rPr>
            </w:pPr>
          </w:p>
        </w:tc>
        <w:tc>
          <w:tcPr>
            <w:tcW w:w="2233" w:type="dxa"/>
            <w:noWrap w:val="0"/>
            <w:vAlign w:val="center"/>
          </w:tcPr>
          <w:p>
            <w:pPr>
              <w:pStyle w:val="37"/>
              <w:spacing w:beforeLines="-2147483648" w:afterLines="-2147483648" w:line="240" w:lineRule="auto"/>
              <w:rPr>
                <w:rFonts w:hint="default" w:ascii="宋体" w:hAnsi="Times New Roman" w:eastAsia="宋体" w:cs="Times New Roman"/>
                <w:snapToGrid/>
                <w:kern w:val="0"/>
                <w:sz w:val="21"/>
                <w:szCs w:val="20"/>
                <w:lang w:val="en-US" w:eastAsia="zh-CN" w:bidi="ar-SA"/>
              </w:rPr>
            </w:pPr>
            <w:r>
              <w:rPr>
                <w:rFonts w:hint="default" w:ascii="宋体" w:cs="Times New Roman"/>
                <w:snapToGrid/>
                <w:kern w:val="0"/>
                <w:szCs w:val="20"/>
                <w:lang w:val="en-US" w:eastAsia="zh-CN"/>
              </w:rPr>
              <w:t>0.184</w:t>
            </w:r>
            <w:r>
              <w:rPr>
                <w:rFonts w:hint="default" w:ascii="宋体" w:hAnsi="Times New Roman" w:eastAsia="宋体" w:cs="Times New Roman"/>
                <w:snapToGrid/>
                <w:kern w:val="0"/>
                <w:sz w:val="21"/>
                <w:szCs w:val="20"/>
                <w:lang w:val="en-US" w:eastAsia="zh-CN" w:bidi="ar-SA"/>
              </w:rPr>
              <w:t>t/a</w:t>
            </w:r>
          </w:p>
        </w:tc>
        <w:tc>
          <w:tcPr>
            <w:tcW w:w="1153" w:type="dxa"/>
            <w:noWrap w:val="0"/>
            <w:vAlign w:val="center"/>
          </w:tcPr>
          <w:p>
            <w:pPr>
              <w:pStyle w:val="37"/>
              <w:spacing w:beforeLines="-2147483648" w:afterLines="-2147483648" w:line="240" w:lineRule="auto"/>
              <w:rPr>
                <w:rFonts w:hint="default" w:ascii="宋体" w:hAnsi="Times New Roman" w:eastAsia="宋体" w:cs="Times New Roman"/>
                <w:snapToGrid/>
                <w:kern w:val="0"/>
                <w:sz w:val="21"/>
                <w:szCs w:val="20"/>
                <w:lang w:val="en-US" w:eastAsia="zh-CN" w:bidi="ar-SA"/>
              </w:rPr>
            </w:pPr>
            <w:r>
              <w:rPr>
                <w:rFonts w:hint="default" w:ascii="宋体" w:cs="Times New Roman"/>
                <w:snapToGrid/>
                <w:kern w:val="0"/>
                <w:sz w:val="21"/>
                <w:szCs w:val="20"/>
                <w:lang w:val="en-US" w:eastAsia="zh-CN" w:bidi="ar-SA"/>
              </w:rPr>
              <w:t>0.184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37"/>
              <w:spacing w:beforeLines="0" w:afterLines="0" w:line="240" w:lineRule="auto"/>
              <w:rPr>
                <w:rFonts w:hint="default" w:ascii="Times New Roman" w:hAnsi="Times New Roman" w:cs="Times New Roman"/>
                <w:snapToGrid w:val="0"/>
                <w:color w:val="000000"/>
                <w:kern w:val="21"/>
                <w:szCs w:val="21"/>
              </w:rPr>
            </w:pPr>
          </w:p>
        </w:tc>
        <w:tc>
          <w:tcPr>
            <w:tcW w:w="1417" w:type="dxa"/>
            <w:noWrap w:val="0"/>
            <w:vAlign w:val="center"/>
          </w:tcPr>
          <w:p>
            <w:pPr>
              <w:keepLines w:val="0"/>
              <w:pageBreakBefore w:val="0"/>
              <w:kinsoku/>
              <w:topLinePunct w:val="0"/>
              <w:bidi w:val="0"/>
              <w:jc w:val="center"/>
              <w:rPr>
                <w:rFonts w:hint="default" w:eastAsia="宋体"/>
                <w:color w:val="auto"/>
                <w:kern w:val="2"/>
                <w:sz w:val="21"/>
                <w:szCs w:val="24"/>
                <w:lang w:val="en-US" w:eastAsia="zh-CN" w:bidi="ar-SA"/>
              </w:rPr>
            </w:pPr>
            <w:r>
              <w:rPr>
                <w:rFonts w:hint="eastAsia"/>
                <w:color w:val="auto"/>
                <w:lang w:val="en-US" w:eastAsia="zh-CN"/>
              </w:rPr>
              <w:t>NO</w:t>
            </w:r>
            <w:r>
              <w:rPr>
                <w:rFonts w:hint="eastAsia"/>
                <w:color w:val="auto"/>
                <w:vertAlign w:val="subscript"/>
                <w:lang w:val="en-US" w:eastAsia="zh-CN"/>
              </w:rPr>
              <w:t>X</w:t>
            </w:r>
          </w:p>
        </w:tc>
        <w:tc>
          <w:tcPr>
            <w:tcW w:w="1701" w:type="dxa"/>
            <w:noWrap w:val="0"/>
            <w:vAlign w:val="center"/>
          </w:tcPr>
          <w:p>
            <w:pPr>
              <w:pStyle w:val="37"/>
              <w:spacing w:beforeLines="0" w:afterLines="0" w:line="240" w:lineRule="auto"/>
              <w:rPr>
                <w:rFonts w:hint="default" w:ascii="Times New Roman" w:hAnsi="Times New Roman" w:cs="Times New Roman"/>
                <w:snapToGrid w:val="0"/>
                <w:color w:val="auto"/>
                <w:kern w:val="21"/>
                <w:szCs w:val="21"/>
              </w:rPr>
            </w:pPr>
          </w:p>
        </w:tc>
        <w:tc>
          <w:tcPr>
            <w:tcW w:w="1113" w:type="dxa"/>
            <w:noWrap w:val="0"/>
            <w:vAlign w:val="center"/>
          </w:tcPr>
          <w:p>
            <w:pPr>
              <w:pStyle w:val="37"/>
              <w:spacing w:beforeLines="0" w:afterLines="0" w:line="240" w:lineRule="auto"/>
              <w:rPr>
                <w:rFonts w:hint="default" w:ascii="Times New Roman" w:hAnsi="Times New Roman" w:cs="Times New Roman"/>
                <w:snapToGrid w:val="0"/>
                <w:color w:val="auto"/>
                <w:kern w:val="21"/>
                <w:szCs w:val="21"/>
              </w:rPr>
            </w:pPr>
          </w:p>
        </w:tc>
        <w:tc>
          <w:tcPr>
            <w:tcW w:w="1566" w:type="dxa"/>
            <w:noWrap w:val="0"/>
            <w:vAlign w:val="center"/>
          </w:tcPr>
          <w:p>
            <w:pPr>
              <w:pStyle w:val="37"/>
              <w:spacing w:beforeLines="0" w:afterLines="0" w:line="240" w:lineRule="auto"/>
              <w:rPr>
                <w:rFonts w:hint="default" w:ascii="Times New Roman" w:hAnsi="Times New Roman" w:cs="Times New Roman"/>
                <w:snapToGrid w:val="0"/>
                <w:color w:val="auto"/>
                <w:kern w:val="21"/>
                <w:szCs w:val="21"/>
              </w:rPr>
            </w:pPr>
          </w:p>
        </w:tc>
        <w:tc>
          <w:tcPr>
            <w:tcW w:w="1467" w:type="dxa"/>
            <w:noWrap w:val="0"/>
            <w:vAlign w:val="center"/>
          </w:tcPr>
          <w:p>
            <w:pPr>
              <w:pStyle w:val="37"/>
              <w:spacing w:beforeLines="-2147483648" w:afterLines="-2147483648" w:line="240" w:lineRule="auto"/>
              <w:rPr>
                <w:rFonts w:hint="default" w:ascii="宋体" w:hAnsi="Times New Roman" w:eastAsia="宋体" w:cs="Times New Roman"/>
                <w:snapToGrid/>
                <w:color w:val="auto"/>
                <w:kern w:val="0"/>
                <w:szCs w:val="20"/>
                <w:lang w:val="en-US" w:eastAsia="zh-CN"/>
              </w:rPr>
            </w:pPr>
            <w:r>
              <w:rPr>
                <w:rFonts w:hint="default" w:ascii="宋体" w:cs="Times New Roman"/>
                <w:snapToGrid/>
                <w:color w:val="auto"/>
                <w:kern w:val="0"/>
                <w:szCs w:val="20"/>
                <w:lang w:val="en-US" w:eastAsia="zh-CN"/>
              </w:rPr>
              <w:t>0.</w:t>
            </w:r>
            <w:r>
              <w:rPr>
                <w:rFonts w:hint="eastAsia" w:cs="Times New Roman"/>
                <w:snapToGrid/>
                <w:color w:val="auto"/>
                <w:kern w:val="0"/>
                <w:szCs w:val="20"/>
                <w:lang w:val="en-US" w:eastAsia="zh-CN"/>
              </w:rPr>
              <w:t>386</w:t>
            </w:r>
            <w:r>
              <w:rPr>
                <w:rFonts w:hint="default" w:ascii="宋体" w:hAnsi="Times New Roman" w:eastAsia="宋体" w:cs="Times New Roman"/>
                <w:snapToGrid/>
                <w:color w:val="auto"/>
                <w:kern w:val="0"/>
                <w:sz w:val="21"/>
                <w:szCs w:val="20"/>
                <w:lang w:val="en-US" w:eastAsia="zh-CN" w:bidi="ar-SA"/>
              </w:rPr>
              <w:t>t/a</w:t>
            </w:r>
          </w:p>
        </w:tc>
        <w:tc>
          <w:tcPr>
            <w:tcW w:w="1550" w:type="dxa"/>
            <w:noWrap w:val="0"/>
            <w:vAlign w:val="center"/>
          </w:tcPr>
          <w:p>
            <w:pPr>
              <w:pStyle w:val="37"/>
              <w:spacing w:beforeLines="-2147483648" w:afterLines="-2147483648" w:line="240" w:lineRule="auto"/>
              <w:rPr>
                <w:rFonts w:hint="default" w:ascii="宋体" w:hAnsi="Times New Roman" w:cs="Times New Roman"/>
                <w:snapToGrid/>
                <w:color w:val="auto"/>
                <w:kern w:val="0"/>
                <w:szCs w:val="20"/>
              </w:rPr>
            </w:pPr>
          </w:p>
        </w:tc>
        <w:tc>
          <w:tcPr>
            <w:tcW w:w="2233" w:type="dxa"/>
            <w:noWrap w:val="0"/>
            <w:vAlign w:val="center"/>
          </w:tcPr>
          <w:p>
            <w:pPr>
              <w:pStyle w:val="37"/>
              <w:spacing w:beforeLines="-2147483648" w:afterLines="-2147483648" w:line="240" w:lineRule="auto"/>
              <w:rPr>
                <w:rFonts w:hint="default" w:ascii="宋体" w:hAnsi="Times New Roman" w:eastAsia="宋体" w:cs="Times New Roman"/>
                <w:snapToGrid/>
                <w:color w:val="auto"/>
                <w:kern w:val="0"/>
                <w:sz w:val="21"/>
                <w:szCs w:val="20"/>
                <w:lang w:val="en-US" w:eastAsia="zh-CN" w:bidi="ar-SA"/>
              </w:rPr>
            </w:pPr>
            <w:r>
              <w:rPr>
                <w:rFonts w:hint="default" w:ascii="宋体" w:cs="Times New Roman"/>
                <w:snapToGrid/>
                <w:color w:val="auto"/>
                <w:kern w:val="0"/>
                <w:szCs w:val="20"/>
                <w:lang w:val="en-US" w:eastAsia="zh-CN"/>
              </w:rPr>
              <w:t>0.</w:t>
            </w:r>
            <w:r>
              <w:rPr>
                <w:rFonts w:hint="eastAsia" w:cs="Times New Roman"/>
                <w:snapToGrid/>
                <w:color w:val="auto"/>
                <w:kern w:val="0"/>
                <w:szCs w:val="20"/>
                <w:lang w:val="en-US" w:eastAsia="zh-CN"/>
              </w:rPr>
              <w:t>386</w:t>
            </w:r>
            <w:r>
              <w:rPr>
                <w:rFonts w:hint="default" w:ascii="宋体" w:hAnsi="Times New Roman" w:eastAsia="宋体" w:cs="Times New Roman"/>
                <w:snapToGrid/>
                <w:color w:val="auto"/>
                <w:kern w:val="0"/>
                <w:sz w:val="21"/>
                <w:szCs w:val="20"/>
                <w:lang w:val="en-US" w:eastAsia="zh-CN" w:bidi="ar-SA"/>
              </w:rPr>
              <w:t>t/a</w:t>
            </w:r>
          </w:p>
        </w:tc>
        <w:tc>
          <w:tcPr>
            <w:tcW w:w="1153" w:type="dxa"/>
            <w:noWrap w:val="0"/>
            <w:vAlign w:val="center"/>
          </w:tcPr>
          <w:p>
            <w:pPr>
              <w:pStyle w:val="37"/>
              <w:spacing w:beforeLines="-2147483648" w:afterLines="-2147483648" w:line="240" w:lineRule="auto"/>
              <w:rPr>
                <w:rFonts w:hint="default" w:ascii="宋体" w:hAnsi="Times New Roman" w:eastAsia="宋体" w:cs="Times New Roman"/>
                <w:snapToGrid/>
                <w:color w:val="auto"/>
                <w:kern w:val="0"/>
                <w:sz w:val="21"/>
                <w:szCs w:val="20"/>
                <w:lang w:val="en-US" w:eastAsia="zh-CN" w:bidi="ar-SA"/>
              </w:rPr>
            </w:pPr>
            <w:r>
              <w:rPr>
                <w:rFonts w:hint="default" w:ascii="宋体" w:cs="Times New Roman"/>
                <w:snapToGrid/>
                <w:color w:val="auto"/>
                <w:kern w:val="0"/>
                <w:szCs w:val="20"/>
                <w:lang w:val="en-US" w:eastAsia="zh-CN"/>
              </w:rPr>
              <w:t>0.</w:t>
            </w:r>
            <w:r>
              <w:rPr>
                <w:rFonts w:hint="eastAsia" w:cs="Times New Roman"/>
                <w:snapToGrid/>
                <w:color w:val="auto"/>
                <w:kern w:val="0"/>
                <w:szCs w:val="20"/>
                <w:lang w:val="en-US" w:eastAsia="zh-CN"/>
              </w:rPr>
              <w:t>386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pPr>
              <w:pStyle w:val="37"/>
              <w:spacing w:beforeLines="0" w:afterLines="0" w:line="240" w:lineRule="auto"/>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废水</w:t>
            </w:r>
          </w:p>
        </w:tc>
        <w:tc>
          <w:tcPr>
            <w:tcW w:w="1417" w:type="dxa"/>
            <w:noWrap w:val="0"/>
            <w:vAlign w:val="center"/>
          </w:tcPr>
          <w:p>
            <w:pPr>
              <w:keepLines w:val="0"/>
              <w:pageBreakBefore w:val="0"/>
              <w:kinsoku/>
              <w:topLinePunct w:val="0"/>
              <w:bidi w:val="0"/>
              <w:jc w:val="center"/>
              <w:rPr>
                <w:rFonts w:hint="default"/>
                <w:lang w:val="en-US" w:eastAsia="zh-CN"/>
              </w:rPr>
            </w:pPr>
            <w:r>
              <w:rPr>
                <w:rFonts w:hint="eastAsia"/>
                <w:lang w:val="en-US" w:eastAsia="zh-CN"/>
              </w:rPr>
              <w:t>COD</w:t>
            </w:r>
          </w:p>
        </w:tc>
        <w:tc>
          <w:tcPr>
            <w:tcW w:w="1701" w:type="dxa"/>
            <w:noWrap w:val="0"/>
            <w:vAlign w:val="center"/>
          </w:tcPr>
          <w:p>
            <w:pPr>
              <w:pStyle w:val="37"/>
              <w:spacing w:beforeLines="0" w:afterLines="0" w:line="240" w:lineRule="auto"/>
              <w:rPr>
                <w:rFonts w:hint="default" w:ascii="Times New Roman" w:hAnsi="Times New Roman" w:cs="Times New Roman"/>
                <w:snapToGrid w:val="0"/>
                <w:color w:val="000000"/>
                <w:kern w:val="21"/>
                <w:szCs w:val="21"/>
              </w:rPr>
            </w:pPr>
          </w:p>
        </w:tc>
        <w:tc>
          <w:tcPr>
            <w:tcW w:w="1113" w:type="dxa"/>
            <w:noWrap w:val="0"/>
            <w:vAlign w:val="center"/>
          </w:tcPr>
          <w:p>
            <w:pPr>
              <w:pStyle w:val="37"/>
              <w:spacing w:beforeLines="0" w:afterLines="0" w:line="240" w:lineRule="auto"/>
              <w:rPr>
                <w:rFonts w:hint="default" w:ascii="Times New Roman" w:hAnsi="Times New Roman" w:cs="Times New Roman"/>
                <w:snapToGrid w:val="0"/>
                <w:color w:val="000000"/>
                <w:kern w:val="21"/>
                <w:szCs w:val="21"/>
              </w:rPr>
            </w:pPr>
          </w:p>
        </w:tc>
        <w:tc>
          <w:tcPr>
            <w:tcW w:w="1566" w:type="dxa"/>
            <w:noWrap w:val="0"/>
            <w:vAlign w:val="center"/>
          </w:tcPr>
          <w:p>
            <w:pPr>
              <w:pStyle w:val="37"/>
              <w:spacing w:beforeLines="0" w:afterLines="0" w:line="240" w:lineRule="auto"/>
              <w:rPr>
                <w:rFonts w:hint="default" w:ascii="Times New Roman" w:hAnsi="Times New Roman" w:cs="Times New Roman"/>
                <w:snapToGrid w:val="0"/>
                <w:color w:val="000000"/>
                <w:kern w:val="21"/>
                <w:szCs w:val="21"/>
              </w:rPr>
            </w:pPr>
          </w:p>
        </w:tc>
        <w:tc>
          <w:tcPr>
            <w:tcW w:w="1467" w:type="dxa"/>
            <w:noWrap w:val="0"/>
            <w:vAlign w:val="center"/>
          </w:tcPr>
          <w:p>
            <w:pPr>
              <w:pStyle w:val="37"/>
              <w:spacing w:beforeLines="-2147483648" w:afterLines="-2147483648" w:line="240" w:lineRule="auto"/>
              <w:rPr>
                <w:rFonts w:hint="default" w:ascii="宋体" w:hAnsi="Times New Roman" w:eastAsia="宋体" w:cs="Times New Roman"/>
                <w:snapToGrid/>
                <w:kern w:val="0"/>
                <w:szCs w:val="20"/>
                <w:lang w:val="en-US" w:eastAsia="zh-CN"/>
              </w:rPr>
            </w:pPr>
            <w:r>
              <w:rPr>
                <w:rFonts w:hint="default" w:ascii="宋体" w:cs="Times New Roman"/>
                <w:snapToGrid/>
                <w:kern w:val="0"/>
                <w:szCs w:val="20"/>
                <w:lang w:val="en-US" w:eastAsia="zh-CN"/>
              </w:rPr>
              <w:t>0.0108</w:t>
            </w:r>
            <w:r>
              <w:rPr>
                <w:rFonts w:hint="default" w:ascii="宋体" w:hAnsi="Times New Roman" w:eastAsia="宋体" w:cs="Times New Roman"/>
                <w:snapToGrid/>
                <w:kern w:val="0"/>
                <w:sz w:val="21"/>
                <w:szCs w:val="20"/>
                <w:lang w:val="en-US" w:eastAsia="zh-CN" w:bidi="ar-SA"/>
              </w:rPr>
              <w:t>t/a</w:t>
            </w:r>
          </w:p>
        </w:tc>
        <w:tc>
          <w:tcPr>
            <w:tcW w:w="1550" w:type="dxa"/>
            <w:noWrap w:val="0"/>
            <w:vAlign w:val="center"/>
          </w:tcPr>
          <w:p>
            <w:pPr>
              <w:pStyle w:val="37"/>
              <w:spacing w:beforeLines="-2147483648" w:afterLines="-2147483648" w:line="240" w:lineRule="auto"/>
              <w:rPr>
                <w:rFonts w:hint="default" w:ascii="宋体" w:hAnsi="Times New Roman" w:cs="Times New Roman"/>
                <w:snapToGrid/>
                <w:kern w:val="0"/>
                <w:szCs w:val="20"/>
              </w:rPr>
            </w:pPr>
          </w:p>
        </w:tc>
        <w:tc>
          <w:tcPr>
            <w:tcW w:w="2233" w:type="dxa"/>
            <w:noWrap w:val="0"/>
            <w:vAlign w:val="center"/>
          </w:tcPr>
          <w:p>
            <w:pPr>
              <w:pStyle w:val="37"/>
              <w:spacing w:beforeLines="-2147483648" w:afterLines="-2147483648" w:line="240" w:lineRule="auto"/>
              <w:rPr>
                <w:rFonts w:hint="default" w:ascii="宋体" w:hAnsi="Times New Roman" w:eastAsia="宋体" w:cs="Times New Roman"/>
                <w:snapToGrid/>
                <w:kern w:val="0"/>
                <w:szCs w:val="20"/>
                <w:lang w:val="en-US" w:eastAsia="zh-CN"/>
              </w:rPr>
            </w:pPr>
            <w:r>
              <w:rPr>
                <w:rFonts w:hint="default" w:ascii="宋体" w:cs="Times New Roman"/>
                <w:snapToGrid/>
                <w:kern w:val="0"/>
                <w:szCs w:val="20"/>
                <w:lang w:val="en-US" w:eastAsia="zh-CN"/>
              </w:rPr>
              <w:t>0.0108</w:t>
            </w:r>
          </w:p>
        </w:tc>
        <w:tc>
          <w:tcPr>
            <w:tcW w:w="1153" w:type="dxa"/>
            <w:noWrap w:val="0"/>
            <w:vAlign w:val="center"/>
          </w:tcPr>
          <w:p>
            <w:pPr>
              <w:pStyle w:val="37"/>
              <w:spacing w:beforeLines="-2147483648" w:afterLines="-2147483648" w:line="240" w:lineRule="auto"/>
              <w:rPr>
                <w:rFonts w:hint="default" w:ascii="宋体" w:hAnsi="Times New Roman" w:eastAsia="宋体" w:cs="Times New Roman"/>
                <w:snapToGrid/>
                <w:kern w:val="0"/>
                <w:szCs w:val="20"/>
                <w:lang w:val="en-US" w:eastAsia="zh-CN"/>
              </w:rPr>
            </w:pPr>
            <w:r>
              <w:rPr>
                <w:rFonts w:hint="default" w:ascii="宋体" w:cs="Times New Roman"/>
                <w:snapToGrid/>
                <w:kern w:val="0"/>
                <w:szCs w:val="20"/>
                <w:lang w:val="en-US" w:eastAsia="zh-CN"/>
              </w:rPr>
              <w:t>0.0108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shd w:val="clear" w:color="auto" w:fill="auto"/>
            <w:noWrap w:val="0"/>
            <w:vAlign w:val="center"/>
          </w:tcPr>
          <w:p>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bidi="ar-SA"/>
              </w:rPr>
              <w:t>一般工业</w:t>
            </w:r>
          </w:p>
          <w:p>
            <w:pPr>
              <w:keepNext w:val="0"/>
              <w:keepLines w:val="0"/>
              <w:widowControl w:val="0"/>
              <w:suppressLineNumbers w:val="0"/>
              <w:adjustRightInd w:val="0"/>
              <w:snapToGrid w:val="0"/>
              <w:spacing w:before="0" w:beforeLines="0" w:beforeAutospacing="0" w:after="0" w:afterLines="0" w:afterAutospacing="0" w:line="240" w:lineRule="auto"/>
              <w:ind w:left="0" w:leftChars="0" w:right="0" w:rightChars="0"/>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bidi="ar-SA"/>
              </w:rPr>
              <w:t>固体废物</w:t>
            </w:r>
          </w:p>
        </w:tc>
        <w:tc>
          <w:tcPr>
            <w:tcW w:w="1417" w:type="dxa"/>
            <w:shd w:val="clear" w:color="auto" w:fill="auto"/>
            <w:noWrap w:val="0"/>
            <w:vAlign w:val="center"/>
          </w:tcPr>
          <w:p>
            <w:pPr>
              <w:pStyle w:val="37"/>
              <w:keepNext w:val="0"/>
              <w:keepLines w:val="0"/>
              <w:suppressLineNumbers w:val="0"/>
              <w:bidi w:val="0"/>
              <w:spacing w:before="0" w:beforeAutospacing="0" w:after="0" w:afterAutospacing="0"/>
              <w:ind w:left="0" w:leftChars="0" w:right="0" w:rightChars="0"/>
              <w:jc w:val="center"/>
              <w:rPr>
                <w:rFonts w:hint="eastAsia" w:ascii="Times New Roman" w:hAnsi="宋体" w:eastAsia="宋体" w:cs="宋体"/>
                <w:snapToGrid w:val="0"/>
                <w:color w:val="000000"/>
                <w:kern w:val="21"/>
                <w:sz w:val="21"/>
                <w:szCs w:val="21"/>
                <w:lang w:val="en-US" w:eastAsia="zh-CN" w:bidi="ar-SA"/>
              </w:rPr>
            </w:pPr>
            <w:r>
              <w:rPr>
                <w:rFonts w:hint="default" w:cs="Times New Roman"/>
              </w:rPr>
              <w:t>除尘</w:t>
            </w:r>
            <w:r>
              <w:rPr>
                <w:rFonts w:hint="eastAsia" w:cs="Times New Roman"/>
                <w:lang w:val="en-US" w:eastAsia="zh-CN"/>
              </w:rPr>
              <w:t>器</w:t>
            </w:r>
            <w:r>
              <w:rPr>
                <w:rFonts w:hint="default" w:cs="Times New Roman"/>
              </w:rPr>
              <w:t>收集</w:t>
            </w:r>
            <w:r>
              <w:rPr>
                <w:rFonts w:hint="eastAsia" w:cs="Times New Roman"/>
                <w:lang w:val="en-US" w:eastAsia="zh-CN"/>
              </w:rPr>
              <w:t>的</w:t>
            </w:r>
            <w:r>
              <w:rPr>
                <w:rFonts w:hint="default" w:cs="Times New Roman"/>
              </w:rPr>
              <w:t>粉尘</w:t>
            </w:r>
          </w:p>
        </w:tc>
        <w:tc>
          <w:tcPr>
            <w:tcW w:w="1701" w:type="dxa"/>
            <w:shd w:val="clear" w:color="auto" w:fill="auto"/>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Cs w:val="21"/>
                <w:lang w:val="en-US" w:eastAsia="zh-CN"/>
              </w:rPr>
              <w:t>/</w:t>
            </w:r>
          </w:p>
        </w:tc>
        <w:tc>
          <w:tcPr>
            <w:tcW w:w="1113" w:type="dxa"/>
            <w:shd w:val="clear" w:color="auto" w:fill="auto"/>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Cs w:val="21"/>
                <w:lang w:val="en-US" w:eastAsia="zh-CN"/>
              </w:rPr>
              <w:t>/</w:t>
            </w:r>
          </w:p>
        </w:tc>
        <w:tc>
          <w:tcPr>
            <w:tcW w:w="1566" w:type="dxa"/>
            <w:shd w:val="clear" w:color="auto" w:fill="auto"/>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Cs w:val="21"/>
                <w:lang w:val="en-US" w:eastAsia="zh-CN"/>
              </w:rPr>
              <w:t>/</w:t>
            </w:r>
          </w:p>
        </w:tc>
        <w:tc>
          <w:tcPr>
            <w:tcW w:w="1467" w:type="dxa"/>
            <w:shd w:val="clear" w:color="auto" w:fill="auto"/>
            <w:noWrap w:val="0"/>
            <w:vAlign w:val="center"/>
          </w:tcPr>
          <w:p>
            <w:pPr>
              <w:keepNext w:val="0"/>
              <w:keepLines w:val="0"/>
              <w:widowControl w:val="0"/>
              <w:suppressLineNumbers w:val="0"/>
              <w:adjustRightInd w:val="0"/>
              <w:snapToGrid w:val="0"/>
              <w:spacing w:before="0" w:beforeLines="0" w:beforeAutospacing="0" w:after="0" w:afterLines="0" w:afterAutospacing="0" w:line="240" w:lineRule="auto"/>
              <w:ind w:left="0" w:leftChars="0" w:right="0" w:rightChars="0"/>
              <w:jc w:val="center"/>
              <w:rPr>
                <w:rFonts w:hint="default" w:ascii="宋体" w:hAnsi="Times New Roman" w:eastAsia="宋体" w:cs="Times New Roman"/>
                <w:snapToGrid/>
                <w:kern w:val="0"/>
                <w:sz w:val="21"/>
                <w:szCs w:val="20"/>
                <w:lang w:val="en-US" w:eastAsia="zh-CN" w:bidi="ar-SA"/>
              </w:rPr>
            </w:pPr>
            <w:r>
              <w:rPr>
                <w:rFonts w:hint="default" w:ascii="宋体" w:hAnsi="Times New Roman" w:cs="Times New Roman"/>
                <w:snapToGrid/>
                <w:kern w:val="0"/>
                <w:sz w:val="21"/>
                <w:szCs w:val="20"/>
                <w:lang w:val="en-US" w:eastAsia="zh-CN" w:bidi="ar-SA"/>
              </w:rPr>
              <w:t>0.216</w:t>
            </w:r>
            <w:r>
              <w:rPr>
                <w:rFonts w:hint="default" w:ascii="宋体" w:hAnsi="Times New Roman" w:eastAsia="宋体" w:cs="Times New Roman"/>
                <w:snapToGrid/>
                <w:kern w:val="0"/>
                <w:sz w:val="21"/>
                <w:szCs w:val="20"/>
                <w:lang w:val="en-US" w:eastAsia="zh-CN" w:bidi="ar-SA"/>
              </w:rPr>
              <w:t>t/a</w:t>
            </w:r>
          </w:p>
        </w:tc>
        <w:tc>
          <w:tcPr>
            <w:tcW w:w="1550" w:type="dxa"/>
            <w:shd w:val="clear" w:color="auto" w:fill="auto"/>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宋体" w:hAnsi="Times New Roman" w:eastAsia="宋体" w:cs="Times New Roman"/>
                <w:snapToGrid/>
                <w:kern w:val="0"/>
                <w:sz w:val="21"/>
                <w:szCs w:val="20"/>
                <w:lang w:val="en-US" w:eastAsia="zh-CN" w:bidi="ar-SA"/>
              </w:rPr>
            </w:pPr>
            <w:r>
              <w:rPr>
                <w:rFonts w:hint="default" w:ascii="宋体" w:hAnsi="Times New Roman" w:eastAsia="宋体" w:cs="Times New Roman"/>
                <w:snapToGrid/>
                <w:kern w:val="0"/>
                <w:szCs w:val="20"/>
                <w:lang w:val="en-US" w:eastAsia="zh-CN"/>
              </w:rPr>
              <w:t>/</w:t>
            </w:r>
          </w:p>
        </w:tc>
        <w:tc>
          <w:tcPr>
            <w:tcW w:w="2233" w:type="dxa"/>
            <w:shd w:val="clear" w:color="auto" w:fill="auto"/>
            <w:noWrap w:val="0"/>
            <w:vAlign w:val="center"/>
          </w:tcPr>
          <w:p>
            <w:pPr>
              <w:keepNext w:val="0"/>
              <w:keepLines w:val="0"/>
              <w:widowControl w:val="0"/>
              <w:suppressLineNumbers w:val="0"/>
              <w:adjustRightInd w:val="0"/>
              <w:snapToGrid w:val="0"/>
              <w:spacing w:before="0" w:beforeLines="0" w:beforeAutospacing="0" w:after="0" w:afterLines="0" w:afterAutospacing="0" w:line="240" w:lineRule="auto"/>
              <w:ind w:left="0" w:leftChars="0" w:right="0" w:rightChars="0"/>
              <w:jc w:val="center"/>
              <w:rPr>
                <w:rFonts w:hint="default" w:ascii="宋体" w:hAnsi="Times New Roman" w:eastAsia="宋体" w:cs="Times New Roman"/>
                <w:snapToGrid/>
                <w:kern w:val="0"/>
                <w:sz w:val="21"/>
                <w:szCs w:val="20"/>
                <w:lang w:val="en-US" w:eastAsia="zh-CN" w:bidi="ar-SA"/>
              </w:rPr>
            </w:pPr>
            <w:r>
              <w:rPr>
                <w:rFonts w:hint="default" w:ascii="宋体" w:hAnsi="Times New Roman" w:cs="Times New Roman"/>
                <w:snapToGrid/>
                <w:kern w:val="0"/>
                <w:sz w:val="21"/>
                <w:szCs w:val="20"/>
                <w:lang w:val="en-US" w:eastAsia="zh-CN" w:bidi="ar-SA"/>
              </w:rPr>
              <w:t>0.216</w:t>
            </w:r>
            <w:r>
              <w:rPr>
                <w:rFonts w:hint="default" w:ascii="宋体" w:hAnsi="Times New Roman" w:eastAsia="宋体" w:cs="Times New Roman"/>
                <w:snapToGrid/>
                <w:kern w:val="0"/>
                <w:sz w:val="21"/>
                <w:szCs w:val="20"/>
                <w:lang w:val="en-US" w:eastAsia="zh-CN" w:bidi="ar-SA"/>
              </w:rPr>
              <w:t>t/a</w:t>
            </w:r>
          </w:p>
        </w:tc>
        <w:tc>
          <w:tcPr>
            <w:tcW w:w="1153" w:type="dxa"/>
            <w:shd w:val="clear" w:color="auto" w:fill="auto"/>
            <w:noWrap w:val="0"/>
            <w:vAlign w:val="center"/>
          </w:tcPr>
          <w:p>
            <w:pPr>
              <w:keepNext w:val="0"/>
              <w:keepLines w:val="0"/>
              <w:widowControl w:val="0"/>
              <w:suppressLineNumbers w:val="0"/>
              <w:adjustRightInd w:val="0"/>
              <w:snapToGrid w:val="0"/>
              <w:spacing w:before="0" w:beforeLines="0" w:beforeAutospacing="0" w:after="0" w:afterLines="0" w:afterAutospacing="0" w:line="240" w:lineRule="auto"/>
              <w:ind w:left="0" w:leftChars="0" w:right="0" w:rightChars="0"/>
              <w:jc w:val="center"/>
              <w:rPr>
                <w:rFonts w:hint="default" w:ascii="宋体" w:hAnsi="Times New Roman" w:eastAsia="宋体" w:cs="Times New Roman"/>
                <w:snapToGrid/>
                <w:kern w:val="0"/>
                <w:sz w:val="21"/>
                <w:szCs w:val="20"/>
                <w:lang w:val="en-US" w:eastAsia="zh-CN" w:bidi="ar-SA"/>
              </w:rPr>
            </w:pPr>
            <w:r>
              <w:rPr>
                <w:rFonts w:hint="default" w:ascii="宋体" w:hAnsi="Times New Roman" w:cs="Times New Roman"/>
                <w:snapToGrid/>
                <w:kern w:val="0"/>
                <w:sz w:val="21"/>
                <w:szCs w:val="20"/>
                <w:lang w:val="en-US" w:eastAsia="zh-CN" w:bidi="ar-SA"/>
              </w:rPr>
              <w:t>0.216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shd w:val="clear" w:color="auto" w:fill="auto"/>
            <w:noWrap w:val="0"/>
            <w:vAlign w:val="center"/>
          </w:tcPr>
          <w:p>
            <w:pPr>
              <w:keepNext w:val="0"/>
              <w:keepLines w:val="0"/>
              <w:widowControl w:val="0"/>
              <w:suppressLineNumbers w:val="0"/>
              <w:adjustRightInd w:val="0"/>
              <w:snapToGrid w:val="0"/>
              <w:spacing w:before="0" w:beforeLines="0" w:beforeAutospacing="0" w:after="0" w:afterLines="0" w:afterAutospacing="0" w:line="240" w:lineRule="auto"/>
              <w:ind w:left="0" w:leftChars="0" w:right="0" w:rightChars="0"/>
              <w:jc w:val="center"/>
              <w:rPr>
                <w:rFonts w:hint="eastAsia" w:ascii="Times New Roman" w:hAnsi="宋体" w:eastAsia="宋体" w:cs="宋体"/>
                <w:snapToGrid w:val="0"/>
                <w:color w:val="000000"/>
                <w:kern w:val="21"/>
                <w:sz w:val="21"/>
                <w:szCs w:val="21"/>
                <w:lang w:val="en-US" w:eastAsia="zh-CN" w:bidi="ar-SA"/>
              </w:rPr>
            </w:pPr>
          </w:p>
        </w:tc>
        <w:tc>
          <w:tcPr>
            <w:tcW w:w="1417" w:type="dxa"/>
            <w:shd w:val="clear" w:color="auto" w:fill="auto"/>
            <w:noWrap w:val="0"/>
            <w:vAlign w:val="center"/>
          </w:tcPr>
          <w:p>
            <w:pPr>
              <w:pStyle w:val="37"/>
              <w:keepNext w:val="0"/>
              <w:keepLines w:val="0"/>
              <w:suppressLineNumbers w:val="0"/>
              <w:bidi w:val="0"/>
              <w:spacing w:before="0" w:beforeAutospacing="0" w:after="0" w:afterAutospacing="0"/>
              <w:ind w:left="0" w:leftChars="0" w:right="0" w:rightChars="0"/>
              <w:jc w:val="center"/>
              <w:rPr>
                <w:rFonts w:hint="eastAsia" w:eastAsia="宋体" w:cs="Times New Roman"/>
                <w:lang w:val="en-US" w:eastAsia="zh-CN"/>
              </w:rPr>
            </w:pPr>
            <w:r>
              <w:rPr>
                <w:rFonts w:hint="eastAsia" w:cs="Times New Roman"/>
                <w:lang w:val="en-US" w:eastAsia="zh-CN"/>
              </w:rPr>
              <w:t>炉渣</w:t>
            </w:r>
          </w:p>
        </w:tc>
        <w:tc>
          <w:tcPr>
            <w:tcW w:w="1701" w:type="dxa"/>
            <w:shd w:val="clear" w:color="auto" w:fill="auto"/>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宋体" w:eastAsia="宋体" w:cs="宋体"/>
                <w:snapToGrid w:val="0"/>
                <w:color w:val="000000"/>
                <w:kern w:val="21"/>
                <w:szCs w:val="21"/>
                <w:lang w:val="en-US" w:eastAsia="zh-CN"/>
              </w:rPr>
            </w:pPr>
          </w:p>
        </w:tc>
        <w:tc>
          <w:tcPr>
            <w:tcW w:w="1113" w:type="dxa"/>
            <w:shd w:val="clear" w:color="auto" w:fill="auto"/>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宋体" w:eastAsia="宋体" w:cs="宋体"/>
                <w:snapToGrid w:val="0"/>
                <w:color w:val="000000"/>
                <w:kern w:val="21"/>
                <w:szCs w:val="21"/>
                <w:lang w:val="en-US" w:eastAsia="zh-CN"/>
              </w:rPr>
            </w:pPr>
          </w:p>
        </w:tc>
        <w:tc>
          <w:tcPr>
            <w:tcW w:w="1566" w:type="dxa"/>
            <w:shd w:val="clear" w:color="auto" w:fill="auto"/>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宋体" w:eastAsia="宋体" w:cs="宋体"/>
                <w:snapToGrid w:val="0"/>
                <w:color w:val="000000"/>
                <w:kern w:val="21"/>
                <w:szCs w:val="21"/>
                <w:lang w:val="en-US" w:eastAsia="zh-CN"/>
              </w:rPr>
            </w:pPr>
          </w:p>
        </w:tc>
        <w:tc>
          <w:tcPr>
            <w:tcW w:w="1467" w:type="dxa"/>
            <w:shd w:val="clear" w:color="auto" w:fill="auto"/>
            <w:noWrap w:val="0"/>
            <w:vAlign w:val="center"/>
          </w:tcPr>
          <w:p>
            <w:pPr>
              <w:keepNext w:val="0"/>
              <w:keepLines w:val="0"/>
              <w:widowControl w:val="0"/>
              <w:suppressLineNumbers w:val="0"/>
              <w:adjustRightInd w:val="0"/>
              <w:snapToGrid w:val="0"/>
              <w:spacing w:before="0" w:beforeLines="0" w:beforeAutospacing="0" w:after="0" w:afterLines="0" w:afterAutospacing="0" w:line="240" w:lineRule="auto"/>
              <w:ind w:left="0" w:leftChars="0" w:right="0" w:rightChars="0"/>
              <w:jc w:val="center"/>
              <w:rPr>
                <w:rFonts w:hint="default" w:ascii="宋体" w:hAnsi="Times New Roman" w:cs="Times New Roman"/>
                <w:snapToGrid/>
                <w:kern w:val="0"/>
                <w:sz w:val="21"/>
                <w:szCs w:val="20"/>
                <w:lang w:val="en-US" w:eastAsia="zh-CN" w:bidi="ar-SA"/>
              </w:rPr>
            </w:pPr>
            <w:r>
              <w:rPr>
                <w:rFonts w:hint="default" w:ascii="宋体" w:hAnsi="Times New Roman" w:cs="Times New Roman"/>
                <w:snapToGrid/>
                <w:kern w:val="0"/>
                <w:sz w:val="21"/>
                <w:szCs w:val="20"/>
                <w:lang w:val="en-US" w:eastAsia="zh-CN" w:bidi="ar-SA"/>
              </w:rPr>
              <w:t>10.8</w:t>
            </w:r>
            <w:r>
              <w:rPr>
                <w:rFonts w:hint="default" w:ascii="宋体" w:hAnsi="Times New Roman" w:eastAsia="宋体" w:cs="Times New Roman"/>
                <w:snapToGrid/>
                <w:kern w:val="0"/>
                <w:sz w:val="21"/>
                <w:szCs w:val="20"/>
                <w:lang w:val="en-US" w:eastAsia="zh-CN" w:bidi="ar-SA"/>
              </w:rPr>
              <w:t>t/a</w:t>
            </w:r>
          </w:p>
        </w:tc>
        <w:tc>
          <w:tcPr>
            <w:tcW w:w="1550" w:type="dxa"/>
            <w:shd w:val="clear" w:color="auto" w:fill="auto"/>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宋体" w:hAnsi="Times New Roman" w:eastAsia="宋体" w:cs="Times New Roman"/>
                <w:snapToGrid/>
                <w:kern w:val="0"/>
                <w:szCs w:val="20"/>
                <w:lang w:val="en-US" w:eastAsia="zh-CN"/>
              </w:rPr>
            </w:pPr>
          </w:p>
        </w:tc>
        <w:tc>
          <w:tcPr>
            <w:tcW w:w="2233" w:type="dxa"/>
            <w:shd w:val="clear" w:color="auto" w:fill="auto"/>
            <w:noWrap w:val="0"/>
            <w:vAlign w:val="center"/>
          </w:tcPr>
          <w:p>
            <w:pPr>
              <w:keepNext w:val="0"/>
              <w:keepLines w:val="0"/>
              <w:widowControl w:val="0"/>
              <w:suppressLineNumbers w:val="0"/>
              <w:adjustRightInd w:val="0"/>
              <w:snapToGrid w:val="0"/>
              <w:spacing w:before="0" w:beforeLines="0" w:beforeAutospacing="0" w:after="0" w:afterLines="0" w:afterAutospacing="0" w:line="240" w:lineRule="auto"/>
              <w:ind w:left="0" w:leftChars="0" w:right="0" w:rightChars="0"/>
              <w:jc w:val="center"/>
              <w:rPr>
                <w:rFonts w:hint="default" w:ascii="宋体" w:hAnsi="Times New Roman" w:cs="Times New Roman"/>
                <w:snapToGrid/>
                <w:kern w:val="0"/>
                <w:sz w:val="21"/>
                <w:szCs w:val="20"/>
                <w:lang w:val="en-US" w:eastAsia="zh-CN" w:bidi="ar-SA"/>
              </w:rPr>
            </w:pPr>
            <w:r>
              <w:rPr>
                <w:rFonts w:hint="default" w:ascii="宋体" w:hAnsi="Times New Roman" w:cs="Times New Roman"/>
                <w:snapToGrid/>
                <w:kern w:val="0"/>
                <w:sz w:val="21"/>
                <w:szCs w:val="20"/>
                <w:lang w:val="en-US" w:eastAsia="zh-CN" w:bidi="ar-SA"/>
              </w:rPr>
              <w:t>10.8</w:t>
            </w:r>
            <w:r>
              <w:rPr>
                <w:rFonts w:hint="default" w:ascii="宋体" w:hAnsi="Times New Roman" w:eastAsia="宋体" w:cs="Times New Roman"/>
                <w:snapToGrid/>
                <w:kern w:val="0"/>
                <w:sz w:val="21"/>
                <w:szCs w:val="20"/>
                <w:lang w:val="en-US" w:eastAsia="zh-CN" w:bidi="ar-SA"/>
              </w:rPr>
              <w:t>t/a</w:t>
            </w:r>
          </w:p>
        </w:tc>
        <w:tc>
          <w:tcPr>
            <w:tcW w:w="1153" w:type="dxa"/>
            <w:shd w:val="clear" w:color="auto" w:fill="auto"/>
            <w:noWrap w:val="0"/>
            <w:vAlign w:val="center"/>
          </w:tcPr>
          <w:p>
            <w:pPr>
              <w:keepNext w:val="0"/>
              <w:keepLines w:val="0"/>
              <w:widowControl w:val="0"/>
              <w:suppressLineNumbers w:val="0"/>
              <w:adjustRightInd w:val="0"/>
              <w:snapToGrid w:val="0"/>
              <w:spacing w:before="0" w:beforeLines="0" w:beforeAutospacing="0" w:after="0" w:afterLines="0" w:afterAutospacing="0" w:line="240" w:lineRule="auto"/>
              <w:ind w:left="0" w:leftChars="0" w:right="0" w:rightChars="0"/>
              <w:jc w:val="center"/>
              <w:rPr>
                <w:rFonts w:hint="default" w:ascii="宋体" w:hAnsi="Times New Roman" w:cs="Times New Roman"/>
                <w:snapToGrid/>
                <w:kern w:val="0"/>
                <w:sz w:val="21"/>
                <w:szCs w:val="20"/>
                <w:lang w:val="en-US" w:eastAsia="zh-CN" w:bidi="ar-SA"/>
              </w:rPr>
            </w:pPr>
            <w:r>
              <w:rPr>
                <w:rFonts w:hint="default" w:ascii="宋体" w:hAnsi="Times New Roman" w:cs="Times New Roman"/>
                <w:snapToGrid/>
                <w:kern w:val="0"/>
                <w:sz w:val="21"/>
                <w:szCs w:val="20"/>
                <w:lang w:val="en-US" w:eastAsia="zh-CN" w:bidi="ar-SA"/>
              </w:rPr>
              <w:t>10.8</w:t>
            </w:r>
          </w:p>
        </w:tc>
      </w:tr>
    </w:tbl>
    <w:p>
      <w:pPr>
        <w:pStyle w:val="37"/>
        <w:spacing w:before="192" w:beforeLines="80" w:after="24"/>
        <w:jc w:val="left"/>
        <w:rPr>
          <w:rFonts w:hint="default" w:ascii="Times New Roman" w:hAnsi="Times New Roman" w:cs="Times New Roman"/>
          <w:snapToGrid w:val="0"/>
          <w:color w:val="000000"/>
          <w:spacing w:val="-6"/>
          <w:kern w:val="21"/>
          <w:szCs w:val="21"/>
        </w:rPr>
        <w:sectPr>
          <w:footerReference r:id="rId6" w:type="default"/>
          <w:pgSz w:w="16838" w:h="11906" w:orient="landscape"/>
          <w:pgMar w:top="1531" w:right="1701" w:bottom="1531" w:left="1701" w:header="851" w:footer="851" w:gutter="0"/>
          <w:pgNumType w:fmt="numberInDash"/>
          <w:cols w:space="720" w:num="1"/>
          <w:docGrid w:linePitch="312" w:charSpace="0"/>
        </w:sectPr>
      </w:pPr>
      <w:r>
        <w:rPr>
          <w:rFonts w:hint="default" w:ascii="Times New Roman" w:hAnsi="Times New Roman" w:cs="Times New Roman"/>
          <w:snapToGrid w:val="0"/>
          <w:color w:val="000000"/>
          <w:kern w:val="21"/>
          <w:szCs w:val="21"/>
        </w:rPr>
        <w:t>注：</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6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1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3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③</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4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④</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5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⑤</w:t>
      </w:r>
      <w:r>
        <w:rPr>
          <w:rFonts w:hint="default" w:ascii="Times New Roman" w:hAnsi="Times New Roman" w:cs="Times New Roman"/>
          <w:snapToGrid w:val="0"/>
          <w:color w:val="000000"/>
          <w:spacing w:val="-16"/>
          <w:kern w:val="21"/>
          <w:szCs w:val="21"/>
        </w:rPr>
        <w:fldChar w:fldCharType="end"/>
      </w:r>
      <w:bookmarkStart w:id="5" w:name="OLE_LINK3"/>
      <w:r>
        <w:rPr>
          <w:rFonts w:hint="default" w:ascii="Times New Roman" w:hAnsi="Times New Roman" w:cs="Times New Roman"/>
          <w:snapToGrid w:val="0"/>
          <w:color w:val="000000"/>
          <w:spacing w:val="-16"/>
          <w:kern w:val="21"/>
          <w:szCs w:val="21"/>
        </w:rPr>
        <w:t>；</w:t>
      </w:r>
      <w:bookmarkEnd w:id="5"/>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7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⑦</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6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1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color w:val="000000"/>
          <w:spacing w:val="-6"/>
          <w:kern w:val="21"/>
          <w:szCs w:val="21"/>
        </w:rPr>
        <w:fldChar w:fldCharType="end"/>
      </w:r>
    </w:p>
    <w:p>
      <w:pPr>
        <w:rPr>
          <w:rFonts w:hint="eastAsia"/>
          <w:sz w:val="24"/>
          <w:szCs w:val="24"/>
          <w:lang w:val="en-US" w:eastAsia="zh-CN"/>
        </w:rPr>
      </w:pPr>
      <w:r>
        <w:rPr>
          <w:rFonts w:hint="eastAsia"/>
          <w:b/>
          <w:bCs/>
          <w:sz w:val="24"/>
          <w:szCs w:val="24"/>
          <w:lang w:val="en-US" w:eastAsia="zh-CN"/>
        </w:rPr>
        <w:t>附图1 项目地理位置关系图</w:t>
      </w:r>
    </w:p>
    <w:p>
      <w:pPr>
        <w:pStyle w:val="10"/>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lang w:val="en-US" w:eastAsia="zh-CN"/>
        </w:rPr>
        <w:sectPr>
          <w:pgSz w:w="11906" w:h="16838"/>
          <w:pgMar w:top="1701" w:right="1531" w:bottom="1701" w:left="1531" w:header="851" w:footer="851" w:gutter="0"/>
          <w:pgNumType w:fmt="numberInDash"/>
          <w:cols w:space="720" w:num="1"/>
          <w:docGrid w:linePitch="312" w:charSpace="0"/>
        </w:sectPr>
      </w:pPr>
      <w:r>
        <w:rPr>
          <w:sz w:val="21"/>
        </w:rPr>
        <mc:AlternateContent>
          <mc:Choice Requires="wps">
            <w:drawing>
              <wp:anchor distT="0" distB="0" distL="114300" distR="114300" simplePos="0" relativeHeight="251672576" behindDoc="0" locked="0" layoutInCell="1" allowOverlap="1">
                <wp:simplePos x="0" y="0"/>
                <wp:positionH relativeFrom="column">
                  <wp:posOffset>2746375</wp:posOffset>
                </wp:positionH>
                <wp:positionV relativeFrom="paragraph">
                  <wp:posOffset>2739390</wp:posOffset>
                </wp:positionV>
                <wp:extent cx="1383665" cy="436880"/>
                <wp:effectExtent l="843915" t="12700" r="20320" b="1017270"/>
                <wp:wrapNone/>
                <wp:docPr id="18" name="线形标注 1 18"/>
                <wp:cNvGraphicFramePr/>
                <a:graphic xmlns:a="http://schemas.openxmlformats.org/drawingml/2006/main">
                  <a:graphicData uri="http://schemas.microsoft.com/office/word/2010/wordprocessingShape">
                    <wps:wsp>
                      <wps:cNvSpPr/>
                      <wps:spPr>
                        <a:xfrm>
                          <a:off x="3718560" y="3992245"/>
                          <a:ext cx="1383665" cy="436880"/>
                        </a:xfrm>
                        <a:prstGeom prst="borderCallout1">
                          <a:avLst>
                            <a:gd name="adj1" fmla="val 18750"/>
                            <a:gd name="adj2" fmla="val -8333"/>
                            <a:gd name="adj3" fmla="val 329360"/>
                            <a:gd name="adj4" fmla="val -60165"/>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0D0D0D" w:themeColor="text1" w:themeTint="F2"/>
                                <w:lang w:val="en-US" w:eastAsia="zh-CN"/>
                                <w14:textFill>
                                  <w14:solidFill>
                                    <w14:schemeClr w14:val="tx1">
                                      <w14:lumMod w14:val="95000"/>
                                      <w14:lumOff w14:val="5000"/>
                                    </w14:schemeClr>
                                  </w14:solidFill>
                                </w14:textFill>
                              </w:rPr>
                            </w:pPr>
                            <w:r>
                              <w:rPr>
                                <w:rFonts w:hint="eastAsia"/>
                                <w:b/>
                                <w:bCs/>
                                <w:color w:val="0D0D0D" w:themeColor="text1" w:themeTint="F2"/>
                                <w:lang w:val="en-US" w:eastAsia="zh-CN"/>
                                <w14:textFill>
                                  <w14:solidFill>
                                    <w14:schemeClr w14:val="tx1">
                                      <w14:lumMod w14:val="95000"/>
                                      <w14:lumOff w14:val="5000"/>
                                    </w14:schemeClr>
                                  </w14:solidFill>
                                </w14:textFill>
                              </w:rPr>
                              <w:t>项目区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216.25pt;margin-top:215.7pt;height:34.4pt;width:108.95pt;z-index:251672576;v-text-anchor:middle;mso-width-relative:page;mso-height-relative:page;" filled="f" stroked="t" coordsize="21600,21600" o:gfxdata="UEsDBAoAAAAAAIdO4kAAAAAAAAAAAAAAAAAEAAAAZHJzL1BLAwQUAAAACACHTuJA9NzY09gAAAAL&#10;AQAADwAAAGRycy9kb3ducmV2LnhtbE2PwU7DMAyG70i8Q2Qkbixpt06oa7oDEkhcEHRIXLPGawuN&#10;0zbZOnh6vBPcfsuffn8utmfXixNOofOkIVkoEEi1tx01Gt53j3f3IEI0ZE3vCTV8Y4BteX1VmNz6&#10;md7wVMVGcAmF3GhoYxxyKUPdojNh4Qck3h385EzkcWqknczM5a6XqVJr6UxHfKE1Az60WH9VR6dh&#10;9zo6Smj8qNpxfko/48vy+Qe1vr1J1AZExHP8g+Giz+pQstPeH8kG0WtYLdOM0UtIViCYWGeKw15D&#10;plQKsizk/x/KX1BLAwQUAAAACACHTuJA5OX/bMECAAB6BQAADgAAAGRycy9lMm9Eb2MueG1srVTN&#10;btNAEL4j8Q6rvbeO7SRNojpVlKgIqaKVCuK8Wa9jo/Wu2d38lBfgNRAn7tyQEE9DeQ2+XbutKRx6&#10;IAdnxvN5dr5vZvb07FBLshPGVlplND4eUCIU13mlNhl98/r8aEKJdUzlTGolMnojLD2bP392um9m&#10;ItGllrkwBEmUne2bjJbONbMosrwUNbPHuhEKwUKbmjm4ZhPlhu2RvZZRMhiMo702eWM0F9bi7aoN&#10;0i6jeUpCXRQVFyvNt7VQrs1qhGQOlGxZNZbOQ7VFIbi7LAorHJEZBVMXnjgE9to/o/kpm20Ma8qK&#10;dyWwp5TwiFPNKoVD71OtmGNka6q/UtUVN9rqwh1zXUctkaAIWMSDR9pcl6wRgQukts296Pb/peWv&#10;dleGVDkmAX1XrEbHf3378fP759tPH2+/fiExQQAq7Rs7A/i6uTKdZ2F6yofC1P4fZMgho+lJPBmN&#10;oe8N7Ok0SYajVmVxcIQDEKeTdDweUcKBGKbjySS0IXrI1BjrXghdE29kdI2BEWbJpNRbFweZ2e7C&#10;uqB33hXN8ncxJUUt0b4dk6j6ZHTX3h4m6WOOJmmadiPQw6R9TJpMU7Bp56QHGvZBR+NBDEYAgUVX&#10;G6w7Hr5Qpc8rKUMaqcg+o8loOIBKnGGHCswuzLpBH6zaUMLkBsvJnQlsrZZV7j/3iazZrJfSEJDE&#10;AIdfd/AfMH/2itmyxYVQB5MKZfp2tg30ljusD11X1zq/wUQY3a6Kbfh5hVQXzLorZiAuasbt4S7x&#10;KKQGEd1ZlJTafPjXe4/HyCJKyR67BpLvt8wISuRLhWGexsMh0rrgDEcnCRzTj6z7EbWtlxrc0W5U&#10;F0yPd/LOLIyu32JmFv5UhJjiOLuVs3OWrr0DcE1xsVgEGBayYe5CXTfcJ2+bttg6XVTOd9YL1arT&#10;OVjJ0PDu+vA73/cD6uHKnP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9NzY09gAAAALAQAADwAA&#10;AAAAAAABACAAAAAiAAAAZHJzL2Rvd25yZXYueG1sUEsBAhQAFAAAAAgAh07iQOTl/2zBAgAAegUA&#10;AA4AAAAAAAAAAQAgAAAAJwEAAGRycy9lMm9Eb2MueG1sUEsFBgAAAAAGAAYAWQEAAFoGAAAAAA==&#10;" adj="-12996,71142,-1800,4050">
                <v:fill on="f" focussize="0,0"/>
                <v:stroke weight="2pt" color="#000000 [3213]" joinstyle="round"/>
                <v:imagedata o:title=""/>
                <o:lock v:ext="edit" aspectratio="f"/>
                <v:textbox>
                  <w:txbxContent>
                    <w:p>
                      <w:pPr>
                        <w:jc w:val="center"/>
                        <w:rPr>
                          <w:rFonts w:hint="eastAsia" w:eastAsia="宋体"/>
                          <w:b/>
                          <w:bCs/>
                          <w:color w:val="0D0D0D" w:themeColor="text1" w:themeTint="F2"/>
                          <w:lang w:val="en-US" w:eastAsia="zh-CN"/>
                          <w14:textFill>
                            <w14:solidFill>
                              <w14:schemeClr w14:val="tx1">
                                <w14:lumMod w14:val="95000"/>
                                <w14:lumOff w14:val="5000"/>
                              </w14:schemeClr>
                            </w14:solidFill>
                          </w14:textFill>
                        </w:rPr>
                      </w:pPr>
                      <w:r>
                        <w:rPr>
                          <w:rFonts w:hint="eastAsia"/>
                          <w:b/>
                          <w:bCs/>
                          <w:color w:val="0D0D0D" w:themeColor="text1" w:themeTint="F2"/>
                          <w:lang w:val="en-US" w:eastAsia="zh-CN"/>
                          <w14:textFill>
                            <w14:solidFill>
                              <w14:schemeClr w14:val="tx1">
                                <w14:lumMod w14:val="95000"/>
                                <w14:lumOff w14:val="5000"/>
                              </w14:schemeClr>
                            </w14:solidFill>
                          </w14:textFill>
                        </w:rPr>
                        <w:t>项目区</w:t>
                      </w:r>
                    </w:p>
                  </w:txbxContent>
                </v:textbox>
              </v:shape>
            </w:pict>
          </mc:Fallback>
        </mc:AlternateContent>
      </w:r>
      <w:r>
        <w:rPr>
          <w:rFonts w:hint="default"/>
          <w:lang w:val="en-US" w:eastAsia="zh-CN"/>
        </w:rPr>
        <w:drawing>
          <wp:inline distT="0" distB="0" distL="114300" distR="114300">
            <wp:extent cx="5614035" cy="7999095"/>
            <wp:effectExtent l="0" t="0" r="5715" b="1905"/>
            <wp:docPr id="17" name="图片 17" descr="轮台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轮台县"/>
                    <pic:cNvPicPr>
                      <a:picLocks noChangeAspect="1"/>
                    </pic:cNvPicPr>
                  </pic:nvPicPr>
                  <pic:blipFill>
                    <a:blip r:embed="rId16"/>
                    <a:stretch>
                      <a:fillRect/>
                    </a:stretch>
                  </pic:blipFill>
                  <pic:spPr>
                    <a:xfrm>
                      <a:off x="0" y="0"/>
                      <a:ext cx="5614035" cy="7999095"/>
                    </a:xfrm>
                    <a:prstGeom prst="rect">
                      <a:avLst/>
                    </a:prstGeom>
                  </pic:spPr>
                </pic:pic>
              </a:graphicData>
            </a:graphic>
          </wp:inline>
        </w:drawing>
      </w:r>
    </w:p>
    <w:p>
      <w:pPr>
        <w:rPr>
          <w:rFonts w:hint="eastAsia"/>
          <w:sz w:val="24"/>
          <w:szCs w:val="24"/>
          <w:lang w:val="en-US" w:eastAsia="zh-CN"/>
        </w:rPr>
      </w:pPr>
      <w:r>
        <w:rPr>
          <w:rFonts w:hint="eastAsia"/>
          <w:b/>
          <w:bCs/>
          <w:sz w:val="24"/>
          <w:szCs w:val="24"/>
          <w:lang w:val="en-US" w:eastAsia="zh-CN"/>
        </w:rPr>
        <w:t>附图2 项目周边关系示意图</w:t>
      </w:r>
    </w:p>
    <w:p>
      <w:pPr>
        <w:pStyle w:val="10"/>
        <w:keepNext w:val="0"/>
        <w:keepLines w:val="0"/>
        <w:pageBreakBefore w:val="0"/>
        <w:widowControl w:val="0"/>
        <w:kinsoku/>
        <w:wordWrap/>
        <w:overflowPunct/>
        <w:topLinePunct w:val="0"/>
        <w:autoSpaceDE/>
        <w:autoSpaceDN/>
        <w:bidi w:val="0"/>
        <w:adjustRightInd/>
        <w:snapToGrid/>
        <w:ind w:left="0" w:leftChars="0" w:firstLine="0" w:firstLineChars="0"/>
        <w:textAlignment w:val="auto"/>
        <w:sectPr>
          <w:pgSz w:w="16838" w:h="11906" w:orient="landscape"/>
          <w:pgMar w:top="1531" w:right="1701" w:bottom="1531" w:left="1701" w:header="851" w:footer="851" w:gutter="0"/>
          <w:pgNumType w:fmt="numberInDash"/>
          <w:cols w:space="720" w:num="1"/>
          <w:docGrid w:linePitch="312" w:charSpace="0"/>
        </w:sectPr>
      </w:pPr>
      <w:r>
        <w:rPr>
          <w:rFonts w:hint="eastAsia" w:eastAsia="宋体"/>
          <w:lang w:val="en-US" w:eastAsia="zh-CN"/>
        </w:rPr>
        <w:drawing>
          <wp:anchor distT="0" distB="0" distL="114300" distR="114300" simplePos="0" relativeHeight="251673600" behindDoc="0" locked="0" layoutInCell="1" allowOverlap="1">
            <wp:simplePos x="0" y="0"/>
            <wp:positionH relativeFrom="column">
              <wp:posOffset>7158355</wp:posOffset>
            </wp:positionH>
            <wp:positionV relativeFrom="paragraph">
              <wp:posOffset>33020</wp:posOffset>
            </wp:positionV>
            <wp:extent cx="631190" cy="769620"/>
            <wp:effectExtent l="0" t="0" r="16510" b="11430"/>
            <wp:wrapNone/>
            <wp:docPr id="20" name="图片 20" descr="175315516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53155160445"/>
                    <pic:cNvPicPr>
                      <a:picLocks noChangeAspect="1"/>
                    </pic:cNvPicPr>
                  </pic:nvPicPr>
                  <pic:blipFill>
                    <a:blip r:embed="rId17"/>
                    <a:stretch>
                      <a:fillRect/>
                    </a:stretch>
                  </pic:blipFill>
                  <pic:spPr>
                    <a:xfrm>
                      <a:off x="0" y="0"/>
                      <a:ext cx="631190" cy="769620"/>
                    </a:xfrm>
                    <a:prstGeom prst="rect">
                      <a:avLst/>
                    </a:prstGeom>
                  </pic:spPr>
                </pic:pic>
              </a:graphicData>
            </a:graphic>
          </wp:anchor>
        </w:drawing>
      </w:r>
      <w:r>
        <w:rPr>
          <w:sz w:val="21"/>
        </w:rPr>
        <mc:AlternateContent>
          <mc:Choice Requires="wps">
            <w:drawing>
              <wp:anchor distT="0" distB="0" distL="114300" distR="114300" simplePos="0" relativeHeight="251687936" behindDoc="0" locked="0" layoutInCell="1" allowOverlap="1">
                <wp:simplePos x="0" y="0"/>
                <wp:positionH relativeFrom="column">
                  <wp:posOffset>2652395</wp:posOffset>
                </wp:positionH>
                <wp:positionV relativeFrom="paragraph">
                  <wp:posOffset>1691005</wp:posOffset>
                </wp:positionV>
                <wp:extent cx="647700" cy="171450"/>
                <wp:effectExtent l="0" t="26670" r="19050" b="11430"/>
                <wp:wrapNone/>
                <wp:docPr id="37" name="直接箭头连接符 37"/>
                <wp:cNvGraphicFramePr/>
                <a:graphic xmlns:a="http://schemas.openxmlformats.org/drawingml/2006/main">
                  <a:graphicData uri="http://schemas.microsoft.com/office/word/2010/wordprocessingShape">
                    <wps:wsp>
                      <wps:cNvCnPr/>
                      <wps:spPr>
                        <a:xfrm flipH="1" flipV="1">
                          <a:off x="3313430" y="2803525"/>
                          <a:ext cx="647700" cy="17145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08.85pt;margin-top:133.15pt;height:13.5pt;width:51pt;z-index:251687936;mso-width-relative:page;mso-height-relative:page;" filled="f" stroked="t" coordsize="21600,21600" o:gfxdata="UEsDBAoAAAAAAIdO4kAAAAAAAAAAAAAAAAAEAAAAZHJzL1BLAwQUAAAACACHTuJAis2luNkAAAAL&#10;AQAADwAAAGRycy9kb3ducmV2LnhtbE2PTU/DMAyG70j8h8hI3FjStXS0NJ0QGifQJMbXNWtMW9E4&#10;VZNu499jTnD060evH1frkxvEAafQe9KQLBQIpMbbnloNry8PVzcgQjRkzeAJNXxjgHV9flaZ0voj&#10;PeNhF1vBJRRKo6GLcSylDE2HzoSFH5F49+knZyKPUyvtZI5c7ga5VCqXzvTEFzoz4n2Hzddudhru&#10;3uaPbbZ5VGpMN4V9mm18zwqtLy8SdQsi4in+wfCrz+pQs9Pez2SDGDRkyWrFqIZlnqcgmLhOCk72&#10;nBRpCrKu5P8f6h9QSwMEFAAAAAgAh07iQKrh17kUAgAA7gMAAA4AAABkcnMvZTJvRG9jLnhtbK1T&#10;S44TMRDdI3EHy3vS+U5GUTqzSBhYIBiJz95xu7st+acqTzq5BBdAYgWsBlaz5zQwHIOyOwwwbGZB&#10;L1pll+s9v1fl5dneGrZTgNq7ko8GQ86Uk77Srin561fnj045wyhcJYx3quQHhfxs9fDBsgsLNfat&#10;N5UCRiAOF10oeRtjWBQFylZZgQMflKNk7cGKSEtoigpER+jWFOPh8KToPFQBvFSItLvpk/yICPcB&#10;9HWtpdp4eWmViz0qKCMiScJWB+SrfNu6VjK+qGtUkZmSk9KY/0RC8Tb9i9VSLBoQodXyeAVxnyvc&#10;0WSFdkR6C7URUbBL0P9AWS3Bo6/jQHpb9EKyI6RiNLzjzctWBJW1kNUYbk3H/wcrn+8ugOmq5JM5&#10;Z05Y6vjNu+vvbz/efPn87cP1j6/vU3z1iVGezOoCLqhm7S7guMJwAUn5vgbLaqPDU5oqnqM3KUo5&#10;0sn2RDEZTaYTsv5Q8vHpcDIbz/oGqH1kkg6cTOfzIeUlHRjNR9NZblDRgyegABifKG9ZCkqOEYRu&#10;2rj2zlGrPfR0YvcMI12PCn8VpGLnz7UxuePGsY4oxj2boDGuaXyI2AayAl3DmTANvQ8ZIStAb3SV&#10;yhMQQrNdG2A7kaYqf0kH0f11LHFvBLb9uZzq5UahzWNXsXgIZLcA8N2x3jiCSR73rqZo66tDNjvv&#10;0xhkouPIpjn7c52rfz/T1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KzaW42QAAAAsBAAAPAAAA&#10;AAAAAAEAIAAAACIAAABkcnMvZG93bnJldi54bWxQSwECFAAUAAAACACHTuJAquHXuRQCAADuAwAA&#10;DgAAAAAAAAABACAAAAAoAQAAZHJzL2Uyb0RvYy54bWxQSwUGAAAAAAYABgBZAQAArgUAAAAA&#10;">
                <v:fill on="f" focussize="0,0"/>
                <v:stroke weight="1pt" color="#000000 [3213]" joinstyle="round" endarrow="open"/>
                <v:imagedata o:title=""/>
                <o:lock v:ext="edit" aspectratio="f"/>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2928620</wp:posOffset>
                </wp:positionH>
                <wp:positionV relativeFrom="paragraph">
                  <wp:posOffset>1386205</wp:posOffset>
                </wp:positionV>
                <wp:extent cx="704850" cy="333375"/>
                <wp:effectExtent l="0" t="0" r="0" b="0"/>
                <wp:wrapNone/>
                <wp:docPr id="40" name="文本框 40"/>
                <wp:cNvGraphicFramePr/>
                <a:graphic xmlns:a="http://schemas.openxmlformats.org/drawingml/2006/main">
                  <a:graphicData uri="http://schemas.microsoft.com/office/word/2010/wordprocessingShape">
                    <wps:wsp>
                      <wps:cNvSpPr txBox="1"/>
                      <wps:spPr>
                        <a:xfrm>
                          <a:off x="3532505" y="2527300"/>
                          <a:ext cx="704850"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137m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6pt;margin-top:109.15pt;height:26.25pt;width:55.5pt;z-index:251691008;mso-width-relative:page;mso-height-relative:page;" filled="f" stroked="f" coordsize="21600,21600" o:gfxdata="UEsDBAoAAAAAAIdO4kAAAAAAAAAAAAAAAAAEAAAAZHJzL1BLAwQUAAAACACHTuJAgoCiz9sAAAAL&#10;AQAADwAAAGRycy9kb3ducmV2LnhtbE2Py07DMBBF90j8gzVI7KgdQ9soxKlQpAoJwaKlG3ZO7CYR&#10;9jjE7gO+nmFVlnPn6M6ZcnX2jh3tFIeACrKZAGaxDWbATsHufX2XA4tJo9EuoFXwbSOsquurUhcm&#10;nHBjj9vUMSrBWGgFfUpjwXlse+t1nIXRIu32YfI60Th13Ez6ROXecSnEgns9IF3o9Wjr3raf24NX&#10;8FKv3/SmkT7/cfXz6/5p/Np9zJW6vcnEI7Bkz+kCw58+qUNFTk04oInMKXhYZJJQBTLL74ERMV9K&#10;ShpKliIHXpX8/w/VL1BLAwQUAAAACACHTuJAlmAlDEUCAABzBAAADgAAAGRycy9lMm9Eb2MueG1s&#10;rVRLbtswEN0X6B0I7mvJH8WpETlwE6QoEDQB3KJrmqIiAfyVpC2lB2hv0FU33fdcPkcfJTlx0y6y&#10;qBf0kDN4M+/NjM7OWyXJTjhfG53T8SilRGhuilrf5fTjh6tXp5T4wHTBpNEip/fC0/PlyxdnjV2I&#10;iamMLIQjANF+0dicViHYRZJ4XgnF/MhYoeEsjVMs4OruksKxBuhKJpM0PUka4wrrDBfe4/Wyd9IB&#10;0T0H0JRlzcWl4VsldOhRnZAsgJKvauvpsqu2LAUPN2XpRSAyp2AauhNJYG/imSzP2OLOMVvVfCiB&#10;PaeEJ5wUqzWSPkBdssDI1tV/QamaO+NNGUbcqKQn0ikCFuP0iTbrilnRcYHU3j6I7v8fLH+/u3Wk&#10;LnI6gySaKXR8//3b/sev/c+vBG8QqLF+gbi1RWRo35gWY3N493iMvNvSqfgPRgT+aTadZGlGyX1O&#10;J9lkPk0HqUUbCEfAPJ2dZsjIETDFb55FxOQRyDof3gqjSDRy6tDJTmC2u/ahDz2ExLzaXNVSdt2U&#10;mjQ5PZkC/g8PwKVGjkinLztaod20A8eNKe5B0Zl+SrzlVzWSXzMfbpnDWKBeLE64wVFKgyRmsCip&#10;jPvyr/cYj27BS0mDMcup/7xlTlAi32n08fV4FoUP3WWWzSe4uGPP5tijt+rCYJLHWFHLOzPGB3kw&#10;S2fUJ+zXKmaFi2mO3DkNB/Mi9MOP/eRiteqCMImWhWu9tjxC96KttsGUdad0lKnXZlAPs9j1atib&#10;OOzH9y7q8Vux/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CgKLP2wAAAAsBAAAPAAAAAAAAAAEA&#10;IAAAACIAAABkcnMvZG93bnJldi54bWxQSwECFAAUAAAACACHTuJAlmAlDEUCAABzBAAADgAAAAAA&#10;AAABACAAAAAqAQAAZHJzL2Uyb0RvYy54bWxQSwUGAAAAAAYABgBZAQAA4QUAAAAA&#10;">
                <v:fill on="f" focussize="0,0"/>
                <v:stroke on="f" weight="0.5pt"/>
                <v:imagedata o:title=""/>
                <o:lock v:ext="edit" aspectratio="f"/>
                <v:textbox>
                  <w:txbxContent>
                    <w:p>
                      <w:pPr>
                        <w:rPr>
                          <w:rFonts w:hint="default" w:eastAsia="宋体"/>
                          <w:lang w:val="en-US" w:eastAsia="zh-CN"/>
                        </w:rPr>
                      </w:pPr>
                      <w:r>
                        <w:rPr>
                          <w:rFonts w:hint="eastAsia"/>
                          <w:lang w:val="en-US" w:eastAsia="zh-CN"/>
                        </w:rPr>
                        <w:t>137m</w:t>
                      </w: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3814445</wp:posOffset>
                </wp:positionH>
                <wp:positionV relativeFrom="paragraph">
                  <wp:posOffset>2214880</wp:posOffset>
                </wp:positionV>
                <wp:extent cx="704850" cy="33337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704850"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51m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35pt;margin-top:174.4pt;height:26.25pt;width:55.5pt;z-index:251692032;mso-width-relative:page;mso-height-relative:page;" filled="f" stroked="f" coordsize="21600,21600" o:gfxdata="UEsDBAoAAAAAAIdO4kAAAAAAAAAAAAAAAAAEAAAAZHJzL1BLAwQUAAAACACHTuJA5uwe0dsAAAAL&#10;AQAADwAAAGRycy9kb3ducmV2LnhtbE2Py07DMBBF90j8gzVI7KjttrRRGqdCkSokBIuWbthNYjeJ&#10;6keI3Qd8PcMKljNzdOfcYn11lp3NGPvgFciJAGZ8E3TvWwX7981DBiwm9Bpt8EbBl4mwLm9vCsx1&#10;uPitOe9SyyjExxwVdCkNOeex6YzDOAmD8XQ7hNFhonFsuR7xQuHO8qkQC+6w9/Shw8FUnWmOu5NT&#10;8FJt3nBbT132bavn18PT8Ln/eFTq/k6KFbBkrukPhl99UoeSnOpw8joyq2AhxJJQBbN5Rh2IWEpJ&#10;m1rBXMgZ8LLg/zuUP1BLAwQUAAAACACHTuJAXZGTvTkCAABnBAAADgAAAGRycy9lMm9Eb2MueG1s&#10;rVTBbhMxEL0j8Q+W73STNmlKlE0VGhUhRbRSQZwdr7e7ku0xttPd8gHwB5y4cOe78h087yZpKRx6&#10;IAdnPDN5M+/NOLPz1mh2p3yoyeZ8eDTgTFlJRW1vc/7xw+WrM85CFLYQmqzK+b0K/Hz+8sWscVN1&#10;TBXpQnkGEBumjct5FaObZlmQlTIiHJFTFsGSvBERV3+bFV40QDc6Ox4MTrOGfOE8SRUCvMs+yHeI&#10;/jmAVJa1VEuSG6Ns7FG90iKCUqhqF/i867YslYxXZRlUZDrnYBq7E0Vgr9OZzWdieuuFq2q5a0E8&#10;p4UnnIyoLYoeoJYiCrbx9V9QppaeApXxSJLJeiKdImAxHDzR5qYSTnVcIHVwB9HD/4OV7++uPauL&#10;nI+GnFlhMPHt92/bH7+2P78y+CBQ48IUeTcOmbF9Qy3WZu8PcCbebelN+gYjhjjkvT/Iq9rIJJyT&#10;wehsjIhE6ASfyTihZA8/dj7Et4oMS0bOPabXiSruViH2qfuUVMvSZa11N0FtWZPz0xPA/xEBuLao&#10;kSj0rSYrtut2x2tNxT1oeeo3Izh5WaP4SoR4LTxWAf3iscQrHKUmFKGdxVlF/su//CkfE0KUswar&#10;lfPweSO84ky/s5jd6+FoBNjYXUbjyTEu/nFk/ThiN+aCsL0YD7rrzJQf9d4sPZlPeFOLVBUhYSVq&#10;5zzuzYvYLzzepFSLRZeE7XMiruyNkwm6F22xiVTWndJJpl6bnXrYv25Wu7eSFvzxvct6+H+Y/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7B7R2wAAAAsBAAAPAAAAAAAAAAEAIAAAACIAAABkcnMv&#10;ZG93bnJldi54bWxQSwECFAAUAAAACACHTuJAXZGTvTkCAABnBAAADgAAAAAAAAABACAAAAAq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51m</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3843020</wp:posOffset>
                </wp:positionH>
                <wp:positionV relativeFrom="paragraph">
                  <wp:posOffset>2243455</wp:posOffset>
                </wp:positionV>
                <wp:extent cx="66675" cy="200025"/>
                <wp:effectExtent l="20320" t="1905" r="27305" b="7620"/>
                <wp:wrapNone/>
                <wp:docPr id="38" name="直接箭头连接符 38"/>
                <wp:cNvGraphicFramePr/>
                <a:graphic xmlns:a="http://schemas.openxmlformats.org/drawingml/2006/main">
                  <a:graphicData uri="http://schemas.microsoft.com/office/word/2010/wordprocessingShape">
                    <wps:wsp>
                      <wps:cNvCnPr/>
                      <wps:spPr>
                        <a:xfrm flipH="1">
                          <a:off x="0" y="0"/>
                          <a:ext cx="66675" cy="200025"/>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02.6pt;margin-top:176.65pt;height:15.75pt;width:5.25pt;z-index:251688960;mso-width-relative:page;mso-height-relative:page;" filled="f" stroked="t" coordsize="21600,21600" o:gfxdata="UEsDBAoAAAAAAIdO4kAAAAAAAAAAAAAAAAAEAAAAZHJzL1BLAwQUAAAACACHTuJABvUkWNoAAAAL&#10;AQAADwAAAGRycy9kb3ducmV2LnhtbE2Py07EMAxF90j8Q2QkNohJH/Sh0nSEkFjBAgYk1F3amLai&#10;caom8+DvMStmafvo3uN6e7KzOODqJ0cK4k0EAql3ZqJBwcf7020JwgdNRs+OUMEPetg2lxe1row7&#10;0hsedmEQHEK+0grGEJZKSt+PaLXfuAWJb19utTrwuA7SrPrI4XaWSRTl0uqJuGHUCz6O2H/v9pZL&#10;urYo47QwrzfPn0nbTv2DzV+Uur6Ko3sQAU/hH4Y/fVaHhp06tyfjxawgj7KEUQVplqYgmMjjrADR&#10;8aa8K0E2tTz/ofkFUEsDBBQAAAAIAIdO4kBdpX/HAwIAANcDAAAOAAAAZHJzL2Uyb0RvYy54bWyt&#10;U82O0zAQviPxDpbvNNmi7aKo6R5aFg4IVgIeYOo4iSX/aext2pfgBZA4ASfgtHeeBpbHYOyEAstl&#10;D+QQjWc838z3zXh5vjea7SQG5WzNT2YlZ9IK1yjb1fz1q4sHjzgLEWwD2llZ84MM/Hx1/95y8JWc&#10;u97pRiIjEBuqwde8j9FXRRFELw2EmfPSUrB1aCDSEbuiQRgI3ehiXpaLYnDYeHRChkDezRjkEyLe&#10;BdC1rRJy48SVkTaOqCg1RKIUeuUDX+Vu21aK+KJtg4xM15yYxvynImRv079YLaHqEHyvxNQC3KWF&#10;W5wMKEtFj1AbiMCuUP0DZZRAF1wbZ8KZYiSSFSEWJ+UtbV724GXmQlIHfxQ9/D9Y8Xx3iUw1NX9I&#10;c7dgaOI3b6+/v/lw8+Xzt/fXP76+S/anj4ziJNbgQ0U5a3uJ0yn4S0zM9y0a1mrln9JWZS2IHdtn&#10;qQ9HqeU+MkHOxWJxdsqZoAgtRTk/TeDFiJLQPIb4RDrDklHzEBFU18e1s5Zm6nCsALtnIY6JvxJS&#10;snUXSmvyQ6UtG6if+VlJExdA+9rSnpBpPHEOtuMMdEcPQUTMTQenVZPSU3bAbrvWyHaQ1id/U59/&#10;XUu1NxD68V4OpWtQRVD6sW1YPHjSFRDdMOVrS3STmKN8ydq65pBVzX6adxZk2s20UH+ec/bv97j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b1JFjaAAAACwEAAA8AAAAAAAAAAQAgAAAAIgAAAGRy&#10;cy9kb3ducmV2LnhtbFBLAQIUABQAAAAIAIdO4kBdpX/HAwIAANcDAAAOAAAAAAAAAAEAIAAAACkB&#10;AABkcnMvZTJvRG9jLnhtbFBLBQYAAAAABgAGAFkBAACeBQAAAAA=&#10;">
                <v:fill on="f" focussize="0,0"/>
                <v:stroke weight="1pt" color="#000000 [3213]" joinstyle="round" endarrow="open"/>
                <v:imagedata o:title=""/>
                <o:lock v:ext="edit" aspectratio="f"/>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4757420</wp:posOffset>
                </wp:positionH>
                <wp:positionV relativeFrom="paragraph">
                  <wp:posOffset>2024380</wp:posOffset>
                </wp:positionV>
                <wp:extent cx="704850" cy="33337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704850"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37m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6pt;margin-top:159.4pt;height:26.25pt;width:55.5pt;z-index:251693056;mso-width-relative:page;mso-height-relative:page;" filled="f" stroked="f" coordsize="21600,21600" o:gfxdata="UEsDBAoAAAAAAIdO4kAAAAAAAAAAAAAAAAAEAAAAZHJzL1BLAwQUAAAACACHTuJASuFhStsAAAAL&#10;AQAADwAAAGRycy9kb3ducmV2LnhtbE2Py07DMBBF90j8gzVI7KidFNoQ4lQoUoWEYNHSDTsnniYR&#10;8TjE7gO+nmEFy7lzdB/F6uwGccQp9J40JDMFAqnxtqdWw+5tfZOBCNGQNYMn1PCFAVbl5UVhcutP&#10;tMHjNraCTSjkRkMX45hLGZoOnQkzPyLxb+8nZyKfUyvtZE5s7gaZKrWQzvTECZ0Zseqw+dgenIbn&#10;av1qNnXqsu+henrZP46fu/c7ra+vEvUAIuI5/sHwW5+rQ8mdan8gG8SgYXl7nzKqYZ5kvIGJbKFY&#10;qVlZJnOQZSH/byh/AFBLAwQUAAAACACHTuJA8hanXzoCAABnBAAADgAAAGRycy9lMm9Eb2MueG1s&#10;rVTBbhMxEL0j8Q+W73STNG1KlE0VWhUhRbRSQJwdrze7ku0xttPd8gHwB5y4cOe78h087yZtKRx6&#10;IAdnPDN54/dmJrPz1mh2q3yoyeZ8eDTgTFlJRW03Of/44erVGWchClsITVbl/E4Ffj5/+WLWuKka&#10;UUW6UJ4BxIZp43JexeimWRZkpYwIR+SURbAkb0TE1W+ywosG6EZno8HgNGvIF86TVCHAe9kH+R7R&#10;PweQyrKW6pLk1igbe1SvtIigFKraBT7vXluWSsbrsgwqMp1zMI3diSKw1+nM5jMx3XjhqlrunyCe&#10;84QnnIyoLYreQ12KKNjW139BmVp6ClTGI0km64l0ioDFcPBEm1UlnOq4QOrg7kUP/w9Wvr+98awu&#10;cj4ecWaFQcd337/tfvza/fzK4INAjQtT5K0cMmP7hlqMzcEf4Ey829Kb9A1GDHHIe3cvr2ojk3BO&#10;BuOzE0QkQsf4TE4SSvbwY+dDfKvIsGTk3KN7najidhlin3pISbUsXdVadx3UljU5Pz0G/B8RgGuL&#10;GolC/9RkxXbd7nmtqbgDLU/9ZAQnr2oUX4oQb4THKOC9WJZ4jaPUhCK0tziryH/5lz/lo0OIctZg&#10;tHIePm+FV5zpdxa9ez0cjwEbu8v4ZDLCxT+OrB9H7NZcEKZ3iLV0sjNTftQHs/RkPmGnFqkqQsJK&#10;1M55PJgXsR947KRUi0WXhOlzIi7tyskE3Yu22EYq607pJFOvzV49zF/Xq/2upAF/fO+yHv4f5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uFhStsAAAALAQAADwAAAAAAAAABACAAAAAiAAAAZHJz&#10;L2Rvd25yZXYueG1sUEsBAhQAFAAAAAgAh07iQPIWp186AgAAZwQAAA4AAAAAAAAAAQAgAAAAKg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37m</w:t>
                      </w:r>
                    </w:p>
                  </w:txbxContent>
                </v:textbox>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4966970</wp:posOffset>
                </wp:positionH>
                <wp:positionV relativeFrom="paragraph">
                  <wp:posOffset>1948180</wp:posOffset>
                </wp:positionV>
                <wp:extent cx="190500" cy="47625"/>
                <wp:effectExtent l="1270" t="23495" r="17780" b="43180"/>
                <wp:wrapNone/>
                <wp:docPr id="39" name="直接箭头连接符 39"/>
                <wp:cNvGraphicFramePr/>
                <a:graphic xmlns:a="http://schemas.openxmlformats.org/drawingml/2006/main">
                  <a:graphicData uri="http://schemas.microsoft.com/office/word/2010/wordprocessingShape">
                    <wps:wsp>
                      <wps:cNvCnPr/>
                      <wps:spPr>
                        <a:xfrm>
                          <a:off x="0" y="0"/>
                          <a:ext cx="190500" cy="47625"/>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91.1pt;margin-top:153.4pt;height:3.75pt;width:15pt;z-index:251689984;mso-width-relative:page;mso-height-relative:page;" filled="f" stroked="t" coordsize="21600,21600" o:gfxdata="UEsDBAoAAAAAAIdO4kAAAAAAAAAAAAAAAAAEAAAAZHJzL1BLAwQUAAAACACHTuJA9hSRCNkAAAAL&#10;AQAADwAAAGRycy9kb3ducmV2LnhtbE2Py07DMBBF90j8gzVI7KidBKVRiFMJpC7oBrUFIXZuPCRR&#10;43GI3Qd/z3RFl3Pn6D6qxdkN4ohT6D1pSGYKBFLjbU+thvft8qEAEaIhawZPqOEXAyzq25vKlNaf&#10;aI3HTWwFm1AojYYuxrGUMjQdOhNmfkTi37efnIl8Tq20kzmxuRtkqlQunemJEzoz4kuHzX5zcBo+&#10;X7+e191qOc+arczfzP5nZT9yre/vEvUEIuI5/sNwqc/VoeZOO38gG8SgYV6kKaMaMpXzBiaK5KLs&#10;WEkeM5B1Ja831H9QSwMEFAAAAAgAh07iQO2T1ar8AQAAzQMAAA4AAABkcnMvZTJvRG9jLnhtbK1T&#10;zXLTMBC+M8M7aHQndgJtqSdODwnlwkBngAfYyLKtGf3NSo2Tl+AFmOEEnCin3nkaKI/BSjEplEsP&#10;+GBLu/q+3e/Ten62NZptJAblbM2nk5IzaYVrlO1q/vbN+aOnnIUItgHtrKz5TgZ+tnj4YD74Ss5c&#10;73QjkRGJDdXga97H6KuiCKKXBsLEeWkp2To0EGmLXdEgDMRudDEry+NicNh4dEKGQNHVPslHRrwP&#10;oWtbJeTKiUsjbdyzotQQSVLolQ98kbttWyniq7YNMjJdc1Ia85uK0Hqd3sViDlWH4HslxhbgPi3c&#10;0WRAWSp6oFpBBHaJ6h8qowS64No4Ec4UeyHZEVIxLe9487oHL7MWsjr4g+nh/9GKl5sLZKqp+eNT&#10;ziwYuvGb99c/3n26+Xr1/eP1z28f0vrLZ0Z5MmvwoSLM0l7guAv+ApPybYsmfUkT22aDdweD5TYy&#10;QcHpaXlUkvWCUk9OjmdHibK4xXoM8bl0hqVFzUNEUF0fl85aukmH0+wxbF6EuAf+BqTC1p0rrSkO&#10;lbZsoGqzk1wMaEpbmg6qazwpDbbjDHRH4y8iZsrgtGoSPKEDduulRraBNDT5Gfv861iqvYLQ78/l&#10;VDoGVQSln9mGxZ0nNwHRDSNeW5KbLNybllZr1+yylzlOt5wNGScyjdGf+4y+/Qs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2FJEI2QAAAAsBAAAPAAAAAAAAAAEAIAAAACIAAABkcnMvZG93bnJl&#10;di54bWxQSwECFAAUAAAACACHTuJA7ZPVqvwBAADNAwAADgAAAAAAAAABACAAAAAoAQAAZHJzL2Uy&#10;b0RvYy54bWxQSwUGAAAAAAYABgBZAQAAlgUAAAAA&#10;">
                <v:fill on="f" focussize="0,0"/>
                <v:stroke weight="1pt" color="#000000 [3213]" joinstyle="round" endarrow="open"/>
                <v:imagedata o:title=""/>
                <o:lock v:ext="edit" aspectratio="f"/>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6858635</wp:posOffset>
                </wp:positionH>
                <wp:positionV relativeFrom="paragraph">
                  <wp:posOffset>4109085</wp:posOffset>
                </wp:positionV>
                <wp:extent cx="529590" cy="0"/>
                <wp:effectExtent l="0" t="9525" r="3810" b="9525"/>
                <wp:wrapNone/>
                <wp:docPr id="23" name="直接连接符 23"/>
                <wp:cNvGraphicFramePr/>
                <a:graphic xmlns:a="http://schemas.openxmlformats.org/drawingml/2006/main">
                  <a:graphicData uri="http://schemas.microsoft.com/office/word/2010/wordprocessingShape">
                    <wps:wsp>
                      <wps:cNvCnPr/>
                      <wps:spPr>
                        <a:xfrm>
                          <a:off x="0" y="0"/>
                          <a:ext cx="529590" cy="0"/>
                        </a:xfrm>
                        <a:prstGeom prst="line">
                          <a:avLst/>
                        </a:prstGeom>
                        <a:ln w="19050">
                          <a:solidFill>
                            <a:srgbClr val="92D05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40.05pt;margin-top:323.55pt;height:0pt;width:41.7pt;z-index:251676672;mso-width-relative:page;mso-height-relative:page;" filled="f" stroked="t" coordsize="21600,21600" o:gfxdata="UEsDBAoAAAAAAIdO4kAAAAAAAAAAAAAAAAAEAAAAZHJzL1BLAwQUAAAACACHTuJAUzPGyNoAAAAN&#10;AQAADwAAAGRycy9kb3ducmV2LnhtbE2PT0vDQBDF74LfYRnBm91NbWON2RQqBoTqwaj0us2OSTA7&#10;G7Lbf9/eKQh6mzfzePN7+fLoerHHMXSeNCQTBQKp9rajRsPHe3mzABGiIWt6T6jhhAGWxeVFbjLr&#10;D/SG+yo2gkMoZEZDG+OQSRnqFp0JEz8g8e3Lj85ElmMj7WgOHO56OVUqlc50xB9aM+Bji/V3tXMa&#10;ZmW5Oa2mr+vP+7ip0qfVy3Ooa62vrxL1ACLiMf6Z4YzP6FAw09bvyAbRs1YLlbBXQzq74+FsSdLb&#10;OYjt70oWufzfovgBUEsDBBQAAAAIAIdO4kCaM6p82AEAAJwDAAAOAAAAZHJzL2Uyb0RvYy54bWyt&#10;U82O0zAQviPxDpbvNNmgIho13cNGywVBJeABpo6TWPKfPN6mfQleAIkbnDhy521YHoOx0+3CctkD&#10;F2f+/M18nyfry4PRbC8DKmcbfrEoOZNWuE7ZoeEf3l8/e8kZRrAdaGdlw48S+eXm6ZP15GtZudHp&#10;TgZGIBbryTd8jNHXRYFilAZw4by0lOxdMBDJDUPRBZgI3eiiKssXxeRC54MTEpGi7ZzkJ8TwGEDX&#10;90rI1okbI22cUYPUEIkSjsoj3+Rp+16K+LbvUUamG05MYz6pCdm7dBabNdRDAD8qcRoBHjPCA04G&#10;lKWmZ6gWIrCboP6BMkoEh66PC+FMMRPJihCLi/KBNu9G8DJzIanRn0XH/wcr3uy3gamu4dVzziwY&#10;evHbT99/fvzy68dnOm+/fWWUIZkmjzVVX9ltOHnotyFxPvTBpC+xYYcs7fEsrTxEJii4rFbLFYku&#10;7lLF/T0fML6SzrBkNFwrm0hDDfvXGKkXld6VpLB110rr/HDasol2eFUuEzTQNva0BWQaT4zQDpyB&#10;HmjNRQwZEp1WXbqegDAMuysd2B5oOVZVm1Dmdn+Vpd4t4DjX5dSpTFsaLukyK5GsneuOWaAcp0fL&#10;458WLG3Fn36+ff9TbX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zPGyNoAAAANAQAADwAAAAAA&#10;AAABACAAAAAiAAAAZHJzL2Rvd25yZXYueG1sUEsBAhQAFAAAAAgAh07iQJozqnzYAQAAnAMAAA4A&#10;AAAAAAAAAQAgAAAAKQEAAGRycy9lMm9Eb2MueG1sUEsFBgAAAAAGAAYAWQEAAHMFAAAAAA==&#10;">
                <v:fill on="f" focussize="0,0"/>
                <v:stroke weight="1.5pt" color="#92D050 [3204]" joinstyle="round"/>
                <v:imagedata o:title=""/>
                <o:lock v:ext="edit" aspectratio="f"/>
              </v:lin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6822440</wp:posOffset>
                </wp:positionH>
                <wp:positionV relativeFrom="paragraph">
                  <wp:posOffset>3871595</wp:posOffset>
                </wp:positionV>
                <wp:extent cx="529590" cy="0"/>
                <wp:effectExtent l="0" t="9525" r="3810" b="9525"/>
                <wp:wrapNone/>
                <wp:docPr id="22" name="直接连接符 22"/>
                <wp:cNvGraphicFramePr/>
                <a:graphic xmlns:a="http://schemas.openxmlformats.org/drawingml/2006/main">
                  <a:graphicData uri="http://schemas.microsoft.com/office/word/2010/wordprocessingShape">
                    <wps:wsp>
                      <wps:cNvCnPr/>
                      <wps:spPr>
                        <a:xfrm>
                          <a:off x="7902575" y="5041265"/>
                          <a:ext cx="529590" cy="0"/>
                        </a:xfrm>
                        <a:prstGeom prst="line">
                          <a:avLst/>
                        </a:prstGeom>
                        <a:ln w="19050">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37.2pt;margin-top:304.85pt;height:0pt;width:41.7pt;z-index:251675648;mso-width-relative:page;mso-height-relative:page;" filled="f" stroked="t" coordsize="21600,21600" o:gfxdata="UEsDBAoAAAAAAIdO4kAAAAAAAAAAAAAAAAAEAAAAZHJzL1BLAwQUAAAACACHTuJArrqBntkAAAAN&#10;AQAADwAAAGRycy9kb3ducmV2LnhtbE2PQUvEMBCF74L/IYzgzU0qa6u16R4Ksh6EZasHvWWbsS02&#10;k9Jkt/XfOwuCHt+bjzfvFZvFDeKEU+g9aUhWCgRS421PrYa316ebexAhGrJm8IQavjHApry8KExu&#10;/Ux7PNWxFRxCITcauhjHXMrQdOhMWPkRiW+ffnImspxaaSczc7gb5K1SqXSmJ/7QmRGrDpuv+ug0&#10;vO+2u/GlqlL//LGdlzZN6n02aH19lahHEBGX+AfDuT5Xh5I7HfyRbBADa5Wt18xqSNVDBuKMJHcZ&#10;zzn8WrIs5P8V5Q9QSwMEFAAAAAgAh07iQMIrIdDqAQAAqAMAAA4AAABkcnMvZTJvRG9jLnhtbK1T&#10;zY7TMBC+I/EOlu80aUR2adR0D1uVC4JKwAO4jp1Y8p883qZ9CV4AiRucOHLnbVgeg7ETdmG57IEc&#10;nLH95Zv5vpmsr05Gk6MIoJxt6XJRUiIsd52yfUvfv9s9e0EJRGY7pp0VLT0LoFebp0/Wo29E5Qan&#10;OxEIklhoRt/SIUbfFAXwQRgGC+eFxUvpgmERt6EvusBGZDe6qMryohhd6HxwXADg6Xa6pDNjeAyh&#10;k1JxsXX8xggbJ9YgNIsoCQblgW5ytVIKHt9ICSIS3VJUGvOKSTA+pLXYrFnTB+YHxecS2GNKeKDJ&#10;MGUx6R3VlkVGboL6h8ooHhw4GRfcmWISkh1BFcvygTdvB+ZF1oJWg78zHf4fLX993AeiupZWFSWW&#10;Gez47cdvPz58/vn9E663X78QvEGbRg8Noq/tPsw78PuQNJ9kMOmNasippZersqova0rOLa3L58vq&#10;op5sFqdIOALqalWvsAEcAbkDxT2HDxBfCmdIClqqlU0GsIYdX0HEvAj9DUnH1u2U1rmJ2pIR53lV&#10;1oma4WRKnAgMjUd1YHtKmO5x5HkMmRKcVl36PBFB6A/XOpAjw0HZ7Up8UtGY7i9Yyr1lMEy4fDXD&#10;tEV08mhyJUUH152zWfkcG5j55mFLE/LnPn99/4N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u&#10;uoGe2QAAAA0BAAAPAAAAAAAAAAEAIAAAACIAAABkcnMvZG93bnJldi54bWxQSwECFAAUAAAACACH&#10;TuJAwish0OoBAACoAwAADgAAAAAAAAABACAAAAAoAQAAZHJzL2Uyb0RvYy54bWxQSwUGAAAAAAYA&#10;BgBZAQAAhAUAAAAA&#10;">
                <v:fill on="f" focussize="0,0"/>
                <v:stroke weight="1.5pt" color="#FF0000 [3204]" joinstyle="round"/>
                <v:imagedata o:title=""/>
                <o:lock v:ext="edit" aspectratio="f"/>
              </v:lin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5986780</wp:posOffset>
                </wp:positionH>
                <wp:positionV relativeFrom="paragraph">
                  <wp:posOffset>3553460</wp:posOffset>
                </wp:positionV>
                <wp:extent cx="1587500" cy="668020"/>
                <wp:effectExtent l="4445" t="4445" r="8255" b="13335"/>
                <wp:wrapNone/>
                <wp:docPr id="21" name="文本框 21"/>
                <wp:cNvGraphicFramePr/>
                <a:graphic xmlns:a="http://schemas.openxmlformats.org/drawingml/2006/main">
                  <a:graphicData uri="http://schemas.microsoft.com/office/word/2010/wordprocessingShape">
                    <wps:wsp>
                      <wps:cNvSpPr txBox="1"/>
                      <wps:spPr>
                        <a:xfrm>
                          <a:off x="7489825" y="4268470"/>
                          <a:ext cx="1587500"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sz w:val="24"/>
                                <w:szCs w:val="24"/>
                                <w:lang w:val="en-US" w:eastAsia="zh-CN"/>
                              </w:rPr>
                            </w:pPr>
                            <w:r>
                              <w:rPr>
                                <w:rFonts w:hint="eastAsia"/>
                                <w:b/>
                                <w:bCs/>
                                <w:sz w:val="24"/>
                                <w:szCs w:val="24"/>
                                <w:lang w:val="en-US" w:eastAsia="zh-CN"/>
                              </w:rPr>
                              <w:t>图例</w:t>
                            </w:r>
                          </w:p>
                          <w:p>
                            <w:pPr>
                              <w:pStyle w:val="10"/>
                              <w:ind w:left="0" w:leftChars="0" w:firstLine="0" w:firstLineChars="0"/>
                              <w:rPr>
                                <w:rFonts w:hint="eastAsia"/>
                                <w:sz w:val="24"/>
                                <w:szCs w:val="24"/>
                                <w:lang w:val="en-US" w:eastAsia="zh-CN"/>
                              </w:rPr>
                            </w:pPr>
                            <w:r>
                              <w:rPr>
                                <w:rFonts w:hint="eastAsia"/>
                                <w:sz w:val="24"/>
                                <w:szCs w:val="24"/>
                                <w:lang w:val="en-US" w:eastAsia="zh-CN"/>
                              </w:rPr>
                              <w:t>项目区</w:t>
                            </w:r>
                          </w:p>
                          <w:p>
                            <w:pPr>
                              <w:pStyle w:val="10"/>
                              <w:ind w:left="0" w:leftChars="0" w:firstLine="0" w:firstLineChars="0"/>
                              <w:rPr>
                                <w:rFonts w:hint="default"/>
                                <w:sz w:val="24"/>
                                <w:szCs w:val="24"/>
                                <w:lang w:val="en-US" w:eastAsia="zh-CN"/>
                              </w:rPr>
                            </w:pPr>
                            <w:r>
                              <w:rPr>
                                <w:rFonts w:hint="eastAsia"/>
                                <w:sz w:val="24"/>
                                <w:szCs w:val="24"/>
                                <w:lang w:val="en-US" w:eastAsia="zh-CN"/>
                              </w:rPr>
                              <w:t>周边企业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1.4pt;margin-top:279.8pt;height:52.6pt;width:125pt;z-index:251674624;mso-width-relative:page;mso-height-relative:page;" fillcolor="#FFFFFF [3201]" filled="t" stroked="t" coordsize="21600,21600" o:gfxdata="UEsDBAoAAAAAAIdO4kAAAAAAAAAAAAAAAAAEAAAAZHJzL1BLAwQUAAAACACHTuJAl6EeT9gAAAAM&#10;AQAADwAAAGRycy9kb3ducmV2LnhtbE2PzU7DMBCE70i8g7VI3KiTtLWakE0lkJAQN9pcuLnxNonw&#10;T2S7TXl7nBMcd3Y08029vxnNruTD6CxCvsqAke2cGm2P0B7fnnbAQpRWSe0sIfxQgH1zf1fLSrnZ&#10;ftL1EHuWQmyoJMIQ41RxHrqBjAwrN5FNv7PzRsZ0+p4rL+cUbjQvskxwI0ebGgY50etA3ffhYhDe&#10;xUv8olZ9qHWxdnPLO3/WAfHxIc+egUW6xT8zLPgJHZrEdHIXqwLTCOWmSOgRYbstBbDFkZeLdEIQ&#10;YrMD3tT8/4jmF1BLAwQUAAAACACHTuJAI+mkKGYCAADFBAAADgAAAGRycy9lMm9Eb2MueG1srVTN&#10;bhMxEL4j8Q6W73Q3IX+NuqlCqyCkilYKiLPj9WYtbI+xneyWB6BvwIkLd56rz8HYu+kvhx7IwRl7&#10;vnwz881MTk5brcheOC/BFHRwlFMiDIdSmm1BP39avZlR4gMzJVNgREGvhaeni9evTho7F0OoQZXC&#10;ESQxft7YgtYh2HmWeV4LzfwRWGHQWYHTLODVbbPSsQbZtcqGeT7JGnCldcCF9/h63jlpz+heQghV&#10;Jbk4B77TwoSO1QnFApbka2k9XaRsq0rwcFlVXgSiCoqVhnRiELQ38cwWJ2y+dczWkvcpsJek8KQm&#10;zaTBoHdU5ywwsnPyGZWW3IGHKhxx0FlXSFIEqxjkT7RZ18yKVAtK7e2d6P7/0fKP+ytHZFnQ4YAS&#10;wzR2/Pbnze2vP7e/fxB8Q4Ea6+eIW1tEhvYdtDg2h3ePj7HutnI6fmNFBP3T0ex4NhxTcl3Q0XAy&#10;G017qUUbCI8E49l0nGMXOCImk1k+TIDsnsk6H94L0CQaBXXYyqQw21/4gFkh9ACJgT0oWa6kUuni&#10;tpsz5cieYdtX6RMTxp88gilDGoz+dpwn5ke+yH1HsVGMf33OgHzKIG0UqBMiWqHdtL1qGyivUTQH&#10;3dx5y1cSeS+YD1fM4aChALiK4RKPSgEmA71FSQ3u+7/eIx77j15KGhzcgvpvO+YEJeqDwck4HoxG&#10;cdLTZTSeorDEPfRsHnrMTp8BioTNx+ySGfFBHczKgf6CG7uMUdHFDMfYBQ0H8yx064Qbz8VymUA4&#10;25aFC7O2PFLHlhhY7gJUMrUuytRp06uH053a029iXJ+H94S6//dZ/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XoR5P2AAAAAwBAAAPAAAAAAAAAAEAIAAAACIAAABkcnMvZG93bnJldi54bWxQSwEC&#10;FAAUAAAACACHTuJAI+mkKGYCAADFBAAADgAAAAAAAAABACAAAAAnAQAAZHJzL2Uyb0RvYy54bWxQ&#10;SwUGAAAAAAYABgBZAQAA/wUAAAAA&#10;">
                <v:fill on="t" focussize="0,0"/>
                <v:stroke weight="0.5pt" color="#000000 [3204]" joinstyle="round"/>
                <v:imagedata o:title=""/>
                <o:lock v:ext="edit" aspectratio="f"/>
                <v:textbox>
                  <w:txbxContent>
                    <w:p>
                      <w:pPr>
                        <w:jc w:val="center"/>
                        <w:rPr>
                          <w:rFonts w:hint="eastAsia"/>
                          <w:b/>
                          <w:bCs/>
                          <w:sz w:val="24"/>
                          <w:szCs w:val="24"/>
                          <w:lang w:val="en-US" w:eastAsia="zh-CN"/>
                        </w:rPr>
                      </w:pPr>
                      <w:r>
                        <w:rPr>
                          <w:rFonts w:hint="eastAsia"/>
                          <w:b/>
                          <w:bCs/>
                          <w:sz w:val="24"/>
                          <w:szCs w:val="24"/>
                          <w:lang w:val="en-US" w:eastAsia="zh-CN"/>
                        </w:rPr>
                        <w:t>图例</w:t>
                      </w:r>
                    </w:p>
                    <w:p>
                      <w:pPr>
                        <w:pStyle w:val="10"/>
                        <w:ind w:left="0" w:leftChars="0" w:firstLine="0" w:firstLineChars="0"/>
                        <w:rPr>
                          <w:rFonts w:hint="eastAsia"/>
                          <w:sz w:val="24"/>
                          <w:szCs w:val="24"/>
                          <w:lang w:val="en-US" w:eastAsia="zh-CN"/>
                        </w:rPr>
                      </w:pPr>
                      <w:r>
                        <w:rPr>
                          <w:rFonts w:hint="eastAsia"/>
                          <w:sz w:val="24"/>
                          <w:szCs w:val="24"/>
                          <w:lang w:val="en-US" w:eastAsia="zh-CN"/>
                        </w:rPr>
                        <w:t>项目区</w:t>
                      </w:r>
                    </w:p>
                    <w:p>
                      <w:pPr>
                        <w:pStyle w:val="10"/>
                        <w:ind w:left="0" w:leftChars="0" w:firstLine="0" w:firstLineChars="0"/>
                        <w:rPr>
                          <w:rFonts w:hint="default"/>
                          <w:sz w:val="24"/>
                          <w:szCs w:val="24"/>
                          <w:lang w:val="en-US" w:eastAsia="zh-CN"/>
                        </w:rPr>
                      </w:pPr>
                      <w:r>
                        <w:rPr>
                          <w:rFonts w:hint="eastAsia"/>
                          <w:sz w:val="24"/>
                          <w:szCs w:val="24"/>
                          <w:lang w:val="en-US" w:eastAsia="zh-CN"/>
                        </w:rPr>
                        <w:t>周边企业</w:t>
                      </w:r>
                    </w:p>
                  </w:txbxContent>
                </v:textbox>
              </v:shape>
            </w:pict>
          </mc:Fallback>
        </mc:AlternateContent>
      </w:r>
      <w:r>
        <w:drawing>
          <wp:inline distT="0" distB="0" distL="114300" distR="114300">
            <wp:extent cx="7858125" cy="5286375"/>
            <wp:effectExtent l="0" t="0" r="9525" b="952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8"/>
                    <a:stretch>
                      <a:fillRect/>
                    </a:stretch>
                  </pic:blipFill>
                  <pic:spPr>
                    <a:xfrm>
                      <a:off x="0" y="0"/>
                      <a:ext cx="7858125" cy="5286375"/>
                    </a:xfrm>
                    <a:prstGeom prst="rect">
                      <a:avLst/>
                    </a:prstGeom>
                    <a:noFill/>
                    <a:ln>
                      <a:noFill/>
                    </a:ln>
                  </pic:spPr>
                </pic:pic>
              </a:graphicData>
            </a:graphic>
          </wp:inline>
        </w:drawing>
      </w:r>
    </w:p>
    <w:p>
      <w:pPr>
        <w:rPr>
          <w:rFonts w:hint="default"/>
          <w:sz w:val="24"/>
          <w:szCs w:val="24"/>
          <w:lang w:val="en-US" w:eastAsia="zh-CN"/>
        </w:rPr>
      </w:pPr>
      <w:r>
        <w:rPr>
          <w:rFonts w:hint="eastAsia"/>
          <w:b/>
          <w:bCs/>
          <w:sz w:val="24"/>
          <w:szCs w:val="24"/>
          <w:lang w:val="en-US" w:eastAsia="zh-CN"/>
        </w:rPr>
        <w:t>附图3 移动锅炉活动范围及“三线一单”示意图</w:t>
      </w:r>
    </w:p>
    <w:p>
      <w:pPr>
        <w:rPr>
          <w:rFonts w:hint="eastAsia"/>
          <w:lang w:val="en-US" w:eastAsia="zh-CN"/>
        </w:rPr>
      </w:pPr>
      <w:r>
        <w:rPr>
          <w:sz w:val="21"/>
        </w:rPr>
        <mc:AlternateContent>
          <mc:Choice Requires="wps">
            <w:drawing>
              <wp:anchor distT="0" distB="0" distL="114300" distR="114300" simplePos="0" relativeHeight="251686912" behindDoc="0" locked="0" layoutInCell="1" allowOverlap="1">
                <wp:simplePos x="0" y="0"/>
                <wp:positionH relativeFrom="column">
                  <wp:posOffset>7303135</wp:posOffset>
                </wp:positionH>
                <wp:positionV relativeFrom="paragraph">
                  <wp:posOffset>4497070</wp:posOffset>
                </wp:positionV>
                <wp:extent cx="196850" cy="88265"/>
                <wp:effectExtent l="0" t="0" r="12700" b="6985"/>
                <wp:wrapNone/>
                <wp:docPr id="36" name="矩形 36"/>
                <wp:cNvGraphicFramePr/>
                <a:graphic xmlns:a="http://schemas.openxmlformats.org/drawingml/2006/main">
                  <a:graphicData uri="http://schemas.microsoft.com/office/word/2010/wordprocessingShape">
                    <wps:wsp>
                      <wps:cNvSpPr/>
                      <wps:spPr>
                        <a:xfrm>
                          <a:off x="0" y="0"/>
                          <a:ext cx="196850" cy="88265"/>
                        </a:xfrm>
                        <a:prstGeom prst="rect">
                          <a:avLst/>
                        </a:prstGeom>
                        <a:solidFill>
                          <a:srgbClr val="F18282"/>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5.05pt;margin-top:354.1pt;height:6.95pt;width:15.5pt;z-index:251686912;v-text-anchor:middle;mso-width-relative:page;mso-height-relative:page;" fillcolor="#F18282" filled="t" stroked="f" coordsize="21600,21600" o:gfxdata="UEsDBAoAAAAAAIdO4kAAAAAAAAAAAAAAAAAEAAAAZHJzL1BLAwQUAAAACACHTuJAgqbcddcAAAAN&#10;AQAADwAAAGRycy9kb3ducmV2LnhtbE2PzU7DMBCE70i8g7VI3KjtSNAoxOkBVE5cWhC9OvE2jhqv&#10;Q+z+8PZsT3Cc2U+zM/XqEkZxwjkNkQzohQKB1EU3UG/g82P9UIJI2ZKzYyQ08IMJVs3tTW0rF8+0&#10;wdM294JDKFXWgM95qqRMncdg0yJOSHzbxznYzHLupZvtmcPDKAulnmSwA/EHbyd88dgdtsdgIDja&#10;LF/X37j/Gt78oe3lbvcujbm/0+oZRMZL/oPhWp+rQ8Od2ngkl8TIWj8qzayBpSoLEFdEl5qtlq2i&#10;0CCbWv5f0fwCUEsDBBQAAAAIAIdO4kBKNUMZXwIAALQEAAAOAAAAZHJzL2Uyb0RvYy54bWytVM1u&#10;EzEQviPxDpbvdJMlCWnUTRU1CkKqaKWCODteb9aS7TFjJ5vyMkjceAgeB/EajL3bHwqHHrg4M57Z&#10;75v5PJOz86M17KAwaHAVH5+MOFNOQq3druIfP2xezTkLUbhaGHCq4rcq8PPlyxdnnV+oElowtUJG&#10;IC4sOl/xNka/KIogW2VFOAGvHAUbQCsiubgrahQdoVtTlKPRrOgAa48gVQh0u+6DfEDE5wBC02ip&#10;1iD3VrnYo6IyIlJLodU+8GWutmmUjFdNE1RkpuLUacwnkZC9TWexPBOLHQrfajmUIJ5TwpOerNCO&#10;SO+h1iIKtkf9F5TVEiFAE08k2KJvJCtCXYxHT7S5aYVXuReSOvh70cP/g5XvD9fIdF3x1zPOnLD0&#10;4r++fv/54xujC1Kn82FBSTf+GgcvkJlaPTZo0y81wY5Z0dt7RdUxMkmX49PZfEpaSwrN5+VsmiCL&#10;h289hvhWgWXJqDjSe2UZxeEyxD71LiVRBTC63mhjsoO77YVBdhD0tpvxvJyXA/ofacaxruLldDJK&#10;dQia2IYmhUzrqevgdpwJs6NVkBEzt4PEQORikbjXIrQ9R4YdKIyjPpI2vRrJ2kJ9S1oi9EMWvNxo&#10;+v5ShHgtkKaK+Gnv4hUdjQEqCgaLsxbwy7/uUz49NkU562hKqeDPe4GKM/PO0RicjicTgo3ZmUzf&#10;lOTg48j2ccTt7QWQWGPacC+zmfKjuTMbBPuJ1nOVWCkknCTuXprBuYj99tCCS7Va5TQaZS/ipbvx&#10;MoEn5Rys9hEanR/xQZ1BNBrmPAbD4qVteeznrIc/m+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qbcddcAAAANAQAADwAAAAAAAAABACAAAAAiAAAAZHJzL2Rvd25yZXYueG1sUEsBAhQAFAAAAAgA&#10;h07iQEo1QxlfAgAAtAQAAA4AAAAAAAAAAQAgAAAAJgEAAGRycy9lMm9Eb2MueG1sUEsFBgAAAAAG&#10;AAYAWQEAAPcFA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7300595</wp:posOffset>
                </wp:positionH>
                <wp:positionV relativeFrom="paragraph">
                  <wp:posOffset>4318000</wp:posOffset>
                </wp:positionV>
                <wp:extent cx="196850" cy="88265"/>
                <wp:effectExtent l="0" t="0" r="12700" b="6985"/>
                <wp:wrapNone/>
                <wp:docPr id="35" name="矩形 35"/>
                <wp:cNvGraphicFramePr/>
                <a:graphic xmlns:a="http://schemas.openxmlformats.org/drawingml/2006/main">
                  <a:graphicData uri="http://schemas.microsoft.com/office/word/2010/wordprocessingShape">
                    <wps:wsp>
                      <wps:cNvSpPr/>
                      <wps:spPr>
                        <a:xfrm>
                          <a:off x="0" y="0"/>
                          <a:ext cx="196850" cy="88265"/>
                        </a:xfrm>
                        <a:prstGeom prst="rect">
                          <a:avLst/>
                        </a:prstGeom>
                        <a:solidFill>
                          <a:srgbClr val="56E01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4.85pt;margin-top:340pt;height:6.95pt;width:15.5pt;z-index:251685888;v-text-anchor:middle;mso-width-relative:page;mso-height-relative:page;" fillcolor="#56E010" filled="t" stroked="f" coordsize="21600,21600" o:gfxdata="UEsDBAoAAAAAAIdO4kAAAAAAAAAAAAAAAAAEAAAAZHJzL1BLAwQUAAAACACHTuJAPMorYdkAAAAN&#10;AQAADwAAAGRycy9kb3ducmV2LnhtbE2PzU7DMBCE70i8g7VIXBC1Q1FxQpwKVeIctSDE0Y23cYR/&#10;othNC0/P9gTHmf00O1Ovz96xGac0xKCgWAhgGLpohtAreH97vZfAUtbBaBcDKvjGBOvm+qrWlYmn&#10;sMV5l3tGISFVWoHNeaw4T51Fr9MijhjodoiT15nk1HMz6ROFe8cfhFhxr4dAH6wecWOx+9odvYKP&#10;rZdz/yNbu/HL6e6lbT8Pjit1e1OIZ2AZz/kPhkt9qg4NddrHYzCJOdLFY/lErIKVFLTqghRSkLUn&#10;q1yWwJua/1/R/AJQSwMEFAAAAAgAh07iQFyatn5fAgAAtAQAAA4AAABkcnMvZTJvRG9jLnhtbK1U&#10;zW4TMRC+I/EOlu90k5CENMqmihqKkCpaqSDOjtfOruQ/bCeb8jJI3PoQPA7iNfjs3bahcOiBizPj&#10;mf2+mc8zWZwdtCJ74UNjTUmHJwNKhOG2asy2pJ8+XryaURIiMxVT1oiS3opAz5YvXyxaNxcjW1tV&#10;CU8AYsK8dSWtY3Tzogi8FpqFE+uEQVBar1mE67dF5VkLdK2K0WAwLVrrK+ctFyHgdt0FaY/onwNo&#10;pWy4WFu+08LEDtULxSJaCnXjAl3maqUUPF5JGUQkqqToNOYTJLA36SyWCzbfeubqhvclsOeU8KQn&#10;zRoD0geoNYuM7HzzF5RuuLfBynjCrS66RrIi6GI4eKLNTc2cyL1A6uAeRA//D5Z/2F970lQlfT2h&#10;xDCNF//17e7nj+8EF1CndWGOpBt37XsvwEytHqTX6RdNkENW9PZBUXGIhONyeDqdTaA1R2g2G00z&#10;ZPH4rfMhvhNWk2SU1OO9soxsfxki+JB6n5KoglVNddEolR2/3ZwrT/YMbzuZvoV+qWB88keaMqQt&#10;6WgyHqQ6GCZWYlJgaoeug9lSwtQWq8Cjz9zGJgYgddxrFuqOI8P2FMqAKWnTqZGsja1uoaW33ZAF&#10;xy8adHXJQrxmHlMFfuxdvMIhlUVRtrcoqa3/+q/7lI/HRpSSFlOKgr/smBeUqPcGY3A6HI8BG7Mz&#10;nrwZwfHHkc1xxOz0uYVYQ2y449lM+VHdm9Jb/RnruUqsCDHDwd1J0zvnsdseLDgXq1VOwyg7Fi/N&#10;jeMJPCln7GoXrWzyIz6q04uGYc4P1S9e2pZjP2c9/tk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yith2QAAAA0BAAAPAAAAAAAAAAEAIAAAACIAAABkcnMvZG93bnJldi54bWxQSwECFAAUAAAA&#10;CACHTuJAXJq2fl8CAAC0BAAADgAAAAAAAAABACAAAAAoAQAAZHJzL2Uyb0RvYy54bWxQSwUGAAAA&#10;AAYABgBZAQAA+QU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7291070</wp:posOffset>
                </wp:positionH>
                <wp:positionV relativeFrom="paragraph">
                  <wp:posOffset>4158615</wp:posOffset>
                </wp:positionV>
                <wp:extent cx="196850" cy="88265"/>
                <wp:effectExtent l="0" t="0" r="0" b="0"/>
                <wp:wrapNone/>
                <wp:docPr id="34" name="矩形 34"/>
                <wp:cNvGraphicFramePr/>
                <a:graphic xmlns:a="http://schemas.openxmlformats.org/drawingml/2006/main">
                  <a:graphicData uri="http://schemas.microsoft.com/office/word/2010/wordprocessingShape">
                    <wps:wsp>
                      <wps:cNvSpPr/>
                      <wps:spPr>
                        <a:xfrm>
                          <a:off x="8371205" y="5328285"/>
                          <a:ext cx="196850" cy="88265"/>
                        </a:xfrm>
                        <a:prstGeom prst="rect">
                          <a:avLst/>
                        </a:prstGeom>
                        <a:solidFill>
                          <a:srgbClr val="F1E6AC"/>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4.1pt;margin-top:327.45pt;height:6.95pt;width:15.5pt;z-index:251684864;v-text-anchor:middle;mso-width-relative:page;mso-height-relative:page;" fillcolor="#F1E6AC" filled="t" stroked="f" coordsize="21600,21600" o:gfxdata="UEsDBAoAAAAAAIdO4kAAAAAAAAAAAAAAAAAEAAAAZHJzL1BLAwQUAAAACACHTuJAoyqxSdsAAAAN&#10;AQAADwAAAGRycy9kb3ducmV2LnhtbE2PzU7DMBCE70i8g7VIXCrqpITUDXEqpYgLqpBo+wBuvCQR&#10;/oliNy1vz/ZEjzP7aXamXF+sYROOofdOQjpPgKFrvO5dK+Gwf38SwEJUTivjHUr4xQDr6v6uVIX2&#10;Z/eF0y62jEJcKJSELsah4Dw0HVoV5n5AR7dvP1oVSY4t16M6U7g1fJEkObeqd/ShUwNuOmx+dicr&#10;QWQelx/Pm9nb9lNPddzWZoa1lI8PafIKLOIl/sNwrU/VoaJOR39yOjBDOs3EglgJ+Uu2AnZF0uWK&#10;rCNZuRDAq5Lfrqj+AFBLAwQUAAAACACHTuJAWr8hfm4CAADABAAADgAAAGRycy9lMm9Eb2MueG1s&#10;rVTNbhMxEL4j8Q6W73Sz2ySkUTdVlBCEVNFKBXF2vN7sSv7DdrIpL4PEjYfgcRCvwWfv9ofCoQcu&#10;zoxn8n0zn2f2/OKoJDkI51ujS5qfjCgRmpuq1buSfvyweTWjxAemKyaNFiW9FZ5eLF6+OO/sXBSm&#10;MbISjgBE+3lnS9qEYOdZ5nkjFPMnxgqNYG2cYgGu22WVYx3QlcyK0WiadcZV1hkuvMftug/SAdE9&#10;B9DUdcvF2vC9Ejr0qE5IFtCSb1rr6SJVW9eCh6u69iIQWVJ0GtIJEtjbeGaLczbfOWablg8lsOeU&#10;8KQnxVoN0nuoNQuM7F37F5RquTPe1OGEG5X1jSRF0EU+eqLNTcOsSL1Aam/vRff/D5a/P1w70lYl&#10;PR1TopnCi//6+v3nj28EF1Cns36OpBt77QbPw4ytHmun4i+aIMeSzk5f58VoQsltSSenxayYTXp1&#10;xTEQjoT8bDqbQHeOhNmsmKZw9oBjnQ9vhVEkGiV1eLskKTtc+gBupN6lRFpvZFttWimT43bblXTk&#10;wPDOm/zNdLmK5PjLH2lSk66kxWQ8inUwTG+NqYGpLBTwekcJkzusBQ8ucWsTGYDUc6+Zb3qOBDtQ&#10;SA2mqFOvTLS2prqFrs70A+ct37To6pL5cM0cJgz82MFwhaOWBkWZwaKkMe7Lv+5jPh4eUUo6TCwK&#10;/rxnTlAi32mMxFk+HgM2JGc8eV3AcY8j28cRvVcrA7FybLvlyYz5Qd6ZtTPqE1Z1GVkRYpqDu5dm&#10;cFah3yQsOxfLZUrDWFsWLvWN5RE8KqfNch9M3aZHfFBnEA2DnR5qWMK4OY/9lPXw4Vn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MqsUnbAAAADQEAAA8AAAAAAAAAAQAgAAAAIgAAAGRycy9kb3du&#10;cmV2LnhtbFBLAQIUABQAAAAIAIdO4kBavyF+bgIAAMAEAAAOAAAAAAAAAAEAIAAAACoBAABkcnMv&#10;ZTJvRG9jLnhtbFBLBQYAAAAABgAGAFkBAAAKBg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7297420</wp:posOffset>
                </wp:positionH>
                <wp:positionV relativeFrom="paragraph">
                  <wp:posOffset>3954780</wp:posOffset>
                </wp:positionV>
                <wp:extent cx="142875" cy="135890"/>
                <wp:effectExtent l="12700" t="12700" r="15875" b="22860"/>
                <wp:wrapNone/>
                <wp:docPr id="33" name="椭圆 33"/>
                <wp:cNvGraphicFramePr/>
                <a:graphic xmlns:a="http://schemas.openxmlformats.org/drawingml/2006/main">
                  <a:graphicData uri="http://schemas.microsoft.com/office/word/2010/wordprocessingShape">
                    <wps:wsp>
                      <wps:cNvSpPr/>
                      <wps:spPr>
                        <a:xfrm>
                          <a:off x="8377555" y="5124450"/>
                          <a:ext cx="142875" cy="135890"/>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74.6pt;margin-top:311.4pt;height:10.7pt;width:11.25pt;z-index:251683840;v-text-anchor:middle;mso-width-relative:page;mso-height-relative:page;" filled="f" stroked="t" coordsize="21600,21600" o:gfxdata="UEsDBAoAAAAAAIdO4kAAAAAAAAAAAAAAAAAEAAAAZHJzL1BLAwQUAAAACACHTuJACVDtBNkAAAAN&#10;AQAADwAAAGRycy9kb3ducmV2LnhtbE2PzU7DMBCE70i8g7VI3KhjK21pGqdSK3EAThTEeRu7SdR4&#10;HcXuDzw92xM9zu5o5ptydfG9OLkxdoEMqEkGwlEdbEeNga/Pl6dnEDEhWewDOQM/LsKqur8rsbDh&#10;TB/utE2N4BCKBRpoUxoKKWPdOo9xEgZH/NuH0WNiOTbSjnjmcN9LnWUz6bEjbmhxcJvW1Yft0XPv&#10;+zrX+luvp4f+d/OG++lgw6sxjw8qW4JI7pL+zXDFZ3SomGkXjmSj6FmrfKHZa2CmNY+4WtRczUHs&#10;+JTnGmRVytsV1R9QSwMEFAAAAAgAh07iQJFt1hpvAgAAxAQAAA4AAABkcnMvZTJvRG9jLnhtbK1U&#10;S27bMBDdF+gdCO4bWbZUO0bkwIjhokDQBEiLrmmKsgTwV5L+pAfoKbrsNsdqz9FHSvk07SKLeiHP&#10;cJ5m+N7M6Oz8qCTZC+c7oyuan4woEZqbutPbin76uH4zo8QHpmsmjRYVvRWeni9evzo72LkYm9bI&#10;WjiCJNrPD7aibQh2nmWet0Ixf2Ks0Ag2xikW4LptVjt2QHYls/Fo9DY7GFdbZ7jwHqerPkiHjO4l&#10;CU3TdFysDN8poUOf1QnJAij5trOeLtJtm0bwcNU0XgQiKwqmIT1RBPYmPrPFGZtvHbNtx4crsJdc&#10;4RknxTqNog+pViwwsnPdX6lUx53xpgkn3KisJ5IUAYt89Eybm5ZZkbhAam8fRPf/Ly3/sL92pKsr&#10;OplQoplCx3/9uPv5/RvBAdQ5WD8H6MZeu8HzMCPVY+NU/AcJcqzobDKdlmVJyW1Fy3xcFOWgrjgG&#10;wgHIi/FsijgHIJ+Us9MUzx4TWefDO2EUiUZFhZRoZeTP5mx/6QPqA32PisfarDspUw+lJoeKjsti&#10;hNZyhsFsMBAwlQU5r7eUMLnFxPPgUkpvZFfH12Mi77abC+nInmFO1usRfpE8yv0Bi7VXzLc9LoUG&#10;mNRAR616daK1MfUttHWmHzpv+brD+5fMh2vmMGW4KPYwXOHRSIPbm8GipDXu67/OIx7NR5SSA6YW&#10;zL7smBOUyPcaY3GaF0Uc8+QU5XQMxz2NbJ5G9E5dGBDOsfGWJzPig7w3G2fUZ6zrMlZFiGmO2r2G&#10;g3MR+m3CwnOxXCYYRtuycKlvLI/J+04td8E0XWriozqDaBjuJPawiHF7nvoJ9fj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CVDtBNkAAAANAQAADwAAAAAAAAABACAAAAAiAAAAZHJzL2Rvd25y&#10;ZXYueG1sUEsBAhQAFAAAAAgAh07iQJFt1hpvAgAAxAQAAA4AAAAAAAAAAQAgAAAAKAEAAGRycy9l&#10;Mm9Eb2MueG1sUEsFBgAAAAAGAAYAWQEAAAkGAAAAAA==&#10;">
                <v:fill on="f" focussize="0,0"/>
                <v:stroke weight="2pt" color="#FF0000 [2404]" joinstyle="round"/>
                <v:imagedata o:title=""/>
                <o:lock v:ext="edit" aspectratio="f"/>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6300470</wp:posOffset>
                </wp:positionH>
                <wp:positionV relativeFrom="paragraph">
                  <wp:posOffset>3719830</wp:posOffset>
                </wp:positionV>
                <wp:extent cx="2219325" cy="1152525"/>
                <wp:effectExtent l="4445" t="4445" r="5080" b="5080"/>
                <wp:wrapNone/>
                <wp:docPr id="32" name="文本框 32"/>
                <wp:cNvGraphicFramePr/>
                <a:graphic xmlns:a="http://schemas.openxmlformats.org/drawingml/2006/main">
                  <a:graphicData uri="http://schemas.microsoft.com/office/word/2010/wordprocessingShape">
                    <wps:wsp>
                      <wps:cNvSpPr txBox="1"/>
                      <wps:spPr>
                        <a:xfrm>
                          <a:off x="7380605" y="4889500"/>
                          <a:ext cx="221932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lang w:val="en-US" w:eastAsia="zh-CN"/>
                              </w:rPr>
                            </w:pPr>
                            <w:r>
                              <w:rPr>
                                <w:rFonts w:hint="eastAsia"/>
                                <w:b/>
                                <w:bCs/>
                                <w:lang w:val="en-US" w:eastAsia="zh-CN"/>
                              </w:rPr>
                              <w:t>图例</w:t>
                            </w:r>
                          </w:p>
                          <w:p>
                            <w:pPr>
                              <w:pStyle w:val="10"/>
                              <w:keepNext w:val="0"/>
                              <w:keepLines w:val="0"/>
                              <w:pageBreakBefore w:val="0"/>
                              <w:widowControl w:val="0"/>
                              <w:kinsoku/>
                              <w:wordWrap/>
                              <w:overflowPunct/>
                              <w:topLinePunct w:val="0"/>
                              <w:bidi w:val="0"/>
                              <w:adjustRightInd/>
                              <w:snapToGrid/>
                              <w:ind w:left="0" w:leftChars="0" w:firstLine="0" w:firstLineChars="0"/>
                              <w:textAlignment w:val="auto"/>
                              <w:rPr>
                                <w:rFonts w:hint="eastAsia"/>
                                <w:lang w:val="en-US" w:eastAsia="zh-CN"/>
                              </w:rPr>
                            </w:pPr>
                            <w:r>
                              <w:rPr>
                                <w:rFonts w:hint="eastAsia"/>
                                <w:lang w:val="en-US" w:eastAsia="zh-CN"/>
                              </w:rPr>
                              <w:t>租赁范围</w:t>
                            </w:r>
                          </w:p>
                          <w:p>
                            <w:pPr>
                              <w:pStyle w:val="10"/>
                              <w:keepNext w:val="0"/>
                              <w:keepLines w:val="0"/>
                              <w:pageBreakBefore w:val="0"/>
                              <w:widowControl w:val="0"/>
                              <w:kinsoku/>
                              <w:wordWrap/>
                              <w:overflowPunct/>
                              <w:topLinePunct w:val="0"/>
                              <w:bidi w:val="0"/>
                              <w:adjustRightInd/>
                              <w:snapToGrid/>
                              <w:ind w:left="0" w:leftChars="0" w:firstLine="0" w:firstLineChars="0"/>
                              <w:textAlignment w:val="auto"/>
                              <w:rPr>
                                <w:rFonts w:hint="eastAsia"/>
                                <w:lang w:val="en-US" w:eastAsia="zh-CN"/>
                              </w:rPr>
                            </w:pPr>
                            <w:r>
                              <w:rPr>
                                <w:rFonts w:hint="eastAsia"/>
                                <w:lang w:val="en-US" w:eastAsia="zh-CN"/>
                              </w:rPr>
                              <w:t>一般管控单元</w:t>
                            </w:r>
                          </w:p>
                          <w:p>
                            <w:pPr>
                              <w:pStyle w:val="10"/>
                              <w:keepNext w:val="0"/>
                              <w:keepLines w:val="0"/>
                              <w:pageBreakBefore w:val="0"/>
                              <w:widowControl w:val="0"/>
                              <w:kinsoku/>
                              <w:wordWrap/>
                              <w:overflowPunct/>
                              <w:topLinePunct w:val="0"/>
                              <w:bidi w:val="0"/>
                              <w:adjustRightInd/>
                              <w:snapToGrid/>
                              <w:ind w:left="0" w:leftChars="0" w:firstLine="0" w:firstLineChars="0"/>
                              <w:textAlignment w:val="auto"/>
                              <w:rPr>
                                <w:rFonts w:hint="eastAsia"/>
                                <w:lang w:val="en-US" w:eastAsia="zh-CN"/>
                              </w:rPr>
                            </w:pPr>
                            <w:r>
                              <w:rPr>
                                <w:rFonts w:hint="eastAsia"/>
                                <w:lang w:val="en-US" w:eastAsia="zh-CN"/>
                              </w:rPr>
                              <w:t>重点管控单元</w:t>
                            </w:r>
                          </w:p>
                          <w:p>
                            <w:pPr>
                              <w:pStyle w:val="10"/>
                              <w:keepNext w:val="0"/>
                              <w:keepLines w:val="0"/>
                              <w:pageBreakBefore w:val="0"/>
                              <w:widowControl w:val="0"/>
                              <w:kinsoku/>
                              <w:wordWrap/>
                              <w:overflowPunct/>
                              <w:topLinePunct w:val="0"/>
                              <w:bidi w:val="0"/>
                              <w:adjustRightInd/>
                              <w:snapToGrid/>
                              <w:ind w:left="0" w:leftChars="0" w:firstLine="0" w:firstLineChars="0"/>
                              <w:textAlignment w:val="auto"/>
                              <w:rPr>
                                <w:rFonts w:hint="default"/>
                                <w:lang w:val="en-US" w:eastAsia="zh-CN"/>
                              </w:rPr>
                            </w:pPr>
                            <w:r>
                              <w:rPr>
                                <w:rFonts w:hint="eastAsia"/>
                                <w:lang w:val="en-US" w:eastAsia="zh-CN"/>
                              </w:rPr>
                              <w:t>重点保护单元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6.1pt;margin-top:292.9pt;height:90.75pt;width:174.75pt;z-index:251682816;mso-width-relative:page;mso-height-relative:page;" fillcolor="#FFFFFF [3201]" filled="t" stroked="t" coordsize="21600,21600" o:gfxdata="UEsDBAoAAAAAAIdO4kAAAAAAAAAAAAAAAAAEAAAAZHJzL1BLAwQUAAAACACHTuJAXqOBmdkAAAAM&#10;AQAADwAAAGRycy9kb3ducmV2LnhtbE2Py07DMBBF90j8gzVI7KjzoEkbMqkEEhJiR8mGnRtPkwh7&#10;HMVuU/4edwXL0Rzde269u1gjzjT70TFCukpAEHdOj9wjtJ+vDxsQPijWyjgmhB/ysGtub2pVabfw&#10;B533oRcxhH2lEIYQpkpK3w1klV+5iTj+jm62KsRz7qWe1RLDrZFZkhTSqpFjw6Amehmo+96fLMJb&#10;8Ry+qNXvOs9yt7Sym4/GI97fpckTiECX8AfDVT+qQxOdDu7E2guDsN1mWUQR1pt13HAl8se0BHFA&#10;KIsyB9nU8v+I5hdQSwMEFAAAAAgAh07iQDLkBqZmAgAAxgQAAA4AAABkcnMvZTJvRG9jLnhtbK1U&#10;zW4TMRC+I/EOlu90f5K0aZRNFVoFIVW0UkGcHa83u8L2GNvJbnkAeANOXLjzXH0Oxt5N+sehBxLJ&#10;GXs+fTPzzUzmZ52SZCesa0AXNDtKKRGaQ9noTUE/fVy9mVLiPNMlk6BFQW+Fo2eL16/mrZmJHGqQ&#10;pbAESbSbtaagtfdmliSO10IxdwRGaHRWYBXzeLWbpLSsRXYlkzxNj5MWbGkscOEcvl70Tjow2pcQ&#10;QlU1XFwA3yqhfc9qhWQeS3J1YxxdxGyrSnB/VVVOeCILipX6eGIQtNfhTBZzNttYZuqGDymwl6Tw&#10;pCbFGo1BD1QXzDOytc0zKtVwCw4qf8RBJX0hURGsIkufaHNTMyNiLSi1MwfR3f+j5R9215Y0ZUFH&#10;OSWaKez43c8fd7/+3P3+TvANBWqNmyHuxiDSd2+hw7HZvzt8DHV3lVXhFysi6D8ZTdPjdELJbUHH&#10;0+npJB2kFp0nHAF5np2OcgRwRGTZJMdv4EzuqYx1/p0ARYJRUIu9jBKz3aXzPXQPCZEdyKZcNVLG&#10;i92sz6UlO4Z9X8XPwP4IJjVpC3o8mqSR+ZEvcB8o1pLxL88ZMFupMemgUK9EsHy37gbZ1lDeomoW&#10;+sFzhq8a5L1kzl8zi5OGc4i76K/wqCRgMjBYlNRgv/3rPeBxANBLSYuTW1D3dcusoES+1zgap9l4&#10;HEY9XsaTkxwv9qFn/dCjt+ocUKQMt97waAa8l3uzsqA+48ouQ1R0Mc0xdkH93jz3/T7hynOxXEYQ&#10;Drdh/lLfGB6oQ0s0LLceqia2LsjUazOoh+Mdmz+sYtifh/eIuv/7Wf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XqOBmdkAAAAMAQAADwAAAAAAAAABACAAAAAiAAAAZHJzL2Rvd25yZXYueG1sUEsB&#10;AhQAFAAAAAgAh07iQDLkBqZmAgAAxgQAAA4AAAAAAAAAAQAgAAAAKAEAAGRycy9lMm9Eb2MueG1s&#10;UEsFBgAAAAAGAAYAWQEAAAAGAAAAAA==&#10;">
                <v:fill on="t" focussize="0,0"/>
                <v:stroke weight="0.5pt" color="#000000 [3204]" joinstyle="round"/>
                <v:imagedata o:title=""/>
                <o:lock v:ext="edit" aspectratio="f"/>
                <v:textbox>
                  <w:txbxContent>
                    <w:p>
                      <w:pPr>
                        <w:jc w:val="center"/>
                        <w:rPr>
                          <w:rFonts w:hint="eastAsia"/>
                          <w:b/>
                          <w:bCs/>
                          <w:lang w:val="en-US" w:eastAsia="zh-CN"/>
                        </w:rPr>
                      </w:pPr>
                      <w:r>
                        <w:rPr>
                          <w:rFonts w:hint="eastAsia"/>
                          <w:b/>
                          <w:bCs/>
                          <w:lang w:val="en-US" w:eastAsia="zh-CN"/>
                        </w:rPr>
                        <w:t>图例</w:t>
                      </w:r>
                    </w:p>
                    <w:p>
                      <w:pPr>
                        <w:pStyle w:val="10"/>
                        <w:keepNext w:val="0"/>
                        <w:keepLines w:val="0"/>
                        <w:pageBreakBefore w:val="0"/>
                        <w:widowControl w:val="0"/>
                        <w:kinsoku/>
                        <w:wordWrap/>
                        <w:overflowPunct/>
                        <w:topLinePunct w:val="0"/>
                        <w:bidi w:val="0"/>
                        <w:adjustRightInd/>
                        <w:snapToGrid/>
                        <w:ind w:left="0" w:leftChars="0" w:firstLine="0" w:firstLineChars="0"/>
                        <w:textAlignment w:val="auto"/>
                        <w:rPr>
                          <w:rFonts w:hint="eastAsia"/>
                          <w:lang w:val="en-US" w:eastAsia="zh-CN"/>
                        </w:rPr>
                      </w:pPr>
                      <w:r>
                        <w:rPr>
                          <w:rFonts w:hint="eastAsia"/>
                          <w:lang w:val="en-US" w:eastAsia="zh-CN"/>
                        </w:rPr>
                        <w:t>租赁范围</w:t>
                      </w:r>
                    </w:p>
                    <w:p>
                      <w:pPr>
                        <w:pStyle w:val="10"/>
                        <w:keepNext w:val="0"/>
                        <w:keepLines w:val="0"/>
                        <w:pageBreakBefore w:val="0"/>
                        <w:widowControl w:val="0"/>
                        <w:kinsoku/>
                        <w:wordWrap/>
                        <w:overflowPunct/>
                        <w:topLinePunct w:val="0"/>
                        <w:bidi w:val="0"/>
                        <w:adjustRightInd/>
                        <w:snapToGrid/>
                        <w:ind w:left="0" w:leftChars="0" w:firstLine="0" w:firstLineChars="0"/>
                        <w:textAlignment w:val="auto"/>
                        <w:rPr>
                          <w:rFonts w:hint="eastAsia"/>
                          <w:lang w:val="en-US" w:eastAsia="zh-CN"/>
                        </w:rPr>
                      </w:pPr>
                      <w:r>
                        <w:rPr>
                          <w:rFonts w:hint="eastAsia"/>
                          <w:lang w:val="en-US" w:eastAsia="zh-CN"/>
                        </w:rPr>
                        <w:t>一般管控单元</w:t>
                      </w:r>
                    </w:p>
                    <w:p>
                      <w:pPr>
                        <w:pStyle w:val="10"/>
                        <w:keepNext w:val="0"/>
                        <w:keepLines w:val="0"/>
                        <w:pageBreakBefore w:val="0"/>
                        <w:widowControl w:val="0"/>
                        <w:kinsoku/>
                        <w:wordWrap/>
                        <w:overflowPunct/>
                        <w:topLinePunct w:val="0"/>
                        <w:bidi w:val="0"/>
                        <w:adjustRightInd/>
                        <w:snapToGrid/>
                        <w:ind w:left="0" w:leftChars="0" w:firstLine="0" w:firstLineChars="0"/>
                        <w:textAlignment w:val="auto"/>
                        <w:rPr>
                          <w:rFonts w:hint="eastAsia"/>
                          <w:lang w:val="en-US" w:eastAsia="zh-CN"/>
                        </w:rPr>
                      </w:pPr>
                      <w:r>
                        <w:rPr>
                          <w:rFonts w:hint="eastAsia"/>
                          <w:lang w:val="en-US" w:eastAsia="zh-CN"/>
                        </w:rPr>
                        <w:t>重点管控单元</w:t>
                      </w:r>
                    </w:p>
                    <w:p>
                      <w:pPr>
                        <w:pStyle w:val="10"/>
                        <w:keepNext w:val="0"/>
                        <w:keepLines w:val="0"/>
                        <w:pageBreakBefore w:val="0"/>
                        <w:widowControl w:val="0"/>
                        <w:kinsoku/>
                        <w:wordWrap/>
                        <w:overflowPunct/>
                        <w:topLinePunct w:val="0"/>
                        <w:bidi w:val="0"/>
                        <w:adjustRightInd/>
                        <w:snapToGrid/>
                        <w:ind w:left="0" w:leftChars="0" w:firstLine="0" w:firstLineChars="0"/>
                        <w:textAlignment w:val="auto"/>
                        <w:rPr>
                          <w:rFonts w:hint="default"/>
                          <w:lang w:val="en-US" w:eastAsia="zh-CN"/>
                        </w:rPr>
                      </w:pPr>
                      <w:r>
                        <w:rPr>
                          <w:rFonts w:hint="eastAsia"/>
                          <w:lang w:val="en-US" w:eastAsia="zh-CN"/>
                        </w:rPr>
                        <w:t>重点保护单元</w:t>
                      </w: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6918325</wp:posOffset>
                </wp:positionH>
                <wp:positionV relativeFrom="paragraph">
                  <wp:posOffset>2112010</wp:posOffset>
                </wp:positionV>
                <wp:extent cx="653415" cy="543560"/>
                <wp:effectExtent l="12700" t="12700" r="19685" b="15240"/>
                <wp:wrapNone/>
                <wp:docPr id="31" name="椭圆 31"/>
                <wp:cNvGraphicFramePr/>
                <a:graphic xmlns:a="http://schemas.openxmlformats.org/drawingml/2006/main">
                  <a:graphicData uri="http://schemas.microsoft.com/office/word/2010/wordprocessingShape">
                    <wps:wsp>
                      <wps:cNvSpPr/>
                      <wps:spPr>
                        <a:xfrm>
                          <a:off x="0" y="0"/>
                          <a:ext cx="653415" cy="543560"/>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4.75pt;margin-top:166.3pt;height:42.8pt;width:51.45pt;z-index:251681792;v-text-anchor:middle;mso-width-relative:page;mso-height-relative:page;" filled="f" stroked="t" coordsize="21600,21600" o:gfxdata="UEsDBAoAAAAAAIdO4kAAAAAAAAAAAAAAAAAEAAAAZHJzL1BLAwQUAAAACACHTuJAn1kvr9oAAAAN&#10;AQAADwAAAGRycy9kb3ducmV2LnhtbE2Py07DMBBF90j8gzVI7KgdN6nSEKdSK7EAVhTEehq7SVQ/&#10;oth9wNczXdHl1Rzde6ZeXZxlJzPFIXgF2UwAM74NevCdgq/Pl6cSWEzoNdrgjYIfE2HV3N/VWOlw&#10;9h/mtE0doxIfK1TQpzRWnMe2Nw7jLIzG020fJoeJ4tRxPeGZyp3lUogFdzh4WuhxNJvetIft0dHu&#10;+zqX8luui4P93bzhvhh1eFXq8SETz8CSuaR/GK76pA4NOe3C0evILGVRLgtiFczncgHsimRLmQPb&#10;KcizUgJvan77RfMHUEsDBBQAAAAIAIdO4kAWFgOnYgIAALgEAAAOAAAAZHJzL2Uyb0RvYy54bWyt&#10;VM1uEzEQviPxDpbvdJM0KRB1U0WNgpAqWqkgzo7XzlryH7aTTXkAnoIj1z4WPAefvdsfCoceyMGZ&#10;8Yxn5vtmZk/PDkaTvQhROVvT8dGIEmG5a5Td1vTTx/WrN5TExGzDtLOipjci0rPFyxennZ+LiWud&#10;bkQgCGLjvPM1bVPy86qKvBWGxSPnhYVRumBYghq2VRNYh+hGV5PR6KTqXGh8cFzEiNtVb6RDxPCc&#10;gE5KxcXK8Z0RNvVRg9AsAVJslY90UaqVUvB0KWUUieiaAmkqJ5JA3uSzWpyy+TYw3yo+lMCeU8IT&#10;TIYpi6T3oVYsMbIL6q9QRvHgopPpiDtT9UAKI0AxHj3h5rplXhQsoDr6e9Lj/wvLP+yvAlFNTY/H&#10;lFhm0PFfP25/fv9GcAF2Oh/ncLr2V2HQIsQM9SCDyf8AQQ6F0Zt7RsUhEY7Lk9nxdDyjhMM0mx7P&#10;Tgrj1cNjH2J6J5whWaip0Brty5jZnO0vYkJOeN955Wvr1krr0jdtSVfTyWw6Qjs5wzBKDAFE4wEo&#10;2i0lTG8x5TyFEjI6rZr8PAeKYbs514HsGWZjvR7hlwEj3R9uOfeKxbb3K6bBTVt4Z356RrK0cc0N&#10;+AyuH7To+Vrh/QWL6YoFTBYKxe6lSxxSO1TvBomS1oWv/7rP/mg4rJR0mFQg+7JjQVCi31uMwtvx&#10;dJpHuyjT2esJlPDYsnlssTtz7gAY3UZ1Rcz+Sd+JMjjzGSu6zFlhYpYjd8/hoJynfoOw5Fwsl8UN&#10;4+xZurDXnufgfaeWu+SkKk18YGcgDQNdyB6WL2/MY714PXxw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1kvr9oAAAANAQAADwAAAAAAAAABACAAAAAiAAAAZHJzL2Rvd25yZXYueG1sUEsBAhQA&#10;FAAAAAgAh07iQBYWA6diAgAAuAQAAA4AAAAAAAAAAQAgAAAAKQEAAGRycy9lMm9Eb2MueG1sUEsF&#10;BgAAAAAGAAYAWQEAAP0FAAAAAA==&#10;">
                <v:fill on="f" focussize="0,0"/>
                <v:stroke weight="2pt" color="#FF0000 [2404]" joinstyle="round"/>
                <v:imagedata o:title=""/>
                <o:lock v:ext="edit" aspectratio="f"/>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6344285</wp:posOffset>
                </wp:positionH>
                <wp:positionV relativeFrom="paragraph">
                  <wp:posOffset>2476500</wp:posOffset>
                </wp:positionV>
                <wp:extent cx="653415" cy="543560"/>
                <wp:effectExtent l="12700" t="12700" r="19685" b="15240"/>
                <wp:wrapNone/>
                <wp:docPr id="30" name="椭圆 30"/>
                <wp:cNvGraphicFramePr/>
                <a:graphic xmlns:a="http://schemas.openxmlformats.org/drawingml/2006/main">
                  <a:graphicData uri="http://schemas.microsoft.com/office/word/2010/wordprocessingShape">
                    <wps:wsp>
                      <wps:cNvSpPr/>
                      <wps:spPr>
                        <a:xfrm>
                          <a:off x="0" y="0"/>
                          <a:ext cx="653415" cy="543560"/>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99.55pt;margin-top:195pt;height:42.8pt;width:51.45pt;z-index:251680768;v-text-anchor:middle;mso-width-relative:page;mso-height-relative:page;" filled="f" stroked="t" coordsize="21600,21600" o:gfxdata="UEsDBAoAAAAAAIdO4kAAAAAAAAAAAAAAAAAEAAAAZHJzL1BLAwQUAAAACACHTuJALR7S4NkAAAAM&#10;AQAADwAAAGRycy9kb3ducmV2LnhtbE2Py07DMBBF90j8gzVI7Kgd0xQS4lRqJRbAioJYu/E0iRqP&#10;o9h9wNczXcFuruboPqrl2Q/iiFPsAxnIZgoEUhNcT62Bz4/nu0cQMVlydgiEBr4xwrK+vqps6cKJ&#10;3vG4Sa1gE4qlNdClNJZSxqZDb+MsjEj824XJ28RyaqWb7InN/SC1UgvpbU+c0NkR1x02+83Bc+7b&#10;aq71l17l++Fn/Wp3+ejCizG3N5l6ApHwnP5guNTn6lBzp204kItiMFAURcaogftC8agLkSnN19bA&#10;/CFfgKwr+X9E/QtQSwMEFAAAAAgAh07iQJbNVTphAgAAuAQAAA4AAABkcnMvZTJvRG9jLnhtbK1U&#10;zW4TMRC+I/EOlu90kzQpEHVTRY2CkCpaqSDOjtfOWvIftpNNeQCegiPXPhY8B5+92x8Khx7IwZnx&#10;jL/x93lmT88ORpO9CFE5W9Px0YgSYblrlN3W9NPH9as3lMTEbMO0s6KmNyLSs8XLF6edn4uJa51u&#10;RCAAsXHe+Zq2Kfl5VUXeCsPikfPCIihdMCzBDduqCawDutHVZDQ6qToXGh8cFzFid9UH6YAYngPo&#10;pFRcrBzfGWFTjxqEZgmUYqt8pItyWykFT5dSRpGIrimYprKiCOxNXqvFKZtvA/Ot4sMV2HOu8IST&#10;Ycqi6D3UiiVGdkH9BWUUDy46mY64M1VPpCgCFuPRE22uW+ZF4QKpo78XPf4/WP5hfxWIamp6DEks&#10;M3jxXz9uf37/RrABdTof50i69ldh8CLMTPUgg8n/IEEORdGbe0XFIRGOzZPZ8XQ8o4QjNJsez04K&#10;ZvVw2IeY3glnSDZqKrTG82XObM72FzGhJrLvsvK2dWuldXk3bUlX08lsOsLdOUMzSjQBTONBKNot&#10;JUxv0eU8hQIZnVZNPp6BYthuznUge4beWK9H+GXCKPdHWq69YrHt80poSNMW2VmfXpFsbVxzAz2D&#10;6xster5WOH/BYrpiAZ2Fi2L20iUWqR1u7waLktaFr//az/l4cEQp6dCpYPZlx4KgRL+3aIW34+kU&#10;sKk409nrCZzwOLJ5HLE7c+5AeIwp97yYOT/pO1MGZz5jRJe5KkLMctTuNRyc89RPEIaci+WypKGd&#10;PUsX9trzDN6/1HKXnFTlER/UGURDQxexh+HLE/PYL1kPH5z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0e0uDZAAAADAEAAA8AAAAAAAAAAQAgAAAAIgAAAGRycy9kb3ducmV2LnhtbFBLAQIUABQA&#10;AAAIAIdO4kCWzVU6YQIAALgEAAAOAAAAAAAAAAEAIAAAACgBAABkcnMvZTJvRG9jLnhtbFBLBQYA&#10;AAAABgAGAFkBAAD7BQAAAAA=&#10;">
                <v:fill on="f" focussize="0,0"/>
                <v:stroke weight="2pt" color="#FF0000 [2404]" joinstyle="round"/>
                <v:imagedata o:title=""/>
                <o:lock v:ext="edit" aspectratio="f"/>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4098290</wp:posOffset>
                </wp:positionH>
                <wp:positionV relativeFrom="paragraph">
                  <wp:posOffset>1367790</wp:posOffset>
                </wp:positionV>
                <wp:extent cx="401955" cy="373380"/>
                <wp:effectExtent l="12700" t="12700" r="23495" b="13970"/>
                <wp:wrapNone/>
                <wp:docPr id="29" name="椭圆 29"/>
                <wp:cNvGraphicFramePr/>
                <a:graphic xmlns:a="http://schemas.openxmlformats.org/drawingml/2006/main">
                  <a:graphicData uri="http://schemas.microsoft.com/office/word/2010/wordprocessingShape">
                    <wps:wsp>
                      <wps:cNvSpPr/>
                      <wps:spPr>
                        <a:xfrm>
                          <a:off x="0" y="0"/>
                          <a:ext cx="401955" cy="373380"/>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2.7pt;margin-top:107.7pt;height:29.4pt;width:31.65pt;z-index:251679744;v-text-anchor:middle;mso-width-relative:page;mso-height-relative:page;" filled="f" stroked="t" coordsize="21600,21600" o:gfxdata="UEsDBAoAAAAAAIdO4kAAAAAAAAAAAAAAAAAEAAAAZHJzL1BLAwQUAAAACACHTuJAFB6jhdkAAAAL&#10;AQAADwAAAGRycy9kb3ducmV2LnhtbE2PS0/DMBCE70j9D9YicaN2rKSpQpxKrdQDcKJFnN14m0T1&#10;I4rdB/x6tie47e6MZr6tVzdn2QWnOASvIJsLYOjbYAbfKfjcb5+XwGLS3mgbPCr4xgirZvZQ68qE&#10;q//Ayy51jEJ8rLSCPqWx4jy2PTod52FET9oxTE4nWqeOm0lfKdxZLoVYcKcHTw29HnHTY3vanR31&#10;vq9zKb/kujjZn82bPhajCa9KPT1m4gVYwlv6M8Mdn9ChIaZDOHsTmVWwyIucrApkdh/IUYplCexA&#10;lzKXwJua//+h+QVQSwMEFAAAAAgAh07iQNSb/05jAgAAuAQAAA4AAABkcnMvZTJvRG9jLnhtbK1U&#10;zW4TMRC+I/EOlu90N2lC26ibKmoUhFTRSgVxdrzerCX/YTvZlAfgKThy7WPBc/DZu01L4dADOTgz&#10;nvHMfN/M7PnFXiuyEz5Iayo6OiopEYbbWppNRT99XL05pSREZmqmrBEVvROBXsxfvzrv3EyMbWtV&#10;LTxBEBNmnatoG6ObFUXgrdAsHFknDIyN9ZpFqH5T1J51iK5VMS7Lt0Vnfe285SIE3C57Ix0i+pcE&#10;tE0juVhavtXCxD6qF4pFQAqtdIHOc7VNI3i8bpogIlEVBdKYTySBvE5nMT9ns41nrpV8KIG9pIRn&#10;mDSTBkkPoZYsMrL18q9QWnJvg23iEbe66IFkRoBiVD7j5rZlTmQsoDq4A+nh/4XlH3Y3nsi6ouMz&#10;SgzT6PivH/c/v38juAA7nQszON26Gz9oAWKCum+8Tv8AQfaZ0bsDo2IfCcflpBydTaeUcJiOT46P&#10;TzPjxeNj50N8J6wmSaioUArtS5jZjO2uQkROeD94pWtjV1Kp3DdlSIfCp5MS7eQMw9hgCCBqB0DB&#10;bChhaoMp59HnkMEqWafnKVDwm/Wl8mTHMBurVYlfAox0f7il3EsW2t4vmwY3ZeCd+OkZSdLa1nfg&#10;09t+0ILjK4n3VyzEG+YxWSgUuxevcTTKono7SJS01n/9133yR8NhpaTDpALZly3zghL13mAUzkaT&#10;SRrtrEymJ2Mo/qll/dRitvrSAvAIW+54FpN/VA9i463+jBVdpKwwMcORu+dwUC5jv0FYci4Wi+yG&#10;cXYsXplbx1PwvlOLbbSNzE18ZGcgDQOdyR6WL23MUz17PX5w5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B6jhdkAAAALAQAADwAAAAAAAAABACAAAAAiAAAAZHJzL2Rvd25yZXYueG1sUEsBAhQA&#10;FAAAAAgAh07iQNSb/05jAgAAuAQAAA4AAAAAAAAAAQAgAAAAKAEAAGRycy9lMm9Eb2MueG1sUEsF&#10;BgAAAAAGAAYAWQEAAP0FAAAAAA==&#10;">
                <v:fill on="f" focussize="0,0"/>
                <v:stroke weight="2pt" color="#FF0000 [2404]" joinstyle="round"/>
                <v:imagedata o:title=""/>
                <o:lock v:ext="edit" aspectratio="f"/>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5252720</wp:posOffset>
                </wp:positionH>
                <wp:positionV relativeFrom="paragraph">
                  <wp:posOffset>1160780</wp:posOffset>
                </wp:positionV>
                <wp:extent cx="653415" cy="543560"/>
                <wp:effectExtent l="12700" t="12700" r="19685" b="15240"/>
                <wp:wrapNone/>
                <wp:docPr id="28" name="椭圆 28"/>
                <wp:cNvGraphicFramePr/>
                <a:graphic xmlns:a="http://schemas.openxmlformats.org/drawingml/2006/main">
                  <a:graphicData uri="http://schemas.microsoft.com/office/word/2010/wordprocessingShape">
                    <wps:wsp>
                      <wps:cNvSpPr/>
                      <wps:spPr>
                        <a:xfrm>
                          <a:off x="0" y="0"/>
                          <a:ext cx="653415" cy="543560"/>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13.6pt;margin-top:91.4pt;height:42.8pt;width:51.45pt;z-index:251678720;v-text-anchor:middle;mso-width-relative:page;mso-height-relative:page;" filled="f" stroked="t" coordsize="21600,21600" o:gfxdata="UEsDBAoAAAAAAIdO4kAAAAAAAAAAAAAAAAAEAAAAZHJzL1BLAwQUAAAACACHTuJAcDs5g9kAAAAL&#10;AQAADwAAAGRycy9kb3ducmV2LnhtbE2PzU7DMBCE70i8g7VI3Kgd05Y0xKnUShyAEwX17MbbJGq8&#10;jmL3B56e5USPoxnNfFMuL74XJxxjF8hANlEgkOrgOmoMfH2+POQgYrLkbB8IDXxjhGV1e1PawoUz&#10;feBpkxrBJRQLa6BNaSikjHWL3sZJGJDY24fR28RybKQb7ZnLfS+1UnPpbUe80NoB1y3Wh83R8+77&#10;aqr1Vq9mh/5n/Wb3s8GFV2Pu7zL1DCLhJf2H4Q+f0aFipl04kouiN5DrJ81RNnLNHzixeFQZiJ0B&#10;Pc+nIKtSXn+ofgFQSwMEFAAAAAgAh07iQOvR4OZhAgAAuAQAAA4AAABkcnMvZTJvRG9jLnhtbK1U&#10;zW4TMRC+I/EOlu90kzQpEHVTRY2CkCpaqSDOjtfOWvIftpNNeQCegiPXPhY8B5+92x8Khx7IwZnx&#10;jGfm+2ZmT88ORpO9CFE5W9Px0YgSYblrlN3W9NPH9as3lMTEbMO0s6KmNyLSs8XLF6edn4uJa51u&#10;RCAIYuO88zVtU/Lzqoq8FYbFI+eFhVG6YFiCGrZVE1iH6EZXk9HopOpcaHxwXMSI21VvpEPE8JyA&#10;TkrFxcrxnRE29VGD0CwBUmyVj3RRqpVS8HQpZRSJ6JoCaSonkkDe5LNanLL5NjDfKj6UwJ5TwhNM&#10;himLpPehViwxsgvqr1BG8eCik+mIO1P1QAojQDEePeHmumVeFCygOvp70uP/C8s/7K8CUU1NJ+i7&#10;ZQYd//Xj9uf3bwQXYKfzcQ6na38VBi1CzFAPMpj8DxDkUBi9uWdUHBLhuDyZHU/HM0o4TLPp8eyk&#10;MF49PPYhpnfCGZKFmgqt0b6Mmc3Z/iIm5IT3nVe+tm6ttC5905Z0KHw2HaGdnGEYJYYAovEAFO2W&#10;Eqa3mHKeQgkZnVZNfp4DxbDdnOtA9gyzsV6P8MuAke4Pt5x7xWLb+xXT4KYtvDM/PSNZ2rjmBnwG&#10;1w9a9Hyt8P6CxXTFAiYLhWL30iUOqR2qd4NESevC13/dZ380HFZKOkwqkH3ZsSAo0e8tRuHteDrN&#10;o12U6ez1BEp4bNk8ttidOXcAPMaWe17E7J/0nSiDM5+xosucFSZmOXL3HA7Keeo3CEvOxXJZ3DDO&#10;nqULe+15Dt53arlLTqrSxAd2BtIw0IXsYfnyxjzWi9fDB2f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A7OYPZAAAACwEAAA8AAAAAAAAAAQAgAAAAIgAAAGRycy9kb3ducmV2LnhtbFBLAQIUABQA&#10;AAAIAIdO4kDr0eDmYQIAALgEAAAOAAAAAAAAAAEAIAAAACgBAABkcnMvZTJvRG9jLnhtbFBLBQYA&#10;AAAABgAGAFkBAAD7BQAAAAA=&#10;">
                <v:fill on="f" focussize="0,0"/>
                <v:stroke weight="2pt" color="#FF0000 [2404]" joinstyle="round"/>
                <v:imagedata o:title=""/>
                <o:lock v:ext="edit" aspectratio="f"/>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4759960</wp:posOffset>
                </wp:positionH>
                <wp:positionV relativeFrom="paragraph">
                  <wp:posOffset>2212975</wp:posOffset>
                </wp:positionV>
                <wp:extent cx="1571625" cy="1319530"/>
                <wp:effectExtent l="12700" t="12700" r="15875" b="20320"/>
                <wp:wrapNone/>
                <wp:docPr id="27" name="椭圆 27"/>
                <wp:cNvGraphicFramePr/>
                <a:graphic xmlns:a="http://schemas.openxmlformats.org/drawingml/2006/main">
                  <a:graphicData uri="http://schemas.microsoft.com/office/word/2010/wordprocessingShape">
                    <wps:wsp>
                      <wps:cNvSpPr/>
                      <wps:spPr>
                        <a:xfrm>
                          <a:off x="6670040" y="3858895"/>
                          <a:ext cx="1571625" cy="1319530"/>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4.8pt;margin-top:174.25pt;height:103.9pt;width:123.75pt;z-index:251677696;v-text-anchor:middle;mso-width-relative:page;mso-height-relative:page;" filled="f" stroked="t" coordsize="21600,21600" o:gfxdata="UEsDBAoAAAAAAIdO4kAAAAAAAAAAAAAAAAAEAAAAZHJzL1BLAwQUAAAACACHTuJAquSoB9sAAAAL&#10;AQAADwAAAGRycy9kb3ducmV2LnhtbE2Py07DMBBF90j8gzVI7KiTNE6bEKdSK7GgrCiItRu7SVR7&#10;HMXuA76e6QqWo3t075l6dXWWnc0UBo8S0lkCzGDr9YCdhM+Pl6clsBAVamU9GgnfJsCqub+rVaX9&#10;Bd/NeRc7RiUYKiWhj3GsOA9tb5wKMz8apOzgJ6cinVPH9aQuVO4sz5Kk4E4NSAu9Gs2mN+1xd3K0&#10;+7bOs+wrW4uj/dls1UGM2r9K+fiQJs/AornGPxhu+qQODTnt/Ql1YFbCIi8LQiXM86UARkRZLlJg&#10;ewlCFHPgTc3//9D8AlBLAwQUAAAACACHTuJAwGfWInICAADGBAAADgAAAGRycy9lMm9Eb2MueG1s&#10;rVRLbtswEN0X6B0I7htJjmU7RuTAiOGiQNAESIuuaYqyBPBXkv6kB+gpuuy2x2rP0UdK+TTtIot6&#10;IQ85T29m3szo/OKoJNkL5zujK1qc5JQIzU3d6W1FP35Yv5lR4gPTNZNGi4reCU8vFq9fnR/sXIxM&#10;a2QtHAGJ9vODrWgbgp1nmeetUMyfGCs0nI1xigUc3TarHTuAXclslOeT7GBcbZ3hwnvcrnonHRjd&#10;SwhN03RcrAzfKaFDz+qEZAEl+bazni5Stk0jeLhuGi8CkRVFpSE9EQT2Jj6zxTmbbx2zbceHFNhL&#10;UnhWk2KdRtAHqhULjOxc9xeV6rgz3jThhBuV9YUkRVBFkT/T5rZlVqRaILW3D6L7/0fL3+9vHOnq&#10;io6mlGim0PFf33/8/PaV4ALqHKyfA3Rrb9xw8jBjqcfGqfiPIsixopPJNM/H0PWuoqezcjY7K3t1&#10;xTEQDkBRTovJqKSEA1GcFmfladI/e6Syzoe3wigSjYoKKdHMqACbs/2VD8gA6HtUvNZm3UmZuig1&#10;OaCMcpwjCc4wmg1GAqayKM/rLSVMbjHzPLhE6Y3s6vh6JPJuu7mUjuwZJmW9zvGL6SPcH7AYe8V8&#10;2+OSa4BJDXRUq9cnWhtT30FdZ/qx85avO7x/xXy4YQ5zhkSxieEaj0YaZG8Gi5LWuC//uo94tB9e&#10;Sg6YW1T2ececoES+0xiMs2IcmxDSYVxORzi4p57NU4/eqUuDggvsvOXJjPgg783GGfUJC7uMUeFi&#10;miN2r+FwuAz9PmHluVguEwzDbVm40reWR/K+U8tdME2XmvioziAaxjuJPaxi3J+n54R6/Pw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q5KgH2wAAAAsBAAAPAAAAAAAAAAEAIAAAACIAAABkcnMv&#10;ZG93bnJldi54bWxQSwECFAAUAAAACACHTuJAwGfWInICAADGBAAADgAAAAAAAAABACAAAAAqAQAA&#10;ZHJzL2Uyb0RvYy54bWxQSwUGAAAAAAYABgBZAQAADgYAAAAA&#10;">
                <v:fill on="f" focussize="0,0"/>
                <v:stroke weight="2pt" color="#FF0000 [2404]" joinstyle="round"/>
                <v:imagedata o:title=""/>
                <o:lock v:ext="edit" aspectratio="f"/>
              </v:shape>
            </w:pict>
          </mc:Fallback>
        </mc:AlternateContent>
      </w:r>
      <w:r>
        <w:drawing>
          <wp:inline distT="0" distB="0" distL="114300" distR="114300">
            <wp:extent cx="8525510" cy="4870450"/>
            <wp:effectExtent l="0" t="0" r="8890" b="635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9"/>
                    <a:stretch>
                      <a:fillRect/>
                    </a:stretch>
                  </pic:blipFill>
                  <pic:spPr>
                    <a:xfrm>
                      <a:off x="0" y="0"/>
                      <a:ext cx="8525510" cy="4870450"/>
                    </a:xfrm>
                    <a:prstGeom prst="rect">
                      <a:avLst/>
                    </a:prstGeom>
                    <a:noFill/>
                    <a:ln>
                      <a:noFill/>
                    </a:ln>
                  </pic:spPr>
                </pic:pic>
              </a:graphicData>
            </a:graphic>
          </wp:inline>
        </w:drawing>
      </w:r>
    </w:p>
    <w:sectPr>
      <w:pgSz w:w="16838" w:h="11906" w:orient="landscape"/>
      <w:pgMar w:top="1531" w:right="1701" w:bottom="1531" w:left="1701" w:header="851" w:footer="851"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4"/>
      </w:rPr>
    </w:pPr>
    <w:r>
      <w:fldChar w:fldCharType="begin"/>
    </w:r>
    <w:r>
      <w:rPr>
        <w:rStyle w:val="24"/>
      </w:rPr>
      <w:instrText xml:space="preserve">PAGE  </w:instrText>
    </w:r>
    <w:r>
      <w:fldChar w:fldCharType="end"/>
    </w:r>
  </w:p>
  <w:p>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posOffset>2696845</wp:posOffset>
              </wp:positionH>
              <wp:positionV relativeFrom="paragraph">
                <wp:posOffset>-106045</wp:posOffset>
              </wp:positionV>
              <wp:extent cx="1828800" cy="259080"/>
              <wp:effectExtent l="0" t="0" r="0" b="0"/>
              <wp:wrapNone/>
              <wp:docPr id="15" name="文本框 1025"/>
              <wp:cNvGraphicFramePr/>
              <a:graphic xmlns:a="http://schemas.openxmlformats.org/drawingml/2006/main">
                <a:graphicData uri="http://schemas.microsoft.com/office/word/2010/wordprocessingShape">
                  <wps:wsp>
                    <wps:cNvSpPr txBox="1"/>
                    <wps:spPr>
                      <a:xfrm>
                        <a:off x="0" y="0"/>
                        <a:ext cx="1828800" cy="259080"/>
                      </a:xfrm>
                      <a:prstGeom prst="rect">
                        <a:avLst/>
                      </a:prstGeom>
                      <a:noFill/>
                      <a:ln>
                        <a:noFill/>
                      </a:ln>
                    </wps:spPr>
                    <wps:txbx>
                      <w:txbxContent>
                        <w:p>
                          <w:pPr>
                            <w:pStyle w:val="13"/>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4</w:t>
                          </w:r>
                          <w:r>
                            <w:rPr>
                              <w:sz w:val="21"/>
                              <w:szCs w:val="22"/>
                            </w:rPr>
                            <w:fldChar w:fldCharType="end"/>
                          </w:r>
                        </w:p>
                      </w:txbxContent>
                    </wps:txbx>
                    <wps:bodyPr vert="horz" wrap="none" lIns="0" tIns="0" rIns="0" bIns="0" anchor="t" anchorCtr="0" upright="0"/>
                  </wps:wsp>
                </a:graphicData>
              </a:graphic>
            </wp:anchor>
          </w:drawing>
        </mc:Choice>
        <mc:Fallback>
          <w:pict>
            <v:shape id="文本框 1025" o:spid="_x0000_s1026" o:spt="202" type="#_x0000_t202" style="position:absolute;left:0pt;margin-left:212.35pt;margin-top:-8.35pt;height:20.4pt;width:144pt;mso-position-horizontal-relative:margin;mso-wrap-style:none;z-index:251659264;mso-width-relative:page;mso-height-relative:page;" filled="f" stroked="f" coordsize="21600,21600" o:gfxdata="UEsDBAoAAAAAAIdO4kAAAAAAAAAAAAAAAAAEAAAAZHJzL1BLAwQUAAAACACHTuJAdVMz99YAAAAK&#10;AQAADwAAAGRycy9kb3ducmV2LnhtbE2PsW7CMBCG90q8g3VI3cB2FAFK4zBU7VgkaBc2Jz6SQGxH&#10;tgPp2/c6tdt/uk//fVfuZzuwO4bYe6dArgUwdI03vWsVfH2+r3bAYtLO6ME7VPCNEfbV4qnUhfEP&#10;d8T7KbWMSlwstIIupbHgPDYdWh3XfkRHu4sPVicaQ8tN0A8qtwPPhNhwq3tHFzo94muHze00WQWX&#10;j8Pt+jYdxbUVOzzLgHMtD0o9L6V4AZZwTn8w/OqTOlTkVPvJmcgGBXmWbwlVsJIbCkRsZUahVpDl&#10;EnhV8v8vVD9QSwMEFAAAAAgAh07iQKpxFiXZAQAApwMAAA4AAABkcnMvZTJvRG9jLnhtbK1TzY7T&#10;MBC+I/EOlu/UaaSiEDVdCapFSAiQln0A13EaS/7T2G1SHgDegBMX7jxXn4Ox03RhueyBSzKeGc/M&#10;983n9c1oNDlKCMrZhi4XBSXSCtcqu2/o/efbFxUlIXLbcu2sbOhJBnqzef5sPfhalq53upVAsIgN&#10;9eAb2sfoa8aC6KXhYeG8tBjsHBge8Qh71gIfsLrRrCyKl2xw0HpwQoaA3u0UpJeK8JSCruuUkFsn&#10;DkbaOFUFqXlESKFXPtBNnrbrpIgfuy7ISHRDEWnMX2yC9i592WbN6z1w3ytxGYE/ZYRHmAxXFpte&#10;S2155OQA6p9SRglwwXVxIZxhE5DMCKJYFo+4ueu5lxkLUh38lfTw/8qKD8dPQFSLSlhRYrnBjZ+/&#10;fzv/+HX++ZUsi3KVKBp8qDHzzmNuHF+7EdNnf0BnQj52YNIfMRGMI8GnK8FyjESkS1VZVQWGBMbK&#10;1auiyhtgD7c9hPhWOkOS0VDABWZe+fF9iDgJps4pqZl1t0rrvERt/3JgYvKwNPo0YrLiuBsveHau&#10;PSEcfAnYp3fwhZIBddBQi7KnRL+zSHOSzGzAbOxmg1uBFxsaKZnMN3GS1sGD2vdZbGnm1Bn3l6e/&#10;aC0J5M9zznp4X5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VMz99YAAAAKAQAADwAAAAAAAAAB&#10;ACAAAAAiAAAAZHJzL2Rvd25yZXYueG1sUEsBAhQAFAAAAAgAh07iQKpxFiXZAQAApwMAAA4AAAAA&#10;AAAAAQAgAAAAJQEAAGRycy9lMm9Eb2MueG1sUEsFBgAAAAAGAAYAWQEAAHAFAAAAAA==&#10;">
              <v:fill on="f" focussize="0,0"/>
              <v:stroke on="f"/>
              <v:imagedata o:title=""/>
              <o:lock v:ext="edit" aspectratio="f"/>
              <v:textbox inset="0mm,0mm,0mm,0mm">
                <w:txbxContent>
                  <w:p>
                    <w:pPr>
                      <w:pStyle w:val="13"/>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4</w:t>
                    </w:r>
                    <w:r>
                      <w:rPr>
                        <w:sz w:val="21"/>
                        <w:szCs w:val="2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8</w:t>
                          </w:r>
                          <w:r>
                            <w:fldChar w:fldCharType="end"/>
                          </w:r>
                        </w:p>
                      </w:txbxContent>
                    </wps:txbx>
                    <wps:bodyPr vert="horz" wrap="none" lIns="0" tIns="0" rIns="0" bIns="0" anchor="t" anchorCtr="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1bCo+ABAADCAwAADgAAAGRycy9lMm9Eb2MueG1srVPNjtMwEL4j8Q6W&#10;7zRpD1VVNV0tVIuQECAtPIDrOI0l/2k8bVIeAN6AExfuPFefg7GTdGH3sgcuyXhm/M1834w3N701&#10;7KQgau8qPp+VnCknfa3doeJfPt+9WnEWUbhaGO9Uxc8q8pvtyxebLqzVwrfe1AoYgbi47kLFW8Sw&#10;LoooW2VFnPmgHAUbD1YgHeFQ1CA6QremWJTlsug81AG8VDGSdzcE+YgIzwH0TaOl2nl5tMrhgArK&#10;CCRKsdUh8m3utmmUxI9NExUyU3FiivlLRcjep2+x3Yj1AURotRxbEM9p4REnK7SjoleonUDBjqCf&#10;QFktwUff4Ex6WwxEsiLEYl4+0ua+FUFlLiR1DFfR4/+DlR9On4DpmjZhyZkTliZ++fH98vP35dc3&#10;Ni8XyyRRF+KaMu8D5WL/2veUPvkjORPzvgGb/sSJUZwEPl8FVj0ymS6tFqtVSSFJselA+MXD9QAR&#10;3ypvWTIqDjTBLKw4vY84pE4pqZrzd9qYPEXj/nEQZvIUqfehx2Rhv+9HQntfn4kPPQWq03r4yllH&#10;i1BxR3vPmXnnSOe0M5MBk7GfDOEkXaw4cjaYb3DYrWMAfWjztqWmYrg9InWaCaQ2htpjdzTaLMG4&#10;hml3/j7nrIent/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FNWwqPgAQAAwgMAAA4AAAAA&#10;AAAAAQAgAAAAHgEAAGRycy9lMm9Eb2MueG1sUEsFBgAAAAAGAAYAWQEAAHA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98B301"/>
    <w:multiLevelType w:val="singleLevel"/>
    <w:tmpl w:val="EB98B301"/>
    <w:lvl w:ilvl="0" w:tentative="0">
      <w:start w:val="2"/>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2ZGI3ZjM3Y2M3Njg1Y2ZhM2MzYWM5ZWY4NjNhNGY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86FC6"/>
    <w:rsid w:val="01290F7E"/>
    <w:rsid w:val="015D1E09"/>
    <w:rsid w:val="016A3089"/>
    <w:rsid w:val="01BE18EB"/>
    <w:rsid w:val="01EC6703"/>
    <w:rsid w:val="02697903"/>
    <w:rsid w:val="02F96569"/>
    <w:rsid w:val="0390654B"/>
    <w:rsid w:val="03EA7B21"/>
    <w:rsid w:val="05F83EAE"/>
    <w:rsid w:val="063E7D85"/>
    <w:rsid w:val="07170D69"/>
    <w:rsid w:val="07293586"/>
    <w:rsid w:val="07295285"/>
    <w:rsid w:val="07636392"/>
    <w:rsid w:val="07770C56"/>
    <w:rsid w:val="07953828"/>
    <w:rsid w:val="092217DD"/>
    <w:rsid w:val="093A7294"/>
    <w:rsid w:val="09467E45"/>
    <w:rsid w:val="0A263993"/>
    <w:rsid w:val="0A2D3AC2"/>
    <w:rsid w:val="0A4A7034"/>
    <w:rsid w:val="0AA755DF"/>
    <w:rsid w:val="0ABC1918"/>
    <w:rsid w:val="0AD24216"/>
    <w:rsid w:val="0AEC7B6F"/>
    <w:rsid w:val="0B120D44"/>
    <w:rsid w:val="0BD27BF6"/>
    <w:rsid w:val="0C3B3C7D"/>
    <w:rsid w:val="0C817312"/>
    <w:rsid w:val="0CAB2EAE"/>
    <w:rsid w:val="0D621C7D"/>
    <w:rsid w:val="0E73034D"/>
    <w:rsid w:val="0F13775A"/>
    <w:rsid w:val="0F5F45FE"/>
    <w:rsid w:val="0F9A112B"/>
    <w:rsid w:val="0FB25D8A"/>
    <w:rsid w:val="106D2F64"/>
    <w:rsid w:val="10B63710"/>
    <w:rsid w:val="10F10820"/>
    <w:rsid w:val="111C2F7A"/>
    <w:rsid w:val="114906CC"/>
    <w:rsid w:val="11665CA1"/>
    <w:rsid w:val="13161F8E"/>
    <w:rsid w:val="13951726"/>
    <w:rsid w:val="14396509"/>
    <w:rsid w:val="14CC033E"/>
    <w:rsid w:val="14DD2C3C"/>
    <w:rsid w:val="15AB4E11"/>
    <w:rsid w:val="16087E1D"/>
    <w:rsid w:val="163E5DCC"/>
    <w:rsid w:val="16517701"/>
    <w:rsid w:val="17701D14"/>
    <w:rsid w:val="17735226"/>
    <w:rsid w:val="17E72C49"/>
    <w:rsid w:val="189F624C"/>
    <w:rsid w:val="192577FB"/>
    <w:rsid w:val="19AD7F51"/>
    <w:rsid w:val="1A1C66C0"/>
    <w:rsid w:val="1A42393B"/>
    <w:rsid w:val="1AAD45DE"/>
    <w:rsid w:val="1B046F80"/>
    <w:rsid w:val="1B3267B5"/>
    <w:rsid w:val="1B40161D"/>
    <w:rsid w:val="1B441859"/>
    <w:rsid w:val="1B546BC1"/>
    <w:rsid w:val="1B6606B1"/>
    <w:rsid w:val="1B6E611C"/>
    <w:rsid w:val="1BEE0579"/>
    <w:rsid w:val="1C5E7925"/>
    <w:rsid w:val="1CC37998"/>
    <w:rsid w:val="1CFD070F"/>
    <w:rsid w:val="1D5F6196"/>
    <w:rsid w:val="1D6132A5"/>
    <w:rsid w:val="1D8E56D5"/>
    <w:rsid w:val="1E3F77AE"/>
    <w:rsid w:val="1E7A43DA"/>
    <w:rsid w:val="1F8B7845"/>
    <w:rsid w:val="1FE7539E"/>
    <w:rsid w:val="20671BE0"/>
    <w:rsid w:val="20963CB8"/>
    <w:rsid w:val="20A81A1B"/>
    <w:rsid w:val="20B07FB6"/>
    <w:rsid w:val="20B646FB"/>
    <w:rsid w:val="213B74B1"/>
    <w:rsid w:val="21435302"/>
    <w:rsid w:val="215A2310"/>
    <w:rsid w:val="21896D11"/>
    <w:rsid w:val="21BD7D11"/>
    <w:rsid w:val="21DA5B70"/>
    <w:rsid w:val="21DE318A"/>
    <w:rsid w:val="21EF5B80"/>
    <w:rsid w:val="22576990"/>
    <w:rsid w:val="225A54FD"/>
    <w:rsid w:val="22D305D1"/>
    <w:rsid w:val="22F47480"/>
    <w:rsid w:val="232847B5"/>
    <w:rsid w:val="23594958"/>
    <w:rsid w:val="23C5235F"/>
    <w:rsid w:val="23DE1C48"/>
    <w:rsid w:val="23DF33FD"/>
    <w:rsid w:val="240210CD"/>
    <w:rsid w:val="24BF09F7"/>
    <w:rsid w:val="252858C5"/>
    <w:rsid w:val="252D53FE"/>
    <w:rsid w:val="25361589"/>
    <w:rsid w:val="2536579D"/>
    <w:rsid w:val="25EC2D81"/>
    <w:rsid w:val="2680287E"/>
    <w:rsid w:val="277057A2"/>
    <w:rsid w:val="28D74167"/>
    <w:rsid w:val="29206EB8"/>
    <w:rsid w:val="29595666"/>
    <w:rsid w:val="29874881"/>
    <w:rsid w:val="29E325E0"/>
    <w:rsid w:val="2A452503"/>
    <w:rsid w:val="2BA936A8"/>
    <w:rsid w:val="2C315A5A"/>
    <w:rsid w:val="2C4B1C25"/>
    <w:rsid w:val="2CB642F2"/>
    <w:rsid w:val="2D9E56F5"/>
    <w:rsid w:val="2E667F96"/>
    <w:rsid w:val="2E783ED0"/>
    <w:rsid w:val="2E8226AB"/>
    <w:rsid w:val="2E8822E7"/>
    <w:rsid w:val="2F02723C"/>
    <w:rsid w:val="2FD065E6"/>
    <w:rsid w:val="2FD96870"/>
    <w:rsid w:val="30580BC9"/>
    <w:rsid w:val="30647075"/>
    <w:rsid w:val="306E7EF7"/>
    <w:rsid w:val="308E1091"/>
    <w:rsid w:val="311E2ED7"/>
    <w:rsid w:val="31527EC0"/>
    <w:rsid w:val="315619EE"/>
    <w:rsid w:val="315C449C"/>
    <w:rsid w:val="31A51E06"/>
    <w:rsid w:val="31B82709"/>
    <w:rsid w:val="31D05482"/>
    <w:rsid w:val="321B6DC2"/>
    <w:rsid w:val="32400B34"/>
    <w:rsid w:val="329E6876"/>
    <w:rsid w:val="333015F2"/>
    <w:rsid w:val="33404205"/>
    <w:rsid w:val="334B6320"/>
    <w:rsid w:val="33D934D4"/>
    <w:rsid w:val="33FE2F6A"/>
    <w:rsid w:val="340E07E5"/>
    <w:rsid w:val="34235BF7"/>
    <w:rsid w:val="346518D4"/>
    <w:rsid w:val="34FB1B8A"/>
    <w:rsid w:val="358C5FA8"/>
    <w:rsid w:val="35C15DF1"/>
    <w:rsid w:val="36074A7F"/>
    <w:rsid w:val="36571773"/>
    <w:rsid w:val="36923549"/>
    <w:rsid w:val="36B75FBF"/>
    <w:rsid w:val="36BD0C45"/>
    <w:rsid w:val="37237C63"/>
    <w:rsid w:val="37502152"/>
    <w:rsid w:val="37805ECF"/>
    <w:rsid w:val="37DB39A2"/>
    <w:rsid w:val="37E00298"/>
    <w:rsid w:val="38272E48"/>
    <w:rsid w:val="38B302F9"/>
    <w:rsid w:val="38F12CD3"/>
    <w:rsid w:val="38F94775"/>
    <w:rsid w:val="392971ED"/>
    <w:rsid w:val="39325651"/>
    <w:rsid w:val="39C26CD1"/>
    <w:rsid w:val="39FD04F9"/>
    <w:rsid w:val="3A872856"/>
    <w:rsid w:val="3AC9158B"/>
    <w:rsid w:val="3B3763D1"/>
    <w:rsid w:val="3C2F6E1E"/>
    <w:rsid w:val="3C364AE2"/>
    <w:rsid w:val="3C4F64BA"/>
    <w:rsid w:val="3C5F2ED5"/>
    <w:rsid w:val="3CDA245A"/>
    <w:rsid w:val="3D1E06B7"/>
    <w:rsid w:val="3EDA0523"/>
    <w:rsid w:val="402569CB"/>
    <w:rsid w:val="405500AF"/>
    <w:rsid w:val="407A6407"/>
    <w:rsid w:val="40EF20D0"/>
    <w:rsid w:val="418A560E"/>
    <w:rsid w:val="4200449D"/>
    <w:rsid w:val="423A3BCC"/>
    <w:rsid w:val="424E57D2"/>
    <w:rsid w:val="42B26C49"/>
    <w:rsid w:val="42F922DD"/>
    <w:rsid w:val="433A6FE6"/>
    <w:rsid w:val="43480868"/>
    <w:rsid w:val="4350713C"/>
    <w:rsid w:val="436653E0"/>
    <w:rsid w:val="43C4431A"/>
    <w:rsid w:val="44B951CC"/>
    <w:rsid w:val="44CD14E0"/>
    <w:rsid w:val="44F20B0B"/>
    <w:rsid w:val="450979EA"/>
    <w:rsid w:val="452E5F4C"/>
    <w:rsid w:val="454C3941"/>
    <w:rsid w:val="45612018"/>
    <w:rsid w:val="458946E9"/>
    <w:rsid w:val="45A47C0E"/>
    <w:rsid w:val="46577FD6"/>
    <w:rsid w:val="46D955A7"/>
    <w:rsid w:val="46F33F26"/>
    <w:rsid w:val="47133957"/>
    <w:rsid w:val="47A07E0C"/>
    <w:rsid w:val="4870272E"/>
    <w:rsid w:val="49BB6E73"/>
    <w:rsid w:val="49DC7715"/>
    <w:rsid w:val="4A023139"/>
    <w:rsid w:val="4A7B576F"/>
    <w:rsid w:val="4AF561A9"/>
    <w:rsid w:val="4C013661"/>
    <w:rsid w:val="4C4A0649"/>
    <w:rsid w:val="4C7E5ECA"/>
    <w:rsid w:val="4C876AA5"/>
    <w:rsid w:val="4D0E00FB"/>
    <w:rsid w:val="4D176606"/>
    <w:rsid w:val="4D7D7AFB"/>
    <w:rsid w:val="4DEC4FB0"/>
    <w:rsid w:val="4DFC16FF"/>
    <w:rsid w:val="4E075D8A"/>
    <w:rsid w:val="4EC00FAD"/>
    <w:rsid w:val="4F831B59"/>
    <w:rsid w:val="4F9843DC"/>
    <w:rsid w:val="4FC62A8C"/>
    <w:rsid w:val="4FE20F0D"/>
    <w:rsid w:val="4FE51552"/>
    <w:rsid w:val="50504C4B"/>
    <w:rsid w:val="509C6E7C"/>
    <w:rsid w:val="5162104E"/>
    <w:rsid w:val="53A039CC"/>
    <w:rsid w:val="53A1505A"/>
    <w:rsid w:val="53CA3D56"/>
    <w:rsid w:val="54063E08"/>
    <w:rsid w:val="543437E8"/>
    <w:rsid w:val="54BD4941"/>
    <w:rsid w:val="54CD4D09"/>
    <w:rsid w:val="54F73313"/>
    <w:rsid w:val="54F80955"/>
    <w:rsid w:val="555170A7"/>
    <w:rsid w:val="5587536D"/>
    <w:rsid w:val="559B174B"/>
    <w:rsid w:val="55CE0CF4"/>
    <w:rsid w:val="55D13D21"/>
    <w:rsid w:val="5676420F"/>
    <w:rsid w:val="56B22A9C"/>
    <w:rsid w:val="56ED146D"/>
    <w:rsid w:val="577B9D13"/>
    <w:rsid w:val="57B72A76"/>
    <w:rsid w:val="57C3426C"/>
    <w:rsid w:val="57CE1F93"/>
    <w:rsid w:val="588743D1"/>
    <w:rsid w:val="5887701A"/>
    <w:rsid w:val="5936196D"/>
    <w:rsid w:val="596302FA"/>
    <w:rsid w:val="59BE6B71"/>
    <w:rsid w:val="59C0439F"/>
    <w:rsid w:val="5ABE2233"/>
    <w:rsid w:val="5B284F34"/>
    <w:rsid w:val="5B444E26"/>
    <w:rsid w:val="5B475C56"/>
    <w:rsid w:val="5BDF5D95"/>
    <w:rsid w:val="5BFE7528"/>
    <w:rsid w:val="5CEC79A6"/>
    <w:rsid w:val="5DB1579A"/>
    <w:rsid w:val="5E2467F1"/>
    <w:rsid w:val="5F1A2B43"/>
    <w:rsid w:val="5F5B1AB6"/>
    <w:rsid w:val="5FB837BB"/>
    <w:rsid w:val="60CC405A"/>
    <w:rsid w:val="61E215D8"/>
    <w:rsid w:val="621B3775"/>
    <w:rsid w:val="62322C1B"/>
    <w:rsid w:val="62364782"/>
    <w:rsid w:val="626642D9"/>
    <w:rsid w:val="629E3111"/>
    <w:rsid w:val="62D11AAB"/>
    <w:rsid w:val="62E443AB"/>
    <w:rsid w:val="6394356A"/>
    <w:rsid w:val="63C61B2C"/>
    <w:rsid w:val="63D40BE9"/>
    <w:rsid w:val="63F275D3"/>
    <w:rsid w:val="64102431"/>
    <w:rsid w:val="64415807"/>
    <w:rsid w:val="64A5243A"/>
    <w:rsid w:val="64EA4B15"/>
    <w:rsid w:val="64F531DE"/>
    <w:rsid w:val="65116782"/>
    <w:rsid w:val="6526407E"/>
    <w:rsid w:val="65373578"/>
    <w:rsid w:val="657249F7"/>
    <w:rsid w:val="6646712F"/>
    <w:rsid w:val="667D758E"/>
    <w:rsid w:val="669F2336"/>
    <w:rsid w:val="66A953BA"/>
    <w:rsid w:val="671F124A"/>
    <w:rsid w:val="677A33C6"/>
    <w:rsid w:val="681F6961"/>
    <w:rsid w:val="68610A2F"/>
    <w:rsid w:val="68805514"/>
    <w:rsid w:val="68AA2E56"/>
    <w:rsid w:val="69316E2F"/>
    <w:rsid w:val="693959AD"/>
    <w:rsid w:val="694E2071"/>
    <w:rsid w:val="69766163"/>
    <w:rsid w:val="697A3B33"/>
    <w:rsid w:val="69D44760"/>
    <w:rsid w:val="69E92D8B"/>
    <w:rsid w:val="6A520EC7"/>
    <w:rsid w:val="6AC5428E"/>
    <w:rsid w:val="6AF87E20"/>
    <w:rsid w:val="6B322639"/>
    <w:rsid w:val="6B694FF9"/>
    <w:rsid w:val="6C636C38"/>
    <w:rsid w:val="6C98659E"/>
    <w:rsid w:val="6D2A39C2"/>
    <w:rsid w:val="6DB34098"/>
    <w:rsid w:val="6DB545B6"/>
    <w:rsid w:val="6DE02FB4"/>
    <w:rsid w:val="6E514CED"/>
    <w:rsid w:val="6EB563D5"/>
    <w:rsid w:val="6ED92677"/>
    <w:rsid w:val="6F225983"/>
    <w:rsid w:val="6FFC5590"/>
    <w:rsid w:val="6FFE11FE"/>
    <w:rsid w:val="706D1DD0"/>
    <w:rsid w:val="70856B87"/>
    <w:rsid w:val="70D527EE"/>
    <w:rsid w:val="710409DD"/>
    <w:rsid w:val="715B5300"/>
    <w:rsid w:val="71674D24"/>
    <w:rsid w:val="719F6613"/>
    <w:rsid w:val="71D27F8A"/>
    <w:rsid w:val="72553024"/>
    <w:rsid w:val="73122968"/>
    <w:rsid w:val="731F5D5E"/>
    <w:rsid w:val="732B0A19"/>
    <w:rsid w:val="73C51AD5"/>
    <w:rsid w:val="741E793C"/>
    <w:rsid w:val="745E3944"/>
    <w:rsid w:val="76107009"/>
    <w:rsid w:val="7635099D"/>
    <w:rsid w:val="77762421"/>
    <w:rsid w:val="77B56B1F"/>
    <w:rsid w:val="77F83CDF"/>
    <w:rsid w:val="780F09F4"/>
    <w:rsid w:val="786E72B7"/>
    <w:rsid w:val="78A90480"/>
    <w:rsid w:val="78AA58D5"/>
    <w:rsid w:val="78FF3691"/>
    <w:rsid w:val="793D3813"/>
    <w:rsid w:val="79AD5CF5"/>
    <w:rsid w:val="79D4536F"/>
    <w:rsid w:val="7A364017"/>
    <w:rsid w:val="7A8265E1"/>
    <w:rsid w:val="7AEA5092"/>
    <w:rsid w:val="7B686D42"/>
    <w:rsid w:val="7B841746"/>
    <w:rsid w:val="7C6C5AC7"/>
    <w:rsid w:val="7CC6544B"/>
    <w:rsid w:val="7D0239FF"/>
    <w:rsid w:val="7D5E40CD"/>
    <w:rsid w:val="7DB93A44"/>
    <w:rsid w:val="7DCD56F2"/>
    <w:rsid w:val="7F001CE7"/>
    <w:rsid w:val="7F5E0914"/>
    <w:rsid w:val="7FE47E50"/>
    <w:rsid w:val="7FE6469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iPriority="99"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unhideWhenUsed/>
    <w:qFormat/>
    <w:locked/>
    <w:uiPriority w:val="0"/>
    <w:pPr>
      <w:keepNext/>
      <w:keepLines/>
      <w:spacing w:beforeLines="0" w:afterLines="0" w:line="360" w:lineRule="auto"/>
      <w:outlineLvl w:val="1"/>
    </w:pPr>
    <w:rPr>
      <w:rFonts w:ascii="Times New Roman" w:hAnsi="Times New Roman" w:eastAsia="宋体" w:cs="Times New Roman"/>
      <w:b/>
      <w:bCs/>
      <w:sz w:val="24"/>
      <w:szCs w:val="32"/>
    </w:rPr>
  </w:style>
  <w:style w:type="paragraph" w:styleId="6">
    <w:name w:val="heading 3"/>
    <w:basedOn w:val="1"/>
    <w:next w:val="1"/>
    <w:unhideWhenUsed/>
    <w:qFormat/>
    <w:locked/>
    <w:uiPriority w:val="0"/>
    <w:pPr>
      <w:keepNext/>
      <w:keepLines/>
      <w:spacing w:before="260" w:beforeLines="0" w:beforeAutospacing="0" w:after="260" w:afterLines="0" w:afterAutospacing="0" w:line="413" w:lineRule="auto"/>
      <w:outlineLvl w:val="2"/>
    </w:pPr>
    <w:rPr>
      <w:rFonts w:ascii="Times New Roman" w:hAnsi="Times New Roman" w:eastAsia="宋体"/>
      <w:b/>
      <w:sz w:val="24"/>
    </w:rPr>
  </w:style>
  <w:style w:type="paragraph" w:styleId="7">
    <w:name w:val="heading 4"/>
    <w:basedOn w:val="1"/>
    <w:next w:val="1"/>
    <w:qFormat/>
    <w:locked/>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locked/>
    <w:uiPriority w:val="0"/>
    <w:pPr>
      <w:spacing w:line="360" w:lineRule="auto"/>
      <w:ind w:left="0" w:leftChars="0" w:firstLine="420" w:firstLineChars="200"/>
      <w:jc w:val="left"/>
    </w:pPr>
    <w:rPr>
      <w:rFonts w:ascii="Times New Roman" w:hAnsi="Times New Roman" w:eastAsia="宋体"/>
    </w:rPr>
  </w:style>
  <w:style w:type="paragraph" w:styleId="3">
    <w:name w:val="Body Text Indent"/>
    <w:basedOn w:val="1"/>
    <w:next w:val="2"/>
    <w:link w:val="30"/>
    <w:qFormat/>
    <w:uiPriority w:val="0"/>
    <w:pPr>
      <w:spacing w:after="120"/>
      <w:ind w:left="420" w:leftChars="200"/>
    </w:pPr>
    <w:rPr>
      <w:kern w:val="0"/>
      <w:sz w:val="24"/>
      <w:szCs w:val="20"/>
    </w:rPr>
  </w:style>
  <w:style w:type="paragraph" w:styleId="8">
    <w:name w:val="annotation text"/>
    <w:basedOn w:val="1"/>
    <w:link w:val="28"/>
    <w:semiHidden/>
    <w:qFormat/>
    <w:uiPriority w:val="0"/>
    <w:pPr>
      <w:jc w:val="left"/>
    </w:pPr>
    <w:rPr>
      <w:kern w:val="0"/>
      <w:sz w:val="24"/>
      <w:szCs w:val="20"/>
    </w:rPr>
  </w:style>
  <w:style w:type="paragraph" w:styleId="9">
    <w:name w:val="Body Text"/>
    <w:basedOn w:val="1"/>
    <w:link w:val="29"/>
    <w:qFormat/>
    <w:uiPriority w:val="0"/>
    <w:pPr>
      <w:widowControl/>
      <w:snapToGrid w:val="0"/>
      <w:spacing w:before="60" w:after="160" w:line="259" w:lineRule="auto"/>
      <w:ind w:right="113"/>
    </w:pPr>
    <w:rPr>
      <w:kern w:val="0"/>
      <w:sz w:val="18"/>
      <w:szCs w:val="20"/>
    </w:rPr>
  </w:style>
  <w:style w:type="paragraph" w:styleId="10">
    <w:name w:val="List 2"/>
    <w:basedOn w:val="1"/>
    <w:unhideWhenUsed/>
    <w:qFormat/>
    <w:locked/>
    <w:uiPriority w:val="0"/>
    <w:pPr>
      <w:widowControl w:val="0"/>
      <w:adjustRightInd/>
      <w:snapToGrid/>
      <w:ind w:left="100" w:leftChars="200" w:hanging="200" w:hangingChars="200"/>
      <w:contextualSpacing/>
    </w:pPr>
    <w:rPr>
      <w:szCs w:val="22"/>
      <w:lang w:bidi="ar-SA"/>
    </w:rPr>
  </w:style>
  <w:style w:type="paragraph" w:styleId="11">
    <w:name w:val="Date"/>
    <w:basedOn w:val="1"/>
    <w:next w:val="1"/>
    <w:link w:val="31"/>
    <w:qFormat/>
    <w:uiPriority w:val="0"/>
    <w:pPr>
      <w:ind w:left="100" w:leftChars="2500"/>
    </w:pPr>
    <w:rPr>
      <w:kern w:val="0"/>
      <w:sz w:val="24"/>
      <w:szCs w:val="20"/>
    </w:rPr>
  </w:style>
  <w:style w:type="paragraph" w:styleId="12">
    <w:name w:val="Balloon Text"/>
    <w:basedOn w:val="1"/>
    <w:link w:val="32"/>
    <w:semiHidden/>
    <w:qFormat/>
    <w:uiPriority w:val="0"/>
    <w:rPr>
      <w:kern w:val="0"/>
      <w:sz w:val="18"/>
      <w:szCs w:val="20"/>
    </w:rPr>
  </w:style>
  <w:style w:type="paragraph" w:styleId="13">
    <w:name w:val="footer"/>
    <w:basedOn w:val="1"/>
    <w:next w:val="1"/>
    <w:link w:val="33"/>
    <w:qFormat/>
    <w:uiPriority w:val="99"/>
    <w:pPr>
      <w:tabs>
        <w:tab w:val="center" w:pos="4153"/>
        <w:tab w:val="right" w:pos="8306"/>
      </w:tabs>
      <w:snapToGrid w:val="0"/>
      <w:jc w:val="left"/>
    </w:pPr>
    <w:rPr>
      <w:kern w:val="0"/>
      <w:sz w:val="18"/>
      <w:szCs w:val="20"/>
    </w:rPr>
  </w:style>
  <w:style w:type="paragraph" w:styleId="14">
    <w:name w:val="header"/>
    <w:basedOn w:val="1"/>
    <w:link w:val="34"/>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toc 1"/>
    <w:basedOn w:val="1"/>
    <w:next w:val="1"/>
    <w:qFormat/>
    <w:locked/>
    <w:uiPriority w:val="39"/>
  </w:style>
  <w:style w:type="paragraph" w:styleId="16">
    <w:name w:val="List"/>
    <w:basedOn w:val="1"/>
    <w:qFormat/>
    <w:locked/>
    <w:uiPriority w:val="0"/>
    <w:pPr>
      <w:ind w:left="200" w:hanging="200" w:hangingChars="200"/>
    </w:pPr>
    <w:rPr>
      <w:rFonts w:ascii="Times New Roman" w:hAnsi="Times New Roman" w:eastAsia="宋体" w:cs="Times New Roman"/>
      <w:szCs w:val="24"/>
    </w:rPr>
  </w:style>
  <w:style w:type="paragraph" w:styleId="17">
    <w:name w:val="Body Text 2"/>
    <w:basedOn w:val="1"/>
    <w:unhideWhenUsed/>
    <w:qFormat/>
    <w:locked/>
    <w:uiPriority w:val="99"/>
    <w:pPr>
      <w:spacing w:after="120" w:line="480" w:lineRule="auto"/>
    </w:pPr>
  </w:style>
  <w:style w:type="paragraph" w:styleId="18">
    <w:name w:val="Normal (Web)"/>
    <w:basedOn w:val="1"/>
    <w:link w:val="35"/>
    <w:qFormat/>
    <w:uiPriority w:val="0"/>
    <w:pPr>
      <w:widowControl/>
      <w:spacing w:before="100" w:beforeAutospacing="1" w:after="100" w:afterAutospacing="1"/>
      <w:jc w:val="left"/>
    </w:pPr>
    <w:rPr>
      <w:rFonts w:ascii="宋体" w:hAnsi="宋体"/>
      <w:kern w:val="0"/>
      <w:sz w:val="24"/>
      <w:szCs w:val="20"/>
    </w:rPr>
  </w:style>
  <w:style w:type="paragraph" w:styleId="19">
    <w:name w:val="annotation subject"/>
    <w:basedOn w:val="8"/>
    <w:next w:val="8"/>
    <w:link w:val="36"/>
    <w:semiHidden/>
    <w:qFormat/>
    <w:uiPriority w:val="0"/>
    <w:rPr>
      <w:b/>
      <w:sz w:val="24"/>
      <w:szCs w:val="20"/>
    </w:rPr>
  </w:style>
  <w:style w:type="paragraph" w:styleId="20">
    <w:name w:val="Body Text First Indent"/>
    <w:basedOn w:val="9"/>
    <w:qFormat/>
    <w:locked/>
    <w:uiPriority w:val="0"/>
    <w:pPr>
      <w:ind w:firstLine="420" w:firstLineChars="100"/>
    </w:pPr>
  </w:style>
  <w:style w:type="table" w:styleId="22">
    <w:name w:val="Table Grid"/>
    <w:basedOn w:val="2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locked/>
    <w:uiPriority w:val="0"/>
  </w:style>
  <w:style w:type="character" w:styleId="25">
    <w:name w:val="Emphasis"/>
    <w:basedOn w:val="23"/>
    <w:qFormat/>
    <w:locked/>
    <w:uiPriority w:val="0"/>
    <w:rPr>
      <w:i/>
    </w:rPr>
  </w:style>
  <w:style w:type="character" w:styleId="26">
    <w:name w:val="Hyperlink"/>
    <w:basedOn w:val="23"/>
    <w:qFormat/>
    <w:locked/>
    <w:uiPriority w:val="0"/>
    <w:rPr>
      <w:color w:val="0000FF"/>
      <w:u w:val="single"/>
    </w:rPr>
  </w:style>
  <w:style w:type="character" w:styleId="27">
    <w:name w:val="annotation reference"/>
    <w:semiHidden/>
    <w:qFormat/>
    <w:uiPriority w:val="0"/>
    <w:rPr>
      <w:sz w:val="21"/>
    </w:rPr>
  </w:style>
  <w:style w:type="character" w:customStyle="1" w:styleId="28">
    <w:name w:val="批注文字 Char"/>
    <w:link w:val="8"/>
    <w:qFormat/>
    <w:locked/>
    <w:uiPriority w:val="0"/>
    <w:rPr>
      <w:rFonts w:ascii="Times New Roman" w:hAnsi="Times New Roman" w:eastAsia="宋体"/>
      <w:sz w:val="24"/>
    </w:rPr>
  </w:style>
  <w:style w:type="character" w:customStyle="1" w:styleId="29">
    <w:name w:val="正文文本 Char"/>
    <w:link w:val="9"/>
    <w:qFormat/>
    <w:locked/>
    <w:uiPriority w:val="0"/>
    <w:rPr>
      <w:sz w:val="18"/>
    </w:rPr>
  </w:style>
  <w:style w:type="character" w:customStyle="1" w:styleId="30">
    <w:name w:val="正文文本缩进 Char"/>
    <w:link w:val="3"/>
    <w:semiHidden/>
    <w:qFormat/>
    <w:locked/>
    <w:uiPriority w:val="0"/>
    <w:rPr>
      <w:rFonts w:ascii="Times New Roman" w:hAnsi="Times New Roman" w:eastAsia="宋体"/>
      <w:sz w:val="24"/>
    </w:rPr>
  </w:style>
  <w:style w:type="character" w:customStyle="1" w:styleId="31">
    <w:name w:val="日期 Char"/>
    <w:link w:val="11"/>
    <w:qFormat/>
    <w:locked/>
    <w:uiPriority w:val="0"/>
    <w:rPr>
      <w:rFonts w:ascii="Times New Roman" w:hAnsi="Times New Roman" w:eastAsia="宋体"/>
      <w:sz w:val="24"/>
    </w:rPr>
  </w:style>
  <w:style w:type="character" w:customStyle="1" w:styleId="32">
    <w:name w:val="批注框文本 Char"/>
    <w:link w:val="12"/>
    <w:semiHidden/>
    <w:qFormat/>
    <w:locked/>
    <w:uiPriority w:val="0"/>
    <w:rPr>
      <w:rFonts w:ascii="Times New Roman" w:hAnsi="Times New Roman" w:eastAsia="宋体"/>
      <w:sz w:val="18"/>
    </w:rPr>
  </w:style>
  <w:style w:type="character" w:customStyle="1" w:styleId="33">
    <w:name w:val="页脚 Char"/>
    <w:link w:val="13"/>
    <w:qFormat/>
    <w:locked/>
    <w:uiPriority w:val="99"/>
    <w:rPr>
      <w:sz w:val="18"/>
    </w:rPr>
  </w:style>
  <w:style w:type="character" w:customStyle="1" w:styleId="34">
    <w:name w:val="页眉 Char"/>
    <w:link w:val="14"/>
    <w:qFormat/>
    <w:locked/>
    <w:uiPriority w:val="0"/>
    <w:rPr>
      <w:sz w:val="18"/>
    </w:rPr>
  </w:style>
  <w:style w:type="character" w:customStyle="1" w:styleId="35">
    <w:name w:val="普通(网站) Char"/>
    <w:link w:val="18"/>
    <w:qFormat/>
    <w:locked/>
    <w:uiPriority w:val="0"/>
    <w:rPr>
      <w:rFonts w:ascii="宋体" w:hAnsi="宋体" w:eastAsia="宋体"/>
      <w:sz w:val="24"/>
    </w:rPr>
  </w:style>
  <w:style w:type="character" w:customStyle="1" w:styleId="36">
    <w:name w:val="批注主题 Char"/>
    <w:link w:val="19"/>
    <w:semiHidden/>
    <w:qFormat/>
    <w:locked/>
    <w:uiPriority w:val="0"/>
    <w:rPr>
      <w:rFonts w:ascii="Times New Roman" w:hAnsi="Times New Roman" w:eastAsia="宋体"/>
      <w:b/>
      <w:kern w:val="2"/>
      <w:sz w:val="24"/>
    </w:rPr>
  </w:style>
  <w:style w:type="paragraph" w:customStyle="1" w:styleId="37">
    <w:name w:val="表格"/>
    <w:basedOn w:val="1"/>
    <w:next w:val="1"/>
    <w:link w:val="38"/>
    <w:qFormat/>
    <w:uiPriority w:val="0"/>
    <w:pPr>
      <w:adjustRightInd w:val="0"/>
      <w:snapToGrid w:val="0"/>
      <w:spacing w:beforeLines="10" w:afterLines="10" w:line="259" w:lineRule="auto"/>
      <w:jc w:val="center"/>
    </w:pPr>
    <w:rPr>
      <w:rFonts w:ascii="宋体"/>
      <w:kern w:val="0"/>
      <w:szCs w:val="20"/>
    </w:rPr>
  </w:style>
  <w:style w:type="character" w:customStyle="1" w:styleId="38">
    <w:name w:val="表格 Char"/>
    <w:link w:val="37"/>
    <w:qFormat/>
    <w:locked/>
    <w:uiPriority w:val="0"/>
    <w:rPr>
      <w:rFonts w:ascii="宋体"/>
      <w:sz w:val="21"/>
    </w:rPr>
  </w:style>
  <w:style w:type="paragraph" w:customStyle="1" w:styleId="39">
    <w:name w:val="Default"/>
    <w:basedOn w:val="40"/>
    <w:next w:val="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0">
    <w:name w:val="1 表头"/>
    <w:basedOn w:val="1"/>
    <w:qFormat/>
    <w:uiPriority w:val="0"/>
    <w:pPr>
      <w:spacing w:line="240" w:lineRule="auto"/>
      <w:ind w:firstLine="0" w:firstLineChars="0"/>
      <w:jc w:val="center"/>
    </w:pPr>
    <w:rPr>
      <w:b/>
      <w:color w:val="000000"/>
      <w:sz w:val="21"/>
      <w:szCs w:val="21"/>
    </w:rPr>
  </w:style>
  <w:style w:type="paragraph" w:customStyle="1" w:styleId="41">
    <w:name w:val="1"/>
    <w:basedOn w:val="15"/>
    <w:next w:val="17"/>
    <w:semiHidden/>
    <w:qFormat/>
    <w:uiPriority w:val="0"/>
    <w:pPr>
      <w:tabs>
        <w:tab w:val="right" w:leader="dot" w:pos="8296"/>
      </w:tabs>
    </w:pPr>
    <w:rPr>
      <w:szCs w:val="24"/>
    </w:rPr>
  </w:style>
  <w:style w:type="character" w:customStyle="1" w:styleId="42">
    <w:name w:val="页脚 字符"/>
    <w:basedOn w:val="23"/>
    <w:qFormat/>
    <w:uiPriority w:val="99"/>
  </w:style>
  <w:style w:type="character" w:customStyle="1" w:styleId="43">
    <w:name w:val="正文文本 字符1"/>
    <w:semiHidden/>
    <w:qFormat/>
    <w:uiPriority w:val="0"/>
    <w:rPr>
      <w:rFonts w:ascii="Times New Roman" w:hAnsi="Times New Roman" w:eastAsia="宋体"/>
      <w:sz w:val="24"/>
    </w:rPr>
  </w:style>
  <w:style w:type="character" w:customStyle="1" w:styleId="44">
    <w:name w:val="日期 字符"/>
    <w:semiHidden/>
    <w:qFormat/>
    <w:uiPriority w:val="0"/>
    <w:rPr>
      <w:rFonts w:ascii="Times New Roman" w:hAnsi="Times New Roman" w:eastAsia="宋体"/>
      <w:sz w:val="24"/>
    </w:rPr>
  </w:style>
  <w:style w:type="character" w:customStyle="1" w:styleId="45">
    <w:name w:val="批注文字 字符1"/>
    <w:semiHidden/>
    <w:qFormat/>
    <w:uiPriority w:val="0"/>
    <w:rPr>
      <w:rFonts w:ascii="Times New Roman" w:hAnsi="Times New Roman" w:eastAsia="宋体"/>
      <w:sz w:val="24"/>
    </w:rPr>
  </w:style>
  <w:style w:type="paragraph" w:customStyle="1" w:styleId="4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8">
    <w:name w:val="中文报告书样式"/>
    <w:basedOn w:val="1"/>
    <w:qFormat/>
    <w:uiPriority w:val="0"/>
    <w:pPr>
      <w:adjustRightInd w:val="0"/>
      <w:spacing w:line="480" w:lineRule="atLeast"/>
      <w:ind w:firstLine="482"/>
      <w:textAlignment w:val="baseline"/>
    </w:pPr>
    <w:rPr>
      <w:rFonts w:ascii="Times New Roman" w:hAnsi="Times New Roman" w:eastAsia="宋体" w:cs="Times New Roman"/>
      <w:kern w:val="24"/>
      <w:sz w:val="24"/>
    </w:rPr>
  </w:style>
  <w:style w:type="paragraph" w:customStyle="1" w:styleId="49">
    <w:name w:val="Table Text"/>
    <w:basedOn w:val="1"/>
    <w:semiHidden/>
    <w:qFormat/>
    <w:uiPriority w:val="0"/>
    <w:rPr>
      <w:rFonts w:ascii="宋体" w:hAnsi="宋体" w:eastAsia="宋体" w:cs="宋体"/>
      <w:sz w:val="24"/>
      <w:szCs w:val="24"/>
      <w:lang w:val="en-US" w:eastAsia="en-US" w:bidi="ar-SA"/>
    </w:rPr>
  </w:style>
  <w:style w:type="paragraph" w:customStyle="1" w:styleId="50">
    <w:name w:val="表"/>
    <w:basedOn w:val="1"/>
    <w:qFormat/>
    <w:uiPriority w:val="0"/>
    <w:pPr>
      <w:snapToGrid w:val="0"/>
      <w:jc w:val="center"/>
    </w:pPr>
    <w:rPr>
      <w:rFonts w:ascii="Times New Roman" w:hAnsi="Times New Roman" w:eastAsia="宋体" w:cs="Times New Roman"/>
      <w:spacing w:val="2"/>
    </w:rPr>
  </w:style>
  <w:style w:type="paragraph" w:customStyle="1" w:styleId="51">
    <w:name w:val="文本"/>
    <w:basedOn w:val="1"/>
    <w:qFormat/>
    <w:uiPriority w:val="0"/>
    <w:pPr>
      <w:adjustRightInd w:val="0"/>
      <w:snapToGrid w:val="0"/>
      <w:spacing w:line="360" w:lineRule="auto"/>
      <w:ind w:firstLine="480" w:firstLineChars="200"/>
      <w:jc w:val="left"/>
    </w:pPr>
    <w:rPr>
      <w:sz w:val="24"/>
    </w:rPr>
  </w:style>
  <w:style w:type="paragraph" w:customStyle="1" w:styleId="52">
    <w:name w:val="A表格"/>
    <w:basedOn w:val="1"/>
    <w:qFormat/>
    <w:uiPriority w:val="0"/>
    <w:pPr>
      <w:adjustRightInd w:val="0"/>
      <w:snapToGrid w:val="0"/>
    </w:pPr>
    <w:rPr>
      <w:rFonts w:ascii="宋体" w:hAnsi="宋体"/>
      <w:kern w:val="0"/>
      <w:sz w:val="18"/>
      <w:szCs w:val="22"/>
    </w:rPr>
  </w:style>
  <w:style w:type="paragraph" w:customStyle="1" w:styleId="53">
    <w:name w:val="表格小"/>
    <w:basedOn w:val="1"/>
    <w:qFormat/>
    <w:uiPriority w:val="0"/>
    <w:pPr>
      <w:jc w:val="center"/>
    </w:pPr>
    <w:rPr>
      <w:sz w:val="18"/>
      <w:szCs w:val="18"/>
    </w:rPr>
  </w:style>
  <w:style w:type="paragraph" w:customStyle="1" w:styleId="54">
    <w:name w:val="1正文段落"/>
    <w:basedOn w:val="1"/>
    <w:qFormat/>
    <w:uiPriority w:val="0"/>
    <w:pPr>
      <w:spacing w:line="360" w:lineRule="auto"/>
      <w:ind w:firstLine="480" w:firstLineChars="200"/>
      <w:jc w:val="left"/>
    </w:pPr>
    <w:rPr>
      <w:snapToGrid w:val="0"/>
      <w:kern w:val="0"/>
      <w:sz w:val="24"/>
    </w:rPr>
  </w:style>
  <w:style w:type="paragraph" w:customStyle="1" w:styleId="55">
    <w:name w:val="表格标题"/>
    <w:basedOn w:val="1"/>
    <w:next w:val="1"/>
    <w:qFormat/>
    <w:uiPriority w:val="0"/>
    <w:pPr>
      <w:autoSpaceDE w:val="0"/>
      <w:autoSpaceDN w:val="0"/>
      <w:adjustRightInd w:val="0"/>
      <w:snapToGrid w:val="0"/>
      <w:spacing w:line="360" w:lineRule="auto"/>
    </w:pPr>
    <w:rPr>
      <w:rFonts w:ascii="宋体" w:hAnsi="宋体" w:eastAsia="宋体" w:cs="宋体"/>
      <w:b/>
      <w:kern w:val="0"/>
      <w:sz w:val="24"/>
      <w:szCs w:val="21"/>
    </w:rPr>
  </w:style>
  <w:style w:type="paragraph" w:customStyle="1" w:styleId="56">
    <w:name w:val="Char"/>
    <w:basedOn w:val="1"/>
    <w:next w:val="1"/>
    <w:qFormat/>
    <w:uiPriority w:val="0"/>
    <w:rPr>
      <w:rFonts w:ascii="Arial" w:hAnsi="Arial" w:eastAsia="黑体"/>
      <w:b/>
      <w:kern w:val="2"/>
      <w:sz w:val="28"/>
      <w:lang w:val="en-US" w:eastAsia="zh-CN"/>
    </w:rPr>
  </w:style>
  <w:style w:type="paragraph" w:customStyle="1" w:styleId="57">
    <w:name w:val="表格内容"/>
    <w:basedOn w:val="1"/>
    <w:qFormat/>
    <w:uiPriority w:val="0"/>
    <w:pPr>
      <w:autoSpaceDE w:val="0"/>
      <w:autoSpaceDN w:val="0"/>
      <w:adjustRightInd w:val="0"/>
      <w:snapToGrid w:val="0"/>
      <w:spacing w:line="240" w:lineRule="auto"/>
      <w:jc w:val="center"/>
    </w:pPr>
    <w:rPr>
      <w:rFonts w:ascii="Times New Roman" w:hAnsi="Times New Roman" w:eastAsia="宋体"/>
      <w:kern w:val="0"/>
      <w:szCs w:val="21"/>
    </w:rPr>
  </w:style>
  <w:style w:type="paragraph" w:customStyle="1" w:styleId="58">
    <w:name w:val="正文格式"/>
    <w:basedOn w:val="1"/>
    <w:qFormat/>
    <w:uiPriority w:val="0"/>
    <w:pPr>
      <w:wordWrap w:val="0"/>
      <w:spacing w:line="520" w:lineRule="exact"/>
      <w:ind w:firstLine="720" w:firstLineChars="200"/>
    </w:pPr>
    <w:rPr>
      <w:rFonts w:hint="eastAsia" w:ascii="Times New Roman" w:hAnsi="Times New Roman" w:eastAsia="宋体"/>
      <w:sz w:val="24"/>
    </w:rPr>
  </w:style>
  <w:style w:type="paragraph" w:customStyle="1" w:styleId="59">
    <w:name w:val="表格里面啊啊啊啊"/>
    <w:basedOn w:val="1"/>
    <w:qFormat/>
    <w:uiPriority w:val="0"/>
    <w:pPr>
      <w:jc w:val="center"/>
    </w:pPr>
    <w:rPr>
      <w:rFonts w:ascii="Times New Roman" w:hAnsi="Times New Roman" w:eastAsia="宋体" w:cs="Times New Roman"/>
      <w:szCs w:val="21"/>
    </w:rPr>
  </w:style>
  <w:style w:type="character" w:customStyle="1" w:styleId="60">
    <w:name w:val="15"/>
    <w:qFormat/>
    <w:uiPriority w:val="0"/>
    <w:rPr>
      <w:rFonts w:hint="default" w:ascii="Times New Roman" w:hAnsi="Times New Roman" w:cs="Times New Roman"/>
      <w:sz w:val="21"/>
      <w:szCs w:val="21"/>
    </w:rPr>
  </w:style>
  <w:style w:type="paragraph" w:customStyle="1" w:styleId="61">
    <w:name w:val="表头"/>
    <w:basedOn w:val="62"/>
    <w:next w:val="9"/>
    <w:qFormat/>
    <w:uiPriority w:val="0"/>
    <w:rPr>
      <w:rFonts w:eastAsia="黑体"/>
      <w:sz w:val="24"/>
    </w:rPr>
  </w:style>
  <w:style w:type="paragraph" w:customStyle="1" w:styleId="62">
    <w:name w:val="报告表格"/>
    <w:basedOn w:val="1"/>
    <w:qFormat/>
    <w:uiPriority w:val="0"/>
    <w:pPr>
      <w:autoSpaceDE w:val="0"/>
      <w:autoSpaceDN w:val="0"/>
      <w:adjustRightInd w:val="0"/>
      <w:jc w:val="center"/>
      <w:textAlignment w:val="baseline"/>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oleObject" Target="embeddings/oleObject2.bin"/><Relationship Id="rId13" Type="http://schemas.openxmlformats.org/officeDocument/2006/relationships/image" Target="media/image5.wmf"/><Relationship Id="rId12" Type="http://schemas.openxmlformats.org/officeDocument/2006/relationships/oleObject" Target="embeddings/oleObject1.bin"/><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M2ODgyNjYxNDMxIiwKCSJHcm91cElkIiA6ICIyNDMwMjU0MTciLAoJIkltYWdlIiA6ICJpVkJPUncwS0dnb0FBQUFOU1VoRVVnQUFBendBQUFHbENBWUFBQUEvQVBOTUFBQUFBWE5TUjBJQXJzNGM2UUFBSUFCSlJFRlVlSnpzM1h0Z0hHVzkvL0hQZDNaenBUZEtvUVVLRkNpMHBtMnlzMHU1eWdFUlFVV1FpOGhWUUZCUkVSUlI4SENSSXlwNEFVVHdKMUlRQVVIZ0NCNUFCQlVRYkFIQmt0MU5hQVBCSWtVTHRGQjZvUzFObTkzNS92N0lKbTdUcEUydm0yemZyMythblhsbTVqdWJkSGMvK3p6empB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VXR6QU05NW80Y2VKTzY3bnRlV0VZTm16RVdtNE93L0M0ZGRqRXdqRGNkbU1kSHdDQS9pWmU2Z0lBWUhPWk1HSEM4TXJLeW9keXVkeVhYbnp4eFJlTDF5V1R5VjlGVWZSc05wdTllUTI3c0dReWViRzcveW1UeWJ4UXRQeXhpb3FLYVpLT2txVFJvMGZYYkx2dHRvKzcrMTNaYlBaR1NkN3JEczJ1bGZRMVNVMUZ0UnpwN2xWck9wY29pcHFibXBwZTZXRi9CMFpSMU5yVG9lcnE2a1pXVlZXTmxyU0htU1VscFNRbEpiMGw2UU5yT2g0QUFBTVZnUWRBV1pvMGFkS2tpb3FLZzRxWFJWRTAyTXdPaU1WaW4wMG1rLzhzWHVmdUh3bUNZUHRrTWxuVmJmbnlUQ2J6UzNYMG5ueFkwdmNrdlNmcEJVbWFPSEhpU0RNYjV1Nlp6bTJxcTZzak01dGhadjh2RE1PajgvbjhtYzNOelhQV29meGZTUm9zcWIybmxXYTJsWmw5VTlMVmE5dFJNcG44cUx2L1hOS09abGJaZmIyN0w1VzBVRklnS2VwY25rcWxhcU1vK3Bha0V5U05rYlJJMHFOQkVQeDNZMlBqVzkzM00zNzgrRzFxYW1xK1d3aDlJeVM5THVuV1RDWnp0YVQ4T3B3N0FBQWJGWUVIUUZtS3grT2h1MytqZUptWnhTUXBDSUtUM0gxRnQzWGJTZHJYM2NkM1c3NUEwaThMUDMvTzNaY0ZRWEJINS9yS3lzcUVPb0pEdW5QWnJGbXpWa2c2TzVGSVBCc0V3WTJ4V096cHNXUEhqaXNzNzZ2TE01bk1EM3Bha1V3bTV4Yy9UaVFTQjV0WjUrdDViUkFFZTRSaGVHam5VMkZta2FUbkpiM3A3aDgwczNudWZsRjdlM3ZyakJrejVuVHZnYXFycXh2azduODFzNlM3dnlUcEhqTWJKK24wS0lvT25qaHg0ajR6WnN5WTE5bCsvUGp4MjlUVzFqNHZhWGQzZjhyTS91enVoNXZaRDhJdy9FQW1remxqSGM0YkFJQ05pc0FEb0N4bE1wazdKTjFSdkt5dXJtNVVkWFgxVy9sOC92aW1wcWFuaTllRllaaDE5NGV6MmV5bFBlMXYvUGp4MjdqNzBXWjJlMk5qNCtLaVZYdEpVaXdXeTNUZkpwdk4zaDZHWVRhS291SEZZU2VaVE5aTHFsZEhVREpKazVQSjVLbnUzcGJKWk81YjEzTTFzM3NrRFNyc3IxYlNHWkpPVVVldjF0blpiSFpzMFhrKzd1NUxNNW5NNDczdHI2cXE2bjhrSmQzOTFrd204NFhPSHBwa01ubWhtZjJ3c3JMeUtrbG5kcmF2cWFuNWthVGRKVjJZeVdSK3JNTHd3YXFxcXIrYjJlbUpST0xtYkRiN3pMcWVGd0FBRzRPVnVnQUEyTlFLdzdxR1NhcVV0TCtaWmR4OWNiZG1lN243dTJiMm1xVG1UQ2JUVXJ3eURNT0R6T3lwUXM5UXJuTzVtVlZKaXJ2N3NyN1VZbVkvTFF4VnU3eUgxZSttMCtrUnlXUnl2cnMvNHU2LzYya2ZRUkRjRVVYUkZkbHNkclVoYmNsazh1VW9pbTdwYVYzaFBCNlh0RFNUeVJ6ZFc0M0paUEpOU2R1MnRiVnQzZExTc3JTNC9HUXkyU3hwOTF3dXQyMXpjL095VkNvMTFOM2ZjZmM1bVV4bTkrTGVvbVF5K1ZsSnQwcTZPWjFPZjJIdHp3NEFBQnNmUFR3QXlwNjdmMHZTK0tMSFBYN1lENEpnaEtTWXUxOG1hWlhBMDk3ZS9zOTRQUDdONG1WbVZpUHBDbmQveHQwZjZHTTUwek9aekROanhvejVnU1FOSHo1OHFhUnZMRml3NEJmeGVMeDRhTmtKWm5ac0wvdllxdmhCSXBIWXc4eDJLVHhjWlVoYkpwUDVTL0cxT1oybldsOWZ2MTA4SGgrVnorZEhCVUV3TXAvUC82NjV1WGxaWFYxZHBhVHRKZjI3VzloUngxUG56NXZaeENBSUVwS2VjZmRESkZWSWVyajcwTGkydHJaSHE2dXJKZW5BUGo0M0FBQnNkQVFlQUdVdms4a2MzTnU2K3ZyNjBmRjQvR1JKcDdqNzYrNStlejZmdnp1VlNnMk5vdWpRVENaenZ5VE5tREhqMzkwbkNRakQ4RlBxR0RaMmZWTlQwLyt1UzAyelo4L09xU1B3U0ZKdTl1elpiVVdyTDVIVTJHMG11T0xqZmowSWdtYzdId2RCY0lhN2YxVTlER2xyYUdnNE1oYUxuZVh1STgxc3BLUTlKRlhINC9GNTZoaUtKMG1MZ3lDWUptbFpTMHZMeW1ReXVWelM5blYxZFlONkNEMWJGNDY1YXlId1REQXp1ZnVMM2RxcHBhVmxiaktaWEZ3WTdoYjBFTHdBQU5qa0NEd0F5dEtrU1pNbXhlUHh2L1cwenQzUHlXYXp0eWNTaWY4T2d1QTc3djZhbVVYNWZINy81dWJtWldFWU5rUlJkSitaRGF1cnEzdW1wYVZsYmkrSE9WRlNQb3FpRjFLcDFJZzExYk40OGVJbGZabTBvSERzZVpKR0p4S0owYjNVLzA5M0g1VktwWVkyTmpZdVRxZlRseFJDMG1wRDJob2FHajdvN2xGaDJ1dDVrczUwOXdYdS9yVllMRFp2OGVMRjgzcW82MCtTanE2dXJyNUcwam1kUS9nU2ljUVJadmJKUWcyRENtMTNVRWR2MXp6MXdOM2ZOck05eG8wYnQxVnJhK3VTdFowL0FBQWJHNEVIUUZuSzUvT3Z4ZVB4cnFGclpoWjM5MnZNYk1kY0xwZFdSeS9GanBLYWx5eFpjc2lRSVVNeXNWanM3a1FpOFlTa0g1clo0MmIyK2Q3Q3pyaHg0d2FiMmNjbHhTb3FLbDUxNy9WV081S2tJVU9HZkViU25iMnNyZ2pEOENCMzMxWFN2a0VRZk03ZDIzcHBLek1MSk5Yazgva3dsVXE5RmtYUjVLTFZxd3hweStmei84NWtNcWQxcmd6RDhIQkpTN1BaN1BRMVBIY1hCVUh3WDJiMmhXUXllV2hoQnJydEplMHY2U2xKSHlxcXIxWWR2Vnc5MW10bWJaSTBhTkNnS2trRUhnREFaa2ZnQVZDV0NrT3hIbGRoZHJhcXFxbzdKVzJmeStVTzczN1QwVm16WnIzWDBORHdxU0FJSGcrQzRFaDMvKzkwT3QzamxOQ2RhbXBxenBaVTQrNVBGU1k4T05MZGM5M2J4V0t4TXlWOVZ0S3M0c1hKWkRJaDZVQjNEeVJkWTJZbTZXK1NtdDM5NGVKSkJlcnI2OGRWVkZRc2IyeHMvSmM2UXN0ZVpqWmRIVUdqVGxMbjlVTnhTVlh1M2pXa0xSYUwzU1RwZ25WNTdwcWFtbDVKcFZKN1IxSDBQVFA3aUpsOVFsSkxGRVhIU05yWHpENVVtSzVibmIwL1JkTmlkOWQ1NzUvMzE2VUdBQUEyRmdJUGdISVdKQktKTTRNZ3VNcmQzekd6dlNzcUt0NnNxNnVyak1makZaTHFDemZlVkZOVFV5WU13d01sUFdwbUY0ZGhxQ0FJYnV3MkJiVWthY3lZTWRWQkVGd2dhVVlVUmFmR1lySFhKRzJmeldidkxtNDNkdXpZSVVPR0RQbVlwQ2ZUNmZSem5jdkRNTHhKMGxudTdtWm03bjYvdS84Z2s4azBobUY0WS9manhlUHhCNklvZWxyUzU3dXZ5MlF5Zit1Y2tqcVpURjRuNmF2dWZrbTNXZHFDK3ZyNkVZWHJlSWE1KzRoa01ubGg1M1U5bmYrdVhMbnlJNTMzMTJsc2JIeFYwa25kanhlRzRXbnFHS3Iya2pxQ3prSjE5SllONytWM01NTGRsNmJUYVFJUEFLQWtnbElYQUFDYlFqS1pQQ2FaVExhWTJVMlM3Z3FDWUs5ME9qM0wzYjlUWFYyOUloNlBMNVYwb0prOTJMbE5KcE5wV2JaczJVUjMvNVdaZlMrS29yZVR5ZVR2dW44NU5IejQ4TE1ralhMM0h6VTFOYjNoN2pkS3VuclNwRWxiRjdjYlBIandEWksyeWVWeTUzVXI3OUVvaXI1UUdGS1hON09uQ2hNVTlEZ3V6dDJIbU5rYXA3MGVOMjdjWUhmL2pMc3ZEWUpnajJReStWRjFCSlRaeVdSeVpUd2VuMWRSVWRFc0tXVm1lMG82eGN3bXVudGVVcU9rVzl2YTJwYXY1V21OU3pwWTB0eHNOdnVxT25xWVhpbXMrMEQzeG9Ycm1yWXhzNWxyMlM4QUFKc01QVHdBeXRWYjd2NmF1NStZeVdTeW5RdHp1ZHpQZ3lCNEpnaUNJSmZMelc1dWJrNFhiMVM0c1A2cnFWVHFHbmYvbktTRnhmZmRTYVZTMjBkUjlGMHp5MlF5bWJ2VUVVZ3VON01qNC9INEE2TkhqLzdvbkRsemxpZVR5WXNsblNicC9PYm01aG5GeCtpYytVMGR3V3lOSjVGS3BXcWpLQm9WUmRHY05iV3JyYTA5Mzh6K0ptbXN1Kzh0Nll4RUluR0NwQXZjZlhFdWw1dG5adlBpOGZqZDdyNWtUZmZoNlUwaWtmaXNtUTEzOTJ1S1pseDdxdkFjSE5FNWNVS25LSW8rMWpGU1Q0K3U2N0VBQU5oWUNEd0F5bEpoQ05uSDFCRXFtdHg5OStMMTdxNVlMS1l3REh2YWZGRmpZK05vU2QvdXZzTGRwNWpaMXZsOC9xak9ELzNaYkhaUlEwUERjYkZZN0tudHR0dnV5VzIzM2ZicFF0RDRXU2FUdVc1RHppT2Z6eDhUQkVFZ2FXVnZiUktKeEJnenU4amRQMlptVTl6OXJpQUl6TXgrNis0blpUS1p4enZiaG1IWVl5OVNHSWJQU3ZwQkpwTjVLSkZJREZ1NmRHazBhOWFzOTRxT2NiQ1pYZXZ1QzRJZzZMcStLWnZOL2lNTXc3K2EyVUZoR0o2WnlXUnVsYVFKRXlZTUx6eC95OTM5NWcxNURnQUEyQkFFSGdCbGJkeTRjWVB6K2Z6WFlySFlWajJ0ajZJb2JtWTdtZGxyUmN0aUV5Wk1HRDV6NXN3RnhXM0RNRHhYMGljay9iU3BxZW5wNG5WTlRVMlpSQ0x4cFNBSTdqS3pmZHo5YjVsTTV2eDFyZGZNbnBZMFZCMjlPenU3KzQ4bHRadlpUNVBKNUlmTTdCdVMzbmIzLytmdTcwZ0t6T3hYa3A3UFpESlRPM3VNMHVuMGo4TXdIR1ZtbzlaMnpGUXFWZXZ1KzBrYXA0NVFOM0hJa0NGL1NDYVRVOTE5cnFROUN6Y1BYV1ptUnpjMk5zN3Y5aHllRTR2Rm5wVjBTeGlHeDV2Wlc1SStLbW43S0lvK244MW0zMXpYNXdFQWdJMkZ3QU9nYkRVME5Pd1lpOFZlaWFMb2xIUTYvY0RFaVJOM3FxaW8rRk0rbnorMWN5aGJHSVkvTmJOamxpMWJOcUh6UGpISlpQSXZWVlZWM3hvelpzeUhPbThJR29iaGlaS3VjL2ZwSzFhc3VMRDRPTWxrY2w5My83S1puVlFZU3Rka1poOU5KcE90a243MDNudnYzZGJMUFhpQ3pua0xPaGVrMCtrN0pWa2lrVGplM2ErWE5DU0tvZ09DSU5oTjBvK2pLR3FSZEVNUUJKYzBOVFV0VGlhVGg3ajdYcmxjcnI3N3pqT1pURSt6czBWbUZpdGVzSExseXQwcktpb2s2V1YxVEVEd2IwblBTZHBYMGhBem15dnBabmUvTXAxT3Y5NTloMDFOVFRQRE1OeFAwbFZtZHBDN3g4MHNFMFhSNTdMWjdDUHI5RXNEQUdBakkvQUFLRnV4V093Ymt0cVhMbDM2RjBtYU1XUEduREFNUFJhTC9VRFNZZXI0Y0grTnUzOXVxNjIyK3E2a3I2bWpoK04vek93dlcyKzk5UzluejU1OVNoaUcyMHE2emN4ZWMvZWpXMXBhOG1FWTdtZG1uM0QzNHlYdElXbUJwTzh0VzdiczJ0YlcxaVZoR0I0azZXb3orOFdRSVVOK0ZJYmhVMmIyV0JSRkR3ZEJNTXJkRTJhMld5SDBMRWlsVWlQeStmd0h6ZXlEa280MXMxM2QvU1V6KzBRMm0yMlVORDJWU3YwK2lxS0xneUM0S0lxaTA4SXcvTGFaL2RMZHoyaHVibjV0YmMrSE9ucVE1a2c2TGd6RGM5MTlTZUU1T0VsUzN0MmZVMGRRZWwzUzRldnlYR2N5bVJaSm4xeWYzeE1BQUp1U2xib0FBTmdVVXFuVWVIZHZsdlQ5ZERyOW5jN2xpVVRpbENBSTduVDNnektaekZSMTlONWNKZW1MUVJDTTZaeUdPcEZJL0hjUUJGZEtPanVkVGs5SkpwUG5SRkgwaDJ3Mk96c013d2ZNclBQRGZhT2tLYmxjN3E3bTV1YnVNNmxaTXBrODJ0M1BrWFNJcEdYdWZxQ2t1aUFJT2ljOGVHSEpraVVmcnEydEhSS0x4VjR5c3lwM2YwYlNsQ0FJN210c2JHenZmbTcxOWZYSldDeDJoNWs5azA2bnp5NWVsMHdtWDQ2aTZKWnUwMUlYci8rQXBQOTE5N3JDRFV3bGFYNFVSWmRuczltZmIranpEZ0FBQUdBemFHaG8yREVNd3l2SGpSczN1TnVxV0JpR1J4VlB5ejkyN05naDlmWDEyM1ZyWjJFWVh0UjlxbWwxQkk3dHdqQzhOSlZLamU5clBZbEVZbytHaG9ZUEZpMEt1dDhhSUpWS2pVK2xVclY5MmQvWXNXT3JVcWxVUlYrUER3QUFBQUFBQUFBQUFBQUFBQUFBQUFBQUFBQUFBQUFBQUFBQUFBQUFBQUFBQUFBQUFBQUFBQUFBQUFBQUFBQUFBQUFBQUFBQUFBQUFBQUFBQUFBQUFBQUFBQUFBQUFBQUFBQUFBQUFBQUFBQUFBQUFBQUFBQUFBQUFBQUFBR3lCWXFVdUFBRFF1MVFxTlhUa3lKRTFjK2ZPYlN0MUxRQUFERVJCcVFzQUFQUXVuODhmYjJZbmxib09BQUFHS2dJUEFQUmZRUkFFeDB2NmpDUXJkVEVBQUF4RUJCNEE2S2ZDTUJ6djdudEsycTJob1dHUFV0Y0RBTUJBUk9BQmdIN0szUStRdEsyWkRRMkM0SU9scmdjQWdJR0l3QU1BL1ZCZFhWMWxFQVNUSmRXNmU1V2t2VWFQSGwxVDZyb0FBQmhvQ0R3QTBBL2xjcmtoN2o3Wi9tUHY0Y09IYjFQcXVnQUFHR2dJUEFEUUQxVlZWZTFoWmhQVU1iUk43ajVKMHA2bHJnc0FnSUdHd0FNQS9WQXNGanRlVW9XN1M1TE1yREllang5VjZyb0FBQmhvQ0R3QTBNK2tVcW1LSUFoTzZ3dzcrazh2ejRtUzRpVXREZ0NBQVliQUF3RDlUQzZYTzF6U2F0ZnJtTm5JUkNKeGVHbXFBZ0JnWUNMd0FFQS9Fd1RCcWIydE03TXpObTgxQUFBTWJBUWVBT2hIR2hvYWRwUVVGZzluNjFSWXRsOFlodHVXb2pZQUFBWWlBZzhBOUNOQkVPd25xU3ZRbUpuTXJMakowQ2lLdUFrcEFBQjlST0FCZ1A0akppa2xhZWdhMnRRR1FiQTNreGNBQU5BM0JCNEE2Q2NTaWNSZ1NmdWJXYUJDNzA2bnpwL05MREN6dlNkT25NaE5TQUVBNkFNQ0R3RDBFMmEyZzVuMWVQMU9wOEwwMUNrekc3MVppd01BWUlBaThBQkFQK0h1UjBnYTNJZW1RMkt4MkdHYm9TUUFBQVk4QWc4QTlBK0JtWjJxbmljcVVQRnk2L0JwU2FzM0FnQUFxeUR3QUVBL01ISGl4S1NaMWEvREpnMlRKazFLYnNLU0FBQW9DOHp5QXdEOVFEd2VuK1h1aVc2TDl6S3pIMGlxY3ZmekpiMVF2RElXaTcyK2Vhc0VBR0RnSWZBQVFEK1F6V1lYU1ZwVXZLeWhvV0Z3TEJaNzE5MnJveWhxYldwcWFpcGRoUUFBREV3RUhnRG9wOHhzUmhSRlo3cDdZR1l6U2wwUEFBQUFBQUFBQUFBQUFBQUFBQUFBQUdDOWNROEhBT2lueG8wYnQwTnRiZTJoVVJURjJ0cmEvdFRhMnZwbXFXc0NBR0NnWWRJQ0FPaW5hbXBxOWpTekh3WkJVRjFUVTNPTUpBSVBBQURyaUJ1UEFnQUFBQ2hiQkI0QUFBQUFaWXZBQXdBQUFLQnNFWGdBQUFBQWxDMENEd0FBQUlDeVJlQUJBQUFBVUxZSVBBQUFBQURLRm9FSEFBQUFRTmtpOEFBQUFBQW9XL0ZTRndBQTZOVWlkMy9XekNyZGZWR3Bpd0VBWUNBaThBQkFQN1Z5NWNxV3FxcXFMK1p5T2N2bGNnUWVBQUFBQUFBQUFBQUFBQUFBQUFBQUFCaTRyTlFGQUFCNk5tSENoTEdWbFpXblNZcXZYTG55MXBrelo4NHFkVTBBQUF3MFRGb0FBUDFVUlVYRmFEUDd2THRYVjFSVS9Ga1NnUWNBZ0hYRWZYZ0FBQUFBbEMwQ0R3QUFBSUN5UmVBQkFBQUFVTFlJUEFBQUFBREtGb0VIQUFBQVFOa2k4QUFBQUFBb1d3UWVBQUFBQUdXTHdBTUFBQUNnYkJGNEFBQUFBSlN0ZUtrTEFBRDB6TjNmaktMb0Rra1Y3djVtcWVzQkFBQUFBQUFBQUFBQUFBQUFBQUFBQUt5M1dLa0xBQUQwS2o1MjdOaEJ3NFlOcTE2NGNHRmVVbFRxZ2dBQUdHZ0lQQURRVHlVU2lmcXFxcXByYTJwcWpoODVjdVRNdVhQbnppMTFUUUFBRERUTTBnWUEvZGN3TTl2ZjNhc2xEU3QxTVFBQURFVGNod2NBQUFCQTJTTHdBQUFBQUNoYkJCNEFBQUFBWll2QUF3QUFBS0JzRVhnQUFBQUFsQzBDRHdBQUFJQ3lSZUFCQUFBQVVMWUlQQUFBQUFES0ZvRUhBQUFBUU5tS2w3b0FBRURQb2lpYUplbmJaaFl2L0F3QUFBQUFBQUFBQUFBQUFBQUFBQUFBR0ppczFBVUFBSHFXU0NTR1NhcHo5OERNWm1TejJVV2xyZ2tBZ0lHR1dkb0FvUCtxQzRMZ3hsZ3Nkb3VrdWxJWEF3REFRTVFzYlFEUWYxVksyczdkcXdzL0F3Q0FkVVFQRHdBQUFJQ3lSZUFCQUFBQVVMWUlQQUFBQUFES0ZvRUhBQUFBUU5raThBQUFBQUFvV3dRZUFBQUFBR1dMd0FNQUFBQ2diQkY0QUFBQUFKUXRiandLQVAyVXUrY2tMWmEwb3ZBekFBQllSd1FlQU9pbnpHeEdGRVZudW50Z1pqTktYUThBQUFBQUFBQUFBQUFBQUFBQUFBQUFZTDFacVFzQUFQUnMzTGh4TzlUVzFoNGFSVkdzcmEzdFQ2MnRyVytXdWlZQUFBWWFKaTBBZ0g2cXBxWm1UelA3WVJBRTFUVTFOY2RJSXZBQUFMQ091QThQQUFBQWdMSkY0QUVBQUFCUXRnZzhBQUFBQU1vV2dRY0FBQUJBMlNMd0FBQUFBQ2hiQkI0QUFBQUFaWXZBQXdBQUFLQnNFWGdBQUFBQWxDMENEd0FBQUlDeUZTOTFBUUMyYkR2c1BuR255b3I0N3FXdW96OTZ2ejBhVzEyaFZ3S3ppdmZibzdGanhpZEtYVksvdEdMRml0ZmVldTJsMTB0ZEJ3Q2dmN0pTRndCZ3l6Vm1UR0tNcXYxWE1vMHZkUzM5azh2Y0FrbHk4NGlYN0Y3OVM4dnRoTm16czdOTFhRZ0FvUCtoaHdkQTZWUnJqRXpqVFRhcXRxWkdzWGlzMUJWaEFNbm44bHJlMXFiSXZWclZHaU9Kd0FNQVdBMkJCMERKMWRiVTZPdm5uYU82RDR3cmRTa1lRRnBlYXRVTk4wN1JvdmZlSzNVcEFJQitqTUFEb09SaThaanFQakJPKys2OVY2bEx3UUJUVVZGUjZoSUFBUDBjczdRQkFBQUFLRnNFSGdBQUFBQmxpOEFEQUFBQW9Hd1JlQUFBQUFDVUxRSVBBQUFBZ0xKRjRBRUFBQUJRdGdnOEFBQUFBTW9XZ1FjQUFBQkEyU0x3QUFBQUFDaGJCQjRBQUFBQVpZdkFBd0FBQUtCc0VYZ0FBQUFBbEMwQ0R3QUFBSUN5UmVBQkFBQUFVTFlJUEFBQUFBREtGb0VIQUFBQVFOa2k4QUFBQUFBb1d3UWVBQUFBQUdXTHdBTUFBQUNnYkJGNEFBQUFBSlF0QWc4QUFBQ0Fza1hnQVFBQUFGQzJDRHdBQUFBQXloYUJCd0FBQUVEWkl2QUFBQUFBS0Z2eFVoY0FBQUQ2SDNmM1V0ZFF6TXlzMURVQUdKam80UUVBQUFCUXRnZzhBQUFBQU1vV2dRZnJ4UHVoVWo4blFHL3krWHhKanZ2T08rK1U1TGdBc0RhcFZHcm5MZUh6WnhpR2RlUEhqOTltRXg4bUdETm1UTFVraG51dUJkZndBTUFtY3VXVlYrcjExMS9YTGJmY3Nzcnk2ZE9ucTcyOWZZM2JKcE5KVlZkWHI3THNwWmRlMG5ubm5hZWJicnBKdSsyMlc0L2JQZnZzc3pyLy9QUDFrNS84UlB2dnYvOUdPQXNBMkdpQ0tJcWVDTU93S1pQSmZFb2RyM1VmaUtLb2FrMGJSVkdVYTI1dW50SGIrbVF5ZVkrN3g0TWdPS214c2JGZEhZSGpVRWxmeWVmemw2NXAyMDBvWFZ0Yit5MUoxeFV2VEtWUzQ5MzlLSGMvS2dpQ3p6VTJOcjY4dmdkSUpwTW5TL3IxOE9IRDkwdW4wODl0bEtyTEZJRUhBRFlCZDlkenp6Mm5BdzQ0WUxWMUYxMTBrUll2WHJ6RzdYLy8rOTlyaHgxMldHVlplM3U3Rml4WXNNYWVvOG1USjJ2WFhYZlZaWmRkcG52dnZWY2pSb3pZZ0xNQTBGK01HVE9tZXRDZ1Fidk9tREdqVlZKVTZucldSeUtST05MTXhrcjZTdEhpM3dkQnNQdWF0ak96T1pKMjZtbGRmWDM5ZHBLT2svUllaOWhSeDJ2d21DQUlQaGtFd1hVOWJiZTVoV0Y0dDZSRDNIMDdkWnhUT29xaUNaTFdPL0NnN3dnOEFMQUp2UERDQzVvN2Q2NEdEUnFrYWRPbVNaS3FxNnMxZWZKa1NkTDU1NSt2RTA4OGNiWHRtcHFhOUlVdmZLSEhmWGFPNE93K1dkVnp6ejJucFV1WGRqMCsrT0NETlczYU5MM3d3Z3VLeHp0ZTVpc3FLblRRUVFkdHhEUEVscUMxdFZVbm4zenlXdHZkZSsrOUdqdDJyTDcrOWEvcnIzLzk2eHJiSG5MSUlmcnhqMytzMy96bU43cm1tbXZXMkhibzBLSDZ5MS8rc3M1MWw2TWhRNGFNaU1mamZ3dkRjSmE3M3hrRXdjTlJGTTNQWnJOTEpKVm0vT3c2TXJPTDNmMnZtVXptVDUzTDJ0cmFQaGp2ZktIcVFUd2V2MHJTcE43V3gyS3h6MGlLbTltTmZTMGptVXllMGRiV2RsZExTOHZLZFQySERYQ2twS1lvaWk0MHM4Y3ltY3lieVdUeTVXUXllVi8zaHU1K1dTYVQrVjczNWZYMTljbDRQSDZWbVozUjJOajRWdmYxcVZScVJCUkZ0MFpSOUkybXBxWlhOdVhKRERRRUhnRFlCSDc5NjE5TGttNi8vWGJkZnZ2dGtxVFJvMGZyd1FjZmxDUUZRYUNlM3VPRFlOV2g3ZlBuejlmdmZ2ZTdWVUtRbWVuOTk5L1hkNy83WFgzbEsxL1JOZGRjbzMvKzg1K3I3ZXVTU3k3cCtublFvRUZyL1NBS2REZDQ4R0FkY3NnaHZhNS82cW1uVkZ0YnExR2pSa21TR2hvYUZJdkZlbXo3cjMvOVM3Tm16ZEllZSt3aFNkcHBwNTE2M2ZlU0pVczBmZnIwcnJib0VwaFpTbExTM1M4M3Myd1locys3KzNPeFdPejVuajRFOXhlSlJPTGpacmEzcFAwa1dSaUdKeXhjdVBBQk0xc1pCRUgxR2pZZFptWUxlbHFSU3FVcTNQMnJrbHJUNmZRZitsSkhHSVpYU0xxMHFxcHFvcVFMMXZ1RWV0RFEwTEJqRUFRSHF1TjFPbkQzTUF6REUvUDUvTk9GSnIvUFpyTzNkOXRzV2hSRkQzVStDSUxndTczVTNTRHBNWGUzZkQ0L1N0SnF2K3YyOXZhZDQvSDQva0VRUEJlRzRmR1pUT2FKalhsK0F4bUJCOEFxd2pEY05vcWlyZmwyYVAybDAyazk4OHd6T3UrODgzVEtLYWQwTFYrZjI0Z3NYcnhZTjkxMGt3NDY2Q0JGVWNjb2xpQUk5UHp6eit2eHh4L1hSUmRkSkVuNnhDYyswZlZ6ZDNmZWVhZnV1dXV1OVQ0ZmJMbDIyR0VIL2ZqSFArNXgzWk5QUHFtLy9PVXZPdjMwMHpWbzBDQkowdW1ubjk1alczZlhLYWVjb3FGRGgzYjFHQjE0NElFNjhNQURlMngvOWRWWGEvcjA2ZnJTbDc2MDBjNmxITGk3bVZublBZbUdTVHJZM2YvTHpCYTUrenRoR1A3ZDNYKzljdVhLdjI3bTNvdTFpWm5aanlUZG0wNm5uMHNrRXNlYjJkM0RoZzM3YkJBRUNVbGZYZFBHN241L1Q4dnorZndwUVJEczVPNW45V1dZWHlLUk9Obk1MblgzVjRJZ3VHSkRUcWduc1Znc2RQZk9pellySkowbzZiZ2dDRTVkdzJicGJEWjdkZWVEWkRKNWFmY0dEUTBOb1puOXVSQjJEbTF1YnM3MHRLUG01dVowUTBQRC9rRVEvTkhNL3BoSUpMNlV6V1p2NmFudGxvYkFndzB5ZGVwVTNYSEhIV3B0YlpXWmFjS0VDVHJ6ekRPN2h1MTA1KzU2NElFSDlPQ0REK3JWVjE5VkZFWGFmdnZ0ZGNFRkYyaS8vZmFUSkIxMDBFR3JETS9weVlVWFhxZ1RUamhoazV6VGxzN2RKOFJpc2J2RE1Gd2c2WmZ1L250Sjd3eWtZUk9sOXBPZi9FVERoZzNUcHovOTZSNTdjVlFZQXZUa2swK3V0cno3My83dXUrK3VFU05HNkpsbm5sRWlrWkFLZ1dmYXRHbEtKQklhTm15WTFQRkdxOXJhMmg2UFZWRlJzUkhPQ3ZpUEtJcDA0NDAzYXV1dHQ5WkpKNTIwMXZhUFBmYVlXbHRiOWRXdmZyVXJIUFZtN3R5NXV1KysrM1RBQVFkMC9jMmpnNW01aW9hM0ZnU1Noa3NhYm1ianpPd3pWVlZWYjRSaGVLKzczOVBXMXZiUElBaVdsRElBSlJLSjg4MXNWelA3ZUNxVnFvaWk2UHZ1L3Zkc05udDdLcFY2Mk4xLzF0dTI3djVBVHowOG8wZVByZ21DNER2cUNENS9YMXNOWVJoK1ROS3Q3djUyRkVWSFpqS1pOVjlJdVI3UzZmVERrZ1lWanRkbVp0OUtwOVBYRlI2djF6NFRpY1FSWm5hUHU2OHNoSjMwbXRvM05UVzlNbkhpeFAwcUt5c2ZDNExnNW1ReXVXTTZuZjdPK3AxUitTRHdZTDM5N25lLzAvZS8vMzBOR2pSSUJ4MTBrUEw1dktaT25hb3ZmdkdMdXVxcXEzVFlZWWV0MHI2OXZWM2YvT1kzTlczYU5JMFlNVUlISDN5d3pFeXpaczNTYTYrOXRrcmdXYjU4ZVkvSGJHcHEwcnZ2dnNzd2g4M0F6T29rWFNQcENqTnJUQ1FTejVuWjMxZXNXREdCYkRhb0FBQWdBRWxFUVZTOXBhWGwzNUtZRXJ3WDU1eHpqcVpNbWFKRER6MTBsZVcvL09Vdk5YNzhlRW5TTHJ2c292cjZla25TelRmZnJJTVBQbGg3N0xHSDVzNmRxMWRlV2JWemJlKzk5OVl6enp5alNaTTZockhuODNrOThjUVRmUHRkNEpHcnVzSjNEOE93VDMrVFVSVE5hbXBxZXFQemNTcVZHaHBGVVoya3lyVWV5ejBYaThWbU5EWTJkbjFZK3NBSFByQjlkWFgxbm4wc2QxRVFCQzNGRjFkUG5EaHg5NHFLaXRGOTJkamQzOHhtcy84b1doUUx3M0JpNGR2K3RkcVFjeS8yeHovK1VhKysrcW91dU9BQzFkVFVyTEZ0UHAvWEwzN3hDNDBZTVVLZi92U24xN3J2S1ZPbXFMMjlYVi8rOHBkWFdaNUlKUFlvMWJuM2g5OTdGRVdydkRGMjloZ1hoNStpbjNjMHM2K2IyWmRyYTJ0ZmN2ZS9kNzZHWnpLWmx6Yno2M2NRQk1HMzNYMkpwQ251dm8yazNTWHRNM2JzMk1INWZENG5hZjRhTmg0c2FWa2lrUmkyZlBueWZHdHI2eEpKMm5iYmJiOHBhZWUrRkJDRzRVbG1kcnU3THpXemp3eVVFUXpKWlBKVVNiZEpla1BTUjV1Ym0xL3F5M1l6WnN5WU4zNzgrQS9WMXRZK0p1bC93akI4TzVQSjlQVWFwN0pFNE1GNmFXOXYxL1hYWDY5aHc0YnBycnZ1NmhxL1BYdjJiSjEyMm1tNjl0cHJWd3M4MTF4emphWk5tNlpqanoxV0YxNTQ0U3JmT3VkeXVhNmZyN2lpNTE3bStmUG42NmlqanRJKysreWpaREs1eWM0TnF6S3pyU1Q5VnhBRUI3ajdlOVhWMVc4WGhrM2NtODFtL3lRcDE0ZmRiRkgyM1hkZjdiREREcnIzM250MXp6MzM2UExMTDFjOEh0ZjIyMjh2U1RyMTFGTzExMTU3clJKNERqLzhjQjF5eUNHYU8zZXV0dDU2YXcwZVBMaHJmL3ZzczQrdXV1cXFydDZmT1hQbUtCYUw2Y01mL25DSnpyQi9NVWxWOGVBME0rdlRoMDh6Kzdha216c2ZSMUZVWjJhL2tMUmRIN1pkSEVYUlp5WDlyWE5aZFhYMVI4enNoMzA1dHJzL0cwWFJGeVYxM1N5cG9xTGlkRFA3ZkIrM3YwTlMxOWpGc1dQSGJpWHAyMmJXcHpuSU4rVGNpN2JSVFRmZHBHSERodW00NDQ1YmEvdEhIMzFVcjcvK3VyNzYxYSt1TnRWNmQzUG16TkhERHorc0QzN3dnMTFmRGhUNVhLbk92Wi84M20vb3BiYmV0cEdrYWpNTEpTWE03QlJKOHhPSnhDdVM3bDYwYU5FRHMyZlBYdFNYNDIrZ1NOSk5rb2E1ZTJCbWg3djd6ektaekF0aEdNNHhzeDM3c0krdkJVSHd0ZHJhMnBtU0pqWTBOT3hwWmhjVlJoMzBmTkZZZ1psOVFkS0o3djVXTHBmNzZJc3Z2dmppeGp1MVBsdGpqYjJKb3VoNU0zc21pcUtUaThONlg3ejg4c3Z2SmhLSlE0SWcrUDQ3Nzd4ejIvb2N2NXdRZUxCZTVzMmJweVZMbHVpVG4veGtWOWhSeDdTWk92REFBL1hIUC81Uml4Y3YxdENoUXlWSnMyYk4wbjMzM2Fjd0RIWHh4UmV2OWdLOWhnbGF1dHg4ODgxYXNXTEZhdC82WWVQcUhETFJxZWdidzVpa3JkMTk2ODVoRTJFWXZ1dnV2emF6dTRJZ21MMTgrZkwzK3RtNDhaTFplZWVkRllhaDdybm5IaDErK09HcXF1cTR6VVJyYTJ2WFZOV3RyYTNLNS9QSzVYSjY1NTEzMU5yYUtrazY5TkJEOWVhYmIyckhIWGZVb0VHRGRPaWhoK3FRUXc3Ujg4OC9MM1hNMUtNLy8vblBxL3kvYVc5djE2SkZQWDkyYVd0cjJ3eG5YRnFCV1lXN3IvblRkSUdacmZLQ0UwVlJMQmFMVmZWeCt4VlJGSzN5NFNXS290aGFMcm91UG5abExwZnIvZ2sxM3RmYUM5Y0ZGQi9iekt4eU01MjdKT212Zi8ycjVzeVpvODkrOXJOZGY5ZHJjdWVkZDZxNnVscEhIMzMwV3R2ZWZmZmR5dWZ6UGM1Z1dPSno3eSsvOTNYdW1TbDZEYTgwczhHU1Jra2F2TlZXVzIyMm0zK20wK2x2cXFPbjVUWjNmMlBKa2lXWEZHbzd4c3dHNS9QNXJ2ZU5JQWoyTWJPcjNmMjBLSXBlNjdhclpaTGlRUkQ4V2xMZTNYOXVadWV1NmRobWRwS2tGNk1vT3VyRkYxK2N2WWxPc1RkSEpwUEpNL1A1L0RmV1orTkNqMmF2MDJ1Nis1K2lLRHF3cmExdFppL2JMNUowenZvY3U5ejAyOENUU0NRT0xuVU42TjJJRVNOVVhWMnR1WFBucnJidXpUZmYxTEJod3pSa3lKQ3VaUTgrK0tEY1hXZWRkZFo2WGJqOXhodHY2SUVISHRCQkJ4MmtpUk1ucnJLT3Y1V055OTBUaFRkR3FmRHRZYmZ4NG5KM0ZTNmMzY2JNdmlicEsrNytVblYxOVhNTkRRMHZCMEh3UlBmaEcralEyeFMvUC9yUmoxWmJkdDExMStuQUF3L3MrbGI4blhjNnZod2VNbVRJS3JPNXZmLysrM3Jra1VmMHlDT1A5SHJjdFYwM01aQzVwUGRYNW0rdHJRaG05YVY5RkVXcnRET3pHVkVVbmRuWG9VMW10c3BORE52YTJ2NVVVMU56VEo5cWRWK1V5K1ZXU2FZclY2Njh0YUtpNHM5OTNQN040c2YvL09jL2x5VVNpY3ZXWlZoWDhlTzFuUHZxRjVsSitzMXZmcU5ZTEtiamp6OStyY2Q3NFlVWDlJOS8vRVBISG52c0t1OEpQVm0yYkprZWV1Z2hqUmt6UnZ2dXUrOXE2OTM5RjhXUE4vRzVkejkyZi9tOXIvWUcydHQwOVlYSE9YZWZKV202dXo4djZmbE1KcE10UmM5OE1wbjhxS1RUb3lnNmV0YXNXZThWYW45ZjBvTkJFSnlWeVdRZUxiVHJmTEd5cHFhbXA5WHhQdjhSTS91aXU1L1YwTkJ3U0dHMnR6UE5iR2hQeDJwb2FQaVFtVjFZZVBpL1p2YlpiRGI3L3FZK3gvcjYrdEZCRUp3WUJNRnhrcXJjZlI5SnYzZjNmL1JoODNWbVpvZkhZckZmVjFkWEh5anA2VDVzc3NYcXQ0RW5DSUs3UzEwRGVsZGRYYTJ6eno1YlAvM3BUM1hqalRmcXBKTk9VaTZYMDYyMzNxcm01bVpkZXVtbHE3ejRQdi84ODZxb3FORGt5WlAxajMvOFE5T21UZE95WmNzMGR1eFlmZmpESDFabDVacmZiMjY1NVJibGNqbDk3bk9mVzIwZGZ5c2JsN3RYZG44VEtmNWQ5alJldlBETjZTUjNueGdFUWJ1a3Q2SW9lcW1ob2VIL2NybmNmVE5uenV4eFN0RnlkZmJaWjJ2R2pCbGRzNnAxVHIxNzdiWFhTcExPUGZmY3JtdldIbi84Y2QxNjY2MjY5ZFpidTRMTmtpVkxkUGJaWjYrMjM4NHZHTzYvLy81VlBtd3VYYnBVaHgxMm1JNDg4c2dlNjNuc3NjZksrbDRtRnBoVzVtM1dLek96VDYzUDlvVnZRWjlkMytPM3RyYStLZW5OUGpUdDBjeVpNMmRKNmxOWTYwRXVtODFtMS9mWTYzcnVyN3p5aXRMcHRBNDk5RkNOSERseXJlM3Z2cnZqNWJtWEhwdFZQUGpnZzNyLy9mZDF3Z2tuOVBqRldBL1hYV3pXYys5dWMvL2U2K3ZyUjNmTzBxYlZKeTZRVnIydVo2RzdQK3p1OTBaUjFMSml4WXI1bmRlK2xFSXFsZG8raXFMYkpOM3Q3aThrazhsREpPMlNUcWR2RDhQd0FUTjdLQXpEc3pPWnpLMUY1L0lOU1hjbUVvbmp6T3hPTTNzK0NBS1g5S1M3Lzc5ME92MnJaREw1dGVMajFOZlhqNDdINDkrVmRFYm5zaWlLYnR3Y1lVY2RrOGQ4d3N4KzRPNS9Ock84bVYyNm9aTVdZT1BvdDRGblhiclhVUnFublhhYWxpNWRxbHR1dVVXMzNQS2ZXUS9QTys4OEhYUE1mNzcweXVWeW1qMTd0bmJhYVNmZGQ5OTlxMDF4ZXZQTk4rdm5QLy81S2tQamlyMzc3cnQ2NUpGSE5HblNKTlhWMWEyMm5yK1ZqUzVlL0tiYW0rN0JwMmlxMUppN0Q1WTB3c3lHbWRrV04wWFlHV2Vjb1lVTEYycm16Sm02NTU1N2RORkZGeWtlajJ2MzNUdHVKcjc5OXR0cjNMaHh5dWZ6dXVLS0syUm1hbXhzMUJsbm5LRWdDSG9kbXZhdmYvMUxacVpycjcxV1lSaHE3Tml4V3JseXBaWXRXNmFHaGdidHYzL1BsekxzdHR0dU91cW9vemJwT1dQTDhNQUREMGlTUHY3eGo2KzE3Y0tGQ3pWMTZsU05HemV1NjI5L1RSNTg4RUhGWWpFZGZ2amhHNlhXY21SbVVkSFBVc2ZycjB0Nlg5SjdVUlM5Nk82L2ZPZWRkeDUrODgwM044dUgvTDV3OXl2TmJLU2s0Mk94V09lMGZzMlNmcFhKWkw2Y1RDWmQwc0dqUjQ4dS9nSnpVaktadk4vZGo1TDBmMisvL2ZabjVzeVowemx4dzFlNkh5TU13NnNMeTJPRldkL21tTmtQTnM4WmRubW9yYTN0Z1phV2xybUZXZG8yZUllVEprM2FMUjZQOXpnMHdOMGJ6RXl4V095ME1BeDdITzNTM3Q1Kzg0d1pNK1p0Y0NFRFhIOE9QSDNxSnNabTF6WEU0YUdISHRJZGQ5eWh3WU1IS3d4RDVmTjVaVElaVFpreVJhTkhqKzY2b0hycDBxWEs1L05hdUhDaGJydnRObDE5OWRXYVBIbXkzbjMzWGQxd3d3MTY4c2tuZGRsbGwrbm1tMi91OFlEMzNYZWZjcmxjcjFPZjhyZXkwU1hNN0xMQ05LZFNMOThrYXZVMzNGY2xQZWZ1TS9QNS9GTUxGaXhvS25wejJxSjA5dDVVVmxhdWRnMVBzU2xUcHVqbGwxL1c2YWVmcmwvOTZsZjYyOS8rcGl1dnZMTEhhYVRkWGVsMFdwLzYxS2YwL1BQUDYrS0xMOWFkZDk2cFYxOTlWZTdlNnhjR2tqUnExS2cxcmdmNklvb2lQZkhFRTZxdHJlMzZHMStUSjU1NFFsRVVyVFpiWVU5bXo1NnRXYk5tYVo5OTl1bTY5aE05TXYzbnRmYzlTVmxKMHd1dnZkT3oyZXpycFM2d0orNytwOEs5Z2w0eHM5WjhQdDlhZkJGK09wMytTaGlHcDI2MzNYYXZSbEgwdmNLUTNUc2xuV3BtTjZmVDZiUDdjUDNTY2tsL3pPZnpGelkxTmIyU1NDUSsxMXZncUt1ckcxVlZWWFZPRUFTM05UWTJ2cnF4empPVHlmU3B4Mi9jdUhHRHE2cXFkdWxsOVNwRngrUHgzU1I5cTVlMm5aL2pUKzN0UGtSbTlxQWtBaytwQytoTk5ydCtReE93ZWJTMHRPaUtLNjdRK1BIamRmMzExMnY0OEk3UHh2UG16ZE01NTV5aml5KytXTC85N1crMTg4NDdhOFdLRlZMaEJvby8rOW5QdXQ0b0J3MGFwQ3V2dkZKSEgzMjAwdW0wWnMrZXJURmp4cXh5blBiMmR0MTMzMzBhTVdKRXJ6TlM4YmV5Y1NVU0NabFoxd1drYXhrMnNkVGRINGlpNkgvZGZlYktsU3ZmYVcxdFhjcVUxYXZMNS9OZDA2Mjd1NlpNbWFKYmJybEZaNXh4aHM0OTkxd2RjY1FST3YvODgzWFNTU2Zwd2dzdlhHMzdsMTkrV1lzWEw5WSsrK3lqd3c0N1RKLy8vT2Qxd3cwM2FOZGRkNVU2cHNqZDdPZUVMVXMybTlYOCtmTjEyR0dIclhVWXNncERLVlUwcEhOTi92em5qa3RabUhsd3JkemRteVhkMTk3ZS9tZ1VSWE5xYW1yZTdlL1hTMll5bVhzazNkUFR1dnI2K25IeGVQem5rZzV4OTBjbHJWVEhhK2ExUVJEc2FXYkhobUU0SlpQSnZMQ1dZMXpXMTNxcXFxcEdtOW1sVVJTdGtQUzk5VGlsZFdabU1YZmZJWkZJL0RBSWdyUGQvWmZxK0lVR0V5ZE9ITm5XMXJab3E2MjJhcEEwcEJCbXBZN3plcnp6M2o3ZEZhYXQvblUrbnorczgzb245S3pmQmg3MGIvZmVlNi9jWGQvODVqZTd3bzRralJ3NVV0LzR4amQwempubjZMZS8vYTB1dU9DQ3Jwc2hWbGRYcjNZaGFtVmxwZmJhYXkvOTRROS8wR3V2dmJaYTRKazJiWm9XTEZpZ2swOCt1VTh6dVdIaktRNDZoWWtMSWtsdFpyYTQ4SVo3MTd4NTgrN3ZUOE1tK3F1MzNucEwzLzN1ZDd1bThMM3R0dHMwYTlZc2ZlbExYK3E2TG0zMzNYZlhIWGZjb1VzdnZiVEhrSG4vL2ZlcnBxWkcrKzIzbjZxcnEvV3BUMzJxNnh2M0hYYllvVS9YVXdBYjR1bW5PejVQOWFWM1ovbnk1VXFuMHhvMWF0UnFyK3M5ZWVhWlovcTg3eTNWZ2dVTDN0MW1tMjMyYjJwcWVxbTNiL1A3T1VzbWsrT2pLRHJBelA3THpQS1NYbmYzLzNiM2hXWjJZaWFUdWJjd3VZSGN2VDBJZ3FPaktIcld6UDRTaHVFbGhYdkpiUENFQys2K2ErRjk3VFYxQklmL2tiUlZPcDIrYUZNOHQ4bGtzcjR3UmZpNWtoYTYrL1ZCRUZ6djdrZVlXVkJSVWZHdnl2OThpOUNXeitmL3RMRnIyTkx4Q1JMcjVmWFhPM3JOZXhxWFBYYnNXS2t3UkVHU0JnOGVyQ0ZEaHZRNk5lNVdXMjBsOWRLVDBQa05ZVitHUkdEakt1ckZlZC9kTTVLZXorZnowNk1vbWo1anhvelhCdWdiN21ZMWYzN0h2ZlJPUGZWVXBWSXA3YlBQUGxKaHByWmRkdGxGRFEwTnE3UWZObXlZZnZhem4rbnR0OStXT2liazZOclBJNDg4b3NNUFA3eHJZb052ZmV0Ym1qOS92ajcrOFkvM092TWJzREhObU5FeFNWbFAxMUoyMTlMU29paUsrdFMydmIxZHJhMnRHanAwcUhiWVlZZU5VbXM1bWpObnp2STVjK2IwT1Axd2Z6WjI3TmlxSVVPR1BDUnBIMGxEeld5cHBLZWpLUHAxRUFRSk0vdE5lM3Y3MTE5ODhjV0Y2bmpQR1dSbWlzZmorY2JHeHJkU3FkVCtVUlE5YUdiWEo1UEozZFBwOU5mV2ZsVEp6RllVL2wxdGVzQWdDQ1lYanRWU2RNd0x3akRjTTUvUG45emMzTHhzSXo4TnRaTGVkL2RyZ2lDNHB2TUd0b1Y3Q3VZa2ZTbUtvc0dTbHNWaXNTZWJtNXMzMmpBN2RDRHdZTDFzdmZYV2txUi8vL3ZmcXcybDZReER4VDAvaVVSQ1U2ZE8xWXdaTTdydUZ0L3A1WmRmbHFTdW9UbWQydHJhTkczYU5JMFlNYUxyQm8zWWZOejlIKzUrbDZSSFlySFluT1hMbDcvTFBYYld6ZU9QUDY1NFBLNXp6ejFYSjV4d1F0ZnlxcXFxMWNMT1RUZmRwUGIyZGxWV1ZxcHo0cW5Sb3p0dXd2Njk3MzFQK1h4ZVo1MTFWbGQ3TTlQMTExK3ZLSXI2ZFBOSFlFTkVVYVNYWG5wSlZWVlZxNzFXOTJUbXpJN1A1WDBaYXZuS0s2K292YjJkWVpsbGF0YXNXU3VTeWVSc2Q1L203ay9HWXJHL0Z3M0IrNDA2Smh5NE5BekRYR0ZTaHM5S2FtOXJhL3UzSkRVMk5yNGxhYjh3REkvUFpETDNyY09obTlYeFdubHRHSVo3ZFE2Vmt6VFMzVDh2NlkybXBxWW1kUXdiKzBZaWtmaTNtZjBrSG84L01XblNwSTkxQnJCMVVWZFhONnF5c3ZKSU05dmV6S3JjZllrNnJsRjZidno0OFR1Ly9QTEw3L2EwWGZIc2RNV1N5V1NUdS9jNjQ0ZTd4d3VURnZ3NURNTTFmUW5aa3NsazlsN1g4eWtuQkI2c2w0OTg1Q09hT25XcWZ2clRuK3JhYTYvdEdyYTJhTkVpL2VRblA1RzY5Y29jZDl4eG1qcDFxcTY3N2pyOS9PYy83N3FBKzVGSEhsRnpjN1BxNnVwV2V4Tk5wOU5hdm55NVB2emhENi9Ydlh1d2ZuSzUzRXVWbFpXSFpES1psMHBkeTBCM3lTV1hhUDc4K1pvOGVmSmEyNzd4eGh2S1pyTXlNdzBhTkVqbm4zKytkdGxsRnkxY3VGRHBkRnBubm5sbVZ3QlN4L0FXUGZIRUV6cnFxS08wODg0N2IrSXp3Wll1Q0FKTm16YXR6KzFQTyswMG5YYmFhWDFxTzJIQ0JEVTJObTVBZGVqdkNwTU9yTW1oWm5hUU9qN0V2Mk5tNTdhMHRDd3RXcDh2WEFmVVo1bE1waWtNdy9Na25TZnAvS0xKQUZhYTJmUW9pcjVlUEZJaG04MytOSkZJdEV1NklSYUxIU3JwdCt0eXZFNUJFRXdwL1BqUEZTdFcvS0Z6ZVc5aFowM2MvWmRtTnJ3UFRkZjRPU21Lb3JmWDlkamxoaytSV0NlRjJiams3cnJvb292MHhCTlBhTVNJRVVxbFVzcm44NW8rZmJvV0wxNnNvNDQ2U3BkZmZ2a3EyMTUrK2VWNitPR0h0ZjMyMjJ2eTVNbDY2NjIzTkgzNmRBMFpNa1MzM0hMTGFzUGpwa3lab3B0dXVra1hYbmpoS3QrT2Q3ZlcrWlBSYjQwWm56aFk1bmNQR1R4NDFFMDMvRVQ3N3IxWHFVdnFsMTU4OFVWTm1EQmhsWnVOcXVNTlhidnV1cXVHRGV2VGZSZkx6bk4vZjBIblhmQXR2ZlB1dTR2a09tYjJ5MHhnc2pGNWI5TXpsZ2l2OVdYUEpBV1M4cVVzSXBsTWZpQ2RUcS8zRjM1MWRYV2pZckhZaXZYcEljS21RdzhQMW91WjZZYy8vS0grNy8vK1R3ODg4SUNtVHAwcU05TWVlK3loNDQ0N1RrY2NjY1JxMjN6NzI5L1d1SEhqZFAvOTkrdVJSeDdSb0VHRDlMR1BmVXhmL09JWFYvbm11bFBuZUhHR09XQkwxMzBZYUNkdVpBZWdqSGlwdzQ0NmVxTTJhSFJEUzB2TDNJMVhEVFlXQWcvV201bnAyR09QMWJISEh0dW45ckZZVENlZmZIS2ZMN0MrL3Zyck43QkNBQUFBYk9tQ1ByUUJBQUFBZ0FHSkhoNEFBTEFhcnBrQlVDN280UUVBQUFCUXRnZzhBQUFBQU1vV1E5cXdUaGppQUFBQWdJR0VIaDRBQUFBQVpZdkFBd0FBQUtCc0VYZ0FBQUFBbEMwQ0R3QUFBSUN5UmVBQkFBQUFVTFlJUEFBQUFBREtGb0VIQUFBQVFOa2k4QUFBQUFBb1d3UWVBQUFBQUdXTHdBTUFBQUNnYkJGNEFBQUFBSlF0QWc4QUFBQ0Fza1hnQVFBQUFGQzJDRHdBQUFBQXloYUJCd0FBQUVEWkl2QUFBQUFBS0ZzRUhnQUFBQUJsaThBREFBQUFvR3dSZUFBQUFBQ1VMUUlQQUFBQWdMSkY0QUVBQUFCUXR1S2xMZ0FBOHJtOFdsNXFMWFVaR0dCYVhtcFZlM3Q3cWNzQUFQUnpCQjRBSmJlOHJVMDMzRGhGRlJVVnBTNEZBMGg3ZTd2ZVc3S2sxR1VBQVBvNUFnK0FrbG5wMFZ1VlptOUY3dFdMM251djFPV3N4aVRKWlc3eVV0ZFNUanp5anVkV2trdXl3TmF5eGRwMjZQTld1cisxTVdvREFKU2ZEWHlYQVlBTkV1dzhkc0w0SUY2eFhha0w2VWx0cFk0d1YyeFp1eDRxZFMzbHBESVdqYTJ1Q0Q0VG1GVzh2ekovNjhwOE1HdEQ5cGUzYVA2L1gycHVrUlJ0dkNvQkFPV0N3QU1BUFF1U3llU2o3ajQ0azhrY1VPaU13RWFRU0NRT0RvTGdibmV2ZHZkanN0bnNVNld1Q1FCUXZwaWxEUUI2RUliaGVIZmZVOUp1RFEwTmU1UzZIZ0FBc0g0SVBBRFFBM2MvUU5LMlpqWTBDSUlQbHJvZUFBQ3dmZ2c4QU5CTlhWMWRaUkFFa3lYVnVudVZwTDFHang1ZFUrcTZBQURBdWlQd0FFQTN1Vnh1aUx0UHR2L1llL2p3NGR1VXVpNEFBTER1Q0R3QTBFMVZWZFVlWmpaQkhVUGI1TzZUSk8xWjZyb0FBTUM2SS9BQVFEZXhXT3g0U1JYdUhST3ptVmxsUEI0L3F0UjFBUUNBZFVmZ0FZQWlxVlNxSWdpQzB6ckRqdjdUeTNNaU4yc0dBR0RnSWZBQVFKRmNMbmU0cE5XdTF6R3prWWxFNHZEU1ZBVUFBTllYZ1FjQWlnUkJjR3B2Njh6c2pNMWJEUUFBMkZBRUhnQW9hR2hvMkZGU1dEeWNyVk5oMlg1aEdHNWJpdG9BQU1ENklmQUFRRUVRQlB0SjZnbzBaaVl6SzI0eU5Jb2lia0lLQU1BQVF1QUJnQTR4U1NsSlE5ZlFwallJZ3IyWnZBQUFnSUdEd0FNQWtoS0p4R0JKKzV0Wm9FTHZUcWZPbjgwc01MTzlKMDZjeUUxSUFRQVlJQWc4QU5BUlpuWXdzeDZ2MytsVW1KNDZaV2FqTjJ0eEFBQmd2UkY0QUtBanpCd2hhWEFmbWc2SnhXS0hiWWFTQUFEQVJrRGdBUUFwTUxOVDFmTkVCU3BlYmgwK0xXbjFSZ0FBb044aDhBRFk0azJjT0RGcFp2WHJzRW5EcEVtVGtwdXdKQUFBc0pFdzB4Q0FMVjQ4SHAvbDdvbHVpL2N5c3g5SXFuTDM4eVc5VUx3eUZvdTl2bm1yQkFBQTY0UEFBMkNMbDgxbUYwbGFWTHdza1Voc2JXWTVkNCs3KzZ2WmJMYXBkQlVDQUlEMXhaQTJBQUFBQUdXTHdBTUFBQUNnYkJGNEFBQUFBSlF0QWc4QUFBQ0Fza1hnQVFBQUFGQzJDRHdBQUFBQXloYUJCd0FBQUVEWkl2QUFBQUFBS0ZzRUhnQUFBQUJsaThBREFBQUFvR3dSZUFBQUFBQ1VMUUlQQUFBQWdMSkY0QUVBQUFCUXRnZzhBQUFBQU1vV2dRY0FBQUJBMlNMd0FBQUFBQ2hiQkI0QUFBQUFaWXZBQXdBQUFLQnNFWGdBQUFBQWxDMENEd0FBQUlDeVJlQUJBQUFBVUxiaXBTNEFBUHE1dUtSRUlwRW9kUjNsSk9IdWxhVXVBZ0N3WlNEd0FNQ2ExWnJaWldhMnN0U0ZsQXQzcnpTem9lNitwTlMxQUFES0g0RUhBSG9RUmRGYlFSQzhKYWxhVXVEdTFhV3VxWnk0K3hJem01ZlA1OThxZFMwQWdQSm1wUzRBQVBxcElBekQ4ZTYrWGFrTEtWZFJGTTF2Ym01dWtSU1Z1aFlBQUFBQUFBQUFBQUFBQUFBQUFBQUFBQUFBQUFBQUFBQUFBQUFBQUFBQUFBQUFBQUFBQUFBQUFBQUFBQUFBQUFBQUFBQUFBQUFBQUFBQUFBQUFBQUFBQUFBQUFBQUFBQUFBQUFBQUFBQUFBQUFBQUFBQVFEa1lPM2Jza0ZMWHNDNFNpY1FwWVJqdVYrbzZBQUNRcEhpcEN3QUE5RzdjdUhHRHQ5cHFxNWZETUx3bGs4bDh1L3Y2dXJxNnlpQUl0amF6N1dLeDJLZ2dDRVpHVVRRcUNJS1JrbTVLcDlPek5uZk5abmFUcERzbC9XMXpIeHNBZ080SVBBQzJCSlpJSkU0UGd1QnNkNTlvWm5GSkxlNStjeWFUdVVtUzk3SmRFSWJoRjh6czJnVUwvbjk3OXg1bFYxbmVjZnozdkp0SkFybVFDK0ZTQWd3UXNZeEo1cng3STZYVUc5QVdyUmZDcFJRcllFc3BRb3RvaFNxMVZpV0llRUVVdVlpQVNpdXI1ZElXRmtLRlVDMUxvdENGcy9jNU0rTklXcEVZcUl0TGNJZ2hRK1p5OXRNL3poblc0VEJEQnBLQUsvbCsxc282T2M5KzNzdmVmODJ6M3ZlOCsxZnoxNnhaczZrOUljYjRWa2xuU3pyRXpQWjA5eWZNN0w1NnZYNWhyVmI3bjliY1NxVXlWOUpaSVlRVDNIMS9Nd3VTZmxhVzVkZXIxZW8zSmRYYis1ODVjK1lLZDkralhxL2ZXYWxVL2pTRThFRjMzOVhNNWtxYUsybm5GMDA2aEEyU25uTDM3MmRaOWt0M1AzS2ltNnZYNjQ4a1NYS3BwS00yOXdEZC9jNmlLSTdaWEI0QUFMOXBLSGdBYlBkaWpGODFzN01sUFd4bXQ3bjdIRWxIbWRuWFlveHZMSXJpTDlxYVdJengzV2IyS1VucFpycS9UTkt1a25va2JUQ3pUTkxKSVlUbGFacitYcDdudlMyNWJ3c2hYT0R1UDVSMHE3c3ZNTE0vRENGY0UyTjhjMUVVcDdaMjNOM2RmWVM3ZjBqU3BiMjl2ZjhkWS93RGQxOXFaaGRMV3UvdTY4M3NHWGVmSlduWjZPam9WV1ZaUGpFd01EQXkza2VhcG9zbGZXZWlpU2RKY21WWmx0ZEp1bWM4RmtJNDM5MGZkL2ZyVzNORENBOVA3V2szSDZDWlRSVHY2dXFhTlRBdzhPekw2UXNBZ0MxQndRTmdSN0JZMGlsNW50OHdIbGl5Wk1rK0hSMGRENWpaYVdtYVhwWG5lWThrWlZuMjIyVlozbU5taXlTdGRmZW56R3poUy9SOVRsRVVxeVNWNDRFWTQxVm1kbGF6V0htK21DckxzbVptcnl1SzRoZmpzU3pMRGl6THNtcG1wMlJaOW9tZW5wNjF6VDcyazNTVG1lV2JObTM2ZU10NHorWjVmbEhyQkNxVnl2SVF3dmxsV1Y3VVd1eElVcDduUDgreWJHRnovSFBNN0IvY3ZUT0VzSEYwZFBTNTN0N2VqUzM5ZEVyNm9xU1BWYXZWYjd5aUo5M1VYRld5MXRXejd1N3V2VU1JcTlJMHZTelA4NjlzU2Y4QUFFd1ZCUStBSGNHcGVaNC8xUnJvNys5L05NWjR0YVFWN241NGM0VkdZMk5qdTRVUXBrdTZZTk9tVFpkTW56NzlBVW1URmp4RlVmeGdndkNOa3M0eXMvbXR3ZDdlM2tmYUUzdDZlaDVPMC9SQlNVZVVaVGxQMHRvc3kvWnk5N3NsalkyTWpCemJXc1NZMll3WTQwbHQzUndpU2RPbVRUcyt4ampjZW1GNGVQaU9ucDZlZFdvVVVVUE4yTk1UcmJLWTJaKzQrN1BEdzhNM1RYYS9XWmJ0NHU0Zm5laWF1MzkvL0htWTJlSktwZkw3MVdyMUhrbGF1blRwdkJEQzNXYlc2ZTR2MnJvSEFNQzJRc0VEWUx0WEZNVlRrMXhhcjhZZjU4OFhDZXZYci8veG1qVnI5aHIvUFUyTThXV1A1KzRITlhkMFBUaUY5SjNjL1FBeld4OUMrRjgxVm1MT2xMUkhXWlpIOXZmM1A1cW02WWRIUmtiK3BkbjNIRW5YdFhaZ1prbno4OHIyenBNa1dTWnBxbHZJM2l2cHhwZmFjclp4NDhhZGQ5NTU1L1BhNDJZMjA4eEdKZjJnSmZZUlNmZGtXYmFidTkvbDdsM3VmbFpSRkZkUGNUNEFBR3d4Q2g0QU83STNxMUZnL0dROE1OSEJCRlBSUEMxdGo0Nk9qbmVhMmVmZC9jZERRME9YVDVaZnFWVG1tdG5Ca3Y3T3pQWjI5OVB5UEI5UzQvY3lsN3Y3N2JWYXJZZ3huaURweXgwZEhZODNtejVaRk1XZWJYMHREeUhjT2p3OHZPY0V4WXFsYVhxMkdzWFM3MHJTOU9uVHowalRkS1JlcjFkcnRkb3FOUXE3dDVoWnQ2UlpNY1p6aTZMNDBrVHpmdWloaDU2V05LczFscWJwWWMwVDJYckdZKzQrYUdadmp6RWU3KzRYTlE5cE9MVjFXeUVBQUs4R0NoNEFPNlEwVFk5MDkrUGMvU2ZWYXZXSFc5SlhqUEZ4TTl0RGpULzBSOXo5d3NIQndVc21PZFh0VERQN1drdW9wMTZ2SDFxcjFZcm5BNDB0YU91YXA3cDl4ZDF2TDRyaXhoampKNW9wSVUzVFB4clBMOHZ5RURVS21iZW5hYnBKalJQWVJtcTEya3BKd2QwLzEwenRhSDZ1Y1BmeEZhRlZ6ZGg1N3Y2SXBBV1NEb3d4ZnRMZGYxYXRWdjk1Yy9kZmx1V0paallZUXZoZVMvaFdTVzh6czM5MTkyZmMvZWlpS081OU9jOFZBSUN0Z1lJSHdBNm5VcWtzZC9jYnpHemoyTmpZcVZOb3N1bStKYkVBQUFjUlNVUkJWRG5mbExTYnBOOHlzOStSZE9HOGVmUGk3Tm16VCsvcjZ4dHNUU3pMc2o5SmtpdmRmWUdrQTh6czBDUkpWcVpwK29FOHovKzlOVGVFY0lXa3ZjM3M4R2JJekt6czdPeWNKdWs3N2o0c2Fjek01TzRiSlYzdjdwTFVrU1RKaHVhYzZrVlJ6RktqMkRwZjBzWHRLMEZwbWg3czd1OXk5N05EQ0Nza2xlN2ViV1lmVGRPMHlQUDhwNVBkK09MRmk2ZUhFRTZTZEZ0UFQ4OW95NlhSc2l4WGhCQ3VkL2N2Vkt0VmloMEF3R3VDZ2dmQURpUExzZzUzLzRLa0Q3djdZNUtXOS9iMjVsdmFiMUVVejUraTF0blpPV1ArL1BtZk03TVA3YlRUVHBKMGZHdHVjd3ZaK0txS1lvemRrbGFhMmMzZDNkMXZIRi9waVRHZUtlbDlrdlQwMDA4LzJVemZSZEpRUzNkL1ZoVEZqZTN6cVZRcTU1blorVk9kdjd0L1NkSXYxNjFiOTYzZGQ5OTloUnFITjV6ZTBkRlJsWFR6b2tXTERuM3NzY2VlbTZqdDdObXpQeUJwcjNxOS9xTHRlOVZxOVlZWTQxK1oyY2ZUTkwzbHRYZ0pLZ0FBNGJXZUFBQzhHcFlzV2JLSHU5L1hMSGIrYldSa3BIdjhLT3F0YWMyYU5adnlQUCtJcExWbWRseU04YVdPdEZaUkZEVjMvL3ZHK1FMSjZXb1VMTzgwczh2ZC9WZHQ2YlBhQ3A1REtwWEs4dlovSVlRM1RIVythWnErMjh6ZUllbVRyVVZOWDEvZllMMWVmNStrZzNmZmZmY0pqNUJldG16WlRETTczOTIvMjdvbHIwVzlYcStmYW1hSnU5L1MxZFUxYTRJY0FBQzJLVlo0QUd6M21rWEhLbmZmeDkzUHFGYXIxMjdqSVV0SlA1VzByNlQ5SkUxMlNwelUyTHJXMy96dmZtcnNXenRTMGdObTltMUpYMjlKM2RYZGZ6Myt4Y3plTCttRTl2N2NmWTZabGUzeGNUTm16RGdpeG5pNHUvZEx1a0JTWGhURlA3Ym4xV3ExVlRIR1M4enNZMm1hM3BYbithMnQxNU1rdWNUZDk1UjA0V1JqOWZiMnJrN1Q5Ry9ON0lycDA2ZmZrbVhaZTlxMnZnRUFzRTFSOEFEWUVWd3I2WUN5TE4vUi9DSC90bWJ1ZnBBa0h4MGRmWFJ6eVdWWnZqNkVJSGRmcThheXlKZUhob1orUFdmT25QZThvRk96Zzl4OTlmaDNkLy9nNXJhMFpWbTJ5OWpZMkp2TTdDMW1kbnl6M1cyUzdnOGhuQ2hwMzNxOWZ1ajRNZHp0QmdjSFB6MS8vdnpsa3E3cDZ1cTZmMkJnNEhFMVZvYU9sblNtdTE5ZEZNWDlMM1YvZVo1Zm1hYnB3V2IyMTJWWjNyWm8wYUlUSnRzaUJ3REExa2JCQTJDN2xtWFp2dTUraktULzJ0ckZUb3p4cUxJc2g4ZVBkbTVLS3BYS0JXYTJ2NlNWL2YzOVQ3VGtuenMwTkhUTjZ0V3JONHpIMGpSZDdPNmZVYU1RdVVHTlZaSEhtdGRlTUo2N3YxN1NIUzJoNjJPTUwzZ25UMU9IcEExcUZGTnZUWkxrUDVwYjRlNHV5L0x6U1pMY1VhL1gzMlZtMzNMM1QwMnlIVTFxYnRHYk8zZnVhU0dFZjBxU1pLR2t4OU0wWFN6cEJrbVBEZzBOVGZnUzBuWjVucDhUWTl6THpJNWJ1SERoZnk1WXNPREVXcTMyZjFOcEN3REFscURnQWJCZGMvZnU1dWNCTWNiYkpzb3hzOEU4ei8vOEZmUzlmNUlrMThZWWEyYVdTNXJtN29lYTJldmNmVTBJNFMvYm12ek56Smt6UHhsanZOZk1ucEMwcjdzZllXYlRKSDI2V3EzK2FMS3gwalROSk0xdGZabXBtVjFjcjllLzE1NmJKTWxKa2s1U1k3dmNnMlZaSGpNNE9MaXk5WmpzU3FWU2RmZnJpcUw0ek9idXMxcXQvaWpMc29QNyt2cEdzeXpiclN6TDc1clpyTElzajJrdDNqYWpIQjRlZnUrTUdUTytZV1luaHhDS3BVdVhIdGJYMS9mektiWUhBT0FWb2VBQnNGMHJ5M0pPQ0VGbXR0LzRiMlRhdWZzVEU4V24wUGRkSVlUTHpPeG9kLzlqTTl0SjBzT1NQdXZ1WCt6cDZYbW1OZC9NenBWMGhxUkRKQzJVdE43TVZwWmwrZFZxdFhyUFpvWTd6dDAzYnRpdzRWNUoxcHozNnJiVkphbFJ6QndXUXVOTW11WTdmVzV2ejZsV3ExVko3UVhacE1aL2QrUHV5OHhzNzNxOS92NWFyZmFpQW0zcDBxWHptcWZKdGI4QVZRTURBeU9TVHFsVUtyOHdzOWtVT3dDQVY0TzkxaE1BQUV3c1RkT1RKWDE3Ykd4c255UkplczNzemp6UFQya2VmZjNjK0h0NEptamFZV1liOGp6ZjdSV011VTdTalhtZW56MVpUcFpsKy9iMDlLeHRhWE9GcEpuTitiekp6TjRnNmFROHoyOTZ1ZU1EQUxDMXNjSURBTC9oa2lRNVVOSlRZMk5qTDloKzV1NlhoUkR1YTg5MzkyTWxIYk90NXROYTdEVEgyMHZTc1dabTd2Nmt1MTlhRk1YTjIycDhBQUFBQU51QnpzN09HVjFkWFhzMnY3SWlEd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RZcXY0ZlVmMHMzS0NTZDBjQUFBQUFTVVZPUks1Q1lJST0iLAoJIlRoZW1lIiA6ICIiLAoJIlR5cGUiIDogImZsb3ciLAoJIlVzZXJJZCIgOiAiMjk5MzU1NDgzIiwKCSJWZXJzaW9uIiA6ICIxO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42</Pages>
  <Words>19986</Words>
  <Characters>21951</Characters>
  <Lines>13</Lines>
  <Paragraphs>3</Paragraphs>
  <TotalTime>45</TotalTime>
  <ScaleCrop>false</ScaleCrop>
  <LinksUpToDate>false</LinksUpToDate>
  <CharactersWithSpaces>22166</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2020-12-24T09:29:00Z</dcterms:created>
  <dc:creator>lhj</dc:creator>
  <cp:lastModifiedBy>Administrator</cp:lastModifiedBy>
  <cp:lastPrinted>2020-12-29T10:43:00Z</cp:lastPrinted>
  <dcterms:modified xsi:type="dcterms:W3CDTF">2025-08-20T12:07:03Z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89FFB5BEF75C44E0958B590BBB36C9A3_13</vt:lpwstr>
  </property>
  <property fmtid="{D5CDD505-2E9C-101B-9397-08002B2CF9AE}" pid="4" name="KSOTemplateDocerSaveRecord">
    <vt:lpwstr>eyJoZGlkIjoiNDYxZWQwYTU0M2U5Njc0NDEyODYwYzkxMTljZDcwYjMiLCJ1c2VySWQiOiIyOTkzNTU0ODMifQ==</vt:lpwstr>
  </property>
</Properties>
</file>