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175" w:rightChars="-1988"/>
        <w:rPr>
          <w:rFonts w:hint="default" w:ascii="Times New Roman" w:hAnsi="Times New Roman" w:eastAsia="仿宋_GB2312" w:cs="Times New Roman"/>
          <w:sz w:val="36"/>
          <w:szCs w:val="36"/>
          <w:lang w:val="en-US" w:eastAsia="zh-CN"/>
        </w:rPr>
      </w:pPr>
    </w:p>
    <w:p>
      <w:pPr>
        <w:rPr>
          <w:rFonts w:hint="default" w:ascii="Times New Roman" w:hAnsi="Times New Roman" w:eastAsia="仿宋_GB2312" w:cs="Times New Roman"/>
          <w:sz w:val="36"/>
          <w:szCs w:val="36"/>
        </w:rPr>
      </w:pPr>
    </w:p>
    <w:p>
      <w:pPr>
        <w:rPr>
          <w:rFonts w:hint="default" w:ascii="Times New Roman" w:hAnsi="Times New Roman" w:eastAsia="仿宋_GB2312" w:cs="Times New Roman"/>
          <w:sz w:val="36"/>
          <w:szCs w:val="36"/>
        </w:rPr>
      </w:pPr>
    </w:p>
    <w:p>
      <w:pPr>
        <w:rPr>
          <w:rFonts w:hint="default" w:ascii="Times New Roman" w:hAnsi="Times New Roman" w:eastAsia="仿宋_GB2312" w:cs="Times New Roman"/>
          <w:sz w:val="36"/>
          <w:szCs w:val="36"/>
        </w:rPr>
      </w:pPr>
    </w:p>
    <w:p>
      <w:pPr>
        <w:rPr>
          <w:rFonts w:hint="default" w:ascii="Times New Roman" w:hAnsi="Times New Roman" w:eastAsia="仿宋_GB2312" w:cs="Times New Roman"/>
          <w:sz w:val="36"/>
          <w:szCs w:val="36"/>
        </w:rPr>
      </w:pPr>
    </w:p>
    <w:p>
      <w:pPr>
        <w:adjustRightInd w:val="0"/>
        <w:snapToGrid w:val="0"/>
        <w:jc w:val="center"/>
        <w:outlineLvl w:val="0"/>
        <w:rPr>
          <w:rFonts w:hint="default" w:ascii="Times New Roman" w:hAnsi="Times New Roman" w:eastAsia="方正小标宋_GBK" w:cs="Times New Roman"/>
          <w:bCs/>
          <w:sz w:val="72"/>
          <w:szCs w:val="72"/>
        </w:rPr>
      </w:pPr>
      <w:r>
        <w:rPr>
          <w:rFonts w:hint="default" w:ascii="Times New Roman" w:hAnsi="Times New Roman" w:eastAsia="方正小标宋_GBK" w:cs="Times New Roman"/>
          <w:bCs/>
          <w:sz w:val="72"/>
          <w:szCs w:val="72"/>
        </w:rPr>
        <w:t>建设项目环境影响报告表</w:t>
      </w:r>
    </w:p>
    <w:p>
      <w:pPr>
        <w:adjustRightInd w:val="0"/>
        <w:snapToGrid w:val="0"/>
        <w:spacing w:before="192" w:beforeLines="80"/>
        <w:jc w:val="center"/>
        <w:rPr>
          <w:rFonts w:hint="default" w:ascii="Times New Roman" w:hAnsi="Times New Roman" w:eastAsia="楷体_GB2312" w:cs="Times New Roman"/>
          <w:bCs/>
          <w:sz w:val="48"/>
          <w:szCs w:val="48"/>
        </w:rPr>
      </w:pPr>
      <w:r>
        <w:rPr>
          <w:rFonts w:hint="default" w:ascii="Times New Roman" w:hAnsi="Times New Roman" w:eastAsia="楷体_GB2312" w:cs="Times New Roman"/>
          <w:bCs/>
          <w:sz w:val="48"/>
          <w:szCs w:val="48"/>
        </w:rPr>
        <w:t>（污染影响类）</w:t>
      </w:r>
    </w:p>
    <w:p>
      <w:pPr>
        <w:adjustRightInd w:val="0"/>
        <w:snapToGrid w:val="0"/>
        <w:spacing w:line="288" w:lineRule="auto"/>
        <w:jc w:val="center"/>
        <w:outlineLvl w:val="0"/>
        <w:rPr>
          <w:rFonts w:hint="default" w:ascii="Times New Roman" w:hAnsi="Times New Roman" w:eastAsia="华文仿宋" w:cs="Times New Roman"/>
          <w:color w:val="000000"/>
          <w:kern w:val="44"/>
          <w:sz w:val="44"/>
          <w:szCs w:val="44"/>
        </w:rPr>
      </w:pPr>
    </w:p>
    <w:p>
      <w:pPr>
        <w:jc w:val="center"/>
        <w:rPr>
          <w:rFonts w:hint="default" w:ascii="Times New Roman" w:hAnsi="Times New Roman" w:eastAsia="仿宋" w:cs="Times New Roman"/>
          <w:sz w:val="52"/>
          <w:szCs w:val="52"/>
        </w:rPr>
      </w:pPr>
    </w:p>
    <w:p>
      <w:pPr>
        <w:ind w:firstLine="1040"/>
        <w:rPr>
          <w:rFonts w:hint="default" w:ascii="Times New Roman" w:hAnsi="Times New Roman" w:eastAsia="仿宋" w:cs="Times New Roman"/>
          <w:sz w:val="44"/>
          <w:szCs w:val="44"/>
        </w:rPr>
      </w:pPr>
    </w:p>
    <w:p>
      <w:pPr>
        <w:ind w:firstLine="1040"/>
        <w:rPr>
          <w:rFonts w:hint="default" w:ascii="Times New Roman" w:hAnsi="Times New Roman" w:eastAsia="仿宋" w:cs="Times New Roman"/>
          <w:sz w:val="44"/>
          <w:szCs w:val="44"/>
        </w:rPr>
      </w:pPr>
    </w:p>
    <w:p>
      <w:pPr>
        <w:adjustRightInd w:val="0"/>
        <w:snapToGrid w:val="0"/>
        <w:spacing w:line="288" w:lineRule="auto"/>
        <w:ind w:left="2877" w:leftChars="513" w:hanging="1800" w:hangingChars="500"/>
        <w:rPr>
          <w:rFonts w:hint="default" w:ascii="仿宋_GB2312" w:eastAsia="仿宋_GB2312" w:cs="Times New Roman"/>
          <w:sz w:val="36"/>
          <w:szCs w:val="36"/>
          <w:u w:val="single"/>
          <w:lang w:val="en-US" w:eastAsia="zh-CN"/>
        </w:rPr>
      </w:pPr>
      <w:r>
        <w:rPr>
          <w:rFonts w:hint="eastAsia" w:ascii="仿宋_GB2312" w:hAnsi="Times New Roman" w:eastAsia="仿宋_GB2312" w:cs="Times New Roman"/>
          <w:sz w:val="36"/>
          <w:szCs w:val="36"/>
        </w:rPr>
        <w:t>项目名称：</w:t>
      </w:r>
      <w:r>
        <w:rPr>
          <w:rFonts w:hint="eastAsia" w:ascii="仿宋_GB2312" w:eastAsia="仿宋_GB2312" w:cs="Times New Roman"/>
          <w:sz w:val="36"/>
          <w:szCs w:val="36"/>
          <w:u w:val="single"/>
          <w:lang w:val="en-US" w:eastAsia="zh-CN"/>
        </w:rPr>
        <w:t xml:space="preserve">    若羌鑫云新材料科技有限公司    </w:t>
      </w:r>
    </w:p>
    <w:p>
      <w:pPr>
        <w:adjustRightInd w:val="0"/>
        <w:snapToGrid w:val="0"/>
        <w:spacing w:line="288" w:lineRule="auto"/>
        <w:ind w:firstLine="2880" w:firstLineChars="800"/>
        <w:rPr>
          <w:rFonts w:hint="default" w:ascii="仿宋_GB2312" w:hAnsi="Times New Roman" w:eastAsia="仿宋_GB2312" w:cs="Times New Roman"/>
          <w:sz w:val="36"/>
          <w:szCs w:val="36"/>
          <w:u w:val="single"/>
          <w:lang w:val="en-US" w:eastAsia="zh-CN"/>
        </w:rPr>
      </w:pPr>
      <w:r>
        <w:rPr>
          <w:rFonts w:hint="eastAsia" w:ascii="仿宋_GB2312" w:eastAsia="仿宋_GB2312" w:cs="Times New Roman"/>
          <w:sz w:val="36"/>
          <w:szCs w:val="36"/>
          <w:u w:val="single"/>
          <w:lang w:val="en-US" w:eastAsia="zh-CN"/>
        </w:rPr>
        <w:t xml:space="preserve">     年产10万吨硅颗粒加工项目</w:t>
      </w:r>
      <w:r>
        <w:rPr>
          <w:rFonts w:hint="eastAsia" w:ascii="仿宋_GB2312" w:hAnsi="Times New Roman" w:eastAsia="仿宋_GB2312" w:cs="Times New Roman"/>
          <w:sz w:val="36"/>
          <w:szCs w:val="36"/>
          <w:u w:val="single"/>
        </w:rPr>
        <w:t xml:space="preserve"> </w:t>
      </w:r>
      <w:r>
        <w:rPr>
          <w:rFonts w:hint="eastAsia" w:ascii="仿宋_GB2312" w:hAnsi="Times New Roman" w:eastAsia="仿宋_GB2312" w:cs="Times New Roman"/>
          <w:sz w:val="36"/>
          <w:szCs w:val="36"/>
          <w:u w:val="single"/>
          <w:lang w:val="en-US" w:eastAsia="zh-CN"/>
        </w:rPr>
        <w:t xml:space="preserve">   </w:t>
      </w:r>
    </w:p>
    <w:p>
      <w:pPr>
        <w:adjustRightInd w:val="0"/>
        <w:snapToGrid w:val="0"/>
        <w:spacing w:line="288" w:lineRule="auto"/>
        <w:ind w:firstLine="1080" w:firstLineChars="300"/>
        <w:rPr>
          <w:rFonts w:hint="eastAsia" w:ascii="仿宋_GB2312" w:hAnsi="Times New Roman" w:eastAsia="仿宋_GB2312" w:cs="Times New Roman"/>
          <w:sz w:val="36"/>
          <w:szCs w:val="36"/>
          <w:u w:val="single"/>
        </w:rPr>
      </w:pPr>
      <w:r>
        <w:rPr>
          <w:rFonts w:hint="eastAsia" w:ascii="仿宋_GB2312" w:hAnsi="Times New Roman" w:eastAsia="仿宋_GB2312" w:cs="Times New Roman"/>
          <w:sz w:val="36"/>
          <w:szCs w:val="36"/>
        </w:rPr>
        <w:t>建设单位（盖章）：</w:t>
      </w:r>
      <w:r>
        <w:rPr>
          <w:rFonts w:hint="eastAsia" w:ascii="仿宋_GB2312" w:eastAsia="仿宋_GB2312" w:cs="Times New Roman"/>
          <w:sz w:val="36"/>
          <w:szCs w:val="36"/>
          <w:u w:val="single"/>
          <w:lang w:eastAsia="zh-CN"/>
        </w:rPr>
        <w:t>若羌鑫云新材料科技有限公司</w:t>
      </w:r>
      <w:r>
        <w:rPr>
          <w:rFonts w:hint="eastAsia" w:ascii="仿宋_GB2312" w:hAnsi="Times New Roman" w:eastAsia="仿宋_GB2312" w:cs="Times New Roman"/>
          <w:sz w:val="36"/>
          <w:szCs w:val="36"/>
          <w:u w:val="single"/>
        </w:rPr>
        <w:t xml:space="preserve"> </w:t>
      </w:r>
    </w:p>
    <w:p>
      <w:pPr>
        <w:adjustRightInd w:val="0"/>
        <w:snapToGrid w:val="0"/>
        <w:spacing w:line="288" w:lineRule="auto"/>
        <w:ind w:firstLine="1080" w:firstLineChars="300"/>
        <w:rPr>
          <w:rFonts w:hint="eastAsia" w:ascii="仿宋_GB2312" w:hAnsi="Times New Roman" w:eastAsia="仿宋_GB2312" w:cs="Times New Roman"/>
          <w:sz w:val="36"/>
          <w:szCs w:val="36"/>
          <w:u w:val="single"/>
        </w:rPr>
      </w:pPr>
      <w:r>
        <w:rPr>
          <w:rFonts w:hint="eastAsia" w:ascii="仿宋_GB2312" w:hAnsi="Times New Roman" w:eastAsia="仿宋_GB2312" w:cs="Times New Roman"/>
          <w:sz w:val="36"/>
          <w:szCs w:val="36"/>
        </w:rPr>
        <w:t>编制日期：</w:t>
      </w:r>
      <w:r>
        <w:rPr>
          <w:rFonts w:hint="eastAsia" w:ascii="仿宋_GB2312" w:hAnsi="Times New Roman" w:eastAsia="仿宋_GB2312" w:cs="Times New Roman"/>
          <w:sz w:val="36"/>
          <w:szCs w:val="36"/>
          <w:u w:val="single"/>
          <w:lang w:val="en-US" w:eastAsia="zh-CN"/>
        </w:rPr>
        <w:t>202</w:t>
      </w:r>
      <w:r>
        <w:rPr>
          <w:rFonts w:hint="eastAsia" w:ascii="仿宋_GB2312" w:eastAsia="仿宋_GB2312" w:cs="Times New Roman"/>
          <w:sz w:val="36"/>
          <w:szCs w:val="36"/>
          <w:u w:val="single"/>
          <w:lang w:val="en-US" w:eastAsia="zh-CN"/>
        </w:rPr>
        <w:t>5</w:t>
      </w:r>
      <w:r>
        <w:rPr>
          <w:rFonts w:hint="eastAsia" w:ascii="仿宋_GB2312" w:hAnsi="Times New Roman" w:eastAsia="仿宋_GB2312" w:cs="Times New Roman"/>
          <w:sz w:val="36"/>
          <w:szCs w:val="36"/>
          <w:u w:val="single"/>
          <w:lang w:val="en-US" w:eastAsia="zh-CN"/>
        </w:rPr>
        <w:t>年</w:t>
      </w:r>
      <w:r>
        <w:rPr>
          <w:rFonts w:hint="eastAsia" w:ascii="仿宋_GB2312" w:eastAsia="仿宋_GB2312" w:cs="Times New Roman"/>
          <w:sz w:val="36"/>
          <w:szCs w:val="36"/>
          <w:u w:val="single"/>
          <w:lang w:val="en-US" w:eastAsia="zh-CN"/>
        </w:rPr>
        <w:t>8</w:t>
      </w:r>
      <w:r>
        <w:rPr>
          <w:rFonts w:hint="eastAsia" w:ascii="仿宋_GB2312" w:hAnsi="Times New Roman" w:eastAsia="仿宋_GB2312" w:cs="Times New Roman"/>
          <w:sz w:val="36"/>
          <w:szCs w:val="36"/>
          <w:u w:val="single"/>
          <w:lang w:val="en-US" w:eastAsia="zh-CN"/>
        </w:rPr>
        <w:t>月</w:t>
      </w:r>
      <w:r>
        <w:rPr>
          <w:rFonts w:hint="eastAsia" w:ascii="仿宋_GB2312" w:hAnsi="Times New Roman" w:eastAsia="仿宋_GB2312" w:cs="Times New Roman"/>
          <w:sz w:val="36"/>
          <w:szCs w:val="36"/>
          <w:u w:val="single"/>
        </w:rPr>
        <w:t xml:space="preserve"> </w:t>
      </w:r>
      <w:r>
        <w:rPr>
          <w:rFonts w:ascii="仿宋_GB2312" w:hAnsi="Times New Roman" w:eastAsia="仿宋_GB2312" w:cs="Times New Roman"/>
          <w:sz w:val="36"/>
          <w:szCs w:val="36"/>
          <w:u w:val="single"/>
        </w:rPr>
        <w:t xml:space="preserve">                    </w:t>
      </w:r>
      <w:r>
        <w:rPr>
          <w:rFonts w:hint="eastAsia" w:ascii="仿宋_GB2312" w:eastAsia="仿宋_GB2312" w:cs="Times New Roman"/>
          <w:sz w:val="36"/>
          <w:szCs w:val="36"/>
          <w:u w:val="single"/>
          <w:lang w:val="en-US" w:eastAsia="zh-CN"/>
        </w:rPr>
        <w:t xml:space="preserve"> </w:t>
      </w:r>
      <w:r>
        <w:rPr>
          <w:rFonts w:ascii="仿宋_GB2312" w:hAnsi="Times New Roman" w:eastAsia="仿宋_GB2312" w:cs="Times New Roman"/>
          <w:sz w:val="36"/>
          <w:szCs w:val="36"/>
          <w:u w:val="single"/>
        </w:rPr>
        <w:t xml:space="preserve"> </w:t>
      </w:r>
    </w:p>
    <w:p>
      <w:pPr>
        <w:ind w:firstLine="1040"/>
        <w:rPr>
          <w:rFonts w:hint="default" w:ascii="Times New Roman" w:hAnsi="Times New Roman" w:eastAsia="仿宋" w:cs="Times New Roman"/>
          <w:sz w:val="44"/>
          <w:szCs w:val="44"/>
        </w:rPr>
      </w:pPr>
    </w:p>
    <w:p>
      <w:pPr>
        <w:adjustRightInd w:val="0"/>
        <w:snapToGrid w:val="0"/>
        <w:spacing w:line="288" w:lineRule="auto"/>
        <w:ind w:firstLine="1040"/>
        <w:rPr>
          <w:rFonts w:hint="default" w:ascii="Times New Roman" w:hAnsi="Times New Roman" w:eastAsia="仿宋_GB2312" w:cs="Times New Roman"/>
          <w:sz w:val="36"/>
          <w:szCs w:val="36"/>
          <w:u w:val="single"/>
        </w:rPr>
      </w:pPr>
      <w:bookmarkStart w:id="0" w:name="_Hlk57884087"/>
    </w:p>
    <w:p>
      <w:pPr>
        <w:adjustRightInd w:val="0"/>
        <w:snapToGrid w:val="0"/>
        <w:spacing w:line="288" w:lineRule="auto"/>
        <w:ind w:firstLine="1040"/>
        <w:rPr>
          <w:rFonts w:hint="default" w:ascii="Times New Roman" w:hAnsi="Times New Roman" w:eastAsia="仿宋_GB2312" w:cs="Times New Roman"/>
          <w:sz w:val="36"/>
          <w:szCs w:val="36"/>
        </w:rPr>
      </w:pPr>
    </w:p>
    <w:p>
      <w:pPr>
        <w:adjustRightInd w:val="0"/>
        <w:snapToGrid w:val="0"/>
        <w:spacing w:line="288" w:lineRule="auto"/>
        <w:ind w:firstLine="1040"/>
        <w:rPr>
          <w:rFonts w:hint="default" w:ascii="Times New Roman" w:hAnsi="Times New Roman" w:eastAsia="仿宋_GB2312" w:cs="Times New Roman"/>
          <w:sz w:val="36"/>
          <w:szCs w:val="36"/>
        </w:rPr>
      </w:pPr>
    </w:p>
    <w:p>
      <w:pPr>
        <w:adjustRightInd w:val="0"/>
        <w:snapToGrid w:val="0"/>
        <w:spacing w:line="288" w:lineRule="auto"/>
        <w:rPr>
          <w:rFonts w:hint="default" w:ascii="Times New Roman" w:hAnsi="Times New Roman" w:eastAsia="仿宋_GB2312" w:cs="Times New Roman"/>
          <w:sz w:val="36"/>
          <w:szCs w:val="36"/>
        </w:rPr>
      </w:pPr>
    </w:p>
    <w:bookmarkEnd w:id="0"/>
    <w:p>
      <w:pPr>
        <w:adjustRightInd w:val="0"/>
        <w:snapToGrid w:val="0"/>
        <w:spacing w:line="288" w:lineRule="auto"/>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中华人民共和国生态环境部制</w:t>
      </w:r>
    </w:p>
    <w:p>
      <w:pPr>
        <w:adjustRightInd w:val="0"/>
        <w:snapToGrid w:val="0"/>
        <w:spacing w:line="288" w:lineRule="auto"/>
        <w:ind w:firstLine="1040"/>
        <w:rPr>
          <w:rFonts w:hint="default" w:ascii="Times New Roman" w:hAnsi="Times New Roman" w:eastAsia="仿宋_GB2312" w:cs="Times New Roman"/>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20"/>
        <w:jc w:val="center"/>
        <w:outlineLvl w:val="0"/>
        <w:rPr>
          <w:rFonts w:hint="default" w:ascii="Times New Roman" w:hAnsi="Times New Roman" w:eastAsia="黑体" w:cs="Times New Roman"/>
          <w:snapToGrid w:val="0"/>
          <w:sz w:val="30"/>
          <w:szCs w:val="30"/>
        </w:rPr>
      </w:pPr>
    </w:p>
    <w:p>
      <w:pPr>
        <w:pStyle w:val="20"/>
        <w:jc w:val="center"/>
        <w:outlineLvl w:val="0"/>
        <w:rPr>
          <w:rFonts w:hint="default" w:ascii="Times New Roman" w:hAnsi="Times New Roman" w:eastAsia="黑体" w:cs="Times New Roman"/>
          <w:snapToGrid w:val="0"/>
          <w:sz w:val="30"/>
          <w:szCs w:val="30"/>
        </w:rPr>
      </w:pPr>
    </w:p>
    <w:p>
      <w:pPr>
        <w:pStyle w:val="20"/>
        <w:jc w:val="center"/>
        <w:outlineLvl w:val="0"/>
        <w:rPr>
          <w:rFonts w:hint="default" w:ascii="Times New Roman" w:hAnsi="Times New Roman" w:eastAsia="黑体" w:cs="Times New Roman"/>
          <w:snapToGrid w:val="0"/>
          <w:sz w:val="30"/>
          <w:szCs w:val="30"/>
        </w:rPr>
      </w:pPr>
    </w:p>
    <w:p>
      <w:pPr>
        <w:pStyle w:val="20"/>
        <w:jc w:val="center"/>
        <w:outlineLvl w:val="0"/>
        <w:rPr>
          <w:rFonts w:hint="default" w:ascii="Times New Roman" w:hAnsi="Times New Roman" w:eastAsia="黑体" w:cs="Times New Roman"/>
          <w:snapToGrid w:val="0"/>
          <w:sz w:val="30"/>
          <w:szCs w:val="30"/>
        </w:rPr>
      </w:pPr>
    </w:p>
    <w:p>
      <w:pPr>
        <w:pStyle w:val="20"/>
        <w:jc w:val="center"/>
        <w:outlineLvl w:val="0"/>
        <w:rPr>
          <w:rFonts w:hint="default" w:ascii="Times New Roman" w:hAnsi="Times New Roman" w:eastAsia="黑体" w:cs="Times New Roman"/>
          <w:snapToGrid w:val="0"/>
          <w:sz w:val="30"/>
          <w:szCs w:val="30"/>
        </w:rPr>
      </w:pPr>
    </w:p>
    <w:p>
      <w:pPr>
        <w:pStyle w:val="20"/>
        <w:jc w:val="center"/>
        <w:outlineLvl w:val="0"/>
        <w:rPr>
          <w:rFonts w:hint="default" w:ascii="Times New Roman" w:hAnsi="Times New Roman" w:eastAsia="黑体" w:cs="Times New Roman"/>
          <w:snapToGrid w:val="0"/>
          <w:sz w:val="30"/>
          <w:szCs w:val="30"/>
        </w:rPr>
      </w:pPr>
    </w:p>
    <w:p>
      <w:pPr>
        <w:pStyle w:val="20"/>
        <w:jc w:val="center"/>
        <w:outlineLvl w:val="0"/>
        <w:rPr>
          <w:rFonts w:hint="default" w:ascii="Times New Roman" w:hAnsi="Times New Roman" w:eastAsia="黑体" w:cs="Times New Roman"/>
          <w:snapToGrid w:val="0"/>
          <w:sz w:val="30"/>
          <w:szCs w:val="30"/>
        </w:rPr>
      </w:pPr>
    </w:p>
    <w:p>
      <w:pPr>
        <w:pStyle w:val="20"/>
        <w:jc w:val="center"/>
        <w:outlineLvl w:val="0"/>
        <w:rPr>
          <w:rFonts w:hint="default" w:ascii="Times New Roman" w:hAnsi="Times New Roman" w:eastAsia="黑体" w:cs="Times New Roman"/>
          <w:snapToGrid w:val="0"/>
          <w:sz w:val="30"/>
          <w:szCs w:val="30"/>
        </w:rPr>
      </w:pPr>
    </w:p>
    <w:p>
      <w:pPr>
        <w:pStyle w:val="20"/>
        <w:jc w:val="center"/>
        <w:outlineLvl w:val="0"/>
        <w:rPr>
          <w:rFonts w:hint="default" w:ascii="Times New Roman" w:hAnsi="Times New Roman" w:eastAsia="黑体" w:cs="Times New Roman"/>
          <w:snapToGrid w:val="0"/>
          <w:sz w:val="30"/>
          <w:szCs w:val="30"/>
        </w:rPr>
      </w:pPr>
    </w:p>
    <w:p>
      <w:pPr>
        <w:pStyle w:val="20"/>
        <w:jc w:val="center"/>
        <w:outlineLvl w:val="0"/>
        <w:rPr>
          <w:rFonts w:hint="default" w:ascii="Times New Roman" w:hAnsi="Times New Roman" w:eastAsia="黑体" w:cs="Times New Roman"/>
          <w:snapToGrid w:val="0"/>
          <w:sz w:val="30"/>
          <w:szCs w:val="30"/>
        </w:rPr>
      </w:pPr>
    </w:p>
    <w:p>
      <w:pPr>
        <w:pStyle w:val="20"/>
        <w:jc w:val="center"/>
        <w:outlineLvl w:val="0"/>
        <w:rPr>
          <w:rFonts w:hint="default" w:ascii="Times New Roman" w:hAnsi="Times New Roman" w:eastAsia="黑体" w:cs="Times New Roman"/>
          <w:snapToGrid w:val="0"/>
          <w:sz w:val="30"/>
          <w:szCs w:val="30"/>
        </w:rPr>
      </w:pPr>
    </w:p>
    <w:p>
      <w:pPr>
        <w:pStyle w:val="20"/>
        <w:jc w:val="center"/>
        <w:outlineLvl w:val="0"/>
        <w:rPr>
          <w:rFonts w:hint="default" w:ascii="Times New Roman" w:hAnsi="Times New Roman" w:eastAsia="黑体" w:cs="Times New Roman"/>
          <w:snapToGrid w:val="0"/>
          <w:sz w:val="30"/>
          <w:szCs w:val="30"/>
        </w:rPr>
      </w:pPr>
    </w:p>
    <w:p>
      <w:pPr>
        <w:pStyle w:val="20"/>
        <w:jc w:val="center"/>
        <w:outlineLvl w:val="0"/>
        <w:rPr>
          <w:rFonts w:hint="default" w:ascii="Times New Roman" w:hAnsi="Times New Roman" w:eastAsia="黑体" w:cs="Times New Roman"/>
          <w:snapToGrid w:val="0"/>
          <w:sz w:val="30"/>
          <w:szCs w:val="30"/>
        </w:rPr>
      </w:pPr>
    </w:p>
    <w:p>
      <w:pPr>
        <w:pStyle w:val="20"/>
        <w:jc w:val="center"/>
        <w:outlineLvl w:val="0"/>
        <w:rPr>
          <w:rFonts w:hint="default" w:ascii="Times New Roman" w:hAnsi="Times New Roman" w:eastAsia="黑体" w:cs="Times New Roman"/>
          <w:snapToGrid w:val="0"/>
          <w:sz w:val="30"/>
          <w:szCs w:val="30"/>
        </w:rPr>
      </w:pPr>
    </w:p>
    <w:p>
      <w:pPr>
        <w:pStyle w:val="20"/>
        <w:jc w:val="center"/>
        <w:outlineLvl w:val="0"/>
        <w:rPr>
          <w:rFonts w:hint="default" w:ascii="Times New Roman" w:hAnsi="Times New Roman" w:eastAsia="黑体" w:cs="Times New Roman"/>
          <w:snapToGrid w:val="0"/>
          <w:sz w:val="30"/>
          <w:szCs w:val="30"/>
        </w:rPr>
      </w:pPr>
    </w:p>
    <w:p>
      <w:pPr>
        <w:pStyle w:val="20"/>
        <w:jc w:val="center"/>
        <w:outlineLvl w:val="0"/>
        <w:rPr>
          <w:rFonts w:hint="default" w:ascii="Times New Roman" w:hAnsi="Times New Roman" w:eastAsia="黑体" w:cs="Times New Roman"/>
          <w:snapToGrid w:val="0"/>
          <w:sz w:val="30"/>
          <w:szCs w:val="30"/>
        </w:rPr>
      </w:pPr>
    </w:p>
    <w:p>
      <w:pPr>
        <w:pStyle w:val="20"/>
        <w:jc w:val="center"/>
        <w:outlineLvl w:val="0"/>
        <w:rPr>
          <w:rFonts w:hint="default" w:ascii="Times New Roman" w:hAnsi="Times New Roman" w:eastAsia="黑体" w:cs="Times New Roman"/>
          <w:snapToGrid w:val="0"/>
          <w:sz w:val="30"/>
          <w:szCs w:val="30"/>
        </w:rPr>
      </w:pPr>
    </w:p>
    <w:p>
      <w:pPr>
        <w:pStyle w:val="20"/>
        <w:jc w:val="center"/>
        <w:outlineLvl w:val="0"/>
        <w:rPr>
          <w:rFonts w:hint="default" w:ascii="Times New Roman" w:hAnsi="Times New Roman" w:eastAsia="黑体" w:cs="Times New Roman"/>
          <w:snapToGrid w:val="0"/>
          <w:sz w:val="30"/>
          <w:szCs w:val="30"/>
        </w:rPr>
      </w:pPr>
    </w:p>
    <w:p>
      <w:pPr>
        <w:pStyle w:val="20"/>
        <w:jc w:val="center"/>
        <w:outlineLvl w:val="0"/>
        <w:rPr>
          <w:rFonts w:hint="default" w:ascii="Times New Roman" w:hAnsi="Times New Roman" w:eastAsia="黑体" w:cs="Times New Roman"/>
          <w:snapToGrid w:val="0"/>
          <w:sz w:val="30"/>
          <w:szCs w:val="30"/>
        </w:rPr>
      </w:pPr>
    </w:p>
    <w:p>
      <w:pPr>
        <w:pStyle w:val="20"/>
        <w:jc w:val="center"/>
        <w:outlineLvl w:val="0"/>
        <w:rPr>
          <w:rFonts w:hint="default" w:ascii="Times New Roman" w:hAnsi="Times New Roman" w:eastAsia="黑体" w:cs="Times New Roman"/>
          <w:snapToGrid w:val="0"/>
          <w:sz w:val="30"/>
          <w:szCs w:val="30"/>
        </w:rPr>
      </w:pPr>
    </w:p>
    <w:p>
      <w:pPr>
        <w:pStyle w:val="20"/>
        <w:jc w:val="center"/>
        <w:outlineLvl w:val="0"/>
        <w:rPr>
          <w:rFonts w:hint="default" w:ascii="Times New Roman" w:hAnsi="Times New Roman" w:eastAsia="黑体" w:cs="Times New Roman"/>
          <w:snapToGrid w:val="0"/>
          <w:sz w:val="30"/>
          <w:szCs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0"/>
        <w:keepNext w:val="0"/>
        <w:keepLines w:val="0"/>
        <w:pageBreakBefore w:val="0"/>
        <w:widowControl/>
        <w:numPr>
          <w:ilvl w:val="0"/>
          <w:numId w:val="0"/>
        </w:numPr>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kern w:val="0"/>
          <w:sz w:val="30"/>
          <w:szCs w:val="30"/>
          <w:lang w:val="en-US" w:eastAsia="zh-CN" w:bidi="ar-SA"/>
        </w:rPr>
        <w:t>一、</w:t>
      </w:r>
      <w:r>
        <w:rPr>
          <w:rFonts w:hint="default" w:ascii="Times New Roman" w:hAnsi="Times New Roman" w:eastAsia="黑体" w:cs="Times New Roman"/>
          <w:snapToGrid w:val="0"/>
          <w:sz w:val="30"/>
          <w:szCs w:val="30"/>
        </w:rPr>
        <w:t>建设项目基本情况</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44"/>
        <w:gridCol w:w="2305"/>
        <w:gridCol w:w="2198"/>
        <w:gridCol w:w="28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544"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建设项目名称</w:t>
            </w:r>
          </w:p>
        </w:tc>
        <w:tc>
          <w:tcPr>
            <w:tcW w:w="732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44"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项目代码</w:t>
            </w:r>
          </w:p>
        </w:tc>
        <w:tc>
          <w:tcPr>
            <w:tcW w:w="7326" w:type="dxa"/>
            <w:gridSpan w:val="3"/>
            <w:noWrap w:val="0"/>
            <w:vAlign w:val="center"/>
          </w:tcPr>
          <w:p>
            <w:pPr>
              <w:pStyle w:val="12"/>
              <w:keepNext w:val="0"/>
              <w:keepLines w:val="0"/>
              <w:pageBreakBefore w:val="0"/>
              <w:widowControl/>
              <w:kinsoku/>
              <w:wordWrap/>
              <w:overflowPunct/>
              <w:topLinePunct w:val="0"/>
              <w:autoSpaceDE/>
              <w:autoSpaceDN/>
              <w:bidi w:val="0"/>
              <w:adjustRightInd/>
              <w:snapToGrid w:val="0"/>
              <w:spacing w:before="0" w:beforeLines="0" w:after="0" w:afterLines="0" w:line="240" w:lineRule="auto"/>
              <w:ind w:right="0"/>
              <w:jc w:val="center"/>
              <w:textAlignment w:val="auto"/>
              <w:rPr>
                <w:rFonts w:hint="default" w:ascii="Times New Roman" w:hAnsi="Times New Roman" w:eastAsia="宋体" w:cs="Times New Roman"/>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44"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建设单位联系人</w:t>
            </w:r>
          </w:p>
        </w:tc>
        <w:tc>
          <w:tcPr>
            <w:tcW w:w="230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p>
        </w:tc>
        <w:tc>
          <w:tcPr>
            <w:tcW w:w="219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823" w:type="dxa"/>
            <w:noWrap w:val="0"/>
            <w:vAlign w:val="center"/>
          </w:tcPr>
          <w:p>
            <w:pPr>
              <w:keepNext w:val="0"/>
              <w:keepLines w:val="0"/>
              <w:pageBreakBefore w:val="0"/>
              <w:tabs>
                <w:tab w:val="left" w:pos="791"/>
                <w:tab w:val="center" w:pos="1463"/>
              </w:tabs>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44"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建设地点</w:t>
            </w:r>
          </w:p>
        </w:tc>
        <w:tc>
          <w:tcPr>
            <w:tcW w:w="7326" w:type="dxa"/>
            <w:gridSpan w:val="3"/>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44"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地理坐标</w:t>
            </w:r>
          </w:p>
        </w:tc>
        <w:tc>
          <w:tcPr>
            <w:tcW w:w="7326" w:type="dxa"/>
            <w:gridSpan w:val="3"/>
            <w:noWrap w:val="0"/>
            <w:vAlign w:val="center"/>
          </w:tcPr>
          <w:p>
            <w:pPr>
              <w:keepNext w:val="0"/>
              <w:keepLines w:val="0"/>
              <w:pageBreakBefore w:val="0"/>
              <w:kinsoku/>
              <w:wordWrap/>
              <w:overflowPunct/>
              <w:topLinePunct w:val="0"/>
              <w:bidi w:val="0"/>
              <w:spacing w:line="240" w:lineRule="auto"/>
              <w:jc w:val="center"/>
              <w:textAlignment w:val="auto"/>
              <w:rPr>
                <w:rFonts w:hint="default" w:ascii="Times New Roman" w:hAnsi="Times New Roman" w:eastAsia="宋体" w:cs="Times New Roman"/>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544"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国民经济</w:t>
            </w:r>
          </w:p>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行业类别</w:t>
            </w:r>
          </w:p>
        </w:tc>
        <w:tc>
          <w:tcPr>
            <w:tcW w:w="230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p>
        </w:tc>
        <w:tc>
          <w:tcPr>
            <w:tcW w:w="219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823" w:type="dxa"/>
            <w:noWrap w:val="0"/>
            <w:vAlign w:val="center"/>
          </w:tcPr>
          <w:p>
            <w:pPr>
              <w:keepNext w:val="0"/>
              <w:keepLines w:val="0"/>
              <w:pageBreakBefore w:val="0"/>
              <w:widowControl/>
              <w:suppressLineNumbers w:val="0"/>
              <w:kinsoku/>
              <w:wordWrap/>
              <w:overflowPunct/>
              <w:topLinePunct w:val="0"/>
              <w:bidi w:val="0"/>
              <w:spacing w:line="240" w:lineRule="auto"/>
              <w:jc w:val="center"/>
              <w:textAlignment w:val="auto"/>
              <w:rPr>
                <w:rFonts w:hint="default" w:ascii="Times New Roman" w:hAnsi="Times New Roman" w:eastAsia="宋体" w:cs="Times New Roman"/>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544"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建设性质</w:t>
            </w:r>
          </w:p>
        </w:tc>
        <w:tc>
          <w:tcPr>
            <w:tcW w:w="2305" w:type="dxa"/>
            <w:noWrap w:val="0"/>
            <w:vAlign w:val="center"/>
          </w:tcPr>
          <w:p>
            <w:pPr>
              <w:keepNext w:val="0"/>
              <w:keepLines w:val="0"/>
              <w:pageBreakBefore w:val="0"/>
              <w:kinsoku/>
              <w:wordWrap/>
              <w:overflowPunct/>
              <w:topLinePunct w:val="0"/>
              <w:bidi w:val="0"/>
              <w:spacing w:line="24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新建（迁建）</w:t>
            </w:r>
          </w:p>
          <w:p>
            <w:pPr>
              <w:keepNext w:val="0"/>
              <w:keepLines w:val="0"/>
              <w:pageBreakBefore w:val="0"/>
              <w:kinsoku/>
              <w:wordWrap/>
              <w:overflowPunct/>
              <w:topLinePunct w:val="0"/>
              <w:bidi w:val="0"/>
              <w:spacing w:line="240" w:lineRule="auto"/>
              <w:jc w:val="left"/>
              <w:textAlignment w:val="auto"/>
              <w:rPr>
                <w:rFonts w:hint="default" w:ascii="Times New Roman" w:hAnsi="Times New Roman" w:eastAsia="宋体" w:cs="Times New Roman"/>
                <w:sz w:val="21"/>
                <w:szCs w:val="21"/>
              </w:rPr>
            </w:pPr>
            <w:r>
              <w:rPr>
                <w:rFonts w:hint="eastAsia" w:cs="Times New Roman"/>
                <w:sz w:val="21"/>
                <w:szCs w:val="21"/>
                <w:lang w:eastAsia="zh-CN"/>
              </w:rPr>
              <w:t>□</w:t>
            </w:r>
            <w:r>
              <w:rPr>
                <w:rFonts w:hint="default" w:ascii="Times New Roman" w:hAnsi="Times New Roman" w:eastAsia="宋体" w:cs="Times New Roman"/>
                <w:sz w:val="21"/>
                <w:szCs w:val="21"/>
              </w:rPr>
              <w:t>改建</w:t>
            </w:r>
          </w:p>
          <w:p>
            <w:pPr>
              <w:keepNext w:val="0"/>
              <w:keepLines w:val="0"/>
              <w:pageBreakBefore w:val="0"/>
              <w:kinsoku/>
              <w:wordWrap/>
              <w:overflowPunct/>
              <w:topLinePunct w:val="0"/>
              <w:bidi w:val="0"/>
              <w:spacing w:line="240" w:lineRule="auto"/>
              <w:jc w:val="left"/>
              <w:textAlignment w:val="auto"/>
              <w:rPr>
                <w:rFonts w:hint="default" w:ascii="Times New Roman" w:hAnsi="Times New Roman" w:eastAsia="宋体" w:cs="Times New Roman"/>
                <w:sz w:val="21"/>
                <w:szCs w:val="21"/>
              </w:rPr>
            </w:pPr>
            <w:r>
              <w:rPr>
                <w:rFonts w:hint="eastAsia" w:cs="Times New Roman"/>
                <w:sz w:val="21"/>
                <w:szCs w:val="21"/>
                <w:lang w:eastAsia="zh-CN"/>
              </w:rPr>
              <w:t>□</w:t>
            </w:r>
            <w:r>
              <w:rPr>
                <w:rFonts w:hint="default" w:ascii="Times New Roman" w:hAnsi="Times New Roman" w:eastAsia="宋体" w:cs="Times New Roman"/>
                <w:sz w:val="21"/>
                <w:szCs w:val="21"/>
              </w:rPr>
              <w:t>扩建</w:t>
            </w:r>
          </w:p>
          <w:p>
            <w:pPr>
              <w:keepNext w:val="0"/>
              <w:keepLines w:val="0"/>
              <w:pageBreakBefore w:val="0"/>
              <w:kinsoku/>
              <w:wordWrap/>
              <w:overflowPunct/>
              <w:topLinePunct w:val="0"/>
              <w:bidi w:val="0"/>
              <w:spacing w:line="240" w:lineRule="auto"/>
              <w:jc w:val="left"/>
              <w:textAlignment w:val="auto"/>
              <w:rPr>
                <w:rFonts w:hint="default" w:ascii="Times New Roman" w:hAnsi="Times New Roman" w:eastAsia="宋体" w:cs="Times New Roman"/>
                <w:sz w:val="21"/>
                <w:szCs w:val="21"/>
              </w:rPr>
            </w:pPr>
            <w:r>
              <w:rPr>
                <w:rFonts w:hint="eastAsia" w:cs="Times New Roman"/>
                <w:sz w:val="21"/>
                <w:szCs w:val="21"/>
                <w:lang w:eastAsia="zh-CN"/>
              </w:rPr>
              <w:t>□</w:t>
            </w:r>
            <w:r>
              <w:rPr>
                <w:rFonts w:hint="default" w:ascii="Times New Roman" w:hAnsi="Times New Roman" w:eastAsia="宋体" w:cs="Times New Roman"/>
                <w:sz w:val="21"/>
                <w:szCs w:val="21"/>
              </w:rPr>
              <w:t>技术改造</w:t>
            </w:r>
          </w:p>
        </w:tc>
        <w:tc>
          <w:tcPr>
            <w:tcW w:w="219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建设项目</w:t>
            </w:r>
          </w:p>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申报情形</w:t>
            </w:r>
          </w:p>
        </w:tc>
        <w:tc>
          <w:tcPr>
            <w:tcW w:w="2823" w:type="dxa"/>
            <w:noWrap w:val="0"/>
            <w:vAlign w:val="center"/>
          </w:tcPr>
          <w:p>
            <w:pPr>
              <w:keepNext w:val="0"/>
              <w:keepLines w:val="0"/>
              <w:pageBreakBefore w:val="0"/>
              <w:kinsoku/>
              <w:wordWrap/>
              <w:overflowPunct/>
              <w:topLinePunct w:val="0"/>
              <w:bidi w:val="0"/>
              <w:spacing w:line="24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首次申报项目</w:t>
            </w:r>
          </w:p>
          <w:p>
            <w:pPr>
              <w:keepNext w:val="0"/>
              <w:keepLines w:val="0"/>
              <w:pageBreakBefore w:val="0"/>
              <w:kinsoku/>
              <w:wordWrap/>
              <w:overflowPunct/>
              <w:topLinePunct w:val="0"/>
              <w:bidi w:val="0"/>
              <w:spacing w:line="240" w:lineRule="auto"/>
              <w:jc w:val="left"/>
              <w:textAlignment w:val="auto"/>
              <w:rPr>
                <w:rFonts w:hint="default" w:ascii="Times New Roman" w:hAnsi="Times New Roman" w:eastAsia="宋体" w:cs="Times New Roman"/>
                <w:sz w:val="21"/>
                <w:szCs w:val="21"/>
              </w:rPr>
            </w:pPr>
            <w:r>
              <w:rPr>
                <w:rFonts w:hint="eastAsia" w:cs="Times New Roman"/>
                <w:sz w:val="21"/>
                <w:szCs w:val="21"/>
                <w:lang w:eastAsia="zh-CN"/>
              </w:rPr>
              <w:t>□</w:t>
            </w:r>
            <w:r>
              <w:rPr>
                <w:rFonts w:hint="default" w:ascii="Times New Roman" w:hAnsi="Times New Roman" w:eastAsia="宋体" w:cs="Times New Roman"/>
                <w:sz w:val="21"/>
                <w:szCs w:val="21"/>
              </w:rPr>
              <w:t>不予批准后再次申报项目</w:t>
            </w:r>
          </w:p>
          <w:p>
            <w:pPr>
              <w:keepNext w:val="0"/>
              <w:keepLines w:val="0"/>
              <w:pageBreakBefore w:val="0"/>
              <w:kinsoku/>
              <w:wordWrap/>
              <w:overflowPunct/>
              <w:topLinePunct w:val="0"/>
              <w:bidi w:val="0"/>
              <w:spacing w:line="240" w:lineRule="auto"/>
              <w:jc w:val="left"/>
              <w:textAlignment w:val="auto"/>
              <w:rPr>
                <w:rFonts w:hint="default" w:ascii="Times New Roman" w:hAnsi="Times New Roman" w:eastAsia="宋体" w:cs="Times New Roman"/>
                <w:sz w:val="21"/>
                <w:szCs w:val="21"/>
              </w:rPr>
            </w:pPr>
            <w:r>
              <w:rPr>
                <w:rFonts w:hint="eastAsia" w:cs="Times New Roman"/>
                <w:sz w:val="21"/>
                <w:szCs w:val="21"/>
                <w:lang w:eastAsia="zh-CN"/>
              </w:rPr>
              <w:t>□</w:t>
            </w:r>
            <w:r>
              <w:rPr>
                <w:rFonts w:hint="default" w:ascii="Times New Roman" w:hAnsi="Times New Roman" w:eastAsia="宋体" w:cs="Times New Roman"/>
                <w:sz w:val="21"/>
                <w:szCs w:val="21"/>
              </w:rPr>
              <w:t>超五年重新审核项目</w:t>
            </w:r>
          </w:p>
          <w:p>
            <w:pPr>
              <w:keepNext w:val="0"/>
              <w:keepLines w:val="0"/>
              <w:pageBreakBefore w:val="0"/>
              <w:kinsoku/>
              <w:wordWrap/>
              <w:overflowPunct/>
              <w:topLinePunct w:val="0"/>
              <w:bidi w:val="0"/>
              <w:spacing w:line="240" w:lineRule="auto"/>
              <w:jc w:val="left"/>
              <w:textAlignment w:val="auto"/>
              <w:rPr>
                <w:rFonts w:hint="default" w:ascii="Times New Roman" w:hAnsi="Times New Roman" w:eastAsia="宋体" w:cs="Times New Roman"/>
                <w:sz w:val="21"/>
                <w:szCs w:val="21"/>
              </w:rPr>
            </w:pPr>
            <w:r>
              <w:rPr>
                <w:rFonts w:hint="eastAsia" w:cs="Times New Roman"/>
                <w:sz w:val="21"/>
                <w:szCs w:val="21"/>
                <w:lang w:eastAsia="zh-CN"/>
              </w:rPr>
              <w:t>□</w:t>
            </w:r>
            <w:r>
              <w:rPr>
                <w:rFonts w:hint="default" w:ascii="Times New Roman" w:hAnsi="Times New Roman" w:eastAsia="宋体" w:cs="Times New Roman"/>
                <w:sz w:val="21"/>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544"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项目审批（核准/备案）部门（选填）</w:t>
            </w:r>
          </w:p>
        </w:tc>
        <w:tc>
          <w:tcPr>
            <w:tcW w:w="2305"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color w:val="000000"/>
                <w:sz w:val="21"/>
                <w:szCs w:val="21"/>
              </w:rPr>
              <w:t>若羌县发展和改革委员会</w:t>
            </w:r>
          </w:p>
        </w:tc>
        <w:tc>
          <w:tcPr>
            <w:tcW w:w="2198"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项目审批（核准/备案）文号（选填）</w:t>
            </w:r>
          </w:p>
        </w:tc>
        <w:tc>
          <w:tcPr>
            <w:tcW w:w="2823"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eastAsia" w:cs="Times New Roman"/>
                <w:b w:val="0"/>
                <w:bCs w:val="0"/>
                <w:color w:val="000000"/>
                <w:sz w:val="21"/>
                <w:szCs w:val="21"/>
                <w:lang w:val="en-US" w:eastAsia="zh-CN"/>
              </w:rPr>
              <w:t>2</w:t>
            </w:r>
            <w:r>
              <w:rPr>
                <w:rFonts w:hint="default" w:ascii="Times New Roman" w:hAnsi="Times New Roman" w:eastAsia="宋体" w:cs="Times New Roman"/>
                <w:b w:val="0"/>
                <w:bCs w:val="0"/>
                <w:color w:val="000000"/>
                <w:sz w:val="21"/>
                <w:szCs w:val="21"/>
              </w:rPr>
              <w:t>503271736652800000181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44"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总投资（万元）</w:t>
            </w:r>
          </w:p>
        </w:tc>
        <w:tc>
          <w:tcPr>
            <w:tcW w:w="2305" w:type="dxa"/>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4000</w:t>
            </w:r>
          </w:p>
        </w:tc>
        <w:tc>
          <w:tcPr>
            <w:tcW w:w="2198" w:type="dxa"/>
            <w:shd w:val="clear" w:color="auto" w:fill="auto"/>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环保投资（万元）</w:t>
            </w:r>
          </w:p>
        </w:tc>
        <w:tc>
          <w:tcPr>
            <w:tcW w:w="2823" w:type="dxa"/>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44"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环保投资占比（%）</w:t>
            </w:r>
          </w:p>
        </w:tc>
        <w:tc>
          <w:tcPr>
            <w:tcW w:w="2305" w:type="dxa"/>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shd w:val="clear"/>
                <w:lang w:val="en-US" w:eastAsia="zh-CN"/>
              </w:rPr>
              <w:t>1.25</w:t>
            </w:r>
          </w:p>
        </w:tc>
        <w:tc>
          <w:tcPr>
            <w:tcW w:w="2198" w:type="dxa"/>
            <w:shd w:val="clear" w:color="auto" w:fill="auto"/>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施工工期</w:t>
            </w:r>
          </w:p>
        </w:tc>
        <w:tc>
          <w:tcPr>
            <w:tcW w:w="2823" w:type="dxa"/>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1544"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是否开工建设</w:t>
            </w:r>
          </w:p>
        </w:tc>
        <w:tc>
          <w:tcPr>
            <w:tcW w:w="2305"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否</w:t>
            </w:r>
          </w:p>
          <w:p>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sz w:val="21"/>
                <w:szCs w:val="21"/>
                <w:highlight w:val="none"/>
              </w:rPr>
            </w:pP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rPr>
              <w:t>是：</w:t>
            </w:r>
          </w:p>
        </w:tc>
        <w:tc>
          <w:tcPr>
            <w:tcW w:w="2198"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pacing w:val="-6"/>
                <w:sz w:val="21"/>
                <w:szCs w:val="21"/>
                <w:highlight w:val="none"/>
              </w:rPr>
            </w:pPr>
            <w:r>
              <w:rPr>
                <w:rFonts w:hint="default" w:ascii="Times New Roman" w:hAnsi="Times New Roman" w:eastAsia="宋体" w:cs="Times New Roman"/>
                <w:spacing w:val="-6"/>
                <w:sz w:val="21"/>
                <w:szCs w:val="21"/>
                <w:highlight w:val="none"/>
              </w:rPr>
              <w:t>用地（用海）</w:t>
            </w:r>
          </w:p>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pacing w:val="-6"/>
                <w:sz w:val="21"/>
                <w:szCs w:val="21"/>
                <w:highlight w:val="none"/>
              </w:rPr>
              <w:t>面积（m</w:t>
            </w:r>
            <w:r>
              <w:rPr>
                <w:rFonts w:hint="default" w:ascii="Times New Roman" w:hAnsi="Times New Roman" w:eastAsia="宋体" w:cs="Times New Roman"/>
                <w:spacing w:val="-6"/>
                <w:sz w:val="21"/>
                <w:szCs w:val="21"/>
                <w:highlight w:val="none"/>
                <w:vertAlign w:val="superscript"/>
              </w:rPr>
              <w:t>2</w:t>
            </w:r>
            <w:r>
              <w:rPr>
                <w:rFonts w:hint="default" w:ascii="Times New Roman" w:hAnsi="Times New Roman" w:eastAsia="宋体" w:cs="Times New Roman"/>
                <w:spacing w:val="-6"/>
                <w:sz w:val="21"/>
                <w:szCs w:val="21"/>
                <w:highlight w:val="none"/>
              </w:rPr>
              <w:t>）</w:t>
            </w:r>
          </w:p>
        </w:tc>
        <w:tc>
          <w:tcPr>
            <w:tcW w:w="2823"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bookmarkStart w:id="21" w:name="_GoBack"/>
            <w:bookmarkEnd w:id="21"/>
            <w:r>
              <w:rPr>
                <w:rFonts w:hint="eastAsia" w:cs="Times New Roman"/>
                <w:b w:val="0"/>
                <w:bCs w:val="0"/>
                <w:color w:val="000000"/>
                <w:sz w:val="21"/>
                <w:szCs w:val="21"/>
                <w:lang w:val="en-US" w:eastAsia="zh-CN"/>
              </w:rPr>
              <w:t>3922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544"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专项评价设置情况</w:t>
            </w:r>
          </w:p>
        </w:tc>
        <w:tc>
          <w:tcPr>
            <w:tcW w:w="7326"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544"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规划情况</w:t>
            </w:r>
          </w:p>
        </w:tc>
        <w:tc>
          <w:tcPr>
            <w:tcW w:w="7326" w:type="dxa"/>
            <w:gridSpan w:val="3"/>
            <w:noWrap w:val="0"/>
            <w:vAlign w:val="center"/>
          </w:tcPr>
          <w:p>
            <w:pPr>
              <w:pStyle w:val="68"/>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lang w:val="en-US" w:eastAsia="zh-CN"/>
              </w:rPr>
            </w:pPr>
            <w:r>
              <w:rPr>
                <w:rStyle w:val="29"/>
                <w:rFonts w:hint="eastAsia" w:cs="宋体"/>
                <w:kern w:val="0"/>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544"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规划环境影响</w:t>
            </w:r>
          </w:p>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评价情况</w:t>
            </w:r>
          </w:p>
        </w:tc>
        <w:tc>
          <w:tcPr>
            <w:tcW w:w="7326"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Style w:val="29"/>
                <w:rFonts w:hint="default" w:ascii="Times New Roman" w:hAnsi="Times New Roman" w:eastAsia="宋体" w:cs="宋体"/>
                <w:kern w:val="0"/>
                <w:sz w:val="21"/>
                <w:szCs w:val="21"/>
                <w:lang w:val="en-US" w:eastAsia="zh-CN"/>
              </w:rPr>
            </w:pPr>
            <w:r>
              <w:rPr>
                <w:rStyle w:val="29"/>
                <w:rFonts w:hint="eastAsia" w:cs="宋体"/>
                <w:kern w:val="0"/>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44"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kern w:val="0"/>
                <w:sz w:val="21"/>
                <w:szCs w:val="21"/>
              </w:rPr>
              <w:t>规划及规划环境影响评价符合性分析</w:t>
            </w:r>
          </w:p>
        </w:tc>
        <w:tc>
          <w:tcPr>
            <w:tcW w:w="7326" w:type="dxa"/>
            <w:gridSpan w:val="3"/>
            <w:noWrap w:val="0"/>
            <w:vAlign w:val="center"/>
          </w:tcPr>
          <w:p>
            <w:pPr>
              <w:pStyle w:val="68"/>
              <w:bidi w:val="0"/>
              <w:ind w:left="0" w:leftChars="0" w:firstLine="0" w:firstLineChars="0"/>
              <w:jc w:val="center"/>
              <w:rPr>
                <w:rFonts w:hint="default"/>
                <w:lang w:val="en-US" w:eastAsia="zh-CN"/>
              </w:rPr>
            </w:pPr>
            <w:r>
              <w:rPr>
                <w:rFonts w:hint="eastAsia"/>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97" w:hRule="atLeast"/>
          <w:jc w:val="center"/>
        </w:trPr>
        <w:tc>
          <w:tcPr>
            <w:tcW w:w="1544" w:type="dxa"/>
            <w:noWrap w:val="0"/>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cs="Times New Roman"/>
                <w:kern w:val="0"/>
                <w:sz w:val="24"/>
                <w:szCs w:val="24"/>
              </w:rPr>
              <w:t>其他符合性分析</w:t>
            </w:r>
          </w:p>
        </w:tc>
        <w:tc>
          <w:tcPr>
            <w:tcW w:w="7326" w:type="dxa"/>
            <w:gridSpan w:val="3"/>
            <w:noWrap w:val="0"/>
            <w:vAlign w:val="center"/>
          </w:tcPr>
          <w:p>
            <w:pPr>
              <w:pStyle w:val="67"/>
              <w:bidi w:val="0"/>
              <w:rPr>
                <w:rFonts w:hint="default" w:ascii="Times New Roman" w:hAnsi="Times New Roman" w:eastAsia="宋体"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
                <w:bCs w:val="0"/>
                <w:color w:val="000000" w:themeColor="text1"/>
                <w:sz w:val="24"/>
                <w:szCs w:val="24"/>
                <w14:textFill>
                  <w14:solidFill>
                    <w14:schemeClr w14:val="tx1"/>
                  </w14:solidFill>
                </w14:textFill>
              </w:rPr>
              <w:t>产业政策符合性分析</w:t>
            </w:r>
          </w:p>
          <w:p>
            <w:pPr>
              <w:pStyle w:val="68"/>
              <w:bidi w:val="0"/>
              <w:rPr>
                <w:rFonts w:hint="eastAsia"/>
                <w:lang w:val="en-US" w:eastAsia="zh-CN"/>
              </w:rPr>
            </w:pPr>
            <w:r>
              <w:rPr>
                <w:rFonts w:hint="default"/>
                <w:lang w:val="en-US" w:eastAsia="zh-CN"/>
              </w:rPr>
              <w:t>本项目属于国民经济代码中C3099其他非金属矿物制品制造，不属于《产业结构调整指导目录目录(2024年本)》中鼓励类、限制类及淘汰类项目，属于允许建设项目，同时项目所采用的生产工艺设备也均未被列入限制类和淘汰类</w:t>
            </w:r>
            <w:r>
              <w:rPr>
                <w:rFonts w:hint="eastAsia"/>
                <w:lang w:val="en-US" w:eastAsia="zh-CN"/>
              </w:rPr>
              <w:t>。</w:t>
            </w:r>
          </w:p>
          <w:p>
            <w:pPr>
              <w:pStyle w:val="68"/>
              <w:bidi w:val="0"/>
              <w:rPr>
                <w:rFonts w:hint="default"/>
                <w:lang w:val="en-US" w:eastAsia="zh-CN"/>
              </w:rPr>
            </w:pPr>
            <w:r>
              <w:rPr>
                <w:rFonts w:hint="default"/>
                <w:lang w:val="en-US" w:eastAsia="zh-CN"/>
              </w:rPr>
              <w:t>202</w:t>
            </w:r>
            <w:r>
              <w:rPr>
                <w:rFonts w:hint="eastAsia"/>
                <w:lang w:val="en-US" w:eastAsia="zh-CN"/>
              </w:rPr>
              <w:t>5</w:t>
            </w:r>
            <w:r>
              <w:rPr>
                <w:rFonts w:hint="default"/>
                <w:lang w:val="en-US" w:eastAsia="zh-CN"/>
              </w:rPr>
              <w:t>年</w:t>
            </w:r>
            <w:r>
              <w:rPr>
                <w:rFonts w:hint="eastAsia"/>
                <w:lang w:val="en-US" w:eastAsia="zh-CN"/>
              </w:rPr>
              <w:t>3</w:t>
            </w:r>
            <w:r>
              <w:rPr>
                <w:rFonts w:hint="default"/>
                <w:lang w:val="en-US" w:eastAsia="zh-CN"/>
              </w:rPr>
              <w:t>月</w:t>
            </w:r>
            <w:r>
              <w:rPr>
                <w:rFonts w:hint="eastAsia"/>
                <w:lang w:val="en-US" w:eastAsia="zh-CN"/>
              </w:rPr>
              <w:t>27</w:t>
            </w:r>
            <w:r>
              <w:rPr>
                <w:rFonts w:hint="default"/>
                <w:lang w:val="en-US" w:eastAsia="zh-CN"/>
              </w:rPr>
              <w:t>日</w:t>
            </w:r>
            <w:r>
              <w:rPr>
                <w:rFonts w:hint="eastAsia"/>
                <w:lang w:val="en-US" w:eastAsia="zh-CN"/>
              </w:rPr>
              <w:t>若羌鑫云新材料科技有限公司年产10万吨硅颗粒加工项目</w:t>
            </w:r>
            <w:r>
              <w:rPr>
                <w:rFonts w:hint="default"/>
                <w:lang w:val="en-US" w:eastAsia="zh-CN"/>
              </w:rPr>
              <w:t>取得了若羌县发展和改革委员会出具的《</w:t>
            </w:r>
            <w:r>
              <w:rPr>
                <w:rFonts w:hint="eastAsia"/>
                <w:lang w:val="en-US" w:eastAsia="zh-CN"/>
              </w:rPr>
              <w:t>若羌鑫云新材料科技有限公司年产10万吨硅颗粒加工项目</w:t>
            </w:r>
            <w:r>
              <w:rPr>
                <w:rFonts w:hint="default"/>
                <w:lang w:val="en-US" w:eastAsia="zh-CN"/>
              </w:rPr>
              <w:t>备案证》，备案证编码：2503271736652800000181。</w:t>
            </w:r>
          </w:p>
          <w:p>
            <w:pPr>
              <w:pStyle w:val="68"/>
              <w:bidi w:val="0"/>
              <w:rPr>
                <w:rFonts w:hint="default"/>
                <w:lang w:val="en-US" w:eastAsia="zh-CN"/>
              </w:rPr>
            </w:pPr>
            <w:r>
              <w:rPr>
                <w:rFonts w:hint="default"/>
                <w:lang w:val="en-US" w:eastAsia="zh-CN"/>
              </w:rPr>
              <w:t>综上，本项目的建设符合国家产业政策要求。</w:t>
            </w:r>
          </w:p>
          <w:p>
            <w:pPr>
              <w:pStyle w:val="67"/>
              <w:bidi w:val="0"/>
              <w:rPr>
                <w:rFonts w:hint="eastAsia"/>
                <w:lang w:val="en-US" w:eastAsia="zh-CN"/>
              </w:rPr>
            </w:pPr>
            <w:r>
              <w:rPr>
                <w:rFonts w:hint="eastAsia"/>
                <w:lang w:val="en-US" w:eastAsia="zh-CN"/>
              </w:rPr>
              <w:t>2.选址合理性分析</w:t>
            </w:r>
          </w:p>
          <w:p>
            <w:pPr>
              <w:pStyle w:val="68"/>
              <w:bidi w:val="0"/>
              <w:rPr>
                <w:rFonts w:hint="eastAsia"/>
                <w:lang w:val="en-US" w:eastAsia="zh-CN"/>
              </w:rPr>
            </w:pPr>
            <w:r>
              <w:rPr>
                <w:rFonts w:hint="eastAsia"/>
                <w:lang w:val="en-US" w:eastAsia="zh-CN"/>
              </w:rPr>
              <w:t>（1）规划用地性质符合性：依据《若羌县国土空间总体规划（2021-2035年）》，本项目选址地块明确划定为工业用地，用地性质与项目“其他非金属矿物制品制造”（C3099）的产业属性完全匹配，不存在规划用地性质不符的问题，符合国土空间开发保护与用途管制要求。​</w:t>
            </w:r>
          </w:p>
          <w:p>
            <w:pPr>
              <w:pStyle w:val="68"/>
              <w:bidi w:val="0"/>
              <w:rPr>
                <w:rFonts w:hint="eastAsia"/>
                <w:lang w:val="en-US" w:eastAsia="zh-CN"/>
              </w:rPr>
            </w:pPr>
            <w:r>
              <w:rPr>
                <w:rFonts w:hint="eastAsia"/>
                <w:lang w:val="en-US" w:eastAsia="zh-CN"/>
              </w:rPr>
              <w:t>（2）区域产业导向适配性：若羌县及周边区域硅矿资源储量丰富，为地方重点发展的“硅基新材料配套加工”等资源转化类产业提供了原料保障。本项目硅颗粒加工业务可有效承接上游硅矿开采环节的原料输出需求，同时为下游光伏级、电子级硅材料加工等产业链延伸环节提供中间产品，与地方“依托资源优势培育特色产业、推动资源价值向产业价值转化”的发展导向高度契合，无政策层面的冲突与限制。​</w:t>
            </w:r>
          </w:p>
          <w:p>
            <w:pPr>
              <w:pStyle w:val="68"/>
              <w:bidi w:val="0"/>
              <w:rPr>
                <w:rFonts w:hint="eastAsia"/>
                <w:lang w:val="en-US" w:eastAsia="zh-CN"/>
              </w:rPr>
            </w:pPr>
            <w:r>
              <w:rPr>
                <w:rFonts w:hint="eastAsia"/>
                <w:lang w:val="en-US" w:eastAsia="zh-CN"/>
              </w:rPr>
              <w:t>（3）交通物流支撑性：项目选址区域交通区位优势显著，南侧紧邻G315国道（东西向重要干线公路），北侧衔接G0612高速公路（柳格高速，连接甘肃与新疆南疆地区），形成“国道+高速”的立体运输网络。该交通条件可保障项目硅原料输入、成品输出的高效转运，降低物流成本，为项目规模化运营提供稳定的交通支撑。</w:t>
            </w:r>
          </w:p>
          <w:p>
            <w:pPr>
              <w:pStyle w:val="67"/>
              <w:bidi w:val="0"/>
              <w:rPr>
                <w:rFonts w:hint="default"/>
              </w:rPr>
            </w:pPr>
            <w:r>
              <w:rPr>
                <w:rFonts w:hint="eastAsia"/>
                <w:lang w:val="en-US" w:eastAsia="zh-CN"/>
              </w:rPr>
              <w:t>3</w:t>
            </w:r>
            <w:r>
              <w:rPr>
                <w:rFonts w:hint="default"/>
                <w:lang w:val="en-US" w:eastAsia="zh-CN"/>
              </w:rPr>
              <w:t>.</w:t>
            </w:r>
            <w:r>
              <w:rPr>
                <w:rFonts w:hint="default"/>
              </w:rPr>
              <w:t>“三线一单”符合性</w:t>
            </w:r>
          </w:p>
          <w:p>
            <w:pPr>
              <w:pStyle w:val="68"/>
              <w:bidi w:val="0"/>
              <w:rPr>
                <w:rFonts w:hint="default"/>
                <w:lang w:val="en-US" w:eastAsia="zh-CN"/>
              </w:rPr>
            </w:pPr>
            <w:r>
              <w:rPr>
                <w:rFonts w:hint="eastAsia"/>
                <w:lang w:val="en-US" w:eastAsia="zh-CN"/>
              </w:rPr>
              <w:t>根据</w:t>
            </w:r>
            <w:r>
              <w:rPr>
                <w:rFonts w:hint="default"/>
                <w:lang w:val="en-US" w:eastAsia="zh-CN"/>
              </w:rPr>
              <w:t>环境保护部《关于以改善环境质量为核心加强环境影响评价管理的通知》（环环评〔2016〕150号），三线一单中的三线是指</w:t>
            </w:r>
            <w:r>
              <w:rPr>
                <w:rFonts w:hint="eastAsia"/>
                <w:lang w:val="en-US" w:eastAsia="zh-CN"/>
              </w:rPr>
              <w:t>“</w:t>
            </w:r>
            <w:r>
              <w:rPr>
                <w:rFonts w:hint="default"/>
                <w:lang w:val="en-US" w:eastAsia="zh-CN"/>
              </w:rPr>
              <w:t>生态保护红线、环境质量底线、资源利用上线</w:t>
            </w:r>
            <w:r>
              <w:rPr>
                <w:rFonts w:hint="eastAsia"/>
                <w:lang w:val="en-US" w:eastAsia="zh-CN"/>
              </w:rPr>
              <w:t>”</w:t>
            </w:r>
            <w:r>
              <w:rPr>
                <w:rFonts w:hint="default"/>
                <w:lang w:val="en-US" w:eastAsia="zh-CN"/>
              </w:rPr>
              <w:t>，一单为生态环境准入清单。</w:t>
            </w:r>
          </w:p>
          <w:p>
            <w:pPr>
              <w:pStyle w:val="77"/>
              <w:keepNext w:val="0"/>
              <w:keepLines w:val="0"/>
              <w:numPr>
                <w:ilvl w:val="0"/>
                <w:numId w:val="0"/>
              </w:numPr>
              <w:suppressLineNumbers w:val="0"/>
              <w:bidi w:val="0"/>
              <w:spacing w:before="0" w:beforeAutospacing="0" w:after="0" w:afterAutospacing="0"/>
              <w:ind w:left="0" w:leftChars="0" w:right="0" w:rightChars="0" w:firstLine="480" w:firstLineChars="200"/>
              <w:rPr>
                <w:rFonts w:hint="eastAsia" w:cs="Times New Roman"/>
                <w:lang w:eastAsia="zh-CN"/>
              </w:rPr>
            </w:pPr>
            <w:r>
              <w:rPr>
                <w:rFonts w:hint="eastAsia"/>
                <w:lang w:val="en-US" w:eastAsia="zh-CN"/>
              </w:rPr>
              <w:t>（1）</w:t>
            </w:r>
            <w:r>
              <w:rPr>
                <w:rFonts w:hint="eastAsia" w:cs="Times New Roman"/>
                <w:lang w:eastAsia="zh-CN"/>
              </w:rPr>
              <w:t>《</w:t>
            </w:r>
            <w:r>
              <w:rPr>
                <w:rFonts w:hint="eastAsia" w:cs="Times New Roman"/>
                <w:lang w:val="en-US" w:eastAsia="zh-CN"/>
              </w:rPr>
              <w:t>关于印发</w:t>
            </w:r>
            <w:r>
              <w:rPr>
                <w:rFonts w:hint="eastAsia" w:cs="Times New Roman"/>
                <w:lang w:eastAsia="zh-CN"/>
              </w:rPr>
              <w:t>新疆维吾尔自治区</w:t>
            </w:r>
            <w:r>
              <w:rPr>
                <w:rFonts w:hint="eastAsia" w:cs="Times New Roman"/>
                <w:lang w:val="en-US" w:eastAsia="zh-CN"/>
              </w:rPr>
              <w:t>生态环境分区管控动态更新成果的通知</w:t>
            </w:r>
            <w:r>
              <w:rPr>
                <w:rFonts w:hint="eastAsia" w:cs="Times New Roman"/>
                <w:lang w:eastAsia="zh-CN"/>
              </w:rPr>
              <w:t>》（新</w:t>
            </w:r>
            <w:r>
              <w:rPr>
                <w:rFonts w:hint="eastAsia" w:cs="Times New Roman"/>
                <w:lang w:val="en-US" w:eastAsia="zh-CN"/>
              </w:rPr>
              <w:t>环环评发</w:t>
            </w:r>
            <w:r>
              <w:rPr>
                <w:rFonts w:hint="eastAsia" w:cs="Times New Roman"/>
                <w:lang w:eastAsia="zh-CN"/>
              </w:rPr>
              <w:t>〔20</w:t>
            </w:r>
            <w:r>
              <w:rPr>
                <w:rFonts w:hint="eastAsia" w:cs="Times New Roman"/>
                <w:lang w:val="en-US" w:eastAsia="zh-CN"/>
              </w:rPr>
              <w:t>24</w:t>
            </w:r>
            <w:r>
              <w:rPr>
                <w:rFonts w:hint="eastAsia" w:cs="Times New Roman"/>
                <w:lang w:eastAsia="zh-CN"/>
              </w:rPr>
              <w:t>〕1</w:t>
            </w:r>
            <w:r>
              <w:rPr>
                <w:rFonts w:hint="eastAsia" w:cs="Times New Roman"/>
                <w:lang w:val="en-US" w:eastAsia="zh-CN"/>
              </w:rPr>
              <w:t>57</w:t>
            </w:r>
            <w:r>
              <w:rPr>
                <w:rFonts w:hint="eastAsia" w:cs="Times New Roman"/>
                <w:lang w:eastAsia="zh-CN"/>
              </w:rPr>
              <w:t>号）符合性分析。</w:t>
            </w:r>
          </w:p>
          <w:p>
            <w:pPr>
              <w:pStyle w:val="77"/>
              <w:keepNext w:val="0"/>
              <w:keepLines w:val="0"/>
              <w:suppressLineNumbers w:val="0"/>
              <w:bidi w:val="0"/>
              <w:spacing w:before="0" w:beforeAutospacing="0" w:after="0" w:afterAutospacing="0"/>
              <w:ind w:left="0" w:right="0"/>
              <w:rPr>
                <w:rFonts w:hint="default" w:cs="Times New Roman"/>
                <w:lang w:val="en-US" w:eastAsia="zh-CN"/>
              </w:rPr>
            </w:pPr>
            <w:r>
              <w:rPr>
                <w:rFonts w:hint="eastAsia" w:cs="Times New Roman"/>
                <w:lang w:val="en-US" w:eastAsia="zh-CN"/>
              </w:rPr>
              <w:t>本项目与《关于印发</w:t>
            </w:r>
            <w:r>
              <w:rPr>
                <w:rFonts w:hint="eastAsia" w:cs="Times New Roman"/>
                <w:lang w:eastAsia="zh-CN"/>
              </w:rPr>
              <w:t>新疆维吾尔自治区</w:t>
            </w:r>
            <w:r>
              <w:rPr>
                <w:rFonts w:hint="eastAsia" w:cs="Times New Roman"/>
                <w:lang w:val="en-US" w:eastAsia="zh-CN"/>
              </w:rPr>
              <w:t>生态环境分区管控动态更新成果的通知</w:t>
            </w:r>
            <w:r>
              <w:rPr>
                <w:rFonts w:hint="eastAsia" w:cs="Times New Roman"/>
                <w:lang w:eastAsia="zh-CN"/>
              </w:rPr>
              <w:t>》（新</w:t>
            </w:r>
            <w:r>
              <w:rPr>
                <w:rFonts w:hint="eastAsia" w:cs="Times New Roman"/>
                <w:lang w:val="en-US" w:eastAsia="zh-CN"/>
              </w:rPr>
              <w:t>环环评发</w:t>
            </w:r>
            <w:r>
              <w:rPr>
                <w:rFonts w:hint="eastAsia" w:cs="Times New Roman"/>
                <w:lang w:eastAsia="zh-CN"/>
              </w:rPr>
              <w:t>〔20</w:t>
            </w:r>
            <w:r>
              <w:rPr>
                <w:rFonts w:hint="eastAsia" w:cs="Times New Roman"/>
                <w:lang w:val="en-US" w:eastAsia="zh-CN"/>
              </w:rPr>
              <w:t>24</w:t>
            </w:r>
            <w:r>
              <w:rPr>
                <w:rFonts w:hint="eastAsia" w:cs="Times New Roman"/>
                <w:lang w:eastAsia="zh-CN"/>
              </w:rPr>
              <w:t>〕1</w:t>
            </w:r>
            <w:r>
              <w:rPr>
                <w:rFonts w:hint="eastAsia" w:cs="Times New Roman"/>
                <w:lang w:val="en-US" w:eastAsia="zh-CN"/>
              </w:rPr>
              <w:t>57</w:t>
            </w:r>
            <w:r>
              <w:rPr>
                <w:rFonts w:hint="eastAsia" w:cs="Times New Roman"/>
                <w:lang w:eastAsia="zh-CN"/>
              </w:rPr>
              <w:t>号）符合性分析</w:t>
            </w:r>
            <w:r>
              <w:rPr>
                <w:rFonts w:hint="default" w:cs="Times New Roman"/>
                <w:lang w:val="en-US" w:eastAsia="zh-CN"/>
              </w:rPr>
              <w:t>详见</w:t>
            </w:r>
            <w:r>
              <w:rPr>
                <w:rFonts w:hint="eastAsia" w:cs="Times New Roman"/>
                <w:lang w:val="en-US" w:eastAsia="zh-CN"/>
              </w:rPr>
              <w:t>下</w:t>
            </w:r>
            <w:r>
              <w:rPr>
                <w:rFonts w:hint="default" w:cs="Times New Roman"/>
                <w:lang w:val="en-US" w:eastAsia="zh-CN"/>
              </w:rPr>
              <w:t>表。</w:t>
            </w:r>
          </w:p>
          <w:p>
            <w:pPr>
              <w:pStyle w:val="43"/>
              <w:keepNext w:val="0"/>
              <w:keepLines w:val="0"/>
              <w:suppressLineNumbers w:val="0"/>
              <w:bidi w:val="0"/>
              <w:spacing w:before="0" w:beforeAutospacing="0" w:after="0" w:afterAutospacing="0"/>
              <w:ind w:left="0" w:right="0"/>
              <w:rPr>
                <w:rFonts w:hint="default" w:cs="Times New Roman"/>
                <w:lang w:val="en-US" w:eastAsia="zh-CN"/>
              </w:rPr>
            </w:pPr>
            <w:r>
              <w:rPr>
                <w:rFonts w:hint="default" w:cs="Times New Roman"/>
                <w:lang w:val="en-US" w:eastAsia="zh-CN"/>
              </w:rPr>
              <w:t>表</w:t>
            </w:r>
            <w:r>
              <w:rPr>
                <w:rFonts w:hint="eastAsia" w:cs="Times New Roman"/>
                <w:lang w:val="en-US" w:eastAsia="zh-CN"/>
              </w:rPr>
              <w:t>1-1    本项目与</w:t>
            </w:r>
            <w:r>
              <w:rPr>
                <w:rFonts w:hint="eastAsia" w:cs="Times New Roman"/>
                <w:lang w:eastAsia="zh-CN"/>
              </w:rPr>
              <w:t>《</w:t>
            </w:r>
            <w:r>
              <w:rPr>
                <w:rFonts w:hint="eastAsia" w:cs="Times New Roman"/>
                <w:lang w:val="en-US" w:eastAsia="zh-CN"/>
              </w:rPr>
              <w:t>关于印发</w:t>
            </w:r>
            <w:r>
              <w:rPr>
                <w:rFonts w:hint="eastAsia" w:cs="Times New Roman"/>
                <w:lang w:eastAsia="zh-CN"/>
              </w:rPr>
              <w:t>新疆维吾尔自治区</w:t>
            </w:r>
            <w:r>
              <w:rPr>
                <w:rFonts w:hint="eastAsia" w:cs="Times New Roman"/>
                <w:lang w:val="en-US" w:eastAsia="zh-CN"/>
              </w:rPr>
              <w:t>生态环境分区管控动态更新成果的通知</w:t>
            </w:r>
            <w:r>
              <w:rPr>
                <w:rFonts w:hint="eastAsia" w:cs="Times New Roman"/>
                <w:lang w:eastAsia="zh-CN"/>
              </w:rPr>
              <w:t>》（新</w:t>
            </w:r>
            <w:r>
              <w:rPr>
                <w:rFonts w:hint="eastAsia" w:cs="Times New Roman"/>
                <w:lang w:val="en-US" w:eastAsia="zh-CN"/>
              </w:rPr>
              <w:t>环环评发</w:t>
            </w:r>
            <w:r>
              <w:rPr>
                <w:rFonts w:hint="eastAsia" w:cs="Times New Roman"/>
                <w:lang w:eastAsia="zh-CN"/>
              </w:rPr>
              <w:t>〔20</w:t>
            </w:r>
            <w:r>
              <w:rPr>
                <w:rFonts w:hint="eastAsia" w:cs="Times New Roman"/>
                <w:lang w:val="en-US" w:eastAsia="zh-CN"/>
              </w:rPr>
              <w:t>24</w:t>
            </w:r>
            <w:r>
              <w:rPr>
                <w:rFonts w:hint="eastAsia" w:cs="Times New Roman"/>
                <w:lang w:eastAsia="zh-CN"/>
              </w:rPr>
              <w:t>〕1</w:t>
            </w:r>
            <w:r>
              <w:rPr>
                <w:rFonts w:hint="eastAsia" w:cs="Times New Roman"/>
                <w:lang w:val="en-US" w:eastAsia="zh-CN"/>
              </w:rPr>
              <w:t>57</w:t>
            </w:r>
            <w:r>
              <w:rPr>
                <w:rFonts w:hint="eastAsia" w:cs="Times New Roman"/>
                <w:lang w:eastAsia="zh-CN"/>
              </w:rPr>
              <w:t>号）</w:t>
            </w:r>
            <w:r>
              <w:rPr>
                <w:rFonts w:hint="eastAsia" w:cs="Times New Roman"/>
                <w:lang w:val="en-US" w:eastAsia="zh-CN"/>
              </w:rPr>
              <w:t>相符性分析</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05"/>
              <w:gridCol w:w="2321"/>
              <w:gridCol w:w="2283"/>
              <w:gridCol w:w="426"/>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90" w:hRule="atLeast"/>
              </w:trPr>
              <w:tc>
                <w:tcPr>
                  <w:tcW w:w="1453" w:type="pct"/>
                  <w:gridSpan w:val="2"/>
                  <w:noWrap w:val="0"/>
                  <w:vAlign w:val="center"/>
                </w:tcPr>
                <w:p>
                  <w:pPr>
                    <w:pStyle w:val="66"/>
                    <w:bidi w:val="0"/>
                    <w:rPr>
                      <w:rFonts w:hint="eastAsia"/>
                      <w:lang w:val="en-US" w:eastAsia="zh-CN"/>
                    </w:rPr>
                  </w:pPr>
                  <w:r>
                    <w:rPr>
                      <w:rFonts w:hint="eastAsia"/>
                      <w:lang w:val="en-US" w:eastAsia="zh-CN"/>
                    </w:rPr>
                    <w:t>管控维度</w:t>
                  </w:r>
                </w:p>
              </w:tc>
              <w:tc>
                <w:tcPr>
                  <w:tcW w:w="1635" w:type="pct"/>
                  <w:noWrap w:val="0"/>
                  <w:vAlign w:val="center"/>
                </w:tcPr>
                <w:p>
                  <w:pPr>
                    <w:pStyle w:val="66"/>
                    <w:bidi w:val="0"/>
                    <w:rPr>
                      <w:rFonts w:hint="default"/>
                      <w:lang w:val="en-US" w:eastAsia="zh-CN"/>
                    </w:rPr>
                  </w:pPr>
                  <w:r>
                    <w:rPr>
                      <w:rFonts w:hint="eastAsia"/>
                      <w:lang w:val="en-US" w:eastAsia="zh-CN"/>
                    </w:rPr>
                    <w:t>部分环境管理政策有关要求</w:t>
                  </w:r>
                </w:p>
              </w:tc>
              <w:tc>
                <w:tcPr>
                  <w:tcW w:w="1608" w:type="pct"/>
                  <w:noWrap w:val="0"/>
                  <w:vAlign w:val="center"/>
                </w:tcPr>
                <w:p>
                  <w:pPr>
                    <w:pStyle w:val="66"/>
                    <w:bidi w:val="0"/>
                    <w:rPr>
                      <w:rFonts w:hint="default"/>
                      <w:lang w:val="en-US" w:eastAsia="zh-CN"/>
                    </w:rPr>
                  </w:pPr>
                  <w:r>
                    <w:rPr>
                      <w:rFonts w:hint="eastAsia"/>
                      <w:lang w:val="en-US" w:eastAsia="zh-CN"/>
                    </w:rPr>
                    <w:t>本项目情况</w:t>
                  </w:r>
                </w:p>
              </w:tc>
              <w:tc>
                <w:tcPr>
                  <w:tcW w:w="300" w:type="pct"/>
                  <w:noWrap w:val="0"/>
                  <w:vAlign w:val="center"/>
                </w:tcPr>
                <w:p>
                  <w:pPr>
                    <w:pStyle w:val="66"/>
                    <w:bidi w:val="0"/>
                    <w:rPr>
                      <w:rFonts w:hint="default"/>
                      <w:lang w:val="en-US" w:eastAsia="zh-CN"/>
                    </w:rPr>
                  </w:pPr>
                  <w:r>
                    <w:rPr>
                      <w:rFonts w:hint="eastAsia"/>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Merge w:val="restart"/>
                  <w:noWrap w:val="0"/>
                  <w:vAlign w:val="center"/>
                </w:tcPr>
                <w:p>
                  <w:pPr>
                    <w:pStyle w:val="66"/>
                    <w:bidi w:val="0"/>
                    <w:rPr>
                      <w:rFonts w:hint="default"/>
                      <w:lang w:val="en-US" w:eastAsia="zh-CN"/>
                    </w:rPr>
                  </w:pPr>
                  <w:r>
                    <w:rPr>
                      <w:rFonts w:hint="default"/>
                      <w:lang w:val="en-US" w:eastAsia="zh-CN"/>
                    </w:rPr>
                    <w:t>A1</w:t>
                  </w:r>
                  <w:r>
                    <w:rPr>
                      <w:rFonts w:hint="eastAsia"/>
                      <w:lang w:val="en-US" w:eastAsia="zh-CN"/>
                    </w:rPr>
                    <w:t>空间布局约束</w:t>
                  </w:r>
                </w:p>
              </w:tc>
              <w:tc>
                <w:tcPr>
                  <w:tcW w:w="918" w:type="pct"/>
                  <w:vMerge w:val="restart"/>
                  <w:noWrap w:val="0"/>
                  <w:vAlign w:val="center"/>
                </w:tcPr>
                <w:p>
                  <w:pPr>
                    <w:pStyle w:val="66"/>
                    <w:bidi w:val="0"/>
                    <w:rPr>
                      <w:rFonts w:hint="default"/>
                      <w:lang w:val="en-US" w:eastAsia="zh-CN"/>
                    </w:rPr>
                  </w:pPr>
                  <w:r>
                    <w:rPr>
                      <w:rFonts w:hint="default"/>
                      <w:lang w:val="en-US" w:eastAsia="zh-CN"/>
                    </w:rPr>
                    <w:t>A1.1禁止开发建设的活动</w:t>
                  </w:r>
                </w:p>
              </w:tc>
              <w:tc>
                <w:tcPr>
                  <w:tcW w:w="1635" w:type="pct"/>
                  <w:noWrap w:val="0"/>
                  <w:vAlign w:val="center"/>
                </w:tcPr>
                <w:p>
                  <w:pPr>
                    <w:pStyle w:val="66"/>
                    <w:bidi w:val="0"/>
                    <w:jc w:val="both"/>
                    <w:rPr>
                      <w:rFonts w:hint="default"/>
                      <w:lang w:val="en-US" w:eastAsia="zh-CN"/>
                    </w:rPr>
                  </w:pPr>
                  <w:r>
                    <w:rPr>
                      <w:rFonts w:hint="default"/>
                      <w:lang w:val="en-US" w:eastAsia="zh-CN"/>
                    </w:rPr>
                    <w:t>〔A1.1-1〕禁止新建、扩建《产业结构调整指导目录</w:t>
                  </w:r>
                  <w:r>
                    <w:rPr>
                      <w:rFonts w:hint="eastAsia"/>
                      <w:lang w:val="en-US" w:eastAsia="zh-CN"/>
                    </w:rPr>
                    <w:t>（</w:t>
                  </w:r>
                  <w:r>
                    <w:rPr>
                      <w:rFonts w:hint="default"/>
                      <w:lang w:val="en-US" w:eastAsia="zh-CN"/>
                    </w:rPr>
                    <w:t>2024年本</w:t>
                  </w:r>
                  <w:r>
                    <w:rPr>
                      <w:rFonts w:hint="eastAsia"/>
                      <w:lang w:val="en-US" w:eastAsia="zh-CN"/>
                    </w:rPr>
                    <w:t>）</w:t>
                  </w:r>
                  <w:r>
                    <w:rPr>
                      <w:rFonts w:hint="default"/>
                      <w:lang w:val="en-US" w:eastAsia="zh-CN"/>
                    </w:rPr>
                    <w:t>》中淘汰类项目。禁止引入《市场准入负面清单</w:t>
                  </w:r>
                  <w:r>
                    <w:rPr>
                      <w:rFonts w:hint="eastAsia"/>
                      <w:lang w:val="en-US" w:eastAsia="zh-CN"/>
                    </w:rPr>
                    <w:t>（</w:t>
                  </w:r>
                  <w:r>
                    <w:rPr>
                      <w:rFonts w:hint="default"/>
                      <w:lang w:val="en-US" w:eastAsia="zh-CN"/>
                    </w:rPr>
                    <w:t>2022年版</w:t>
                  </w:r>
                  <w:r>
                    <w:rPr>
                      <w:rFonts w:hint="eastAsia"/>
                      <w:lang w:val="en-US" w:eastAsia="zh-CN"/>
                    </w:rPr>
                    <w:t>）》</w:t>
                  </w:r>
                  <w:r>
                    <w:rPr>
                      <w:rFonts w:hint="default"/>
                      <w:lang w:val="en-US" w:eastAsia="zh-CN"/>
                    </w:rPr>
                    <w:t>禁止准入类事项。</w:t>
                  </w:r>
                </w:p>
              </w:tc>
              <w:tc>
                <w:tcPr>
                  <w:tcW w:w="1608" w:type="pct"/>
                  <w:noWrap w:val="0"/>
                  <w:vAlign w:val="center"/>
                </w:tcPr>
                <w:p>
                  <w:pPr>
                    <w:pStyle w:val="66"/>
                    <w:bidi w:val="0"/>
                    <w:jc w:val="both"/>
                    <w:rPr>
                      <w:rFonts w:hint="eastAsia"/>
                      <w:lang w:val="en-US" w:eastAsia="zh-CN"/>
                    </w:rPr>
                  </w:pPr>
                  <w:r>
                    <w:rPr>
                      <w:rFonts w:hint="eastAsia"/>
                      <w:lang w:val="en-US" w:eastAsia="zh-CN"/>
                    </w:rPr>
                    <w:t>本项目不属于</w:t>
                  </w:r>
                  <w:r>
                    <w:rPr>
                      <w:rFonts w:hint="default"/>
                    </w:rPr>
                    <w:t>《产业结构调整指导目录</w:t>
                  </w:r>
                  <w:r>
                    <w:rPr>
                      <w:rFonts w:hint="eastAsia"/>
                      <w:lang w:eastAsia="zh-CN"/>
                    </w:rPr>
                    <w:t>（</w:t>
                  </w:r>
                  <w:r>
                    <w:rPr>
                      <w:rFonts w:hint="default"/>
                    </w:rPr>
                    <w:t>2024年本</w:t>
                  </w:r>
                  <w:r>
                    <w:rPr>
                      <w:rFonts w:hint="eastAsia"/>
                      <w:lang w:eastAsia="zh-CN"/>
                    </w:rPr>
                    <w:t>）</w:t>
                  </w:r>
                  <w:r>
                    <w:rPr>
                      <w:rFonts w:hint="default"/>
                    </w:rPr>
                    <w:t>》中鼓励类、限制类和淘汰类，属于允许类；</w:t>
                  </w:r>
                  <w:r>
                    <w:rPr>
                      <w:rFonts w:hint="eastAsia"/>
                      <w:lang w:val="en-US" w:eastAsia="zh-CN"/>
                    </w:rPr>
                    <w:t>本项目也不属于</w:t>
                  </w:r>
                  <w:r>
                    <w:rPr>
                      <w:rFonts w:hint="default"/>
                      <w:lang w:val="en-US" w:eastAsia="zh-CN"/>
                    </w:rPr>
                    <w:t>《市场准入负面清单</w:t>
                  </w:r>
                  <w:r>
                    <w:rPr>
                      <w:rFonts w:hint="eastAsia"/>
                      <w:lang w:val="en-US" w:eastAsia="zh-CN"/>
                    </w:rPr>
                    <w:t>（</w:t>
                  </w:r>
                  <w:r>
                    <w:rPr>
                      <w:rFonts w:hint="default"/>
                      <w:lang w:val="en-US" w:eastAsia="zh-CN"/>
                    </w:rPr>
                    <w:t>202</w:t>
                  </w:r>
                  <w:r>
                    <w:rPr>
                      <w:rFonts w:hint="eastAsia"/>
                      <w:lang w:val="en-US" w:eastAsia="zh-CN"/>
                    </w:rPr>
                    <w:t>5</w:t>
                  </w:r>
                  <w:r>
                    <w:rPr>
                      <w:rFonts w:hint="default"/>
                      <w:lang w:val="en-US" w:eastAsia="zh-CN"/>
                    </w:rPr>
                    <w:t>年版</w:t>
                  </w:r>
                  <w:r>
                    <w:rPr>
                      <w:rFonts w:hint="eastAsia"/>
                      <w:lang w:val="en-US" w:eastAsia="zh-CN"/>
                    </w:rPr>
                    <w:t>）》的项目。</w:t>
                  </w:r>
                  <w:r>
                    <w:rPr>
                      <w:rFonts w:hint="default"/>
                    </w:rPr>
                    <w:t>符合国家产业政策</w:t>
                  </w:r>
                  <w:r>
                    <w:rPr>
                      <w:rFonts w:hint="eastAsia"/>
                      <w:lang w:eastAsia="zh-CN"/>
                    </w:rPr>
                    <w:t>。</w:t>
                  </w:r>
                </w:p>
              </w:tc>
              <w:tc>
                <w:tcPr>
                  <w:tcW w:w="302" w:type="pct"/>
                  <w:gridSpan w:val="2"/>
                  <w:noWrap w:val="0"/>
                  <w:vAlign w:val="center"/>
                </w:tcPr>
                <w:p>
                  <w:pPr>
                    <w:pStyle w:val="66"/>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vMerge w:val="continue"/>
                  <w:noWrap w:val="0"/>
                  <w:vAlign w:val="center"/>
                </w:tcPr>
                <w:p>
                  <w:pPr>
                    <w:pStyle w:val="66"/>
                    <w:bidi w:val="0"/>
                    <w:rPr>
                      <w:rFonts w:hint="eastAsia"/>
                    </w:rPr>
                  </w:pPr>
                </w:p>
              </w:tc>
              <w:tc>
                <w:tcPr>
                  <w:tcW w:w="918" w:type="pct"/>
                  <w:vMerge w:val="continue"/>
                  <w:noWrap w:val="0"/>
                  <w:vAlign w:val="center"/>
                </w:tcPr>
                <w:p>
                  <w:pPr>
                    <w:pStyle w:val="66"/>
                    <w:bidi w:val="0"/>
                    <w:rPr>
                      <w:rFonts w:hint="default"/>
                      <w:lang w:val="en-US" w:eastAsia="zh-CN"/>
                    </w:rPr>
                  </w:pPr>
                </w:p>
              </w:tc>
              <w:tc>
                <w:tcPr>
                  <w:tcW w:w="1635" w:type="pct"/>
                  <w:noWrap w:val="0"/>
                  <w:vAlign w:val="center"/>
                </w:tcPr>
                <w:p>
                  <w:pPr>
                    <w:pStyle w:val="66"/>
                    <w:bidi w:val="0"/>
                    <w:jc w:val="both"/>
                    <w:rPr>
                      <w:rFonts w:hint="default"/>
                      <w:lang w:val="en-US" w:eastAsia="zh-CN"/>
                    </w:rPr>
                  </w:pPr>
                  <w:r>
                    <w:rPr>
                      <w:rFonts w:hint="default"/>
                      <w:lang w:val="en-US" w:eastAsia="zh-CN"/>
                    </w:rPr>
                    <w:t>〔A1.1-3〕禁止在饮用水水源保护区、风景名胜区、自然保护区的核心区和缓冲区、城镇居民区、文化教育科学研究区等人口集中区域以及法律、法规规定的其他禁止养殖区域建设畜禽养殖场、养殖小区。</w:t>
                  </w:r>
                </w:p>
              </w:tc>
              <w:tc>
                <w:tcPr>
                  <w:tcW w:w="1608" w:type="pct"/>
                  <w:noWrap w:val="0"/>
                  <w:vAlign w:val="center"/>
                </w:tcPr>
                <w:p>
                  <w:pPr>
                    <w:pStyle w:val="66"/>
                    <w:bidi w:val="0"/>
                    <w:jc w:val="both"/>
                    <w:rPr>
                      <w:rFonts w:hint="default"/>
                      <w:lang w:val="en-US" w:eastAsia="zh-CN"/>
                    </w:rPr>
                  </w:pPr>
                  <w:r>
                    <w:rPr>
                      <w:rFonts w:hint="eastAsia"/>
                      <w:lang w:val="en-US" w:eastAsia="zh-CN"/>
                    </w:rPr>
                    <w:t>本项目建设地点位于新疆巴音郭楞蒙古自治州若羌县塔东物流商贸综合园区，不在</w:t>
                  </w:r>
                  <w:r>
                    <w:rPr>
                      <w:rFonts w:hint="default"/>
                      <w:lang w:val="en-US" w:eastAsia="zh-CN"/>
                    </w:rPr>
                    <w:t>饮用水水源保护区、风景名胜区、自然保护区的核心区和缓冲区、城镇居民区、文化教育科学研究区等人口集中区域</w:t>
                  </w:r>
                  <w:r>
                    <w:rPr>
                      <w:rFonts w:hint="eastAsia"/>
                      <w:lang w:val="en-US" w:eastAsia="zh-CN"/>
                    </w:rPr>
                    <w:t>内，满足相关要求。</w:t>
                  </w:r>
                </w:p>
              </w:tc>
              <w:tc>
                <w:tcPr>
                  <w:tcW w:w="302" w:type="pct"/>
                  <w:gridSpan w:val="2"/>
                  <w:noWrap w:val="0"/>
                  <w:vAlign w:val="center"/>
                </w:tcPr>
                <w:p>
                  <w:pPr>
                    <w:pStyle w:val="66"/>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pPr>
                    <w:pStyle w:val="66"/>
                    <w:bidi w:val="0"/>
                    <w:rPr>
                      <w:rFonts w:hint="default"/>
                      <w:lang w:val="en-US" w:eastAsia="zh-CN"/>
                    </w:rPr>
                  </w:pPr>
                  <w:r>
                    <w:rPr>
                      <w:rFonts w:hint="default"/>
                      <w:lang w:val="en-US" w:eastAsia="zh-CN"/>
                    </w:rPr>
                    <w:t>A2污染物排放管控</w:t>
                  </w:r>
                </w:p>
              </w:tc>
              <w:tc>
                <w:tcPr>
                  <w:tcW w:w="918" w:type="pct"/>
                  <w:noWrap w:val="0"/>
                  <w:vAlign w:val="center"/>
                </w:tcPr>
                <w:p>
                  <w:pPr>
                    <w:pStyle w:val="66"/>
                    <w:bidi w:val="0"/>
                    <w:rPr>
                      <w:rFonts w:hint="default"/>
                      <w:lang w:val="en-US" w:eastAsia="zh-CN"/>
                    </w:rPr>
                  </w:pPr>
                  <w:r>
                    <w:rPr>
                      <w:rFonts w:hint="default"/>
                      <w:lang w:val="en-US" w:eastAsia="zh-CN"/>
                    </w:rPr>
                    <w:t>A2</w:t>
                  </w:r>
                  <w:r>
                    <w:rPr>
                      <w:rFonts w:hint="eastAsia"/>
                      <w:lang w:val="en-US" w:eastAsia="zh-CN"/>
                    </w:rPr>
                    <w:t>.2污染控制措施要求</w:t>
                  </w:r>
                </w:p>
              </w:tc>
              <w:tc>
                <w:tcPr>
                  <w:tcW w:w="1635" w:type="pct"/>
                  <w:noWrap w:val="0"/>
                  <w:vAlign w:val="center"/>
                </w:tcPr>
                <w:p>
                  <w:pPr>
                    <w:pStyle w:val="66"/>
                    <w:bidi w:val="0"/>
                    <w:jc w:val="both"/>
                    <w:rPr>
                      <w:rFonts w:hint="default"/>
                      <w:lang w:val="en-US" w:eastAsia="zh-CN"/>
                    </w:rPr>
                  </w:pPr>
                  <w:r>
                    <w:rPr>
                      <w:rFonts w:hint="default"/>
                      <w:lang w:val="en-US" w:eastAsia="zh-CN"/>
                    </w:rPr>
                    <w:t>〔A2.2-3〕强化重点区域大气污染联防联控，合理确定产业布局，推动区域内统一产业准入和排放标准。实施水泥行业错峰生产，推进散煤整治、挥发性有机污染物综合治理、钢铁、水泥、焦化和燃煤工业锅炉行业超低排放改造、燃气锅炉低氮燃烧改造、工业园区内轨道运输</w:t>
                  </w:r>
                  <w:r>
                    <w:rPr>
                      <w:rFonts w:hint="eastAsia"/>
                      <w:lang w:val="en-US" w:eastAsia="zh-CN"/>
                    </w:rPr>
                    <w:t>（</w:t>
                  </w:r>
                  <w:r>
                    <w:rPr>
                      <w:rFonts w:hint="default"/>
                      <w:lang w:val="en-US" w:eastAsia="zh-CN"/>
                    </w:rPr>
                    <w:t>大宗货物</w:t>
                  </w:r>
                  <w:r>
                    <w:rPr>
                      <w:rFonts w:hint="eastAsia"/>
                      <w:lang w:val="en-US" w:eastAsia="zh-CN"/>
                    </w:rPr>
                    <w:t>“</w:t>
                  </w:r>
                  <w:r>
                    <w:rPr>
                      <w:rFonts w:hint="default"/>
                      <w:lang w:val="en-US" w:eastAsia="zh-CN"/>
                    </w:rPr>
                    <w:t>公转铁</w:t>
                  </w:r>
                  <w:r>
                    <w:rPr>
                      <w:rFonts w:hint="eastAsia"/>
                      <w:lang w:val="en-US" w:eastAsia="zh-CN"/>
                    </w:rPr>
                    <w:t>”</w:t>
                  </w:r>
                  <w:r>
                    <w:rPr>
                      <w:rFonts w:hint="default"/>
                      <w:lang w:val="en-US" w:eastAsia="zh-CN"/>
                    </w:rPr>
                    <w:t>、柴油货车治理、锅炉</w:t>
                  </w:r>
                  <w:r>
                    <w:rPr>
                      <w:rFonts w:hint="eastAsia"/>
                      <w:lang w:val="en-US" w:eastAsia="zh-CN"/>
                    </w:rPr>
                    <w:t>炉窑</w:t>
                  </w:r>
                  <w:r>
                    <w:rPr>
                      <w:rFonts w:hint="default"/>
                      <w:lang w:val="en-US" w:eastAsia="zh-CN"/>
                    </w:rPr>
                    <w:t>综合治理等工程项目。全面推行绿色施工，持续推动城市建成区重污染企业搬迁或关闭退出。</w:t>
                  </w:r>
                </w:p>
              </w:tc>
              <w:tc>
                <w:tcPr>
                  <w:tcW w:w="1608" w:type="pct"/>
                  <w:noWrap w:val="0"/>
                  <w:vAlign w:val="center"/>
                </w:tcPr>
                <w:p>
                  <w:pPr>
                    <w:pStyle w:val="66"/>
                    <w:bidi w:val="0"/>
                    <w:jc w:val="both"/>
                    <w:rPr>
                      <w:rFonts w:hint="eastAsia"/>
                      <w:lang w:val="en-US" w:eastAsia="zh-CN"/>
                    </w:rPr>
                  </w:pPr>
                  <w:r>
                    <w:rPr>
                      <w:rFonts w:hint="eastAsia"/>
                      <w:lang w:val="en-US" w:eastAsia="zh-CN"/>
                    </w:rPr>
                    <w:t>本项目产生的废气经相应的环保设施处理后能够达标排放，对环境空气质量影响较小，不会降低区域环境空气质量。</w:t>
                  </w:r>
                </w:p>
                <w:p>
                  <w:pPr>
                    <w:pStyle w:val="66"/>
                    <w:bidi w:val="0"/>
                    <w:jc w:val="both"/>
                    <w:rPr>
                      <w:rFonts w:hint="eastAsia"/>
                      <w:lang w:val="en-US" w:eastAsia="zh-CN"/>
                    </w:rPr>
                  </w:pPr>
                  <w:r>
                    <w:rPr>
                      <w:rFonts w:hint="eastAsia"/>
                      <w:lang w:val="en-US" w:eastAsia="zh-CN"/>
                    </w:rPr>
                    <w:t>本项目洒水抑尘用水蒸发逸散，不外排；生活污水通过园区排水管网排入若羌县城乡污水处理厂进行集中处理，不会影响区域水环境质量。</w:t>
                  </w:r>
                </w:p>
                <w:p>
                  <w:pPr>
                    <w:pStyle w:val="66"/>
                    <w:bidi w:val="0"/>
                    <w:jc w:val="both"/>
                    <w:rPr>
                      <w:rFonts w:hint="default"/>
                      <w:lang w:val="en-US" w:eastAsia="zh-CN"/>
                    </w:rPr>
                  </w:pPr>
                  <w:r>
                    <w:rPr>
                      <w:rFonts w:hint="eastAsia"/>
                      <w:lang w:val="en-US" w:eastAsia="zh-CN"/>
                    </w:rPr>
                    <w:t>生活垃圾收集到垃圾箱后定期交由环卫部门统一处理，危险废物储存于危险废物贮存点后交由有资质单位处理。</w:t>
                  </w:r>
                  <w:r>
                    <w:rPr>
                      <w:rFonts w:hint="default"/>
                      <w:lang w:val="en-US" w:eastAsia="zh-CN"/>
                    </w:rPr>
                    <w:t>本工程采取的环保措施能确保污染物对环境质量影响</w:t>
                  </w:r>
                  <w:r>
                    <w:rPr>
                      <w:rFonts w:hint="eastAsia"/>
                      <w:lang w:val="en-US" w:eastAsia="zh-CN"/>
                    </w:rPr>
                    <w:t>降到最低</w:t>
                  </w:r>
                  <w:r>
                    <w:rPr>
                      <w:rFonts w:hint="default"/>
                      <w:lang w:val="en-US" w:eastAsia="zh-CN"/>
                    </w:rPr>
                    <w:t>，不突破所在区域环境质量底线</w:t>
                  </w:r>
                  <w:r>
                    <w:rPr>
                      <w:rFonts w:hint="eastAsia"/>
                      <w:lang w:val="en-US" w:eastAsia="zh-CN"/>
                    </w:rPr>
                    <w:t>。</w:t>
                  </w:r>
                </w:p>
              </w:tc>
              <w:tc>
                <w:tcPr>
                  <w:tcW w:w="302" w:type="pct"/>
                  <w:gridSpan w:val="2"/>
                  <w:noWrap w:val="0"/>
                  <w:vAlign w:val="center"/>
                </w:tcPr>
                <w:p>
                  <w:pPr>
                    <w:pStyle w:val="66"/>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noWrap w:val="0"/>
                  <w:vAlign w:val="center"/>
                </w:tcPr>
                <w:p>
                  <w:pPr>
                    <w:pStyle w:val="66"/>
                    <w:bidi w:val="0"/>
                    <w:rPr>
                      <w:rFonts w:hint="default"/>
                      <w:lang w:val="en-US" w:eastAsia="zh-CN"/>
                    </w:rPr>
                  </w:pPr>
                  <w:r>
                    <w:rPr>
                      <w:rFonts w:hint="eastAsia"/>
                      <w:lang w:val="en-US" w:eastAsia="zh-CN"/>
                    </w:rPr>
                    <w:t>A3环境风险防控</w:t>
                  </w:r>
                </w:p>
              </w:tc>
              <w:tc>
                <w:tcPr>
                  <w:tcW w:w="918" w:type="pct"/>
                  <w:noWrap w:val="0"/>
                  <w:vAlign w:val="center"/>
                </w:tcPr>
                <w:p>
                  <w:pPr>
                    <w:pStyle w:val="66"/>
                    <w:bidi w:val="0"/>
                    <w:rPr>
                      <w:rFonts w:hint="default"/>
                      <w:lang w:val="en-US" w:eastAsia="zh-CN"/>
                    </w:rPr>
                  </w:pPr>
                  <w:r>
                    <w:rPr>
                      <w:rFonts w:hint="eastAsia"/>
                      <w:lang w:val="en-US" w:eastAsia="zh-CN"/>
                    </w:rPr>
                    <w:t>A3.2联防联控要求</w:t>
                  </w:r>
                </w:p>
              </w:tc>
              <w:tc>
                <w:tcPr>
                  <w:tcW w:w="1635" w:type="pct"/>
                  <w:noWrap w:val="0"/>
                  <w:vAlign w:val="center"/>
                </w:tcPr>
                <w:p>
                  <w:pPr>
                    <w:pStyle w:val="66"/>
                    <w:bidi w:val="0"/>
                    <w:jc w:val="both"/>
                    <w:rPr>
                      <w:rFonts w:hint="default"/>
                      <w:lang w:val="en-US" w:eastAsia="zh-CN"/>
                    </w:rPr>
                  </w:pPr>
                  <w:r>
                    <w:rPr>
                      <w:rFonts w:hint="default"/>
                      <w:lang w:val="en-US" w:eastAsia="zh-CN"/>
                    </w:rPr>
                    <w:t>〔A3.2-5〕强化生态环境应急管理。实施企业突发生态环境应急预案电子化备案，完成县级以上政府突发环境事件应急预案修编。完善区域和企业应急处置物资储备系统，结合新疆各地特征污染物的特性，加强应急物资储备及应急物资信息化建设，掌握社会应急物资储备动态信息，妥善应对各类突发生态环境事件。加强应急监测装备配置，定期开展应急演练，增强实战能力。</w:t>
                  </w:r>
                </w:p>
              </w:tc>
              <w:tc>
                <w:tcPr>
                  <w:tcW w:w="1608" w:type="pct"/>
                  <w:noWrap w:val="0"/>
                  <w:vAlign w:val="center"/>
                </w:tcPr>
                <w:p>
                  <w:pPr>
                    <w:pStyle w:val="66"/>
                    <w:bidi w:val="0"/>
                    <w:jc w:val="both"/>
                    <w:rPr>
                      <w:rFonts w:hint="default"/>
                      <w:lang w:val="en-US" w:eastAsia="zh-CN"/>
                    </w:rPr>
                  </w:pPr>
                  <w:r>
                    <w:rPr>
                      <w:rFonts w:hint="default"/>
                      <w:lang w:val="en-US" w:eastAsia="zh-CN"/>
                    </w:rPr>
                    <w:t>本项目建立环境突发事件应急管理领导机构、完善环境突发应急预案体系、配备完善应急物资等手段来加强环境风险防控</w:t>
                  </w:r>
                  <w:r>
                    <w:rPr>
                      <w:rFonts w:hint="eastAsia"/>
                      <w:lang w:val="en-US" w:eastAsia="zh-CN"/>
                    </w:rPr>
                    <w:t>，</w:t>
                  </w:r>
                  <w:r>
                    <w:rPr>
                      <w:rFonts w:hint="default"/>
                      <w:lang w:val="en-US" w:eastAsia="zh-CN"/>
                    </w:rPr>
                    <w:t>加强应急物资储备及应急物资信息化建设</w:t>
                  </w:r>
                  <w:r>
                    <w:rPr>
                      <w:rFonts w:hint="eastAsia"/>
                      <w:lang w:val="en-US" w:eastAsia="zh-CN"/>
                    </w:rPr>
                    <w:t>，</w:t>
                  </w:r>
                  <w:r>
                    <w:rPr>
                      <w:rFonts w:hint="default"/>
                      <w:lang w:val="en-US" w:eastAsia="zh-CN"/>
                    </w:rPr>
                    <w:t>增强实战能力。</w:t>
                  </w:r>
                </w:p>
              </w:tc>
              <w:tc>
                <w:tcPr>
                  <w:tcW w:w="302" w:type="pct"/>
                  <w:gridSpan w:val="2"/>
                  <w:noWrap w:val="0"/>
                  <w:vAlign w:val="center"/>
                </w:tcPr>
                <w:p>
                  <w:pPr>
                    <w:pStyle w:val="66"/>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pct"/>
                  <w:noWrap w:val="0"/>
                  <w:vAlign w:val="center"/>
                </w:tcPr>
                <w:p>
                  <w:pPr>
                    <w:pStyle w:val="66"/>
                    <w:bidi w:val="0"/>
                    <w:rPr>
                      <w:rFonts w:hint="default"/>
                      <w:lang w:val="en-US" w:eastAsia="zh-CN"/>
                    </w:rPr>
                  </w:pPr>
                  <w:r>
                    <w:rPr>
                      <w:rFonts w:hint="eastAsia"/>
                      <w:lang w:val="en-US" w:eastAsia="zh-CN"/>
                    </w:rPr>
                    <w:t>A4资源利用要求</w:t>
                  </w:r>
                </w:p>
              </w:tc>
              <w:tc>
                <w:tcPr>
                  <w:tcW w:w="918" w:type="pct"/>
                  <w:noWrap w:val="0"/>
                  <w:vAlign w:val="center"/>
                </w:tcPr>
                <w:p>
                  <w:pPr>
                    <w:pStyle w:val="66"/>
                    <w:bidi w:val="0"/>
                    <w:rPr>
                      <w:rFonts w:hint="default"/>
                      <w:lang w:val="en-US" w:eastAsia="zh-CN"/>
                    </w:rPr>
                  </w:pPr>
                  <w:r>
                    <w:rPr>
                      <w:rFonts w:hint="eastAsia"/>
                      <w:lang w:val="en-US" w:eastAsia="zh-CN"/>
                    </w:rPr>
                    <w:t>A4.3能源利用</w:t>
                  </w:r>
                </w:p>
              </w:tc>
              <w:tc>
                <w:tcPr>
                  <w:tcW w:w="1635" w:type="pct"/>
                  <w:noWrap w:val="0"/>
                  <w:vAlign w:val="center"/>
                </w:tcPr>
                <w:p>
                  <w:pPr>
                    <w:pStyle w:val="66"/>
                    <w:bidi w:val="0"/>
                    <w:jc w:val="both"/>
                    <w:rPr>
                      <w:rFonts w:hint="default"/>
                      <w:lang w:val="en-US" w:eastAsia="zh-CN"/>
                    </w:rPr>
                  </w:pPr>
                  <w:r>
                    <w:rPr>
                      <w:rFonts w:hint="default"/>
                      <w:lang w:val="en-US" w:eastAsia="zh-CN"/>
                    </w:rPr>
                    <w:t>〔A4.3-6〕深入推进碳达峰碳中和行动。推动能源清洁低碳转型加强能耗</w:t>
                  </w:r>
                  <w:r>
                    <w:rPr>
                      <w:rFonts w:hint="eastAsia"/>
                      <w:lang w:val="en-US" w:eastAsia="zh-CN"/>
                    </w:rPr>
                    <w:t>“</w:t>
                  </w:r>
                  <w:r>
                    <w:rPr>
                      <w:rFonts w:hint="default"/>
                      <w:lang w:val="en-US" w:eastAsia="zh-CN"/>
                    </w:rPr>
                    <w:t>双控</w:t>
                  </w:r>
                  <w:r>
                    <w:rPr>
                      <w:rFonts w:hint="eastAsia"/>
                      <w:lang w:val="en-US" w:eastAsia="zh-CN"/>
                    </w:rPr>
                    <w:t>”</w:t>
                  </w:r>
                  <w:r>
                    <w:rPr>
                      <w:rFonts w:hint="default"/>
                      <w:lang w:val="en-US" w:eastAsia="zh-CN"/>
                    </w:rPr>
                    <w:t>管理，优化能源消费结构。新增原料用能不纳入能源消费总量控制。持续推进散煤整治。</w:t>
                  </w:r>
                </w:p>
              </w:tc>
              <w:tc>
                <w:tcPr>
                  <w:tcW w:w="1608" w:type="pct"/>
                  <w:noWrap w:val="0"/>
                  <w:vAlign w:val="center"/>
                </w:tcPr>
                <w:p>
                  <w:pPr>
                    <w:pStyle w:val="66"/>
                    <w:bidi w:val="0"/>
                    <w:jc w:val="both"/>
                    <w:rPr>
                      <w:rFonts w:hint="default" w:eastAsia="宋体"/>
                      <w:lang w:val="en-US" w:eastAsia="zh-CN"/>
                    </w:rPr>
                  </w:pPr>
                  <w:r>
                    <w:rPr>
                      <w:rFonts w:hint="eastAsia"/>
                      <w:lang w:val="en-US" w:eastAsia="zh-CN"/>
                    </w:rPr>
                    <w:t>本项目不适用该环境管理政策有关要求。</w:t>
                  </w:r>
                </w:p>
              </w:tc>
              <w:tc>
                <w:tcPr>
                  <w:tcW w:w="302" w:type="pct"/>
                  <w:gridSpan w:val="2"/>
                  <w:noWrap w:val="0"/>
                  <w:vAlign w:val="center"/>
                </w:tcPr>
                <w:p>
                  <w:pPr>
                    <w:pStyle w:val="66"/>
                    <w:bidi w:val="0"/>
                    <w:rPr>
                      <w:rFonts w:hint="default"/>
                      <w:lang w:val="en-US" w:eastAsia="zh-CN"/>
                    </w:rPr>
                  </w:pPr>
                  <w:r>
                    <w:rPr>
                      <w:rFonts w:hint="eastAsia"/>
                      <w:lang w:val="en-US" w:eastAsia="zh-CN"/>
                    </w:rPr>
                    <w:t>符合</w:t>
                  </w:r>
                </w:p>
              </w:tc>
            </w:tr>
          </w:tbl>
          <w:p>
            <w:pPr>
              <w:pStyle w:val="77"/>
              <w:keepNext w:val="0"/>
              <w:keepLines w:val="0"/>
              <w:suppressLineNumbers w:val="0"/>
              <w:bidi w:val="0"/>
              <w:spacing w:before="0" w:beforeAutospacing="0" w:after="0" w:afterAutospacing="0"/>
              <w:ind w:left="0" w:right="0"/>
              <w:rPr>
                <w:rFonts w:hint="default" w:cs="Times New Roman"/>
                <w:lang w:val="en-US" w:eastAsia="zh-CN"/>
              </w:rPr>
            </w:pPr>
            <w:r>
              <w:rPr>
                <w:rFonts w:hint="eastAsia"/>
                <w:lang w:val="en-US" w:eastAsia="zh-CN"/>
              </w:rPr>
              <w:t>（2）《关于印发巴音郭楞蒙古自治州“三线一单”生态环境分区管控动态更新成果（2023年）的通知》（巴政办发〔2024〕32号）符合性分析</w:t>
            </w:r>
            <w:r>
              <w:rPr>
                <w:rFonts w:hint="default" w:cs="Times New Roman"/>
                <w:lang w:val="en-US" w:eastAsia="zh-CN"/>
              </w:rPr>
              <w:t>。</w:t>
            </w:r>
          </w:p>
          <w:p>
            <w:pPr>
              <w:pStyle w:val="77"/>
              <w:keepNext w:val="0"/>
              <w:keepLines w:val="0"/>
              <w:suppressLineNumbers w:val="0"/>
              <w:bidi w:val="0"/>
              <w:spacing w:before="0" w:beforeAutospacing="0" w:after="0" w:afterAutospacing="0"/>
              <w:ind w:left="0" w:right="0"/>
              <w:rPr>
                <w:rFonts w:hint="eastAsia" w:cs="Times New Roman"/>
                <w:lang w:val="en-US" w:eastAsia="zh-CN"/>
              </w:rPr>
            </w:pPr>
            <w:r>
              <w:rPr>
                <w:rFonts w:hint="default" w:cs="Times New Roman"/>
                <w:lang w:val="en-US" w:eastAsia="zh-CN"/>
              </w:rPr>
              <w:t>本工程建设地点位于新疆巴音郭楞蒙古自治州若羌县塔东物流商贸综合园区，根据《巴音郭楞蒙古自治州生态环境准入清单》</w:t>
            </w:r>
            <w:r>
              <w:rPr>
                <w:rFonts w:hint="eastAsia" w:cs="Times New Roman"/>
                <w:lang w:val="en-US" w:eastAsia="zh-CN"/>
              </w:rPr>
              <w:t>（2023年）</w:t>
            </w:r>
            <w:r>
              <w:rPr>
                <w:rFonts w:hint="default" w:cs="Times New Roman"/>
                <w:lang w:val="en-US" w:eastAsia="zh-CN"/>
              </w:rPr>
              <w:t>，本工程所在环境管控单元管控要求详见</w:t>
            </w:r>
            <w:r>
              <w:rPr>
                <w:rFonts w:hint="eastAsia" w:cs="Times New Roman"/>
                <w:lang w:val="en-US" w:eastAsia="zh-CN"/>
              </w:rPr>
              <w:t>下</w:t>
            </w:r>
            <w:r>
              <w:rPr>
                <w:rFonts w:hint="default" w:cs="Times New Roman"/>
                <w:lang w:val="en-US" w:eastAsia="zh-CN"/>
              </w:rPr>
              <w:t>表。</w:t>
            </w:r>
          </w:p>
          <w:p>
            <w:pPr>
              <w:pStyle w:val="43"/>
              <w:keepNext w:val="0"/>
              <w:keepLines w:val="0"/>
              <w:suppressLineNumbers w:val="0"/>
              <w:bidi w:val="0"/>
              <w:spacing w:before="0" w:beforeAutospacing="0" w:after="0" w:afterAutospacing="0"/>
              <w:ind w:left="0" w:right="0"/>
              <w:rPr>
                <w:rFonts w:hint="eastAsia" w:cs="Times New Roman"/>
                <w:lang w:val="en-US" w:eastAsia="zh-CN"/>
              </w:rPr>
            </w:pPr>
            <w:r>
              <w:rPr>
                <w:rFonts w:hint="eastAsia" w:cs="Times New Roman"/>
                <w:lang w:val="en-US" w:eastAsia="zh-CN"/>
              </w:rPr>
              <w:t>表1-2    本项目与《巴音郭楞蒙古自治州生态环境准入清单》相符性分析</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676"/>
              <w:gridCol w:w="2933"/>
              <w:gridCol w:w="2524"/>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gridSpan w:val="2"/>
                  <w:noWrap w:val="0"/>
                  <w:vAlign w:val="center"/>
                </w:tcPr>
                <w:p>
                  <w:pPr>
                    <w:pStyle w:val="66"/>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环境管控单元编码</w:t>
                  </w:r>
                </w:p>
              </w:tc>
              <w:tc>
                <w:tcPr>
                  <w:tcW w:w="2065" w:type="pct"/>
                  <w:noWrap w:val="0"/>
                  <w:vAlign w:val="center"/>
                </w:tcPr>
                <w:p>
                  <w:pPr>
                    <w:pStyle w:val="66"/>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ZH652824</w:t>
                  </w:r>
                  <w:r>
                    <w:rPr>
                      <w:rFonts w:hint="eastAsia"/>
                      <w:lang w:val="en-US" w:eastAsia="zh-CN"/>
                    </w:rPr>
                    <w:t>30001</w:t>
                  </w:r>
                </w:p>
              </w:tc>
              <w:tc>
                <w:tcPr>
                  <w:tcW w:w="1777" w:type="pct"/>
                  <w:vMerge w:val="restart"/>
                  <w:noWrap w:val="0"/>
                  <w:vAlign w:val="center"/>
                </w:tcPr>
                <w:p>
                  <w:pPr>
                    <w:pStyle w:val="66"/>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本工程情况</w:t>
                  </w:r>
                </w:p>
              </w:tc>
              <w:tc>
                <w:tcPr>
                  <w:tcW w:w="343" w:type="pct"/>
                  <w:vMerge w:val="restart"/>
                  <w:noWrap w:val="0"/>
                  <w:vAlign w:val="center"/>
                </w:tcPr>
                <w:p>
                  <w:pPr>
                    <w:pStyle w:val="66"/>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gridSpan w:val="2"/>
                  <w:noWrap w:val="0"/>
                  <w:vAlign w:val="center"/>
                </w:tcPr>
                <w:p>
                  <w:pPr>
                    <w:pStyle w:val="66"/>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环境管控单元名称</w:t>
                  </w:r>
                </w:p>
              </w:tc>
              <w:tc>
                <w:tcPr>
                  <w:tcW w:w="2065" w:type="pct"/>
                  <w:noWrap w:val="0"/>
                  <w:vAlign w:val="center"/>
                </w:tcPr>
                <w:p>
                  <w:pPr>
                    <w:pStyle w:val="66"/>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若羌县一般管控区</w:t>
                  </w:r>
                </w:p>
              </w:tc>
              <w:tc>
                <w:tcPr>
                  <w:tcW w:w="1777" w:type="pct"/>
                  <w:vMerge w:val="continue"/>
                  <w:noWrap w:val="0"/>
                  <w:vAlign w:val="center"/>
                </w:tcPr>
                <w:p>
                  <w:pPr>
                    <w:pStyle w:val="66"/>
                    <w:keepNext w:val="0"/>
                    <w:keepLines w:val="0"/>
                    <w:suppressLineNumbers w:val="0"/>
                    <w:bidi w:val="0"/>
                    <w:spacing w:before="0" w:beforeAutospacing="0" w:after="0" w:afterAutospacing="0"/>
                    <w:ind w:left="0" w:right="0"/>
                    <w:rPr>
                      <w:rFonts w:hint="default"/>
                      <w:lang w:val="en-US" w:eastAsia="zh-CN"/>
                    </w:rPr>
                  </w:pPr>
                </w:p>
              </w:tc>
              <w:tc>
                <w:tcPr>
                  <w:tcW w:w="343" w:type="pct"/>
                  <w:vMerge w:val="continue"/>
                  <w:noWrap w:val="0"/>
                  <w:vAlign w:val="center"/>
                </w:tcPr>
                <w:p>
                  <w:pPr>
                    <w:pStyle w:val="66"/>
                    <w:keepNext w:val="0"/>
                    <w:keepLines w:val="0"/>
                    <w:suppressLineNumbers w:val="0"/>
                    <w:bidi w:val="0"/>
                    <w:spacing w:before="0" w:beforeAutospacing="0" w:after="0" w:afterAutospacing="0"/>
                    <w:ind w:left="0"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gridSpan w:val="2"/>
                  <w:noWrap w:val="0"/>
                  <w:vAlign w:val="center"/>
                </w:tcPr>
                <w:p>
                  <w:pPr>
                    <w:pStyle w:val="66"/>
                    <w:keepNext w:val="0"/>
                    <w:keepLines w:val="0"/>
                    <w:suppressLineNumbers w:val="0"/>
                    <w:bidi w:val="0"/>
                    <w:spacing w:before="0" w:beforeAutospacing="0" w:after="0" w:afterAutospacing="0"/>
                    <w:ind w:left="0" w:right="0"/>
                    <w:rPr>
                      <w:rFonts w:hint="default"/>
                      <w:lang w:val="en-US" w:eastAsia="zh-CN"/>
                    </w:rPr>
                  </w:pPr>
                  <w:r>
                    <w:rPr>
                      <w:rFonts w:hint="default"/>
                    </w:rPr>
                    <w:t>环境管控单元类别</w:t>
                  </w:r>
                </w:p>
              </w:tc>
              <w:tc>
                <w:tcPr>
                  <w:tcW w:w="2065" w:type="pct"/>
                  <w:noWrap w:val="0"/>
                  <w:vAlign w:val="center"/>
                </w:tcPr>
                <w:p>
                  <w:pPr>
                    <w:pStyle w:val="66"/>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一般管控单元</w:t>
                  </w:r>
                </w:p>
              </w:tc>
              <w:tc>
                <w:tcPr>
                  <w:tcW w:w="1777" w:type="pct"/>
                  <w:vMerge w:val="continue"/>
                  <w:noWrap w:val="0"/>
                  <w:vAlign w:val="center"/>
                </w:tcPr>
                <w:p>
                  <w:pPr>
                    <w:pStyle w:val="66"/>
                    <w:keepNext w:val="0"/>
                    <w:keepLines w:val="0"/>
                    <w:suppressLineNumbers w:val="0"/>
                    <w:bidi w:val="0"/>
                    <w:spacing w:before="0" w:beforeAutospacing="0" w:after="0" w:afterAutospacing="0"/>
                    <w:ind w:left="0" w:right="0"/>
                    <w:rPr>
                      <w:rFonts w:hint="default"/>
                      <w:lang w:val="en-US" w:eastAsia="zh-CN"/>
                    </w:rPr>
                  </w:pPr>
                </w:p>
              </w:tc>
              <w:tc>
                <w:tcPr>
                  <w:tcW w:w="343" w:type="pct"/>
                  <w:vMerge w:val="continue"/>
                  <w:noWrap w:val="0"/>
                  <w:vAlign w:val="center"/>
                </w:tcPr>
                <w:p>
                  <w:pPr>
                    <w:pStyle w:val="66"/>
                    <w:keepNext w:val="0"/>
                    <w:keepLines w:val="0"/>
                    <w:suppressLineNumbers w:val="0"/>
                    <w:bidi w:val="0"/>
                    <w:spacing w:before="0" w:beforeAutospacing="0" w:after="0" w:afterAutospacing="0"/>
                    <w:ind w:left="0"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 w:type="pct"/>
                  <w:vMerge w:val="restart"/>
                  <w:noWrap w:val="0"/>
                  <w:vAlign w:val="center"/>
                </w:tcPr>
                <w:p>
                  <w:pPr>
                    <w:pStyle w:val="66"/>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管控要求</w:t>
                  </w:r>
                </w:p>
              </w:tc>
              <w:tc>
                <w:tcPr>
                  <w:tcW w:w="476" w:type="pct"/>
                  <w:noWrap w:val="0"/>
                  <w:vAlign w:val="center"/>
                </w:tcPr>
                <w:p>
                  <w:pPr>
                    <w:pStyle w:val="66"/>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空间布局约束</w:t>
                  </w:r>
                </w:p>
              </w:tc>
              <w:tc>
                <w:tcPr>
                  <w:tcW w:w="2065" w:type="pct"/>
                  <w:noWrap w:val="0"/>
                  <w:vAlign w:val="center"/>
                </w:tcPr>
                <w:p>
                  <w:pPr>
                    <w:pStyle w:val="66"/>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1.建设项目用地原则上不得占用基本农田，确需占用基本农田的建设项目须符合《中华人民共和国基本农田保护条例》中相关要求，占用耕地、林地或草地的建设项目须按照国家、自治区相关补偿要求进行补偿。</w:t>
                  </w:r>
                </w:p>
                <w:p>
                  <w:pPr>
                    <w:pStyle w:val="66"/>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5.禁止向沙漠、滩涂、盐碱地、沼泽地等非法排污、倾倒有毒有害物质。</w:t>
                  </w:r>
                </w:p>
              </w:tc>
              <w:tc>
                <w:tcPr>
                  <w:tcW w:w="1777" w:type="pct"/>
                  <w:noWrap w:val="0"/>
                  <w:vAlign w:val="center"/>
                </w:tcPr>
                <w:p>
                  <w:pPr>
                    <w:pStyle w:val="66"/>
                    <w:bidi w:val="0"/>
                    <w:jc w:val="both"/>
                    <w:rPr>
                      <w:rFonts w:hint="eastAsia"/>
                      <w:lang w:val="en-US" w:eastAsia="zh-CN"/>
                    </w:rPr>
                  </w:pPr>
                  <w:r>
                    <w:rPr>
                      <w:rFonts w:hint="eastAsia"/>
                      <w:lang w:val="en-US" w:eastAsia="zh-CN"/>
                    </w:rPr>
                    <w:t>本项目位于</w:t>
                  </w:r>
                  <w:r>
                    <w:rPr>
                      <w:rFonts w:hint="default"/>
                      <w:lang w:val="en-US" w:eastAsia="zh-CN"/>
                    </w:rPr>
                    <w:t>新疆巴音郭楞蒙古自治州若羌县塔东物流商贸综合园区</w:t>
                  </w:r>
                  <w:r>
                    <w:rPr>
                      <w:rFonts w:hint="eastAsia"/>
                      <w:lang w:val="en-US" w:eastAsia="zh-CN"/>
                    </w:rPr>
                    <w:t>内，项目用地为工业用地，不占用基本农田。</w:t>
                  </w:r>
                </w:p>
                <w:p>
                  <w:pPr>
                    <w:pStyle w:val="66"/>
                    <w:bidi w:val="0"/>
                    <w:jc w:val="both"/>
                    <w:rPr>
                      <w:rFonts w:hint="default" w:cs="Times New Roman"/>
                      <w:lang w:val="en-US" w:eastAsia="zh-CN"/>
                    </w:rPr>
                  </w:pPr>
                  <w:r>
                    <w:rPr>
                      <w:rFonts w:hint="eastAsia"/>
                      <w:lang w:val="en-US" w:eastAsia="zh-CN"/>
                    </w:rPr>
                    <w:t>本项目产生的废润滑油和废润滑油桶经危险废物贮存点暂存后，定期交由有资质的单位进行处理，不向沙漠、滩涂、盐碱地、沼泽地等非法排污、倾倒有毒有害物质。</w:t>
                  </w:r>
                </w:p>
              </w:tc>
              <w:tc>
                <w:tcPr>
                  <w:tcW w:w="343" w:type="pct"/>
                  <w:noWrap w:val="0"/>
                  <w:vAlign w:val="center"/>
                </w:tcPr>
                <w:p>
                  <w:pPr>
                    <w:pStyle w:val="66"/>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Merge w:val="continue"/>
                  <w:noWrap w:val="0"/>
                  <w:vAlign w:val="top"/>
                </w:tcPr>
                <w:p>
                  <w:pPr>
                    <w:pStyle w:val="66"/>
                    <w:keepNext w:val="0"/>
                    <w:keepLines w:val="0"/>
                    <w:suppressLineNumbers w:val="0"/>
                    <w:bidi w:val="0"/>
                    <w:spacing w:before="0" w:beforeAutospacing="0" w:after="0" w:afterAutospacing="0"/>
                    <w:ind w:left="0" w:right="0"/>
                    <w:rPr>
                      <w:rFonts w:hint="default"/>
                      <w:lang w:val="en-US" w:eastAsia="zh-CN"/>
                    </w:rPr>
                  </w:pPr>
                </w:p>
              </w:tc>
              <w:tc>
                <w:tcPr>
                  <w:tcW w:w="476" w:type="pct"/>
                  <w:noWrap w:val="0"/>
                  <w:vAlign w:val="center"/>
                </w:tcPr>
                <w:p>
                  <w:pPr>
                    <w:pStyle w:val="66"/>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污染物排放管控</w:t>
                  </w:r>
                </w:p>
              </w:tc>
              <w:tc>
                <w:tcPr>
                  <w:tcW w:w="2065" w:type="pct"/>
                  <w:noWrap w:val="0"/>
                  <w:vAlign w:val="center"/>
                </w:tcPr>
                <w:p>
                  <w:pPr>
                    <w:pStyle w:val="66"/>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4.对化学品生产企业、工业集聚区、尾矿库、矿山开采区、危险废物处置场、垃圾填埋场等地下水污染源及周边区域，逐步开展地下水环境状况调查评估，加强风险管控。</w:t>
                  </w:r>
                </w:p>
                <w:p>
                  <w:pPr>
                    <w:pStyle w:val="66"/>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6.因地制宜推进农村厕所革命，分类分区推进农村生活污水治理，全面提升农村生活垃圾治理水平，建立健全农村人居环境长效管护机制。实施化肥农药减量增效行动和农膜回收、秸秆综合利用行动。加强种养结合，整县推进畜禽粪污资源化利用。</w:t>
                  </w:r>
                </w:p>
              </w:tc>
              <w:tc>
                <w:tcPr>
                  <w:tcW w:w="1777" w:type="pct"/>
                  <w:noWrap w:val="0"/>
                  <w:vAlign w:val="center"/>
                </w:tcPr>
                <w:p>
                  <w:pPr>
                    <w:pStyle w:val="6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lang w:val="en-US" w:eastAsia="zh-CN"/>
                    </w:rPr>
                  </w:pPr>
                  <w:r>
                    <w:rPr>
                      <w:rFonts w:hint="eastAsia"/>
                      <w:lang w:val="en-US" w:eastAsia="zh-CN"/>
                    </w:rPr>
                    <w:t>本项目不适用该管控要求</w:t>
                  </w:r>
                  <w:r>
                    <w:rPr>
                      <w:rFonts w:hint="default"/>
                      <w:lang w:val="en-US" w:eastAsia="zh-CN"/>
                    </w:rPr>
                    <w:t>。</w:t>
                  </w:r>
                </w:p>
              </w:tc>
              <w:tc>
                <w:tcPr>
                  <w:tcW w:w="343" w:type="pct"/>
                  <w:noWrap w:val="0"/>
                  <w:vAlign w:val="center"/>
                </w:tcPr>
                <w:p>
                  <w:pPr>
                    <w:pStyle w:val="66"/>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Merge w:val="continue"/>
                  <w:noWrap w:val="0"/>
                  <w:vAlign w:val="top"/>
                </w:tcPr>
                <w:p>
                  <w:pPr>
                    <w:pStyle w:val="66"/>
                    <w:keepNext w:val="0"/>
                    <w:keepLines w:val="0"/>
                    <w:suppressLineNumbers w:val="0"/>
                    <w:bidi w:val="0"/>
                    <w:spacing w:before="0" w:beforeAutospacing="0" w:after="0" w:afterAutospacing="0"/>
                    <w:ind w:left="0" w:right="0"/>
                    <w:rPr>
                      <w:rFonts w:hint="default"/>
                      <w:lang w:val="en-US" w:eastAsia="zh-CN"/>
                    </w:rPr>
                  </w:pPr>
                </w:p>
              </w:tc>
              <w:tc>
                <w:tcPr>
                  <w:tcW w:w="476" w:type="pct"/>
                  <w:noWrap w:val="0"/>
                  <w:vAlign w:val="center"/>
                </w:tcPr>
                <w:p>
                  <w:pPr>
                    <w:pStyle w:val="66"/>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环境风险防控</w:t>
                  </w:r>
                </w:p>
              </w:tc>
              <w:tc>
                <w:tcPr>
                  <w:tcW w:w="2065" w:type="pct"/>
                  <w:noWrap w:val="0"/>
                  <w:vAlign w:val="center"/>
                </w:tcPr>
                <w:p>
                  <w:pPr>
                    <w:pStyle w:val="66"/>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4.定期对企业及周边土壤进行监测；对不符合法律法规和相关标准要求的，应当根据监测结果，要求运营单位采取相应改进措施。土壤环境监管重点行业企业拆除生产设施设备、构筑物和污染治理设施，要事先制定残留污染物清理和安全处置方案，并报所在地县级生态环境、工业和信息化部门备案；要严格按照有关规定实施安全处理处置，防范拆除活动污染土壤。</w:t>
                  </w:r>
                </w:p>
              </w:tc>
              <w:tc>
                <w:tcPr>
                  <w:tcW w:w="1777" w:type="pct"/>
                  <w:noWrap w:val="0"/>
                  <w:vAlign w:val="top"/>
                </w:tcPr>
                <w:p>
                  <w:pPr>
                    <w:pStyle w:val="66"/>
                    <w:keepNext w:val="0"/>
                    <w:keepLines w:val="0"/>
                    <w:suppressLineNumbers w:val="0"/>
                    <w:bidi w:val="0"/>
                    <w:spacing w:before="0" w:beforeAutospacing="0" w:after="0" w:afterAutospacing="0"/>
                    <w:ind w:left="0" w:right="0"/>
                    <w:jc w:val="both"/>
                    <w:rPr>
                      <w:rFonts w:hint="default"/>
                      <w:lang w:val="en-US" w:eastAsia="zh-CN"/>
                    </w:rPr>
                  </w:pPr>
                  <w:r>
                    <w:rPr>
                      <w:rFonts w:hint="eastAsia"/>
                      <w:lang w:val="en-US" w:eastAsia="zh-CN"/>
                    </w:rPr>
                    <w:t>本项目位于新疆巴音郭楞蒙古自治州若羌县塔东物流商贸综合园区，项目周边无环境敏感保护目标。后期企业会根据项目现状编制应急预案。</w:t>
                  </w:r>
                </w:p>
              </w:tc>
              <w:tc>
                <w:tcPr>
                  <w:tcW w:w="343" w:type="pct"/>
                  <w:noWrap w:val="0"/>
                  <w:vAlign w:val="center"/>
                </w:tcPr>
                <w:p>
                  <w:pPr>
                    <w:pStyle w:val="66"/>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Merge w:val="continue"/>
                  <w:noWrap w:val="0"/>
                  <w:vAlign w:val="top"/>
                </w:tcPr>
                <w:p>
                  <w:pPr>
                    <w:pStyle w:val="66"/>
                    <w:keepNext w:val="0"/>
                    <w:keepLines w:val="0"/>
                    <w:suppressLineNumbers w:val="0"/>
                    <w:bidi w:val="0"/>
                    <w:spacing w:before="0" w:beforeAutospacing="0" w:after="0" w:afterAutospacing="0"/>
                    <w:ind w:left="0" w:right="0"/>
                    <w:rPr>
                      <w:rFonts w:hint="default"/>
                      <w:lang w:val="en-US" w:eastAsia="zh-CN"/>
                    </w:rPr>
                  </w:pPr>
                </w:p>
              </w:tc>
              <w:tc>
                <w:tcPr>
                  <w:tcW w:w="476" w:type="pct"/>
                  <w:noWrap w:val="0"/>
                  <w:vAlign w:val="center"/>
                </w:tcPr>
                <w:p>
                  <w:pPr>
                    <w:pStyle w:val="66"/>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资源利用效率</w:t>
                  </w:r>
                </w:p>
              </w:tc>
              <w:tc>
                <w:tcPr>
                  <w:tcW w:w="2065" w:type="pct"/>
                  <w:noWrap w:val="0"/>
                  <w:vAlign w:val="center"/>
                </w:tcPr>
                <w:p>
                  <w:pPr>
                    <w:pStyle w:val="66"/>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1.全面推进秸秆综合利用，鼓励秸秆资源化、饲料化、肥料化利用，推动秸秆还田与离田收集。</w:t>
                  </w:r>
                </w:p>
                <w:p>
                  <w:pPr>
                    <w:pStyle w:val="66"/>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2.减少化肥农药使用量，增加有机肥使用量，实现化肥农药使用量负增长。</w:t>
                  </w:r>
                </w:p>
                <w:p>
                  <w:pPr>
                    <w:pStyle w:val="66"/>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3.推广渠道防渗、管道输水、喷灌、微灌等节水灌溉技术，完善灌溉用水计量设施。推进规模化高效节水灌溉，推广农作物节水抗旱技术。建立灌区墒情测报网络，提高农业用水效率，降低农业用水比重。</w:t>
                  </w:r>
                </w:p>
                <w:p>
                  <w:pPr>
                    <w:pStyle w:val="66"/>
                    <w:keepNext w:val="0"/>
                    <w:keepLines w:val="0"/>
                    <w:suppressLineNumbers w:val="0"/>
                    <w:bidi w:val="0"/>
                    <w:spacing w:before="0" w:beforeAutospacing="0" w:after="0" w:afterAutospacing="0"/>
                    <w:ind w:left="0" w:right="0"/>
                    <w:jc w:val="both"/>
                    <w:rPr>
                      <w:rFonts w:hint="default"/>
                      <w:lang w:val="en-US" w:eastAsia="zh-CN"/>
                    </w:rPr>
                  </w:pPr>
                  <w:r>
                    <w:rPr>
                      <w:rFonts w:hint="default"/>
                      <w:lang w:val="en-US" w:eastAsia="zh-CN"/>
                    </w:rPr>
                    <w:t>4.废石综合回用、尾矿砂利用率参考《新疆维吾尔自治区重点行业环境准入条件（修订）》等相关文件要求。</w:t>
                  </w:r>
                </w:p>
              </w:tc>
              <w:tc>
                <w:tcPr>
                  <w:tcW w:w="1777" w:type="pct"/>
                  <w:noWrap w:val="0"/>
                  <w:vAlign w:val="center"/>
                </w:tcPr>
                <w:p>
                  <w:pPr>
                    <w:pStyle w:val="66"/>
                    <w:keepNext w:val="0"/>
                    <w:keepLines w:val="0"/>
                    <w:suppressLineNumbers w:val="0"/>
                    <w:bidi w:val="0"/>
                    <w:spacing w:before="0" w:beforeAutospacing="0" w:after="0" w:afterAutospacing="0"/>
                    <w:ind w:left="0" w:right="0"/>
                    <w:jc w:val="both"/>
                    <w:rPr>
                      <w:rFonts w:hint="default"/>
                      <w:lang w:val="en-US" w:eastAsia="zh-CN"/>
                    </w:rPr>
                  </w:pPr>
                  <w:r>
                    <w:rPr>
                      <w:rFonts w:hint="eastAsia"/>
                      <w:lang w:val="en-US" w:eastAsia="zh-CN"/>
                    </w:rPr>
                    <w:t>本项目不适用该管控要求。</w:t>
                  </w:r>
                </w:p>
              </w:tc>
              <w:tc>
                <w:tcPr>
                  <w:tcW w:w="343" w:type="pct"/>
                  <w:noWrap w:val="0"/>
                  <w:vAlign w:val="center"/>
                </w:tcPr>
                <w:p>
                  <w:pPr>
                    <w:pStyle w:val="66"/>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符合</w:t>
                  </w:r>
                </w:p>
              </w:tc>
            </w:tr>
          </w:tbl>
          <w:p>
            <w:pPr>
              <w:pStyle w:val="67"/>
              <w:bidi w:val="0"/>
              <w:rPr>
                <w:rStyle w:val="29"/>
                <w:rFonts w:hint="default" w:ascii="Times New Roman" w:hAnsi="Times New Roman" w:eastAsia="宋体" w:cs="Times New Roman"/>
                <w:kern w:val="0"/>
                <w:sz w:val="21"/>
                <w:szCs w:val="21"/>
                <w:lang w:val="en-US" w:eastAsia="zh-CN"/>
              </w:rPr>
            </w:pPr>
            <w:r>
              <w:rPr>
                <w:rStyle w:val="29"/>
                <w:rFonts w:hint="eastAsia" w:cs="Times New Roman"/>
                <w:kern w:val="0"/>
                <w:sz w:val="21"/>
                <w:szCs w:val="21"/>
                <w:lang w:val="en-US" w:eastAsia="zh-CN"/>
              </w:rPr>
              <w:t>4.</w:t>
            </w:r>
            <w:r>
              <w:rPr>
                <w:rFonts w:hint="eastAsia"/>
                <w:lang w:val="en-US" w:eastAsia="zh-CN"/>
              </w:rPr>
              <w:t>环境管理政策分析</w:t>
            </w:r>
          </w:p>
          <w:p>
            <w:pPr>
              <w:pStyle w:val="68"/>
              <w:bidi w:val="0"/>
              <w:rPr>
                <w:rFonts w:hint="default"/>
                <w:lang w:val="en-US" w:eastAsia="zh-CN"/>
              </w:rPr>
            </w:pPr>
            <w:r>
              <w:rPr>
                <w:rFonts w:hint="eastAsia"/>
                <w:lang w:val="en-US" w:eastAsia="zh-CN"/>
              </w:rPr>
              <w:t>本项目环境管理政策分析详见下表。</w:t>
            </w:r>
          </w:p>
          <w:p>
            <w:pPr>
              <w:pStyle w:val="65"/>
              <w:bidi w:val="0"/>
              <w:rPr>
                <w:rFonts w:hint="default"/>
                <w:lang w:val="en-US" w:eastAsia="zh-CN"/>
              </w:rPr>
            </w:pPr>
            <w:r>
              <w:rPr>
                <w:rFonts w:hint="eastAsia"/>
                <w:lang w:val="en-US" w:eastAsia="zh-CN"/>
              </w:rPr>
              <w:t>表1-3    环境管理政策符合性分析</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2385"/>
              <w:gridCol w:w="2421"/>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pct"/>
                  <w:noWrap w:val="0"/>
                  <w:vAlign w:val="center"/>
                </w:tcPr>
                <w:p>
                  <w:pPr>
                    <w:pStyle w:val="70"/>
                    <w:bidi w:val="0"/>
                    <w:jc w:val="center"/>
                    <w:rPr>
                      <w:rFonts w:hint="eastAsia"/>
                      <w:lang w:val="en-US" w:eastAsia="zh-CN"/>
                    </w:rPr>
                  </w:pPr>
                  <w:r>
                    <w:rPr>
                      <w:rFonts w:hint="eastAsia"/>
                      <w:lang w:val="en-US" w:eastAsia="zh-CN"/>
                    </w:rPr>
                    <w:t>文件</w:t>
                  </w:r>
                </w:p>
              </w:tc>
              <w:tc>
                <w:tcPr>
                  <w:tcW w:w="1680" w:type="pct"/>
                  <w:noWrap w:val="0"/>
                  <w:vAlign w:val="center"/>
                </w:tcPr>
                <w:p>
                  <w:pPr>
                    <w:pStyle w:val="70"/>
                    <w:bidi w:val="0"/>
                    <w:rPr>
                      <w:rFonts w:hint="default"/>
                    </w:rPr>
                  </w:pPr>
                  <w:r>
                    <w:rPr>
                      <w:rFonts w:hint="default"/>
                    </w:rPr>
                    <w:t>环境管理政策要求</w:t>
                  </w:r>
                </w:p>
              </w:tc>
              <w:tc>
                <w:tcPr>
                  <w:tcW w:w="1705" w:type="pct"/>
                  <w:noWrap w:val="0"/>
                  <w:vAlign w:val="center"/>
                </w:tcPr>
                <w:p>
                  <w:pPr>
                    <w:pStyle w:val="70"/>
                    <w:bidi w:val="0"/>
                    <w:rPr>
                      <w:rFonts w:hint="default"/>
                      <w:lang w:val="en-US" w:eastAsia="zh-CN"/>
                    </w:rPr>
                  </w:pPr>
                  <w:r>
                    <w:rPr>
                      <w:rFonts w:hint="eastAsia"/>
                      <w:lang w:val="en-US" w:eastAsia="zh-CN"/>
                    </w:rPr>
                    <w:t>本项目情况</w:t>
                  </w:r>
                </w:p>
              </w:tc>
              <w:tc>
                <w:tcPr>
                  <w:tcW w:w="473" w:type="pct"/>
                  <w:noWrap w:val="0"/>
                  <w:vAlign w:val="center"/>
                </w:tcPr>
                <w:p>
                  <w:pPr>
                    <w:pStyle w:val="70"/>
                    <w:bidi w:val="0"/>
                    <w:rPr>
                      <w:rFonts w:hint="default"/>
                      <w:lang w:val="en-US" w:eastAsia="zh-CN"/>
                    </w:rPr>
                  </w:pPr>
                  <w:r>
                    <w:rPr>
                      <w:rFonts w:hint="eastAsia"/>
                      <w:lang w:val="en-US" w:eastAsia="zh-CN"/>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pct"/>
                  <w:noWrap w:val="0"/>
                  <w:vAlign w:val="center"/>
                </w:tcPr>
                <w:p>
                  <w:pPr>
                    <w:pStyle w:val="70"/>
                    <w:keepNext w:val="0"/>
                    <w:keepLines w:val="0"/>
                    <w:pageBreakBefore w:val="0"/>
                    <w:widowControl w:val="0"/>
                    <w:kinsoku/>
                    <w:wordWrap w:val="0"/>
                    <w:overflowPunct/>
                    <w:topLinePunct w:val="0"/>
                    <w:autoSpaceDE/>
                    <w:autoSpaceDN/>
                    <w:bidi w:val="0"/>
                    <w:adjustRightInd/>
                    <w:snapToGrid/>
                    <w:jc w:val="center"/>
                    <w:textAlignment w:val="auto"/>
                    <w:rPr>
                      <w:rFonts w:hint="eastAsia"/>
                      <w:lang w:eastAsia="zh-CN"/>
                    </w:rPr>
                  </w:pPr>
                  <w:r>
                    <w:rPr>
                      <w:rFonts w:hint="eastAsia"/>
                    </w:rPr>
                    <w:t>《</w:t>
                  </w:r>
                  <w:r>
                    <w:rPr>
                      <w:rFonts w:hint="eastAsia"/>
                      <w:lang w:eastAsia="zh-CN"/>
                    </w:rPr>
                    <w:t>中华人民共和国</w:t>
                  </w:r>
                  <w:r>
                    <w:rPr>
                      <w:rFonts w:hint="eastAsia"/>
                    </w:rPr>
                    <w:t>大气污染防治法》</w:t>
                  </w:r>
                  <w:r>
                    <w:rPr>
                      <w:rFonts w:hint="eastAsia"/>
                      <w:lang w:eastAsia="zh-CN"/>
                    </w:rPr>
                    <w:t>（</w:t>
                  </w:r>
                  <w:r>
                    <w:rPr>
                      <w:rFonts w:hint="eastAsia"/>
                      <w:lang w:val="en-US" w:eastAsia="zh-CN"/>
                    </w:rPr>
                    <w:t>2018-11-13</w:t>
                  </w:r>
                  <w:r>
                    <w:rPr>
                      <w:rFonts w:hint="eastAsia"/>
                      <w:lang w:eastAsia="zh-CN"/>
                    </w:rPr>
                    <w:t>）</w:t>
                  </w:r>
                </w:p>
              </w:tc>
              <w:tc>
                <w:tcPr>
                  <w:tcW w:w="1680" w:type="pct"/>
                  <w:noWrap w:val="0"/>
                  <w:vAlign w:val="center"/>
                </w:tcPr>
                <w:p>
                  <w:pPr>
                    <w:pStyle w:val="70"/>
                    <w:keepNext w:val="0"/>
                    <w:keepLines w:val="0"/>
                    <w:pageBreakBefore w:val="0"/>
                    <w:widowControl w:val="0"/>
                    <w:kinsoku/>
                    <w:wordWrap w:val="0"/>
                    <w:overflowPunct/>
                    <w:topLinePunct w:val="0"/>
                    <w:autoSpaceDE/>
                    <w:autoSpaceDN/>
                    <w:bidi w:val="0"/>
                    <w:adjustRightInd/>
                    <w:snapToGrid/>
                    <w:jc w:val="both"/>
                    <w:textAlignment w:val="auto"/>
                    <w:rPr>
                      <w:rFonts w:hint="eastAsia"/>
                      <w:lang w:eastAsia="zh-CN"/>
                    </w:rPr>
                  </w:pPr>
                  <w:r>
                    <w:rPr>
                      <w:rFonts w:hint="eastAsia"/>
                    </w:rPr>
                    <w:t>第七条：企业事业单位和其他生产经营者，应当采取有效措施，防止、减少大气污染，对所造成的损害依法承担责任</w:t>
                  </w:r>
                  <w:r>
                    <w:rPr>
                      <w:rFonts w:hint="eastAsia"/>
                      <w:lang w:eastAsia="zh-CN"/>
                    </w:rPr>
                    <w:t>。</w:t>
                  </w:r>
                </w:p>
              </w:tc>
              <w:tc>
                <w:tcPr>
                  <w:tcW w:w="1705" w:type="pct"/>
                  <w:noWrap w:val="0"/>
                  <w:vAlign w:val="center"/>
                </w:tcPr>
                <w:p>
                  <w:pPr>
                    <w:pStyle w:val="70"/>
                    <w:keepNext w:val="0"/>
                    <w:keepLines w:val="0"/>
                    <w:pageBreakBefore w:val="0"/>
                    <w:widowControl w:val="0"/>
                    <w:kinsoku/>
                    <w:wordWrap w:val="0"/>
                    <w:overflowPunct/>
                    <w:topLinePunct w:val="0"/>
                    <w:autoSpaceDE/>
                    <w:autoSpaceDN/>
                    <w:bidi w:val="0"/>
                    <w:adjustRightInd/>
                    <w:snapToGrid/>
                    <w:jc w:val="both"/>
                    <w:textAlignment w:val="auto"/>
                    <w:rPr>
                      <w:rFonts w:hint="eastAsia" w:eastAsia="宋体"/>
                      <w:lang w:eastAsia="zh-CN"/>
                    </w:rPr>
                  </w:pPr>
                  <w:r>
                    <w:rPr>
                      <w:rFonts w:hint="default" w:cs="Times New Roman"/>
                    </w:rPr>
                    <w:t>本项目生产过程中产生的颗粒物经袋式除尘器处理后</w:t>
                  </w:r>
                  <w:r>
                    <w:rPr>
                      <w:rFonts w:hint="eastAsia" w:cs="Times New Roman"/>
                      <w:lang w:val="en-US" w:eastAsia="zh-CN"/>
                    </w:rPr>
                    <w:t>通过1根</w:t>
                  </w:r>
                  <w:r>
                    <w:rPr>
                      <w:rFonts w:hint="default" w:cs="Times New Roman"/>
                    </w:rPr>
                    <w:t>15m高排气筒进行达标排放</w:t>
                  </w:r>
                  <w:r>
                    <w:rPr>
                      <w:rFonts w:hint="eastAsia" w:cs="Times New Roman"/>
                      <w:lang w:eastAsia="zh-CN"/>
                    </w:rPr>
                    <w:t>。</w:t>
                  </w:r>
                </w:p>
              </w:tc>
              <w:tc>
                <w:tcPr>
                  <w:tcW w:w="473" w:type="pct"/>
                  <w:noWrap w:val="0"/>
                  <w:vAlign w:val="center"/>
                </w:tcPr>
                <w:p>
                  <w:pPr>
                    <w:pStyle w:val="70"/>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0" w:type="pct"/>
                  <w:noWrap w:val="0"/>
                  <w:vAlign w:val="center"/>
                </w:tcPr>
                <w:p>
                  <w:pPr>
                    <w:pStyle w:val="70"/>
                    <w:keepNext w:val="0"/>
                    <w:keepLines w:val="0"/>
                    <w:pageBreakBefore w:val="0"/>
                    <w:widowControl w:val="0"/>
                    <w:kinsoku/>
                    <w:wordWrap w:val="0"/>
                    <w:overflowPunct/>
                    <w:topLinePunct w:val="0"/>
                    <w:autoSpaceDE/>
                    <w:autoSpaceDN/>
                    <w:bidi w:val="0"/>
                    <w:adjustRightInd/>
                    <w:snapToGrid/>
                    <w:jc w:val="center"/>
                    <w:textAlignment w:val="auto"/>
                    <w:rPr>
                      <w:rFonts w:hint="eastAsia"/>
                      <w:lang w:eastAsia="zh-CN"/>
                    </w:rPr>
                  </w:pPr>
                  <w:r>
                    <w:rPr>
                      <w:rFonts w:hint="eastAsia"/>
                    </w:rPr>
                    <w:t>《中华人民共和国噪声污染防治法》</w:t>
                  </w:r>
                  <w:r>
                    <w:rPr>
                      <w:rFonts w:hint="eastAsia"/>
                      <w:lang w:eastAsia="zh-CN"/>
                    </w:rPr>
                    <w:t>（</w:t>
                  </w:r>
                  <w:r>
                    <w:rPr>
                      <w:rFonts w:hint="eastAsia"/>
                      <w:lang w:val="en-US" w:eastAsia="zh-CN"/>
                    </w:rPr>
                    <w:t>2021-12-25</w:t>
                  </w:r>
                  <w:r>
                    <w:rPr>
                      <w:rFonts w:hint="eastAsia"/>
                      <w:lang w:eastAsia="zh-CN"/>
                    </w:rPr>
                    <w:t>）</w:t>
                  </w:r>
                </w:p>
              </w:tc>
              <w:tc>
                <w:tcPr>
                  <w:tcW w:w="1680" w:type="pct"/>
                  <w:noWrap w:val="0"/>
                  <w:vAlign w:val="center"/>
                </w:tcPr>
                <w:p>
                  <w:pPr>
                    <w:pStyle w:val="70"/>
                    <w:keepNext w:val="0"/>
                    <w:keepLines w:val="0"/>
                    <w:pageBreakBefore w:val="0"/>
                    <w:widowControl w:val="0"/>
                    <w:kinsoku/>
                    <w:wordWrap w:val="0"/>
                    <w:overflowPunct/>
                    <w:topLinePunct w:val="0"/>
                    <w:autoSpaceDE/>
                    <w:autoSpaceDN/>
                    <w:bidi w:val="0"/>
                    <w:adjustRightInd/>
                    <w:snapToGrid/>
                    <w:jc w:val="both"/>
                    <w:textAlignment w:val="auto"/>
                    <w:rPr>
                      <w:rFonts w:hint="default"/>
                    </w:rPr>
                  </w:pPr>
                  <w:r>
                    <w:rPr>
                      <w:rFonts w:hint="default"/>
                    </w:rPr>
                    <w:t>第三十六条</w:t>
                  </w:r>
                  <w:r>
                    <w:rPr>
                      <w:rFonts w:hint="eastAsia"/>
                      <w:lang w:eastAsia="zh-CN"/>
                    </w:rPr>
                    <w:t>：</w:t>
                  </w:r>
                  <w:r>
                    <w:rPr>
                      <w:rFonts w:hint="default"/>
                    </w:rPr>
                    <w:t>排放工业噪声的企业事业单位和其他生产经营者，应当采取有效措施，减少振动、降低噪声，依法取得排污许可证或者填报排污登记表。</w:t>
                  </w:r>
                </w:p>
              </w:tc>
              <w:tc>
                <w:tcPr>
                  <w:tcW w:w="1705" w:type="pct"/>
                  <w:noWrap w:val="0"/>
                  <w:vAlign w:val="center"/>
                </w:tcPr>
                <w:p>
                  <w:pPr>
                    <w:pStyle w:val="70"/>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rPr>
                    <w:t>对各类主要噪声源采用低噪声源设备、并采取减振、隔声等措施</w:t>
                  </w:r>
                  <w:r>
                    <w:rPr>
                      <w:rFonts w:hint="eastAsia"/>
                      <w:lang w:eastAsia="zh-CN"/>
                    </w:rPr>
                    <w:t>，</w:t>
                  </w:r>
                  <w:r>
                    <w:rPr>
                      <w:rFonts w:hint="eastAsia"/>
                      <w:lang w:val="en-US" w:eastAsia="zh-CN"/>
                    </w:rPr>
                    <w:t>可正常使用，符合相关标准。企业在生产前完成排污许可证的申请。</w:t>
                  </w:r>
                </w:p>
              </w:tc>
              <w:tc>
                <w:tcPr>
                  <w:tcW w:w="473" w:type="pct"/>
                  <w:noWrap w:val="0"/>
                  <w:vAlign w:val="center"/>
                </w:tcPr>
                <w:p>
                  <w:pPr>
                    <w:pStyle w:val="70"/>
                    <w:bidi w:val="0"/>
                    <w:rPr>
                      <w:rFonts w:hint="default"/>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pct"/>
                  <w:noWrap w:val="0"/>
                  <w:vAlign w:val="center"/>
                </w:tcPr>
                <w:p>
                  <w:pPr>
                    <w:pStyle w:val="70"/>
                    <w:keepNext w:val="0"/>
                    <w:keepLines w:val="0"/>
                    <w:pageBreakBefore w:val="0"/>
                    <w:widowControl w:val="0"/>
                    <w:kinsoku/>
                    <w:wordWrap w:val="0"/>
                    <w:overflowPunct/>
                    <w:topLinePunct w:val="0"/>
                    <w:autoSpaceDE/>
                    <w:autoSpaceDN/>
                    <w:bidi w:val="0"/>
                    <w:adjustRightInd/>
                    <w:snapToGrid/>
                    <w:jc w:val="center"/>
                    <w:textAlignment w:val="auto"/>
                    <w:rPr>
                      <w:rFonts w:hint="eastAsia"/>
                      <w:lang w:eastAsia="zh-CN"/>
                    </w:rPr>
                  </w:pPr>
                  <w:r>
                    <w:rPr>
                      <w:rFonts w:hint="eastAsia"/>
                    </w:rPr>
                    <w:t>《中华人民共和国固体废物污染环境防治法》</w:t>
                  </w:r>
                  <w:r>
                    <w:rPr>
                      <w:rFonts w:hint="eastAsia"/>
                      <w:lang w:eastAsia="zh-CN"/>
                    </w:rPr>
                    <w:t>（</w:t>
                  </w:r>
                  <w:r>
                    <w:rPr>
                      <w:rFonts w:hint="eastAsia"/>
                      <w:lang w:val="en-US" w:eastAsia="zh-CN"/>
                    </w:rPr>
                    <w:t>2020-04-30</w:t>
                  </w:r>
                  <w:r>
                    <w:rPr>
                      <w:rFonts w:hint="eastAsia"/>
                      <w:lang w:eastAsia="zh-CN"/>
                    </w:rPr>
                    <w:t>）</w:t>
                  </w:r>
                </w:p>
              </w:tc>
              <w:tc>
                <w:tcPr>
                  <w:tcW w:w="1680" w:type="pct"/>
                  <w:noWrap w:val="0"/>
                  <w:vAlign w:val="center"/>
                </w:tcPr>
                <w:p>
                  <w:pPr>
                    <w:pStyle w:val="70"/>
                    <w:keepNext w:val="0"/>
                    <w:keepLines w:val="0"/>
                    <w:pageBreakBefore w:val="0"/>
                    <w:widowControl w:val="0"/>
                    <w:kinsoku/>
                    <w:wordWrap w:val="0"/>
                    <w:overflowPunct/>
                    <w:topLinePunct w:val="0"/>
                    <w:autoSpaceDE/>
                    <w:autoSpaceDN/>
                    <w:bidi w:val="0"/>
                    <w:adjustRightInd/>
                    <w:snapToGrid/>
                    <w:jc w:val="both"/>
                    <w:textAlignment w:val="auto"/>
                    <w:rPr>
                      <w:rFonts w:hint="default"/>
                    </w:rPr>
                  </w:pPr>
                  <w:r>
                    <w:rPr>
                      <w:rFonts w:hint="eastAsia"/>
                    </w:rPr>
                    <w:t>第十九条：收集、贮存、运输、利用、处置固体废物的单位和其他生产经营者，应当加强对相关设施、设备和场所的管理和维护，保证其正常运行和使用。</w:t>
                  </w:r>
                </w:p>
              </w:tc>
              <w:tc>
                <w:tcPr>
                  <w:tcW w:w="1705" w:type="pct"/>
                  <w:noWrap w:val="0"/>
                  <w:vAlign w:val="center"/>
                </w:tcPr>
                <w:p>
                  <w:pPr>
                    <w:pStyle w:val="70"/>
                    <w:keepNext w:val="0"/>
                    <w:keepLines w:val="0"/>
                    <w:pageBreakBefore w:val="0"/>
                    <w:widowControl w:val="0"/>
                    <w:kinsoku/>
                    <w:wordWrap w:val="0"/>
                    <w:overflowPunct/>
                    <w:topLinePunct w:val="0"/>
                    <w:autoSpaceDE/>
                    <w:autoSpaceDN/>
                    <w:bidi w:val="0"/>
                    <w:adjustRightInd/>
                    <w:snapToGrid/>
                    <w:jc w:val="both"/>
                    <w:textAlignment w:val="auto"/>
                    <w:rPr>
                      <w:rFonts w:hint="eastAsia"/>
                      <w:lang w:val="en-US" w:eastAsia="zh-CN"/>
                    </w:rPr>
                  </w:pPr>
                  <w:r>
                    <w:rPr>
                      <w:rFonts w:hint="eastAsia"/>
                      <w:lang w:val="en-US" w:eastAsia="zh-CN"/>
                    </w:rPr>
                    <w:t>本项目</w:t>
                  </w:r>
                  <w:r>
                    <w:rPr>
                      <w:rFonts w:hint="eastAsia"/>
                    </w:rPr>
                    <w:t>布袋除尘器收集的粉尘作为产品外售或回用于饼状硅生产环节</w:t>
                  </w:r>
                  <w:r>
                    <w:rPr>
                      <w:rFonts w:hint="eastAsia"/>
                      <w:lang w:val="en-US" w:eastAsia="zh-CN"/>
                    </w:rPr>
                    <w:t>；磁选机和强磁铁产生的铁粉收集后外售综合利用；废弃的原料包装袋收集后交由供应商回收处理；废布袋由设备厂家定期更换并回收；危险废物暂存于危险废物贮存点后定期委托有资质的单位进行处理；生活垃圾</w:t>
                  </w:r>
                  <w:r>
                    <w:rPr>
                      <w:rFonts w:hint="eastAsia"/>
                    </w:rPr>
                    <w:t>分类收集后委托环卫部门及时清运</w:t>
                  </w:r>
                  <w:r>
                    <w:rPr>
                      <w:rFonts w:hint="eastAsia"/>
                      <w:lang w:eastAsia="zh-CN"/>
                    </w:rPr>
                    <w:t>。</w:t>
                  </w:r>
                </w:p>
              </w:tc>
              <w:tc>
                <w:tcPr>
                  <w:tcW w:w="473" w:type="pct"/>
                  <w:noWrap w:val="0"/>
                  <w:vAlign w:val="center"/>
                </w:tcPr>
                <w:p>
                  <w:pPr>
                    <w:pStyle w:val="70"/>
                    <w:bidi w:val="0"/>
                    <w:rPr>
                      <w:rFonts w:hint="default"/>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pct"/>
                  <w:noWrap w:val="0"/>
                  <w:vAlign w:val="center"/>
                </w:tcPr>
                <w:p>
                  <w:pPr>
                    <w:pStyle w:val="70"/>
                    <w:keepNext w:val="0"/>
                    <w:keepLines w:val="0"/>
                    <w:pageBreakBefore w:val="0"/>
                    <w:widowControl w:val="0"/>
                    <w:kinsoku/>
                    <w:wordWrap w:val="0"/>
                    <w:overflowPunct/>
                    <w:topLinePunct w:val="0"/>
                    <w:autoSpaceDE/>
                    <w:autoSpaceDN/>
                    <w:bidi w:val="0"/>
                    <w:adjustRightInd/>
                    <w:snapToGrid/>
                    <w:jc w:val="center"/>
                    <w:textAlignment w:val="auto"/>
                    <w:rPr>
                      <w:rFonts w:hint="eastAsia"/>
                      <w:lang w:eastAsia="zh-CN"/>
                    </w:rPr>
                  </w:pPr>
                  <w:r>
                    <w:rPr>
                      <w:rFonts w:hint="eastAsia"/>
                    </w:rPr>
                    <w:t>《中华人民共和国水污染防治法》</w:t>
                  </w:r>
                  <w:r>
                    <w:rPr>
                      <w:rFonts w:hint="eastAsia"/>
                      <w:lang w:eastAsia="zh-CN"/>
                    </w:rPr>
                    <w:t>（</w:t>
                  </w:r>
                  <w:r>
                    <w:rPr>
                      <w:rFonts w:hint="eastAsia"/>
                      <w:lang w:val="en-US" w:eastAsia="zh-CN"/>
                    </w:rPr>
                    <w:t>2018-01-01</w:t>
                  </w:r>
                  <w:r>
                    <w:rPr>
                      <w:rFonts w:hint="eastAsia"/>
                      <w:lang w:eastAsia="zh-CN"/>
                    </w:rPr>
                    <w:t>）</w:t>
                  </w:r>
                </w:p>
              </w:tc>
              <w:tc>
                <w:tcPr>
                  <w:tcW w:w="1680" w:type="pct"/>
                  <w:noWrap w:val="0"/>
                  <w:vAlign w:val="center"/>
                </w:tcPr>
                <w:p>
                  <w:pPr>
                    <w:pStyle w:val="70"/>
                    <w:keepNext w:val="0"/>
                    <w:keepLines w:val="0"/>
                    <w:pageBreakBefore w:val="0"/>
                    <w:widowControl w:val="0"/>
                    <w:kinsoku/>
                    <w:wordWrap w:val="0"/>
                    <w:overflowPunct/>
                    <w:topLinePunct w:val="0"/>
                    <w:autoSpaceDE/>
                    <w:autoSpaceDN/>
                    <w:bidi w:val="0"/>
                    <w:adjustRightInd/>
                    <w:snapToGrid/>
                    <w:jc w:val="both"/>
                    <w:textAlignment w:val="auto"/>
                    <w:rPr>
                      <w:rFonts w:hint="default"/>
                    </w:rPr>
                  </w:pPr>
                  <w:r>
                    <w:rPr>
                      <w:rFonts w:hint="eastAsia"/>
                    </w:rPr>
                    <w:t>第五十条</w:t>
                  </w:r>
                  <w:r>
                    <w:rPr>
                      <w:rFonts w:hint="eastAsia"/>
                      <w:lang w:eastAsia="zh-CN"/>
                    </w:rPr>
                    <w:t>：</w:t>
                  </w:r>
                  <w:r>
                    <w:rPr>
                      <w:rFonts w:hint="eastAsia"/>
                    </w:rPr>
                    <w:t>向城镇污水集中处理设施排放水污染物，应当符合国家或者地方规定的水污染物排放标准。</w:t>
                  </w:r>
                </w:p>
              </w:tc>
              <w:tc>
                <w:tcPr>
                  <w:tcW w:w="1705" w:type="pct"/>
                  <w:noWrap w:val="0"/>
                  <w:vAlign w:val="center"/>
                </w:tcPr>
                <w:p>
                  <w:pPr>
                    <w:pStyle w:val="70"/>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本项目</w:t>
                  </w:r>
                  <w:bookmarkStart w:id="1" w:name="OLE_LINK6"/>
                  <w:r>
                    <w:rPr>
                      <w:rFonts w:hint="eastAsia"/>
                      <w:lang w:val="en-US" w:eastAsia="zh-CN"/>
                    </w:rPr>
                    <w:t>洒水抑尘用水蒸发逸散，不外排；</w:t>
                  </w:r>
                  <w:bookmarkEnd w:id="1"/>
                  <w:r>
                    <w:rPr>
                      <w:rFonts w:hint="eastAsia"/>
                      <w:lang w:val="en-US" w:eastAsia="zh-CN"/>
                    </w:rPr>
                    <w:t>生活污水先经化粪池预处理，再通过园区排水管网排入若羌县城乡污水处理厂进行集中处理。</w:t>
                  </w:r>
                </w:p>
              </w:tc>
              <w:tc>
                <w:tcPr>
                  <w:tcW w:w="473" w:type="pct"/>
                  <w:noWrap w:val="0"/>
                  <w:vAlign w:val="center"/>
                </w:tcPr>
                <w:p>
                  <w:pPr>
                    <w:pStyle w:val="70"/>
                    <w:bidi w:val="0"/>
                    <w:rPr>
                      <w:rFonts w:hint="default"/>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pct"/>
                  <w:noWrap w:val="0"/>
                  <w:vAlign w:val="center"/>
                </w:tcPr>
                <w:p>
                  <w:pPr>
                    <w:pStyle w:val="70"/>
                    <w:keepNext w:val="0"/>
                    <w:keepLines w:val="0"/>
                    <w:pageBreakBefore w:val="0"/>
                    <w:widowControl w:val="0"/>
                    <w:kinsoku/>
                    <w:wordWrap w:val="0"/>
                    <w:overflowPunct/>
                    <w:topLinePunct w:val="0"/>
                    <w:autoSpaceDE/>
                    <w:autoSpaceDN/>
                    <w:bidi w:val="0"/>
                    <w:adjustRightInd/>
                    <w:snapToGrid/>
                    <w:jc w:val="center"/>
                    <w:textAlignment w:val="auto"/>
                    <w:rPr>
                      <w:rFonts w:hint="eastAsia"/>
                    </w:rPr>
                  </w:pPr>
                  <w:bookmarkStart w:id="2" w:name="OLE_LINK11"/>
                  <w:r>
                    <w:rPr>
                      <w:rFonts w:hint="default"/>
                      <w:lang w:val="en-US" w:eastAsia="zh-CN"/>
                    </w:rPr>
                    <w:t>《自治州大气污染防治三年攻坚行动方案</w:t>
                  </w:r>
                  <w:r>
                    <w:rPr>
                      <w:rFonts w:hint="eastAsia"/>
                      <w:lang w:val="en-US" w:eastAsia="zh-CN"/>
                    </w:rPr>
                    <w:t>》（2023-2025年）</w:t>
                  </w:r>
                  <w:bookmarkEnd w:id="2"/>
                </w:p>
              </w:tc>
              <w:tc>
                <w:tcPr>
                  <w:tcW w:w="1680" w:type="pct"/>
                  <w:noWrap w:val="0"/>
                  <w:vAlign w:val="center"/>
                </w:tcPr>
                <w:p>
                  <w:pPr>
                    <w:pStyle w:val="70"/>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严格项目准入关。坚决遏制高耗能、高排放、低水平项目盲目发展，严把高耗能高排放项目准入关口，依法依规淘汰落后产能和化解过剩产能。严禁新增水泥熟料、平板玻璃等产能。</w:t>
                  </w:r>
                </w:p>
              </w:tc>
              <w:tc>
                <w:tcPr>
                  <w:tcW w:w="1705" w:type="pct"/>
                  <w:noWrap w:val="0"/>
                  <w:vAlign w:val="center"/>
                </w:tcPr>
                <w:p>
                  <w:pPr>
                    <w:pStyle w:val="70"/>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本工程</w:t>
                  </w:r>
                  <w:r>
                    <w:rPr>
                      <w:rFonts w:hint="eastAsia"/>
                      <w:lang w:val="en-US" w:eastAsia="zh-CN"/>
                    </w:rPr>
                    <w:t>不</w:t>
                  </w:r>
                  <w:r>
                    <w:rPr>
                      <w:rFonts w:hint="default"/>
                      <w:lang w:val="en-US" w:eastAsia="zh-CN"/>
                    </w:rPr>
                    <w:t>属</w:t>
                  </w:r>
                  <w:r>
                    <w:rPr>
                      <w:rFonts w:hint="eastAsia"/>
                      <w:lang w:val="en-US" w:eastAsia="zh-CN"/>
                    </w:rPr>
                    <w:t>于</w:t>
                  </w:r>
                  <w:r>
                    <w:rPr>
                      <w:rFonts w:hint="default"/>
                      <w:lang w:val="en-US" w:eastAsia="zh-CN"/>
                    </w:rPr>
                    <w:t>《产业结构调整指导目录</w:t>
                  </w:r>
                  <w:r>
                    <w:rPr>
                      <w:rFonts w:hint="eastAsia"/>
                      <w:lang w:val="en-US" w:eastAsia="zh-CN"/>
                    </w:rPr>
                    <w:t>（2024年本）</w:t>
                  </w:r>
                  <w:r>
                    <w:rPr>
                      <w:rFonts w:hint="default"/>
                      <w:lang w:val="en-US" w:eastAsia="zh-CN"/>
                    </w:rPr>
                    <w:t>》中</w:t>
                  </w:r>
                  <w:r>
                    <w:rPr>
                      <w:rFonts w:hint="eastAsia"/>
                      <w:lang w:val="en-US" w:eastAsia="zh-CN"/>
                    </w:rPr>
                    <w:t>鼓励类、限制类和淘汰类</w:t>
                  </w:r>
                  <w:r>
                    <w:rPr>
                      <w:rFonts w:hint="default"/>
                      <w:lang w:val="en-US" w:eastAsia="zh-CN"/>
                    </w:rPr>
                    <w:t>，</w:t>
                  </w:r>
                  <w:r>
                    <w:rPr>
                      <w:rFonts w:hint="eastAsia"/>
                      <w:lang w:val="en-US" w:eastAsia="zh-CN"/>
                    </w:rPr>
                    <w:t>属于允许类；本项目不属于高耗水、高污染、高耗能项目。</w:t>
                  </w:r>
                </w:p>
              </w:tc>
              <w:tc>
                <w:tcPr>
                  <w:tcW w:w="473" w:type="pct"/>
                  <w:noWrap w:val="0"/>
                  <w:vAlign w:val="center"/>
                </w:tcPr>
                <w:p>
                  <w:pPr>
                    <w:pStyle w:val="70"/>
                    <w:bidi w:val="0"/>
                    <w:rPr>
                      <w:rFonts w:hint="default"/>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pct"/>
                  <w:noWrap w:val="0"/>
                  <w:vAlign w:val="center"/>
                </w:tcPr>
                <w:p>
                  <w:pPr>
                    <w:pStyle w:val="70"/>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default"/>
                      <w:lang w:val="en-US" w:eastAsia="zh-CN"/>
                    </w:rPr>
                    <w:t>《新疆维吾尔自治区大气污染防治条例》（2019）</w:t>
                  </w:r>
                </w:p>
              </w:tc>
              <w:tc>
                <w:tcPr>
                  <w:tcW w:w="1680" w:type="pct"/>
                  <w:noWrap w:val="0"/>
                  <w:vAlign w:val="center"/>
                </w:tcPr>
                <w:p>
                  <w:pPr>
                    <w:pStyle w:val="70"/>
                    <w:keepNext w:val="0"/>
                    <w:keepLines w:val="0"/>
                    <w:pageBreakBefore w:val="0"/>
                    <w:widowControl w:val="0"/>
                    <w:kinsoku/>
                    <w:wordWrap w:val="0"/>
                    <w:overflowPunct/>
                    <w:topLinePunct w:val="0"/>
                    <w:autoSpaceDE/>
                    <w:autoSpaceDN/>
                    <w:bidi w:val="0"/>
                    <w:adjustRightInd/>
                    <w:snapToGrid/>
                    <w:jc w:val="both"/>
                    <w:textAlignment w:val="auto"/>
                    <w:rPr>
                      <w:rFonts w:hint="eastAsia"/>
                      <w:lang w:val="en-US" w:eastAsia="zh-CN"/>
                    </w:rPr>
                  </w:pPr>
                  <w:r>
                    <w:rPr>
                      <w:rFonts w:hint="eastAsia"/>
                      <w:lang w:val="en-US" w:eastAsia="zh-CN"/>
                    </w:rPr>
                    <w:t>禁止在自治区行政区域内引进能（水）耗不符合相关国家标准中准入值要求且污染物排放和环境风险防控不符合国家（地方）标准及有关产业准入条件的高污染（排放）、高能（水）耗、高环境风险的工业项目。</w:t>
                  </w:r>
                </w:p>
                <w:p>
                  <w:pPr>
                    <w:pStyle w:val="70"/>
                    <w:keepNext w:val="0"/>
                    <w:keepLines w:val="0"/>
                    <w:pageBreakBefore w:val="0"/>
                    <w:widowControl w:val="0"/>
                    <w:kinsoku/>
                    <w:wordWrap w:val="0"/>
                    <w:overflowPunct/>
                    <w:topLinePunct w:val="0"/>
                    <w:autoSpaceDE/>
                    <w:autoSpaceDN/>
                    <w:bidi w:val="0"/>
                    <w:adjustRightInd/>
                    <w:snapToGrid/>
                    <w:jc w:val="both"/>
                    <w:textAlignment w:val="auto"/>
                    <w:rPr>
                      <w:rFonts w:hint="eastAsia"/>
                      <w:lang w:val="en-US" w:eastAsia="zh-CN"/>
                    </w:rPr>
                  </w:pPr>
                  <w:r>
                    <w:rPr>
                      <w:rFonts w:hint="eastAsia"/>
                      <w:lang w:val="en-US" w:eastAsia="zh-CN"/>
                    </w:rPr>
                    <w:t>自治区人民政府应当制定或者适时修订高污染（排放）、高能（水耗、高环境风险项目）认定标准，并向社会公布。</w:t>
                  </w:r>
                </w:p>
              </w:tc>
              <w:tc>
                <w:tcPr>
                  <w:tcW w:w="1705" w:type="pct"/>
                  <w:noWrap w:val="0"/>
                  <w:vAlign w:val="center"/>
                </w:tcPr>
                <w:p>
                  <w:pPr>
                    <w:pStyle w:val="70"/>
                    <w:keepNext w:val="0"/>
                    <w:keepLines w:val="0"/>
                    <w:pageBreakBefore w:val="0"/>
                    <w:widowControl w:val="0"/>
                    <w:kinsoku/>
                    <w:wordWrap w:val="0"/>
                    <w:overflowPunct/>
                    <w:topLinePunct w:val="0"/>
                    <w:autoSpaceDE/>
                    <w:autoSpaceDN/>
                    <w:bidi w:val="0"/>
                    <w:adjustRightInd/>
                    <w:snapToGrid/>
                    <w:jc w:val="both"/>
                    <w:textAlignment w:val="auto"/>
                    <w:rPr>
                      <w:rFonts w:hint="eastAsia"/>
                      <w:lang w:val="en-US" w:eastAsia="zh-CN"/>
                    </w:rPr>
                  </w:pPr>
                  <w:r>
                    <w:rPr>
                      <w:rFonts w:hint="eastAsia"/>
                      <w:lang w:val="en-US" w:eastAsia="zh-CN"/>
                    </w:rPr>
                    <w:t>本项目耗能（水）较少，符合相关国家标准中的准入值，并且排放的污染物经过环保设施处理后都能达到排放标准要求，不会对周边环境造成影响。</w:t>
                  </w:r>
                </w:p>
              </w:tc>
              <w:tc>
                <w:tcPr>
                  <w:tcW w:w="473" w:type="pct"/>
                  <w:noWrap w:val="0"/>
                  <w:vAlign w:val="center"/>
                </w:tcPr>
                <w:p>
                  <w:pPr>
                    <w:pStyle w:val="70"/>
                    <w:bidi w:val="0"/>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pct"/>
                  <w:noWrap w:val="0"/>
                  <w:vAlign w:val="center"/>
                </w:tcPr>
                <w:p>
                  <w:pPr>
                    <w:pStyle w:val="70"/>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default"/>
                      <w:lang w:val="en-US" w:eastAsia="zh-CN"/>
                    </w:rPr>
                    <w:t>《巴音郭楞蒙古自治州生态环境“十四五”规划》</w:t>
                  </w:r>
                </w:p>
              </w:tc>
              <w:tc>
                <w:tcPr>
                  <w:tcW w:w="1680" w:type="pct"/>
                  <w:noWrap w:val="0"/>
                  <w:vAlign w:val="center"/>
                </w:tcPr>
                <w:p>
                  <w:pPr>
                    <w:pStyle w:val="70"/>
                    <w:keepNext w:val="0"/>
                    <w:keepLines w:val="0"/>
                    <w:pageBreakBefore w:val="0"/>
                    <w:widowControl w:val="0"/>
                    <w:kinsoku/>
                    <w:wordWrap w:val="0"/>
                    <w:overflowPunct/>
                    <w:topLinePunct w:val="0"/>
                    <w:autoSpaceDE/>
                    <w:autoSpaceDN/>
                    <w:bidi w:val="0"/>
                    <w:adjustRightInd/>
                    <w:snapToGrid/>
                    <w:jc w:val="both"/>
                    <w:textAlignment w:val="auto"/>
                    <w:rPr>
                      <w:rFonts w:hint="eastAsia"/>
                      <w:lang w:val="en-US" w:eastAsia="zh-CN"/>
                    </w:rPr>
                  </w:pPr>
                  <w:r>
                    <w:rPr>
                      <w:rFonts w:hint="eastAsia"/>
                      <w:lang w:val="en-US" w:eastAsia="zh-CN"/>
                    </w:rPr>
                    <w:t>严格落实突发环境事件应急预案制度，提升涉危险废物突发环境事件应急处置水平。</w:t>
                  </w:r>
                </w:p>
              </w:tc>
              <w:tc>
                <w:tcPr>
                  <w:tcW w:w="1705" w:type="pct"/>
                  <w:noWrap w:val="0"/>
                  <w:vAlign w:val="center"/>
                </w:tcPr>
                <w:p>
                  <w:pPr>
                    <w:pStyle w:val="70"/>
                    <w:keepNext w:val="0"/>
                    <w:keepLines w:val="0"/>
                    <w:pageBreakBefore w:val="0"/>
                    <w:widowControl w:val="0"/>
                    <w:kinsoku/>
                    <w:wordWrap w:val="0"/>
                    <w:overflowPunct/>
                    <w:topLinePunct w:val="0"/>
                    <w:autoSpaceDE/>
                    <w:autoSpaceDN/>
                    <w:bidi w:val="0"/>
                    <w:adjustRightInd/>
                    <w:snapToGrid/>
                    <w:jc w:val="both"/>
                    <w:textAlignment w:val="auto"/>
                    <w:rPr>
                      <w:rFonts w:hint="eastAsia"/>
                      <w:lang w:val="en-US" w:eastAsia="zh-CN"/>
                    </w:rPr>
                  </w:pPr>
                  <w:r>
                    <w:rPr>
                      <w:rFonts w:hint="eastAsia"/>
                      <w:lang w:val="en-US" w:eastAsia="zh-CN"/>
                    </w:rPr>
                    <w:t>本项目要求建设单位编制突发环境事件应急预案，并上报生态环境主管部门进行备案，同时配备必要的应急措施和物资，并定期组织应急演练。</w:t>
                  </w:r>
                </w:p>
              </w:tc>
              <w:tc>
                <w:tcPr>
                  <w:tcW w:w="473" w:type="pct"/>
                  <w:noWrap w:val="0"/>
                  <w:vAlign w:val="center"/>
                </w:tcPr>
                <w:p>
                  <w:pPr>
                    <w:pStyle w:val="70"/>
                    <w:bidi w:val="0"/>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pct"/>
                  <w:shd w:val="clear" w:color="auto" w:fill="auto"/>
                  <w:noWrap w:val="0"/>
                  <w:vAlign w:val="center"/>
                </w:tcPr>
                <w:p>
                  <w:pPr>
                    <w:pStyle w:val="66"/>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default"/>
                      <w:lang w:val="en-US" w:eastAsia="zh-CN"/>
                    </w:rPr>
                    <w:t>《新疆维吾尔自治区2025年空气质量持续改善行动实施方案》</w:t>
                  </w:r>
                  <w:r>
                    <w:rPr>
                      <w:rFonts w:hint="eastAsia"/>
                      <w:lang w:val="en-US" w:eastAsia="zh-CN"/>
                    </w:rPr>
                    <w:t>（</w:t>
                  </w:r>
                  <w:r>
                    <w:rPr>
                      <w:rFonts w:hint="default"/>
                      <w:lang w:val="en-US" w:eastAsia="zh-CN"/>
                    </w:rPr>
                    <w:t>新政办发〔2024〕58号</w:t>
                  </w:r>
                  <w:r>
                    <w:rPr>
                      <w:rFonts w:hint="eastAsia"/>
                      <w:lang w:val="en-US" w:eastAsia="zh-CN"/>
                    </w:rPr>
                    <w:t>）</w:t>
                  </w:r>
                </w:p>
              </w:tc>
              <w:tc>
                <w:tcPr>
                  <w:tcW w:w="1680" w:type="pct"/>
                  <w:shd w:val="clear" w:color="auto" w:fill="auto"/>
                  <w:noWrap w:val="0"/>
                  <w:vAlign w:val="center"/>
                </w:tcPr>
                <w:p>
                  <w:pPr>
                    <w:pStyle w:val="66"/>
                    <w:keepNext w:val="0"/>
                    <w:keepLines w:val="0"/>
                    <w:pageBreakBefore w:val="0"/>
                    <w:widowControl w:val="0"/>
                    <w:kinsoku/>
                    <w:wordWrap w:val="0"/>
                    <w:overflowPunct/>
                    <w:topLinePunct w:val="0"/>
                    <w:autoSpaceDE/>
                    <w:autoSpaceDN/>
                    <w:bidi w:val="0"/>
                    <w:adjustRightInd/>
                    <w:snapToGrid/>
                    <w:jc w:val="both"/>
                    <w:textAlignment w:val="auto"/>
                    <w:rPr>
                      <w:rFonts w:hint="eastAsia"/>
                      <w:lang w:val="en-US" w:eastAsia="zh-CN"/>
                    </w:rPr>
                  </w:pPr>
                  <w:r>
                    <w:rPr>
                      <w:rFonts w:hint="default"/>
                      <w:lang w:val="en-US" w:eastAsia="zh-CN"/>
                    </w:rPr>
                    <w:t>坚决遏制高耗能、高排放、低水平项目盲目上马。新改扩建项目严格落实国家和自治区产业规划、产业政策、生态环境分区管控方案、规划环评、项目环评、节能审查、产能置换、重点污染物总量控制、污染物排放区域削减、碳排放达峰目标等相关要求，原则上采用清洁运输方式，达到能效标杆水平、环保绩效A级水平。涉及产能置换的项目，被置换产能及设备关停后，新建项目方可投产。</w:t>
                  </w:r>
                </w:p>
              </w:tc>
              <w:tc>
                <w:tcPr>
                  <w:tcW w:w="1705" w:type="pct"/>
                  <w:shd w:val="clear" w:color="auto" w:fill="auto"/>
                  <w:noWrap w:val="0"/>
                  <w:vAlign w:val="center"/>
                </w:tcPr>
                <w:p>
                  <w:pPr>
                    <w:pStyle w:val="70"/>
                    <w:bidi w:val="0"/>
                    <w:jc w:val="both"/>
                    <w:rPr>
                      <w:rFonts w:hint="eastAsia"/>
                      <w:lang w:val="en-US" w:eastAsia="zh-CN"/>
                    </w:rPr>
                  </w:pPr>
                  <w:r>
                    <w:rPr>
                      <w:rFonts w:hint="eastAsia"/>
                      <w:lang w:val="en-US" w:eastAsia="zh-CN"/>
                    </w:rPr>
                    <w:t>本项目为硅颗粒生产，产品主要应用于光伏、电子、新材料等，属于</w:t>
                  </w:r>
                  <w:r>
                    <w:rPr>
                      <w:rFonts w:hint="default"/>
                      <w:lang w:val="en-US" w:eastAsia="zh-CN"/>
                    </w:rPr>
                    <w:t>《产业结构调整指导目录</w:t>
                  </w:r>
                  <w:r>
                    <w:rPr>
                      <w:rFonts w:hint="eastAsia"/>
                      <w:lang w:val="en-US" w:eastAsia="zh-CN"/>
                    </w:rPr>
                    <w:t>（2024年本）</w:t>
                  </w:r>
                  <w:r>
                    <w:rPr>
                      <w:rFonts w:hint="default"/>
                      <w:lang w:val="en-US" w:eastAsia="zh-CN"/>
                    </w:rPr>
                    <w:t>》</w:t>
                  </w:r>
                  <w:r>
                    <w:rPr>
                      <w:rFonts w:hint="eastAsia"/>
                      <w:lang w:val="en-US" w:eastAsia="zh-CN"/>
                    </w:rPr>
                    <w:t>允许建设类产业，不属于“两高一低”项目界定范围。</w:t>
                  </w:r>
                </w:p>
                <w:p>
                  <w:pPr>
                    <w:pStyle w:val="70"/>
                    <w:bidi w:val="0"/>
                    <w:jc w:val="both"/>
                    <w:rPr>
                      <w:rFonts w:hint="default"/>
                      <w:lang w:val="en-US" w:eastAsia="zh-CN"/>
                    </w:rPr>
                  </w:pPr>
                  <w:r>
                    <w:rPr>
                      <w:rFonts w:hint="eastAsia"/>
                      <w:lang w:val="en-US" w:eastAsia="zh-CN"/>
                    </w:rPr>
                    <w:t>本项目选址位于新疆巴音郭楞蒙古自治州若羌县塔东物流商贸综合园区，属于一般管控单元，符合该区域生态环境分区管控方案中关于产业准入、污染物排放等要求，未涉及生态保护红线、环境敏感区等禁止或限制建设区域。</w:t>
                  </w:r>
                </w:p>
              </w:tc>
              <w:tc>
                <w:tcPr>
                  <w:tcW w:w="473" w:type="pct"/>
                  <w:shd w:val="clear" w:color="auto" w:fill="auto"/>
                  <w:noWrap w:val="0"/>
                  <w:vAlign w:val="center"/>
                </w:tcPr>
                <w:p>
                  <w:pPr>
                    <w:pStyle w:val="70"/>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pct"/>
                  <w:shd w:val="clear" w:color="auto" w:fill="auto"/>
                  <w:noWrap w:val="0"/>
                  <w:vAlign w:val="center"/>
                </w:tcPr>
                <w:p>
                  <w:pPr>
                    <w:pStyle w:val="66"/>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eastAsia"/>
                      <w:lang w:val="en-US" w:eastAsia="zh-CN"/>
                    </w:rPr>
                    <w:t>《工业料堆场扬尘整治规范》（DB65/T4061-2017）</w:t>
                  </w:r>
                </w:p>
              </w:tc>
              <w:tc>
                <w:tcPr>
                  <w:tcW w:w="1680" w:type="pct"/>
                  <w:shd w:val="clear" w:color="auto" w:fill="auto"/>
                  <w:noWrap w:val="0"/>
                  <w:vAlign w:val="center"/>
                </w:tcPr>
                <w:p>
                  <w:pPr>
                    <w:pStyle w:val="66"/>
                    <w:keepNext w:val="0"/>
                    <w:keepLines w:val="0"/>
                    <w:pageBreakBefore w:val="0"/>
                    <w:widowControl w:val="0"/>
                    <w:kinsoku/>
                    <w:wordWrap w:val="0"/>
                    <w:overflowPunct/>
                    <w:topLinePunct w:val="0"/>
                    <w:autoSpaceDE/>
                    <w:autoSpaceDN/>
                    <w:bidi w:val="0"/>
                    <w:adjustRightInd/>
                    <w:snapToGrid/>
                    <w:jc w:val="both"/>
                    <w:textAlignment w:val="auto"/>
                    <w:rPr>
                      <w:rFonts w:hint="eastAsia"/>
                      <w:lang w:val="en-US" w:eastAsia="zh-CN"/>
                    </w:rPr>
                  </w:pPr>
                  <w:r>
                    <w:rPr>
                      <w:rFonts w:hint="eastAsia"/>
                      <w:lang w:val="en-US" w:eastAsia="zh-CN"/>
                    </w:rPr>
                    <w:t>对工业料堆场内装卸、运输等作业过程中，易产生扬尘污染的物料必须采取封闭、遮盖、洒水降尘措施，密闭输送物料必须在装料、卸料处配备吸尘、喷淋防尘措施。</w:t>
                  </w:r>
                </w:p>
                <w:p>
                  <w:pPr>
                    <w:pStyle w:val="6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露天工业料堆场存放袋装、桶装及箱装</w:t>
                  </w:r>
                  <w:r>
                    <w:rPr>
                      <w:rFonts w:hint="eastAsia"/>
                      <w:lang w:val="en-US" w:eastAsia="zh-CN"/>
                    </w:rPr>
                    <w:t>物品</w:t>
                  </w:r>
                  <w:r>
                    <w:rPr>
                      <w:rFonts w:hint="default"/>
                      <w:lang w:val="en-US" w:eastAsia="zh-CN"/>
                    </w:rPr>
                    <w:t>时，应加盖</w:t>
                  </w:r>
                  <w:r>
                    <w:rPr>
                      <w:rFonts w:hint="eastAsia"/>
                      <w:lang w:val="en-US" w:eastAsia="zh-CN"/>
                    </w:rPr>
                    <w:t>篷布</w:t>
                  </w:r>
                  <w:r>
                    <w:rPr>
                      <w:rFonts w:hint="default"/>
                      <w:lang w:val="en-US" w:eastAsia="zh-CN"/>
                    </w:rPr>
                    <w:t>遮护。</w:t>
                  </w:r>
                </w:p>
              </w:tc>
              <w:tc>
                <w:tcPr>
                  <w:tcW w:w="1705" w:type="pct"/>
                  <w:shd w:val="clear" w:color="auto" w:fill="auto"/>
                  <w:noWrap w:val="0"/>
                  <w:vAlign w:val="center"/>
                </w:tcPr>
                <w:p>
                  <w:pPr>
                    <w:rPr>
                      <w:rFonts w:hint="default"/>
                      <w:lang w:val="en-US" w:eastAsia="zh-CN"/>
                    </w:rPr>
                  </w:pPr>
                  <w:r>
                    <w:rPr>
                      <w:rFonts w:hint="eastAsia"/>
                      <w:lang w:val="en-US" w:eastAsia="zh-CN"/>
                    </w:rPr>
                    <w:t>本项目原料为硅块，硅块储存在密闭厂房内，不露天堆放，项目输送带为密闭。</w:t>
                  </w:r>
                </w:p>
              </w:tc>
              <w:tc>
                <w:tcPr>
                  <w:tcW w:w="473" w:type="pct"/>
                  <w:shd w:val="clear" w:color="auto" w:fill="auto"/>
                  <w:noWrap w:val="0"/>
                  <w:vAlign w:val="center"/>
                </w:tcPr>
                <w:p>
                  <w:pPr>
                    <w:pStyle w:val="70"/>
                    <w:bidi w:val="0"/>
                    <w:rPr>
                      <w:rFonts w:hint="default"/>
                      <w:lang w:val="en-US" w:eastAsia="zh-CN"/>
                    </w:rPr>
                  </w:pPr>
                  <w:r>
                    <w:rPr>
                      <w:rFonts w:hint="eastAsia"/>
                      <w:lang w:val="en-US" w:eastAsia="zh-CN"/>
                    </w:rPr>
                    <w:t>符合</w:t>
                  </w:r>
                </w:p>
              </w:tc>
            </w:tr>
          </w:tbl>
          <w:p>
            <w:pPr>
              <w:pStyle w:val="43"/>
              <w:bidi w:val="0"/>
              <w:jc w:val="both"/>
              <w:rPr>
                <w:rStyle w:val="29"/>
                <w:rFonts w:hint="default" w:ascii="Times New Roman" w:hAnsi="Times New Roman" w:eastAsia="宋体" w:cs="Times New Roman"/>
                <w:kern w:val="0"/>
                <w:sz w:val="21"/>
                <w:szCs w:val="21"/>
                <w:lang w:val="en-US" w:eastAsia="zh-CN"/>
              </w:rPr>
            </w:pPr>
          </w:p>
          <w:p>
            <w:pPr>
              <w:pStyle w:val="43"/>
              <w:bidi w:val="0"/>
              <w:jc w:val="both"/>
              <w:rPr>
                <w:rStyle w:val="29"/>
                <w:rFonts w:hint="default" w:ascii="Times New Roman" w:hAnsi="Times New Roman" w:eastAsia="宋体" w:cs="Times New Roman"/>
                <w:kern w:val="0"/>
                <w:sz w:val="21"/>
                <w:szCs w:val="21"/>
                <w:lang w:val="en-US" w:eastAsia="zh-CN"/>
              </w:rPr>
            </w:pPr>
          </w:p>
        </w:tc>
      </w:tr>
    </w:tbl>
    <w:p>
      <w:pPr>
        <w:pStyle w:val="68"/>
        <w:bidi w:val="0"/>
        <w:ind w:left="0" w:leftChars="0" w:firstLine="0" w:firstLineChars="0"/>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lang w:eastAsia="zh-CN"/>
        </w:rPr>
      </w:pPr>
      <w:r>
        <w:rPr>
          <w:rFonts w:hint="default" w:ascii="Times New Roman" w:hAnsi="Times New Roman" w:eastAsia="黑体" w:cs="Times New Roman"/>
          <w:snapToGrid w:val="0"/>
          <w:kern w:val="0"/>
          <w:sz w:val="30"/>
          <w:szCs w:val="30"/>
          <w:lang w:val="en-US" w:eastAsia="zh-CN" w:bidi="ar-SA"/>
        </w:rPr>
        <w:t>二、</w:t>
      </w:r>
      <w:r>
        <w:rPr>
          <w:rFonts w:hint="default" w:ascii="Times New Roman" w:hAnsi="Times New Roman" w:eastAsia="黑体" w:cs="Times New Roman"/>
          <w:snapToGrid w:val="0"/>
          <w:sz w:val="30"/>
          <w:szCs w:val="30"/>
        </w:rPr>
        <w:t>建设项目工程分析</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8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pPr>
              <w:pStyle w:val="20"/>
              <w:keepNext w:val="0"/>
              <w:keepLines w:val="0"/>
              <w:pageBreakBefore w:val="0"/>
              <w:widowControl w:val="0"/>
              <w:kinsoku/>
              <w:wordWrap/>
              <w:topLinePunct w:val="0"/>
              <w:bidi w:val="0"/>
              <w:adjustRightInd w:val="0"/>
              <w:snapToGrid w:val="0"/>
              <w:spacing w:before="0" w:beforeAutospacing="0" w:after="0" w:afterAutospacing="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4"/>
                <w:szCs w:val="24"/>
                <w:lang w:val="en-US" w:eastAsia="zh-CN"/>
              </w:rPr>
              <w:t>建设内容</w:t>
            </w:r>
          </w:p>
        </w:tc>
        <w:tc>
          <w:tcPr>
            <w:tcW w:w="8286" w:type="dxa"/>
            <w:shd w:val="clear" w:color="auto" w:fill="auto"/>
            <w:noWrap w:val="0"/>
            <w:vAlign w:val="top"/>
          </w:tcPr>
          <w:p>
            <w:pPr>
              <w:pStyle w:val="67"/>
              <w:bidi w:val="0"/>
              <w:rPr>
                <w:rFonts w:hint="default"/>
                <w:lang w:val="en-US" w:eastAsia="zh-CN"/>
              </w:rPr>
            </w:pPr>
            <w:r>
              <w:rPr>
                <w:rFonts w:hint="default"/>
                <w:lang w:val="en-US" w:eastAsia="zh-CN"/>
              </w:rPr>
              <w:t>1.项目由来</w:t>
            </w:r>
          </w:p>
          <w:p>
            <w:pPr>
              <w:pStyle w:val="68"/>
              <w:bidi w:val="0"/>
              <w:rPr>
                <w:rFonts w:hint="eastAsia"/>
                <w:color w:val="auto"/>
                <w:lang w:val="en-US" w:eastAsia="zh-CN"/>
              </w:rPr>
            </w:pPr>
            <w:r>
              <w:rPr>
                <w:rFonts w:hint="default"/>
                <w:color w:val="auto"/>
                <w:lang w:val="en-US" w:eastAsia="zh-CN"/>
              </w:rPr>
              <w:t>硅颗粒加工项目的兴起，主要源于光伏、半导体等高新技术产业对高纯度硅材料的旺盛需求，随着这些行业的快速发展，对硅颗粒的数量和质量要求不断提升</w:t>
            </w:r>
            <w:r>
              <w:rPr>
                <w:rFonts w:hint="eastAsia"/>
                <w:color w:val="auto"/>
                <w:lang w:val="en-US" w:eastAsia="zh-CN"/>
              </w:rPr>
              <w:t>，为迎合市场的需求，若羌鑫云新材料科技有限公司特此立项建设年产10万吨硅颗粒加工项目。</w:t>
            </w:r>
          </w:p>
          <w:p>
            <w:pPr>
              <w:pStyle w:val="68"/>
              <w:bidi w:val="0"/>
              <w:rPr>
                <w:rFonts w:hint="default"/>
                <w:color w:val="auto"/>
                <w:lang w:val="en-US" w:eastAsia="zh-CN"/>
              </w:rPr>
            </w:pPr>
            <w:r>
              <w:rPr>
                <w:rFonts w:hint="eastAsia"/>
                <w:color w:val="auto"/>
                <w:lang w:val="en-US" w:eastAsia="zh-CN"/>
              </w:rPr>
              <w:t>此外，这类项目的落地还能有效带动若羌县经济发展，项目建设和运营过程中，需要大量的设备安装人员以及生产操作工人，能为当地提供不少就业岗位，缓解就业压力。项目投产后，会涉及原材料采购、设备维护、物流运输等一系列环节，这将带动当地相关产业的发展，同时，项目产生的税收也能为当地财政收入做出贡献，助力当地基础设施建设和公共服务改善，形成良好的经济循环，进一步推动区域经济的发展。</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宋体" w:cs="Times New Roman"/>
                <w:b/>
                <w:bCs w:val="0"/>
                <w:color w:val="auto"/>
                <w:spacing w:val="-1"/>
                <w:sz w:val="24"/>
                <w:szCs w:val="24"/>
                <w:lang w:val="en-US" w:eastAsia="zh-CN"/>
              </w:rPr>
            </w:pPr>
            <w:r>
              <w:rPr>
                <w:rFonts w:hint="default" w:ascii="Times New Roman" w:hAnsi="Times New Roman" w:cs="Times New Roman"/>
                <w:b/>
                <w:bCs w:val="0"/>
                <w:color w:val="auto"/>
                <w:spacing w:val="-1"/>
                <w:sz w:val="24"/>
                <w:szCs w:val="24"/>
                <w:lang w:val="en-US" w:eastAsia="zh-CN"/>
              </w:rPr>
              <w:t>2.编制依据</w:t>
            </w:r>
          </w:p>
          <w:p>
            <w:pPr>
              <w:pStyle w:val="68"/>
              <w:bidi w:val="0"/>
              <w:rPr>
                <w:rFonts w:hint="default"/>
                <w:lang w:val="en-US" w:eastAsia="zh-CN"/>
              </w:rPr>
            </w:pPr>
            <w:r>
              <w:rPr>
                <w:rFonts w:hint="default"/>
                <w:lang w:val="en-US" w:eastAsia="zh-CN"/>
              </w:rPr>
              <w:t>按照《建设项目环境影响评价分类管理名录》等有关法律法规规定，本项目属</w:t>
            </w:r>
            <w:r>
              <w:rPr>
                <w:rFonts w:hint="eastAsia"/>
                <w:lang w:val="en-US" w:eastAsia="zh-CN"/>
              </w:rPr>
              <w:t>于</w:t>
            </w:r>
            <w:r>
              <w:rPr>
                <w:rFonts w:hint="default"/>
                <w:lang w:val="en-US" w:eastAsia="zh-CN"/>
              </w:rPr>
              <w:t>《建设项目环境影响评价分类管理名录》所列</w:t>
            </w:r>
            <w:r>
              <w:rPr>
                <w:rFonts w:hint="eastAsia"/>
                <w:lang w:val="en-US" w:eastAsia="zh-CN"/>
              </w:rPr>
              <w:t>“</w:t>
            </w:r>
            <w:r>
              <w:rPr>
                <w:rFonts w:hint="default"/>
                <w:lang w:val="en-US" w:eastAsia="zh-CN"/>
              </w:rPr>
              <w:t>二十七、非金属矿物制品业60 石墨及其他非金属矿物制品制造309</w:t>
            </w:r>
            <w:r>
              <w:rPr>
                <w:rFonts w:hint="eastAsia"/>
                <w:lang w:val="en-US" w:eastAsia="zh-CN"/>
              </w:rPr>
              <w:t>”</w:t>
            </w:r>
            <w:r>
              <w:rPr>
                <w:rFonts w:hint="default"/>
                <w:lang w:val="en-US" w:eastAsia="zh-CN"/>
              </w:rPr>
              <w:t>，本项目应编制环境影响报告表。受建设单位委托，新疆领畅环保科技有限公司承担了本项目的环境影响评价工作。接受委托后，环评单位在现场踏勘和资料收集的基础上，编制了《</w:t>
            </w:r>
            <w:r>
              <w:rPr>
                <w:rFonts w:hint="eastAsia"/>
                <w:lang w:val="en-US" w:eastAsia="zh-CN"/>
              </w:rPr>
              <w:t>若羌鑫云新材料科技有限公司年产10万吨硅颗粒加工项目</w:t>
            </w:r>
            <w:r>
              <w:rPr>
                <w:rFonts w:hint="default"/>
                <w:lang w:val="en-US" w:eastAsia="zh-CN"/>
              </w:rPr>
              <w:t>环境影响报告表》，审批后作为</w:t>
            </w:r>
            <w:r>
              <w:rPr>
                <w:rFonts w:hint="eastAsia"/>
                <w:lang w:val="en-US" w:eastAsia="zh-CN"/>
              </w:rPr>
              <w:t>生态环境主管部门</w:t>
            </w:r>
            <w:r>
              <w:rPr>
                <w:rFonts w:hint="default"/>
                <w:lang w:val="en-US" w:eastAsia="zh-CN"/>
              </w:rPr>
              <w:t>和该企业进行环境管理的依据。</w:t>
            </w:r>
          </w:p>
          <w:p>
            <w:pPr>
              <w:pStyle w:val="67"/>
              <w:bidi w:val="0"/>
              <w:rPr>
                <w:rFonts w:hint="default"/>
                <w:color w:val="auto"/>
                <w:lang w:val="en-US" w:eastAsia="zh-CN"/>
              </w:rPr>
            </w:pPr>
            <w:r>
              <w:rPr>
                <w:rFonts w:hint="default"/>
                <w:color w:val="auto"/>
                <w:lang w:val="en-US" w:eastAsia="zh-CN"/>
              </w:rPr>
              <w:t>3.</w:t>
            </w:r>
            <w:r>
              <w:rPr>
                <w:rFonts w:hint="eastAsia"/>
                <w:color w:val="auto"/>
                <w:lang w:val="en-US" w:eastAsia="zh-CN"/>
              </w:rPr>
              <w:t>项目位置</w:t>
            </w:r>
          </w:p>
          <w:p>
            <w:pPr>
              <w:pStyle w:val="68"/>
              <w:bidi w:val="0"/>
              <w:rPr>
                <w:rFonts w:hint="eastAsia"/>
                <w:color w:val="auto"/>
                <w:lang w:eastAsia="zh-CN"/>
              </w:rPr>
            </w:pPr>
            <w:r>
              <w:rPr>
                <w:rFonts w:hint="default"/>
                <w:color w:val="auto"/>
              </w:rPr>
              <w:t>本项目拟建选址</w:t>
            </w:r>
            <w:r>
              <w:rPr>
                <w:rFonts w:hint="eastAsia"/>
                <w:color w:val="auto"/>
                <w:lang w:val="en-US" w:eastAsia="zh-CN"/>
              </w:rPr>
              <w:t>位</w:t>
            </w:r>
            <w:r>
              <w:rPr>
                <w:rFonts w:hint="default"/>
                <w:color w:val="auto"/>
              </w:rPr>
              <w:t>于新疆巴音郭楞蒙古自治州若羌县塔东物流商贸综合园区，</w:t>
            </w:r>
            <w:r>
              <w:rPr>
                <w:rFonts w:hint="eastAsia"/>
                <w:color w:val="auto"/>
                <w:lang w:val="en-US" w:eastAsia="zh-CN"/>
              </w:rPr>
              <w:t>租赁若羌县商务和工业信息化局的标准厂房，</w:t>
            </w:r>
            <w:r>
              <w:rPr>
                <w:rFonts w:hint="default"/>
                <w:color w:val="auto"/>
              </w:rPr>
              <w:t>中心地理坐标为</w:t>
            </w:r>
            <w:r>
              <w:rPr>
                <w:rFonts w:hint="eastAsia"/>
                <w:color w:val="auto"/>
                <w:lang w:eastAsia="zh-CN"/>
              </w:rPr>
              <w:t>东经</w:t>
            </w:r>
            <w:r>
              <w:rPr>
                <w:rFonts w:hint="default" w:ascii="Times New Roman" w:hAnsi="Times New Roman" w:cs="Times New Roman"/>
                <w:color w:val="auto"/>
                <w:lang w:eastAsia="zh-CN"/>
              </w:rPr>
              <w:t>88°15′17.230″</w:t>
            </w:r>
            <w:r>
              <w:rPr>
                <w:rFonts w:hint="eastAsia"/>
                <w:color w:val="auto"/>
                <w:lang w:eastAsia="zh-CN"/>
              </w:rPr>
              <w:t>，北纬</w:t>
            </w:r>
            <w:r>
              <w:rPr>
                <w:rFonts w:hint="default" w:ascii="Times New Roman" w:hAnsi="Times New Roman" w:cs="Times New Roman"/>
                <w:color w:val="auto"/>
                <w:lang w:eastAsia="zh-CN"/>
              </w:rPr>
              <w:t>39°0′59.559″</w:t>
            </w:r>
            <w:r>
              <w:rPr>
                <w:rFonts w:hint="default"/>
                <w:color w:val="auto"/>
              </w:rPr>
              <w:t>。具体地理位置详见附图</w:t>
            </w:r>
            <w:r>
              <w:rPr>
                <w:rFonts w:hint="eastAsia"/>
                <w:color w:val="auto"/>
                <w:lang w:val="en-US" w:eastAsia="zh-CN"/>
              </w:rPr>
              <w:t>1</w:t>
            </w:r>
            <w:r>
              <w:rPr>
                <w:rFonts w:hint="eastAsia"/>
                <w:color w:val="auto"/>
                <w:lang w:eastAsia="zh-CN"/>
              </w:rPr>
              <w:t>。</w:t>
            </w:r>
          </w:p>
          <w:p>
            <w:pPr>
              <w:pStyle w:val="68"/>
              <w:bidi w:val="0"/>
              <w:rPr>
                <w:rFonts w:hint="default"/>
                <w:color w:val="auto"/>
                <w:lang w:val="en-US" w:eastAsia="zh-CN"/>
              </w:rPr>
            </w:pPr>
            <w:r>
              <w:rPr>
                <w:rFonts w:hint="eastAsia"/>
                <w:color w:val="auto"/>
                <w:lang w:val="en-US" w:eastAsia="zh-CN"/>
              </w:rPr>
              <w:t>本</w:t>
            </w:r>
            <w:r>
              <w:rPr>
                <w:rFonts w:hint="default"/>
                <w:color w:val="auto"/>
                <w:lang w:val="en-US" w:eastAsia="zh-CN"/>
              </w:rPr>
              <w:t>项目北侧为</w:t>
            </w:r>
            <w:r>
              <w:rPr>
                <w:rFonts w:hint="eastAsia"/>
                <w:color w:val="auto"/>
                <w:lang w:val="en-US" w:eastAsia="zh-CN"/>
              </w:rPr>
              <w:t>沙子泉路</w:t>
            </w:r>
            <w:r>
              <w:rPr>
                <w:rFonts w:hint="default"/>
                <w:color w:val="auto"/>
                <w:lang w:val="en-US" w:eastAsia="zh-CN"/>
              </w:rPr>
              <w:t>；项目南侧</w:t>
            </w:r>
            <w:r>
              <w:rPr>
                <w:rFonts w:hint="eastAsia"/>
                <w:color w:val="auto"/>
                <w:lang w:val="en-US" w:eastAsia="zh-CN"/>
              </w:rPr>
              <w:t>和北侧为若羌县商务和工业信息化局的标准厂房（暂无企业入驻）；项目东侧为小康路，本项目周边环境关系详见附图</w:t>
            </w:r>
            <w:r>
              <w:rPr>
                <w:rFonts w:hint="eastAsia"/>
                <w:lang w:val="en-US" w:eastAsia="zh-CN"/>
              </w:rPr>
              <w:t>2</w:t>
            </w:r>
            <w:r>
              <w:rPr>
                <w:rFonts w:hint="eastAsia"/>
                <w:color w:val="auto"/>
                <w:lang w:val="en-US" w:eastAsia="zh-CN"/>
              </w:rPr>
              <w:t>。</w:t>
            </w:r>
          </w:p>
          <w:p>
            <w:pPr>
              <w:pStyle w:val="67"/>
              <w:bidi w:val="0"/>
              <w:rPr>
                <w:rFonts w:hint="default"/>
                <w:lang w:val="en-US" w:eastAsia="zh-CN"/>
              </w:rPr>
            </w:pPr>
            <w:r>
              <w:rPr>
                <w:rFonts w:hint="eastAsia"/>
                <w:lang w:val="en-US" w:eastAsia="zh-CN"/>
              </w:rPr>
              <w:t>4.</w:t>
            </w:r>
            <w:r>
              <w:rPr>
                <w:rFonts w:hint="default"/>
                <w:lang w:val="en-US" w:eastAsia="zh-CN"/>
              </w:rPr>
              <w:t>建设内容与规模</w:t>
            </w:r>
          </w:p>
          <w:p>
            <w:pPr>
              <w:keepNext w:val="0"/>
              <w:keepLines w:val="0"/>
              <w:pageBreakBefore w:val="0"/>
              <w:widowControl w:val="0"/>
              <w:kinsoku/>
              <w:wordWrap w:val="0"/>
              <w:overflowPunct/>
              <w:topLinePunct w:val="0"/>
              <w:autoSpaceDE/>
              <w:autoSpaceDN/>
              <w:bidi w:val="0"/>
              <w:adjustRightInd w:val="0"/>
              <w:snapToGrid w:val="0"/>
              <w:spacing w:line="520" w:lineRule="exact"/>
              <w:ind w:firstLine="480" w:firstLineChars="200"/>
              <w:jc w:val="both"/>
              <w:textAlignment w:val="auto"/>
              <w:rPr>
                <w:rFonts w:hint="eastAsia" w:cs="Times New Roman"/>
                <w:color w:val="auto"/>
                <w:sz w:val="24"/>
                <w:szCs w:val="24"/>
                <w:shd w:val="clear" w:color="auto" w:fill="auto"/>
                <w:lang w:val="en-US" w:eastAsia="zh-CN" w:bidi="ar-SA"/>
              </w:rPr>
            </w:pPr>
            <w:r>
              <w:rPr>
                <w:rFonts w:hint="eastAsia" w:cs="Times New Roman"/>
                <w:b w:val="0"/>
                <w:bCs w:val="0"/>
                <w:color w:val="000000"/>
                <w:sz w:val="24"/>
                <w:szCs w:val="24"/>
                <w:highlight w:val="none"/>
                <w:lang w:val="en-US" w:eastAsia="zh-CN"/>
              </w:rPr>
              <w:t>本项目位于新疆巴音郭楞蒙古自治州若羌县塔东物流商贸综合园区，本项目租赁若羌县商务和工业信息化局7号标准厂房（3256平方米）及附属办公区（666平方米），合计租赁面积为3922平方米。</w:t>
            </w:r>
            <w:r>
              <w:rPr>
                <w:rFonts w:hint="eastAsia" w:cs="Times New Roman"/>
                <w:color w:val="auto"/>
                <w:sz w:val="24"/>
                <w:szCs w:val="24"/>
                <w:shd w:val="clear" w:color="auto" w:fill="auto"/>
                <w:lang w:val="en-US" w:eastAsia="zh-CN" w:bidi="ar-SA"/>
              </w:rPr>
              <w:t>本项目建设内容及规模：新建4条硅颗粒加工生产线和其他公辅设施，年产10万吨硅颗粒。</w:t>
            </w:r>
          </w:p>
          <w:p>
            <w:pPr>
              <w:pStyle w:val="65"/>
              <w:bidi w:val="0"/>
              <w:rPr>
                <w:rFonts w:hint="default"/>
                <w:lang w:val="en-US" w:eastAsia="zh-CN"/>
              </w:rPr>
            </w:pPr>
            <w:r>
              <w:rPr>
                <w:rFonts w:hint="default"/>
                <w:lang w:val="en-US" w:eastAsia="zh-CN"/>
              </w:rPr>
              <w:t xml:space="preserve">表2-1 </w:t>
            </w:r>
            <w:r>
              <w:rPr>
                <w:rFonts w:hint="eastAsia"/>
                <w:lang w:val="en-US" w:eastAsia="zh-CN"/>
              </w:rPr>
              <w:t xml:space="preserve">  </w:t>
            </w:r>
            <w:r>
              <w:rPr>
                <w:rFonts w:hint="default"/>
                <w:lang w:val="en-US" w:eastAsia="zh-CN"/>
              </w:rPr>
              <w:t xml:space="preserve"> 项目组成一览表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774"/>
              <w:gridCol w:w="1380"/>
              <w:gridCol w:w="861"/>
              <w:gridCol w:w="3482"/>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30" w:type="pct"/>
                  <w:gridSpan w:val="3"/>
                  <w:vAlign w:val="center"/>
                </w:tcPr>
                <w:p>
                  <w:pPr>
                    <w:pStyle w:val="66"/>
                    <w:bidi w:val="0"/>
                    <w:rPr>
                      <w:rFonts w:hint="default"/>
                      <w:lang w:val="en-US" w:eastAsia="zh-CN"/>
                    </w:rPr>
                  </w:pPr>
                  <w:r>
                    <w:rPr>
                      <w:rFonts w:hint="default"/>
                      <w:lang w:val="en-US" w:eastAsia="zh-CN"/>
                    </w:rPr>
                    <w:t>工程内容</w:t>
                  </w:r>
                </w:p>
              </w:tc>
              <w:tc>
                <w:tcPr>
                  <w:tcW w:w="2693" w:type="pct"/>
                  <w:gridSpan w:val="2"/>
                  <w:vAlign w:val="center"/>
                </w:tcPr>
                <w:p>
                  <w:pPr>
                    <w:pStyle w:val="66"/>
                    <w:bidi w:val="0"/>
                    <w:rPr>
                      <w:rFonts w:hint="default"/>
                      <w:lang w:val="en-US" w:eastAsia="zh-CN"/>
                    </w:rPr>
                  </w:pPr>
                  <w:r>
                    <w:rPr>
                      <w:rFonts w:hint="default"/>
                      <w:lang w:val="en-US" w:eastAsia="zh-CN"/>
                    </w:rPr>
                    <w:t>项目组成</w:t>
                  </w:r>
                </w:p>
              </w:tc>
              <w:tc>
                <w:tcPr>
                  <w:tcW w:w="675" w:type="pct"/>
                  <w:vAlign w:val="center"/>
                </w:tcPr>
                <w:p>
                  <w:pPr>
                    <w:pStyle w:val="66"/>
                    <w:bidi w:val="0"/>
                    <w:rPr>
                      <w:rFonts w:hint="default"/>
                      <w:lang w:val="en-US" w:eastAsia="zh-CN"/>
                    </w:rPr>
                  </w:pPr>
                  <w:r>
                    <w:rPr>
                      <w:rFonts w:hint="default"/>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74" w:type="pct"/>
                  <w:gridSpan w:val="2"/>
                  <w:vAlign w:val="center"/>
                </w:tcPr>
                <w:p>
                  <w:pPr>
                    <w:pStyle w:val="66"/>
                    <w:bidi w:val="0"/>
                    <w:rPr>
                      <w:rFonts w:hint="default"/>
                      <w:lang w:val="en-US" w:eastAsia="zh-CN"/>
                    </w:rPr>
                  </w:pPr>
                  <w:r>
                    <w:rPr>
                      <w:rFonts w:hint="default"/>
                      <w:lang w:val="en-US" w:eastAsia="zh-CN"/>
                    </w:rPr>
                    <w:t>主体工程</w:t>
                  </w:r>
                </w:p>
              </w:tc>
              <w:tc>
                <w:tcPr>
                  <w:tcW w:w="856" w:type="pct"/>
                  <w:vAlign w:val="center"/>
                </w:tcPr>
                <w:p>
                  <w:pPr>
                    <w:pStyle w:val="66"/>
                    <w:bidi w:val="0"/>
                    <w:rPr>
                      <w:rFonts w:hint="default"/>
                      <w:lang w:val="en-US" w:eastAsia="zh-CN"/>
                    </w:rPr>
                  </w:pPr>
                  <w:r>
                    <w:rPr>
                      <w:rFonts w:hint="default"/>
                      <w:lang w:val="en-US" w:eastAsia="zh-CN"/>
                    </w:rPr>
                    <w:t>生产车间</w:t>
                  </w:r>
                </w:p>
              </w:tc>
              <w:tc>
                <w:tcPr>
                  <w:tcW w:w="2693" w:type="pct"/>
                  <w:gridSpan w:val="2"/>
                  <w:vAlign w:val="center"/>
                </w:tcPr>
                <w:p>
                  <w:pPr>
                    <w:pStyle w:val="66"/>
                    <w:bidi w:val="0"/>
                    <w:rPr>
                      <w:rFonts w:hint="default"/>
                      <w:lang w:val="en-US" w:eastAsia="zh-CN"/>
                    </w:rPr>
                  </w:pPr>
                  <w:r>
                    <w:rPr>
                      <w:rFonts w:hint="default"/>
                      <w:lang w:val="en-US" w:eastAsia="zh-CN"/>
                    </w:rPr>
                    <w:t>内设</w:t>
                  </w:r>
                  <w:r>
                    <w:rPr>
                      <w:rFonts w:hint="eastAsia"/>
                      <w:lang w:val="en-US" w:eastAsia="zh-CN"/>
                    </w:rPr>
                    <w:t>4条硅颗粒加工生产线，建筑面积为3256平方米</w:t>
                  </w:r>
                </w:p>
              </w:tc>
              <w:tc>
                <w:tcPr>
                  <w:tcW w:w="675" w:type="pct"/>
                  <w:vAlign w:val="center"/>
                </w:tcPr>
                <w:p>
                  <w:pPr>
                    <w:pStyle w:val="66"/>
                    <w:bidi w:val="0"/>
                    <w:rPr>
                      <w:rFonts w:hint="default"/>
                      <w:lang w:val="en-US" w:eastAsia="zh-CN"/>
                    </w:rPr>
                  </w:pPr>
                  <w:r>
                    <w:rPr>
                      <w:rFonts w:hint="eastAsia"/>
                      <w:lang w:val="en-US"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4" w:type="pct"/>
                  <w:gridSpan w:val="2"/>
                  <w:vAlign w:val="center"/>
                </w:tcPr>
                <w:p>
                  <w:pPr>
                    <w:pStyle w:val="66"/>
                    <w:bidi w:val="0"/>
                    <w:rPr>
                      <w:rFonts w:hint="default"/>
                      <w:lang w:val="en-US" w:eastAsia="zh-CN"/>
                    </w:rPr>
                  </w:pPr>
                  <w:r>
                    <w:rPr>
                      <w:rFonts w:hint="eastAsia"/>
                      <w:lang w:val="en-US" w:eastAsia="zh-CN"/>
                    </w:rPr>
                    <w:t>辅助工程</w:t>
                  </w:r>
                </w:p>
              </w:tc>
              <w:tc>
                <w:tcPr>
                  <w:tcW w:w="856" w:type="pct"/>
                  <w:vAlign w:val="center"/>
                </w:tcPr>
                <w:p>
                  <w:pPr>
                    <w:pStyle w:val="66"/>
                    <w:bidi w:val="0"/>
                    <w:rPr>
                      <w:rFonts w:hint="default"/>
                      <w:lang w:val="en-US" w:eastAsia="zh-CN"/>
                    </w:rPr>
                  </w:pPr>
                  <w:r>
                    <w:rPr>
                      <w:rFonts w:hint="eastAsia"/>
                      <w:lang w:val="en-US" w:eastAsia="zh-CN"/>
                    </w:rPr>
                    <w:t>办公区</w:t>
                  </w:r>
                </w:p>
              </w:tc>
              <w:tc>
                <w:tcPr>
                  <w:tcW w:w="2693" w:type="pct"/>
                  <w:gridSpan w:val="2"/>
                  <w:vAlign w:val="center"/>
                </w:tcPr>
                <w:p>
                  <w:pPr>
                    <w:pStyle w:val="66"/>
                    <w:bidi w:val="0"/>
                    <w:rPr>
                      <w:rFonts w:hint="default"/>
                      <w:lang w:val="en-US" w:eastAsia="zh-CN"/>
                    </w:rPr>
                  </w:pPr>
                  <w:r>
                    <w:rPr>
                      <w:rFonts w:hint="eastAsia"/>
                      <w:lang w:val="en-US" w:eastAsia="zh-CN"/>
                    </w:rPr>
                    <w:t>用于办公，面积为666平方米</w:t>
                  </w:r>
                </w:p>
              </w:tc>
              <w:tc>
                <w:tcPr>
                  <w:tcW w:w="675" w:type="pct"/>
                  <w:vAlign w:val="center"/>
                </w:tcPr>
                <w:p>
                  <w:pPr>
                    <w:pStyle w:val="66"/>
                    <w:bidi w:val="0"/>
                    <w:rPr>
                      <w:rFonts w:hint="default"/>
                      <w:lang w:val="en-US" w:eastAsia="zh-CN"/>
                    </w:rPr>
                  </w:pPr>
                  <w:r>
                    <w:rPr>
                      <w:rFonts w:hint="eastAsia"/>
                      <w:lang w:val="en-US"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4" w:type="pct"/>
                  <w:gridSpan w:val="2"/>
                  <w:vMerge w:val="restart"/>
                  <w:vAlign w:val="center"/>
                </w:tcPr>
                <w:p>
                  <w:pPr>
                    <w:pStyle w:val="66"/>
                    <w:bidi w:val="0"/>
                    <w:rPr>
                      <w:rFonts w:hint="default"/>
                      <w:lang w:val="en-US" w:eastAsia="zh-CN"/>
                    </w:rPr>
                  </w:pPr>
                  <w:r>
                    <w:rPr>
                      <w:rFonts w:hint="eastAsia"/>
                      <w:lang w:val="en-US" w:eastAsia="zh-CN"/>
                    </w:rPr>
                    <w:t>储运工程</w:t>
                  </w:r>
                </w:p>
              </w:tc>
              <w:tc>
                <w:tcPr>
                  <w:tcW w:w="856" w:type="pct"/>
                  <w:vAlign w:val="center"/>
                </w:tcPr>
                <w:p>
                  <w:pPr>
                    <w:pStyle w:val="66"/>
                    <w:bidi w:val="0"/>
                    <w:rPr>
                      <w:rFonts w:hint="default"/>
                      <w:lang w:val="en-US"/>
                    </w:rPr>
                  </w:pPr>
                  <w:r>
                    <w:rPr>
                      <w:rFonts w:hint="default"/>
                      <w:lang w:val="en-US" w:eastAsia="zh-CN"/>
                    </w:rPr>
                    <w:t>原料储存</w:t>
                  </w:r>
                  <w:r>
                    <w:rPr>
                      <w:rFonts w:hint="eastAsia"/>
                      <w:lang w:val="en-US" w:eastAsia="zh-CN"/>
                    </w:rPr>
                    <w:t>区</w:t>
                  </w:r>
                </w:p>
              </w:tc>
              <w:tc>
                <w:tcPr>
                  <w:tcW w:w="2693" w:type="pct"/>
                  <w:gridSpan w:val="2"/>
                  <w:vAlign w:val="center"/>
                </w:tcPr>
                <w:p>
                  <w:pPr>
                    <w:pStyle w:val="66"/>
                    <w:bidi w:val="0"/>
                    <w:rPr>
                      <w:rFonts w:hint="default"/>
                      <w:lang w:val="en-US" w:eastAsia="zh-CN"/>
                    </w:rPr>
                  </w:pPr>
                  <w:r>
                    <w:rPr>
                      <w:rFonts w:hint="eastAsia"/>
                      <w:lang w:val="en-US" w:eastAsia="zh-CN"/>
                    </w:rPr>
                    <w:t>位于生产车间内的东侧，占地面积约为400平方米</w:t>
                  </w:r>
                </w:p>
              </w:tc>
              <w:tc>
                <w:tcPr>
                  <w:tcW w:w="675" w:type="pct"/>
                  <w:vAlign w:val="center"/>
                </w:tcPr>
                <w:p>
                  <w:pPr>
                    <w:pStyle w:val="66"/>
                    <w:bidi w:val="0"/>
                    <w:rPr>
                      <w:rFonts w:hint="default"/>
                      <w:lang w:val="en-US" w:eastAsia="zh-CN"/>
                    </w:rPr>
                  </w:pPr>
                  <w:r>
                    <w:rPr>
                      <w:rFonts w:hint="eastAsia"/>
                      <w:lang w:val="en-US"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4" w:type="pct"/>
                  <w:gridSpan w:val="2"/>
                  <w:vMerge w:val="continue"/>
                  <w:vAlign w:val="center"/>
                </w:tcPr>
                <w:p>
                  <w:pPr>
                    <w:pStyle w:val="66"/>
                    <w:bidi w:val="0"/>
                    <w:rPr>
                      <w:rFonts w:hint="default"/>
                    </w:rPr>
                  </w:pPr>
                </w:p>
              </w:tc>
              <w:tc>
                <w:tcPr>
                  <w:tcW w:w="856" w:type="pct"/>
                  <w:vAlign w:val="center"/>
                </w:tcPr>
                <w:p>
                  <w:pPr>
                    <w:pStyle w:val="66"/>
                    <w:bidi w:val="0"/>
                    <w:rPr>
                      <w:rFonts w:hint="default"/>
                      <w:lang w:val="en-US" w:eastAsia="zh-CN"/>
                    </w:rPr>
                  </w:pPr>
                  <w:r>
                    <w:rPr>
                      <w:rFonts w:hint="eastAsia"/>
                      <w:lang w:val="en-US" w:eastAsia="zh-CN"/>
                    </w:rPr>
                    <w:t>成品储存区</w:t>
                  </w:r>
                </w:p>
              </w:tc>
              <w:tc>
                <w:tcPr>
                  <w:tcW w:w="2693" w:type="pct"/>
                  <w:gridSpan w:val="2"/>
                  <w:vAlign w:val="center"/>
                </w:tcPr>
                <w:p>
                  <w:pPr>
                    <w:pStyle w:val="66"/>
                    <w:bidi w:val="0"/>
                    <w:rPr>
                      <w:rFonts w:hint="default"/>
                      <w:lang w:val="en-US" w:eastAsia="zh-CN"/>
                    </w:rPr>
                  </w:pPr>
                  <w:r>
                    <w:rPr>
                      <w:rFonts w:hint="eastAsia"/>
                      <w:lang w:val="en-US" w:eastAsia="zh-CN"/>
                    </w:rPr>
                    <w:t>位于生产车间内的东侧，占地面积约为400平方米</w:t>
                  </w:r>
                </w:p>
              </w:tc>
              <w:tc>
                <w:tcPr>
                  <w:tcW w:w="675" w:type="pct"/>
                  <w:vAlign w:val="center"/>
                </w:tcPr>
                <w:p>
                  <w:pPr>
                    <w:pStyle w:val="66"/>
                    <w:bidi w:val="0"/>
                    <w:rPr>
                      <w:rFonts w:hint="default"/>
                      <w:lang w:val="en-US" w:eastAsia="zh-CN"/>
                    </w:rPr>
                  </w:pPr>
                  <w:r>
                    <w:rPr>
                      <w:rFonts w:hint="eastAsia"/>
                      <w:lang w:val="en-US"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4" w:type="pct"/>
                  <w:gridSpan w:val="2"/>
                  <w:vMerge w:val="continue"/>
                  <w:vAlign w:val="center"/>
                </w:tcPr>
                <w:p>
                  <w:pPr>
                    <w:pStyle w:val="66"/>
                    <w:bidi w:val="0"/>
                    <w:rPr>
                      <w:rFonts w:hint="default"/>
                    </w:rPr>
                  </w:pPr>
                </w:p>
              </w:tc>
              <w:tc>
                <w:tcPr>
                  <w:tcW w:w="856" w:type="pct"/>
                  <w:vAlign w:val="center"/>
                </w:tcPr>
                <w:p>
                  <w:pPr>
                    <w:pStyle w:val="66"/>
                    <w:bidi w:val="0"/>
                    <w:rPr>
                      <w:rFonts w:hint="default"/>
                      <w:lang w:val="en-US" w:eastAsia="zh-CN"/>
                    </w:rPr>
                  </w:pPr>
                  <w:r>
                    <w:rPr>
                      <w:rFonts w:hint="eastAsia"/>
                      <w:lang w:val="en-US" w:eastAsia="zh-CN"/>
                    </w:rPr>
                    <w:t>一般固废暂存处</w:t>
                  </w:r>
                </w:p>
              </w:tc>
              <w:tc>
                <w:tcPr>
                  <w:tcW w:w="2693" w:type="pct"/>
                  <w:gridSpan w:val="2"/>
                  <w:vAlign w:val="center"/>
                </w:tcPr>
                <w:p>
                  <w:pPr>
                    <w:pStyle w:val="66"/>
                    <w:bidi w:val="0"/>
                    <w:rPr>
                      <w:rFonts w:hint="default"/>
                      <w:lang w:val="en-US" w:eastAsia="zh-CN"/>
                    </w:rPr>
                  </w:pPr>
                  <w:r>
                    <w:rPr>
                      <w:rFonts w:hint="eastAsia"/>
                      <w:lang w:val="en-US" w:eastAsia="zh-CN"/>
                    </w:rPr>
                    <w:t>位于生产车间内的西南侧，占地面积为50平方米</w:t>
                  </w:r>
                </w:p>
              </w:tc>
              <w:tc>
                <w:tcPr>
                  <w:tcW w:w="675" w:type="pct"/>
                  <w:vAlign w:val="center"/>
                </w:tcPr>
                <w:p>
                  <w:pPr>
                    <w:pStyle w:val="66"/>
                    <w:bidi w:val="0"/>
                    <w:rPr>
                      <w:rFonts w:hint="eastAsia"/>
                      <w:lang w:val="en-US" w:eastAsia="zh-CN"/>
                    </w:rPr>
                  </w:pPr>
                  <w:r>
                    <w:rPr>
                      <w:rFonts w:hint="eastAsia"/>
                      <w:lang w:val="en-US"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4" w:type="pct"/>
                  <w:gridSpan w:val="2"/>
                  <w:vMerge w:val="restart"/>
                  <w:vAlign w:val="center"/>
                </w:tcPr>
                <w:p>
                  <w:pPr>
                    <w:pStyle w:val="66"/>
                    <w:bidi w:val="0"/>
                    <w:rPr>
                      <w:rFonts w:hint="default"/>
                      <w:lang w:val="en-US" w:eastAsia="zh-CN"/>
                    </w:rPr>
                  </w:pPr>
                  <w:r>
                    <w:rPr>
                      <w:rFonts w:hint="default"/>
                      <w:lang w:val="en-US" w:eastAsia="zh-CN"/>
                    </w:rPr>
                    <w:t>公用工程</w:t>
                  </w:r>
                </w:p>
              </w:tc>
              <w:tc>
                <w:tcPr>
                  <w:tcW w:w="856" w:type="pct"/>
                  <w:vAlign w:val="center"/>
                </w:tcPr>
                <w:p>
                  <w:pPr>
                    <w:pStyle w:val="66"/>
                    <w:bidi w:val="0"/>
                    <w:rPr>
                      <w:rFonts w:hint="default"/>
                      <w:lang w:val="en-US" w:eastAsia="zh-CN"/>
                    </w:rPr>
                  </w:pPr>
                  <w:r>
                    <w:rPr>
                      <w:rFonts w:hint="default"/>
                      <w:lang w:val="en-US" w:eastAsia="zh-CN"/>
                    </w:rPr>
                    <w:t>供水</w:t>
                  </w:r>
                </w:p>
              </w:tc>
              <w:tc>
                <w:tcPr>
                  <w:tcW w:w="2693" w:type="pct"/>
                  <w:gridSpan w:val="2"/>
                  <w:vAlign w:val="center"/>
                </w:tcPr>
                <w:p>
                  <w:pPr>
                    <w:pStyle w:val="66"/>
                    <w:bidi w:val="0"/>
                    <w:rPr>
                      <w:rFonts w:hint="default"/>
                      <w:lang w:val="en-US" w:eastAsia="zh-CN"/>
                    </w:rPr>
                  </w:pPr>
                  <w:r>
                    <w:rPr>
                      <w:rFonts w:hint="default"/>
                      <w:lang w:val="en-US" w:eastAsia="zh-CN"/>
                    </w:rPr>
                    <w:t>园区供水</w:t>
                  </w:r>
                </w:p>
              </w:tc>
              <w:tc>
                <w:tcPr>
                  <w:tcW w:w="675" w:type="pct"/>
                  <w:vAlign w:val="center"/>
                </w:tcPr>
                <w:p>
                  <w:pPr>
                    <w:pStyle w:val="66"/>
                    <w:bidi w:val="0"/>
                    <w:rPr>
                      <w:rFonts w:hint="default"/>
                      <w:lang w:val="en-US" w:eastAsia="zh-CN"/>
                    </w:rPr>
                  </w:pPr>
                  <w:r>
                    <w:rPr>
                      <w:rFonts w:hint="default"/>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4" w:type="pct"/>
                  <w:gridSpan w:val="2"/>
                  <w:vMerge w:val="continue"/>
                  <w:vAlign w:val="center"/>
                </w:tcPr>
                <w:p>
                  <w:pPr>
                    <w:pStyle w:val="66"/>
                    <w:bidi w:val="0"/>
                    <w:rPr>
                      <w:rFonts w:hint="default"/>
                      <w:lang w:val="en-US" w:eastAsia="zh-CN"/>
                    </w:rPr>
                  </w:pPr>
                </w:p>
              </w:tc>
              <w:tc>
                <w:tcPr>
                  <w:tcW w:w="856" w:type="pct"/>
                  <w:vAlign w:val="center"/>
                </w:tcPr>
                <w:p>
                  <w:pPr>
                    <w:pStyle w:val="66"/>
                    <w:bidi w:val="0"/>
                    <w:rPr>
                      <w:rFonts w:hint="default"/>
                      <w:lang w:val="en-US" w:eastAsia="zh-CN"/>
                    </w:rPr>
                  </w:pPr>
                  <w:r>
                    <w:rPr>
                      <w:rFonts w:hint="default"/>
                      <w:lang w:val="en-US" w:eastAsia="zh-CN"/>
                    </w:rPr>
                    <w:t>供电</w:t>
                  </w:r>
                </w:p>
              </w:tc>
              <w:tc>
                <w:tcPr>
                  <w:tcW w:w="2693" w:type="pct"/>
                  <w:gridSpan w:val="2"/>
                  <w:vAlign w:val="center"/>
                </w:tcPr>
                <w:p>
                  <w:pPr>
                    <w:pStyle w:val="66"/>
                    <w:bidi w:val="0"/>
                    <w:rPr>
                      <w:rFonts w:hint="default"/>
                      <w:lang w:val="en-US" w:eastAsia="zh-CN"/>
                    </w:rPr>
                  </w:pPr>
                  <w:r>
                    <w:rPr>
                      <w:rFonts w:hint="default"/>
                      <w:lang w:val="en-US" w:eastAsia="zh-CN"/>
                    </w:rPr>
                    <w:t>园区供电</w:t>
                  </w:r>
                </w:p>
              </w:tc>
              <w:tc>
                <w:tcPr>
                  <w:tcW w:w="675" w:type="pct"/>
                  <w:vAlign w:val="center"/>
                </w:tcPr>
                <w:p>
                  <w:pPr>
                    <w:pStyle w:val="66"/>
                    <w:bidi w:val="0"/>
                    <w:rPr>
                      <w:rFonts w:hint="default"/>
                      <w:lang w:val="en-US" w:eastAsia="zh-CN"/>
                    </w:rPr>
                  </w:pPr>
                  <w:r>
                    <w:rPr>
                      <w:rFonts w:hint="default"/>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4" w:type="pct"/>
                  <w:gridSpan w:val="2"/>
                  <w:vMerge w:val="continue"/>
                  <w:vAlign w:val="center"/>
                </w:tcPr>
                <w:p>
                  <w:pPr>
                    <w:pStyle w:val="66"/>
                    <w:bidi w:val="0"/>
                    <w:rPr>
                      <w:rFonts w:hint="default"/>
                      <w:lang w:val="en-US" w:eastAsia="zh-CN"/>
                    </w:rPr>
                  </w:pPr>
                </w:p>
              </w:tc>
              <w:tc>
                <w:tcPr>
                  <w:tcW w:w="856" w:type="pct"/>
                  <w:vAlign w:val="center"/>
                </w:tcPr>
                <w:p>
                  <w:pPr>
                    <w:pStyle w:val="66"/>
                    <w:bidi w:val="0"/>
                    <w:rPr>
                      <w:rFonts w:hint="default"/>
                      <w:lang w:val="en-US" w:eastAsia="zh-CN"/>
                    </w:rPr>
                  </w:pPr>
                  <w:r>
                    <w:rPr>
                      <w:rFonts w:hint="default"/>
                      <w:lang w:val="en-US" w:eastAsia="zh-CN"/>
                    </w:rPr>
                    <w:t>供热</w:t>
                  </w:r>
                </w:p>
              </w:tc>
              <w:tc>
                <w:tcPr>
                  <w:tcW w:w="2693" w:type="pct"/>
                  <w:gridSpan w:val="2"/>
                  <w:vAlign w:val="center"/>
                </w:tcPr>
                <w:p>
                  <w:pPr>
                    <w:pStyle w:val="66"/>
                    <w:bidi w:val="0"/>
                    <w:rPr>
                      <w:rFonts w:hint="default"/>
                      <w:lang w:val="en-US" w:eastAsia="zh-CN"/>
                    </w:rPr>
                  </w:pPr>
                  <w:r>
                    <w:rPr>
                      <w:rFonts w:hint="eastAsia"/>
                      <w:lang w:val="en-US" w:eastAsia="zh-CN"/>
                    </w:rPr>
                    <w:t>办公楼冬季采用电供暖</w:t>
                  </w:r>
                </w:p>
              </w:tc>
              <w:tc>
                <w:tcPr>
                  <w:tcW w:w="675" w:type="pct"/>
                  <w:vAlign w:val="center"/>
                </w:tcPr>
                <w:p>
                  <w:pPr>
                    <w:pStyle w:val="66"/>
                    <w:bidi w:val="0"/>
                    <w:rPr>
                      <w:rFonts w:hint="default"/>
                      <w:lang w:val="en-US" w:eastAsia="zh-CN"/>
                    </w:rPr>
                  </w:pPr>
                  <w:r>
                    <w:rPr>
                      <w:rFonts w:hint="default"/>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4" w:type="pct"/>
                  <w:gridSpan w:val="2"/>
                  <w:vMerge w:val="continue"/>
                  <w:vAlign w:val="center"/>
                </w:tcPr>
                <w:p>
                  <w:pPr>
                    <w:pStyle w:val="66"/>
                    <w:bidi w:val="0"/>
                    <w:rPr>
                      <w:rFonts w:hint="default"/>
                      <w:lang w:val="en-US" w:eastAsia="zh-CN"/>
                    </w:rPr>
                  </w:pPr>
                </w:p>
              </w:tc>
              <w:tc>
                <w:tcPr>
                  <w:tcW w:w="856" w:type="pct"/>
                  <w:vAlign w:val="center"/>
                </w:tcPr>
                <w:p>
                  <w:pPr>
                    <w:pStyle w:val="66"/>
                    <w:bidi w:val="0"/>
                    <w:rPr>
                      <w:rFonts w:hint="default"/>
                      <w:color w:val="auto"/>
                      <w:lang w:val="en-US" w:eastAsia="zh-CN"/>
                    </w:rPr>
                  </w:pPr>
                  <w:r>
                    <w:rPr>
                      <w:rFonts w:hint="default"/>
                      <w:color w:val="auto"/>
                      <w:lang w:val="en-US" w:eastAsia="zh-CN"/>
                    </w:rPr>
                    <w:t>排水</w:t>
                  </w:r>
                </w:p>
              </w:tc>
              <w:tc>
                <w:tcPr>
                  <w:tcW w:w="2693" w:type="pct"/>
                  <w:gridSpan w:val="2"/>
                  <w:vAlign w:val="center"/>
                </w:tcPr>
                <w:p>
                  <w:pPr>
                    <w:pStyle w:val="66"/>
                    <w:bidi w:val="0"/>
                    <w:rPr>
                      <w:rFonts w:hint="default"/>
                      <w:lang w:val="en-US" w:eastAsia="zh-CN"/>
                    </w:rPr>
                  </w:pPr>
                  <w:r>
                    <w:rPr>
                      <w:rFonts w:hint="eastAsia"/>
                      <w:lang w:val="en-US" w:eastAsia="zh-CN"/>
                    </w:rPr>
                    <w:t>生活污水先经化粪池预处理，再通过园区排水管网排入若羌县城乡污水处理厂进行集中处理</w:t>
                  </w:r>
                </w:p>
              </w:tc>
              <w:tc>
                <w:tcPr>
                  <w:tcW w:w="675" w:type="pct"/>
                  <w:vAlign w:val="center"/>
                </w:tcPr>
                <w:p>
                  <w:pPr>
                    <w:pStyle w:val="66"/>
                    <w:bidi w:val="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pct"/>
                  <w:vMerge w:val="restart"/>
                  <w:vAlign w:val="center"/>
                </w:tcPr>
                <w:p>
                  <w:pPr>
                    <w:pStyle w:val="66"/>
                    <w:bidi w:val="0"/>
                    <w:rPr>
                      <w:rFonts w:hint="default"/>
                      <w:lang w:val="en-US" w:eastAsia="zh-CN"/>
                    </w:rPr>
                  </w:pPr>
                  <w:r>
                    <w:rPr>
                      <w:rFonts w:hint="default"/>
                      <w:lang w:val="en-US" w:eastAsia="zh-CN"/>
                    </w:rPr>
                    <w:t>环保工程</w:t>
                  </w:r>
                </w:p>
              </w:tc>
              <w:tc>
                <w:tcPr>
                  <w:tcW w:w="480" w:type="pct"/>
                  <w:vMerge w:val="restart"/>
                  <w:vAlign w:val="center"/>
                </w:tcPr>
                <w:p>
                  <w:pPr>
                    <w:pStyle w:val="66"/>
                    <w:bidi w:val="0"/>
                    <w:rPr>
                      <w:rFonts w:hint="default"/>
                      <w:lang w:val="en-US" w:eastAsia="zh-CN"/>
                    </w:rPr>
                  </w:pPr>
                  <w:r>
                    <w:rPr>
                      <w:rFonts w:hint="eastAsia"/>
                      <w:lang w:val="en-US" w:eastAsia="zh-CN"/>
                    </w:rPr>
                    <w:t>施工期</w:t>
                  </w:r>
                </w:p>
              </w:tc>
              <w:tc>
                <w:tcPr>
                  <w:tcW w:w="856" w:type="pct"/>
                  <w:vAlign w:val="center"/>
                </w:tcPr>
                <w:p>
                  <w:pPr>
                    <w:pStyle w:val="66"/>
                    <w:bidi w:val="0"/>
                    <w:rPr>
                      <w:rFonts w:hint="default"/>
                      <w:color w:val="auto"/>
                      <w:lang w:val="en-US" w:eastAsia="zh-CN"/>
                    </w:rPr>
                  </w:pPr>
                  <w:r>
                    <w:rPr>
                      <w:rFonts w:hint="eastAsia"/>
                      <w:color w:val="auto"/>
                      <w:lang w:val="en-US" w:eastAsia="zh-CN"/>
                    </w:rPr>
                    <w:t>废气</w:t>
                  </w:r>
                </w:p>
              </w:tc>
              <w:tc>
                <w:tcPr>
                  <w:tcW w:w="2693" w:type="pct"/>
                  <w:gridSpan w:val="2"/>
                  <w:vAlign w:val="center"/>
                </w:tcPr>
                <w:p>
                  <w:pPr>
                    <w:pStyle w:val="66"/>
                    <w:bidi w:val="0"/>
                    <w:rPr>
                      <w:rFonts w:hint="default"/>
                      <w:color w:val="auto"/>
                      <w:lang w:val="en-US" w:eastAsia="zh-CN"/>
                    </w:rPr>
                  </w:pPr>
                  <w:r>
                    <w:rPr>
                      <w:rFonts w:hint="eastAsia"/>
                      <w:color w:val="auto"/>
                      <w:lang w:val="en-US" w:eastAsia="zh-CN"/>
                    </w:rPr>
                    <w:t>不涉及土建工程，安装设备及运输过程中产生的粉尘进行洒水抑尘，降低扬尘的排放</w:t>
                  </w:r>
                </w:p>
              </w:tc>
              <w:tc>
                <w:tcPr>
                  <w:tcW w:w="675" w:type="pct"/>
                  <w:vAlign w:val="center"/>
                </w:tcPr>
                <w:p>
                  <w:pPr>
                    <w:pStyle w:val="66"/>
                    <w:bidi w:val="0"/>
                    <w:jc w:val="both"/>
                    <w:rPr>
                      <w:rFonts w:hint="eastAsia"/>
                      <w:lang w:val="en-US" w:eastAsia="zh-CN"/>
                    </w:rPr>
                  </w:pPr>
                  <w:r>
                    <w:rPr>
                      <w:rFonts w:hint="eastAsia"/>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pct"/>
                  <w:vMerge w:val="continue"/>
                  <w:vAlign w:val="center"/>
                </w:tcPr>
                <w:p>
                  <w:pPr>
                    <w:pStyle w:val="66"/>
                    <w:bidi w:val="0"/>
                    <w:rPr>
                      <w:rFonts w:hint="default"/>
                      <w:lang w:val="en-US" w:eastAsia="zh-CN"/>
                    </w:rPr>
                  </w:pPr>
                </w:p>
              </w:tc>
              <w:tc>
                <w:tcPr>
                  <w:tcW w:w="480" w:type="pct"/>
                  <w:vMerge w:val="continue"/>
                  <w:vAlign w:val="center"/>
                </w:tcPr>
                <w:p>
                  <w:pPr>
                    <w:pStyle w:val="66"/>
                    <w:bidi w:val="0"/>
                    <w:rPr>
                      <w:rFonts w:hint="default"/>
                      <w:lang w:val="en-US" w:eastAsia="zh-CN"/>
                    </w:rPr>
                  </w:pPr>
                </w:p>
              </w:tc>
              <w:tc>
                <w:tcPr>
                  <w:tcW w:w="856" w:type="pct"/>
                  <w:vAlign w:val="center"/>
                </w:tcPr>
                <w:p>
                  <w:pPr>
                    <w:pStyle w:val="66"/>
                    <w:bidi w:val="0"/>
                    <w:rPr>
                      <w:rFonts w:hint="default"/>
                      <w:color w:val="auto"/>
                      <w:lang w:val="en-US" w:eastAsia="zh-CN"/>
                    </w:rPr>
                  </w:pPr>
                  <w:r>
                    <w:rPr>
                      <w:rFonts w:hint="eastAsia"/>
                      <w:color w:val="auto"/>
                      <w:lang w:val="en-US" w:eastAsia="zh-CN"/>
                    </w:rPr>
                    <w:t>废水</w:t>
                  </w:r>
                </w:p>
              </w:tc>
              <w:tc>
                <w:tcPr>
                  <w:tcW w:w="2693" w:type="pct"/>
                  <w:gridSpan w:val="2"/>
                  <w:vAlign w:val="center"/>
                </w:tcPr>
                <w:p>
                  <w:pPr>
                    <w:pStyle w:val="66"/>
                    <w:bidi w:val="0"/>
                    <w:rPr>
                      <w:rFonts w:hint="eastAsia"/>
                      <w:color w:val="auto"/>
                      <w:lang w:val="en-US" w:eastAsia="zh-CN"/>
                    </w:rPr>
                  </w:pPr>
                  <w:r>
                    <w:rPr>
                      <w:rFonts w:hint="eastAsia"/>
                      <w:lang w:val="en-US" w:eastAsia="zh-CN"/>
                    </w:rPr>
                    <w:t>施工人员产生的生活污水先经化粪池（30m</w:t>
                  </w:r>
                  <w:r>
                    <w:rPr>
                      <w:rFonts w:hint="eastAsia"/>
                      <w:vertAlign w:val="superscript"/>
                      <w:lang w:val="en-US" w:eastAsia="zh-CN"/>
                    </w:rPr>
                    <w:t>3</w:t>
                  </w:r>
                  <w:r>
                    <w:rPr>
                      <w:rFonts w:hint="eastAsia"/>
                      <w:lang w:val="en-US" w:eastAsia="zh-CN"/>
                    </w:rPr>
                    <w:t>）预处理，再通过园区排水管网排入若羌县城乡污水处理厂进行集中处理</w:t>
                  </w:r>
                </w:p>
              </w:tc>
              <w:tc>
                <w:tcPr>
                  <w:tcW w:w="675" w:type="pct"/>
                  <w:vAlign w:val="center"/>
                </w:tcPr>
                <w:p>
                  <w:pPr>
                    <w:pStyle w:val="66"/>
                    <w:bidi w:val="0"/>
                    <w:jc w:val="both"/>
                    <w:rPr>
                      <w:rFonts w:hint="eastAsia"/>
                      <w:lang w:val="en-US" w:eastAsia="zh-CN"/>
                    </w:rPr>
                  </w:pPr>
                  <w:r>
                    <w:rPr>
                      <w:rFonts w:hint="eastAsia"/>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pct"/>
                  <w:vMerge w:val="continue"/>
                  <w:vAlign w:val="center"/>
                </w:tcPr>
                <w:p>
                  <w:pPr>
                    <w:pStyle w:val="66"/>
                    <w:bidi w:val="0"/>
                    <w:rPr>
                      <w:rFonts w:hint="default"/>
                      <w:lang w:val="en-US" w:eastAsia="zh-CN"/>
                    </w:rPr>
                  </w:pPr>
                </w:p>
              </w:tc>
              <w:tc>
                <w:tcPr>
                  <w:tcW w:w="480" w:type="pct"/>
                  <w:vMerge w:val="continue"/>
                  <w:vAlign w:val="center"/>
                </w:tcPr>
                <w:p>
                  <w:pPr>
                    <w:pStyle w:val="66"/>
                    <w:bidi w:val="0"/>
                    <w:rPr>
                      <w:rFonts w:hint="default"/>
                      <w:lang w:val="en-US" w:eastAsia="zh-CN"/>
                    </w:rPr>
                  </w:pPr>
                </w:p>
              </w:tc>
              <w:tc>
                <w:tcPr>
                  <w:tcW w:w="856" w:type="pct"/>
                  <w:vAlign w:val="center"/>
                </w:tcPr>
                <w:p>
                  <w:pPr>
                    <w:pStyle w:val="66"/>
                    <w:bidi w:val="0"/>
                    <w:rPr>
                      <w:rFonts w:hint="default"/>
                      <w:color w:val="auto"/>
                      <w:lang w:val="en-US" w:eastAsia="zh-CN"/>
                    </w:rPr>
                  </w:pPr>
                  <w:r>
                    <w:rPr>
                      <w:rFonts w:hint="eastAsia"/>
                      <w:color w:val="auto"/>
                      <w:lang w:val="en-US" w:eastAsia="zh-CN"/>
                    </w:rPr>
                    <w:t>噪声</w:t>
                  </w:r>
                </w:p>
              </w:tc>
              <w:tc>
                <w:tcPr>
                  <w:tcW w:w="2693" w:type="pct"/>
                  <w:gridSpan w:val="2"/>
                  <w:vAlign w:val="center"/>
                </w:tcPr>
                <w:p>
                  <w:pPr>
                    <w:pStyle w:val="66"/>
                    <w:bidi w:val="0"/>
                    <w:rPr>
                      <w:rFonts w:hint="default"/>
                      <w:color w:val="auto"/>
                      <w:lang w:val="en-US" w:eastAsia="zh-CN"/>
                    </w:rPr>
                  </w:pPr>
                  <w:r>
                    <w:rPr>
                      <w:rFonts w:hint="eastAsia"/>
                      <w:color w:val="auto"/>
                      <w:lang w:val="en-US" w:eastAsia="zh-CN"/>
                    </w:rPr>
                    <w:t>合理安排施工时间，夜间禁止使用高噪声设备；搬运设备过程中应该轻拿轻放，禁止抛掷；加强施工人员管理，文明施工</w:t>
                  </w:r>
                </w:p>
              </w:tc>
              <w:tc>
                <w:tcPr>
                  <w:tcW w:w="675" w:type="pct"/>
                  <w:vAlign w:val="center"/>
                </w:tcPr>
                <w:p>
                  <w:pPr>
                    <w:pStyle w:val="66"/>
                    <w:bidi w:val="0"/>
                    <w:jc w:val="both"/>
                    <w:rPr>
                      <w:rFonts w:hint="eastAsia"/>
                      <w:lang w:val="en-US" w:eastAsia="zh-CN"/>
                    </w:rPr>
                  </w:pPr>
                  <w:r>
                    <w:rPr>
                      <w:rFonts w:hint="eastAsia"/>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pct"/>
                  <w:vMerge w:val="continue"/>
                  <w:vAlign w:val="center"/>
                </w:tcPr>
                <w:p>
                  <w:pPr>
                    <w:pStyle w:val="66"/>
                    <w:bidi w:val="0"/>
                    <w:rPr>
                      <w:rFonts w:hint="default"/>
                      <w:lang w:val="en-US" w:eastAsia="zh-CN"/>
                    </w:rPr>
                  </w:pPr>
                </w:p>
              </w:tc>
              <w:tc>
                <w:tcPr>
                  <w:tcW w:w="480" w:type="pct"/>
                  <w:vMerge w:val="continue"/>
                  <w:vAlign w:val="center"/>
                </w:tcPr>
                <w:p>
                  <w:pPr>
                    <w:pStyle w:val="66"/>
                    <w:bidi w:val="0"/>
                    <w:rPr>
                      <w:rFonts w:hint="default"/>
                      <w:lang w:val="en-US" w:eastAsia="zh-CN"/>
                    </w:rPr>
                  </w:pPr>
                </w:p>
              </w:tc>
              <w:tc>
                <w:tcPr>
                  <w:tcW w:w="856" w:type="pct"/>
                  <w:vAlign w:val="center"/>
                </w:tcPr>
                <w:p>
                  <w:pPr>
                    <w:pStyle w:val="66"/>
                    <w:bidi w:val="0"/>
                    <w:rPr>
                      <w:rFonts w:hint="default"/>
                      <w:color w:val="auto"/>
                      <w:lang w:val="en-US" w:eastAsia="zh-CN"/>
                    </w:rPr>
                  </w:pPr>
                  <w:r>
                    <w:rPr>
                      <w:rFonts w:hint="eastAsia"/>
                      <w:color w:val="auto"/>
                      <w:lang w:val="en-US" w:eastAsia="zh-CN"/>
                    </w:rPr>
                    <w:t>固废</w:t>
                  </w:r>
                </w:p>
              </w:tc>
              <w:tc>
                <w:tcPr>
                  <w:tcW w:w="2693" w:type="pct"/>
                  <w:gridSpan w:val="2"/>
                  <w:vAlign w:val="center"/>
                </w:tcPr>
                <w:p>
                  <w:pPr>
                    <w:pStyle w:val="66"/>
                    <w:bidi w:val="0"/>
                    <w:rPr>
                      <w:rFonts w:hint="default"/>
                      <w:color w:val="auto"/>
                      <w:lang w:val="en-US" w:eastAsia="zh-CN"/>
                    </w:rPr>
                  </w:pPr>
                  <w:r>
                    <w:rPr>
                      <w:rFonts w:hint="eastAsia"/>
                      <w:color w:val="auto"/>
                      <w:lang w:val="en-US" w:eastAsia="zh-CN"/>
                    </w:rPr>
                    <w:t>施工人员产生的生活垃圾集中收集后由环卫部门定期清运处理，安装设备过程中产生的废包装材料外售至废品回收站</w:t>
                  </w:r>
                </w:p>
              </w:tc>
              <w:tc>
                <w:tcPr>
                  <w:tcW w:w="675" w:type="pct"/>
                  <w:vAlign w:val="center"/>
                </w:tcPr>
                <w:p>
                  <w:pPr>
                    <w:pStyle w:val="66"/>
                    <w:bidi w:val="0"/>
                    <w:jc w:val="both"/>
                    <w:rPr>
                      <w:rFonts w:hint="eastAsia"/>
                      <w:lang w:val="en-US" w:eastAsia="zh-CN"/>
                    </w:rPr>
                  </w:pPr>
                  <w:r>
                    <w:rPr>
                      <w:rFonts w:hint="eastAsia"/>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pct"/>
                  <w:vMerge w:val="continue"/>
                  <w:vAlign w:val="center"/>
                </w:tcPr>
                <w:p>
                  <w:pPr>
                    <w:pStyle w:val="66"/>
                    <w:bidi w:val="0"/>
                    <w:rPr>
                      <w:rFonts w:hint="default"/>
                      <w:lang w:val="en-US" w:eastAsia="zh-CN"/>
                    </w:rPr>
                  </w:pPr>
                </w:p>
              </w:tc>
              <w:tc>
                <w:tcPr>
                  <w:tcW w:w="480" w:type="pct"/>
                  <w:vMerge w:val="restart"/>
                  <w:vAlign w:val="center"/>
                </w:tcPr>
                <w:p>
                  <w:pPr>
                    <w:pStyle w:val="66"/>
                    <w:bidi w:val="0"/>
                    <w:rPr>
                      <w:rFonts w:hint="default"/>
                      <w:lang w:val="en-US" w:eastAsia="zh-CN"/>
                    </w:rPr>
                  </w:pPr>
                  <w:r>
                    <w:rPr>
                      <w:rFonts w:hint="eastAsia"/>
                      <w:lang w:val="en-US" w:eastAsia="zh-CN"/>
                    </w:rPr>
                    <w:t>营运期</w:t>
                  </w:r>
                </w:p>
              </w:tc>
              <w:tc>
                <w:tcPr>
                  <w:tcW w:w="856" w:type="pct"/>
                  <w:vAlign w:val="center"/>
                </w:tcPr>
                <w:p>
                  <w:pPr>
                    <w:pStyle w:val="66"/>
                    <w:bidi w:val="0"/>
                    <w:rPr>
                      <w:rFonts w:hint="default"/>
                      <w:color w:val="auto"/>
                      <w:lang w:val="en-US" w:eastAsia="zh-CN"/>
                    </w:rPr>
                  </w:pPr>
                  <w:r>
                    <w:rPr>
                      <w:rFonts w:hint="default"/>
                      <w:color w:val="auto"/>
                      <w:lang w:val="en-US" w:eastAsia="zh-CN"/>
                    </w:rPr>
                    <w:t>废气</w:t>
                  </w:r>
                </w:p>
              </w:tc>
              <w:tc>
                <w:tcPr>
                  <w:tcW w:w="2693" w:type="pct"/>
                  <w:gridSpan w:val="2"/>
                  <w:vAlign w:val="center"/>
                </w:tcPr>
                <w:p>
                  <w:pPr>
                    <w:pStyle w:val="66"/>
                    <w:bidi w:val="0"/>
                    <w:rPr>
                      <w:rFonts w:hint="default"/>
                      <w:color w:val="auto"/>
                      <w:lang w:val="en-US" w:eastAsia="zh-CN"/>
                    </w:rPr>
                  </w:pPr>
                  <w:r>
                    <w:rPr>
                      <w:rFonts w:hint="eastAsia"/>
                      <w:color w:val="auto"/>
                      <w:lang w:val="en-US" w:eastAsia="zh-CN"/>
                    </w:rPr>
                    <w:t>在4条生产线中，每条生产线的各级工序（一级破碎、二级破碎、筛分和三级破碎）产生的废气均经各自对应的布袋除尘器进行处理</w:t>
                  </w:r>
                </w:p>
              </w:tc>
              <w:tc>
                <w:tcPr>
                  <w:tcW w:w="675" w:type="pct"/>
                  <w:vAlign w:val="center"/>
                </w:tcPr>
                <w:p>
                  <w:pPr>
                    <w:pStyle w:val="66"/>
                    <w:bidi w:val="0"/>
                    <w:jc w:val="both"/>
                    <w:rPr>
                      <w:rFonts w:hint="default"/>
                      <w:lang w:val="en-US" w:eastAsia="zh-CN"/>
                    </w:rPr>
                  </w:pPr>
                  <w:r>
                    <w:rPr>
                      <w:rFonts w:hint="eastAsia"/>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pct"/>
                  <w:vMerge w:val="continue"/>
                  <w:vAlign w:val="center"/>
                </w:tcPr>
                <w:p>
                  <w:pPr>
                    <w:pStyle w:val="66"/>
                    <w:bidi w:val="0"/>
                    <w:rPr>
                      <w:rFonts w:hint="default"/>
                      <w:lang w:val="en-US" w:eastAsia="zh-CN"/>
                    </w:rPr>
                  </w:pPr>
                </w:p>
              </w:tc>
              <w:tc>
                <w:tcPr>
                  <w:tcW w:w="480" w:type="pct"/>
                  <w:vMerge w:val="continue"/>
                  <w:vAlign w:val="center"/>
                </w:tcPr>
                <w:p>
                  <w:pPr>
                    <w:pStyle w:val="66"/>
                    <w:bidi w:val="0"/>
                    <w:rPr>
                      <w:rFonts w:hint="default"/>
                      <w:lang w:val="en-US" w:eastAsia="zh-CN"/>
                    </w:rPr>
                  </w:pPr>
                </w:p>
              </w:tc>
              <w:tc>
                <w:tcPr>
                  <w:tcW w:w="856" w:type="pct"/>
                  <w:vMerge w:val="restart"/>
                  <w:vAlign w:val="center"/>
                </w:tcPr>
                <w:p>
                  <w:pPr>
                    <w:pStyle w:val="66"/>
                    <w:bidi w:val="0"/>
                    <w:rPr>
                      <w:rFonts w:hint="default"/>
                      <w:lang w:val="en-US" w:eastAsia="zh-CN"/>
                    </w:rPr>
                  </w:pPr>
                  <w:r>
                    <w:rPr>
                      <w:rFonts w:hint="default"/>
                      <w:lang w:val="en-US" w:eastAsia="zh-CN"/>
                    </w:rPr>
                    <w:t>废水</w:t>
                  </w:r>
                </w:p>
              </w:tc>
              <w:tc>
                <w:tcPr>
                  <w:tcW w:w="534" w:type="pct"/>
                  <w:vAlign w:val="center"/>
                </w:tcPr>
                <w:p>
                  <w:pPr>
                    <w:pStyle w:val="66"/>
                    <w:bidi w:val="0"/>
                    <w:rPr>
                      <w:rFonts w:hint="default"/>
                      <w:lang w:val="en-US" w:eastAsia="zh-CN"/>
                    </w:rPr>
                  </w:pPr>
                  <w:r>
                    <w:rPr>
                      <w:rFonts w:hint="default"/>
                      <w:lang w:val="en-US" w:eastAsia="zh-CN"/>
                    </w:rPr>
                    <w:t>生活污水</w:t>
                  </w:r>
                </w:p>
              </w:tc>
              <w:tc>
                <w:tcPr>
                  <w:tcW w:w="2158" w:type="pct"/>
                  <w:vAlign w:val="center"/>
                </w:tcPr>
                <w:p>
                  <w:pPr>
                    <w:pStyle w:val="66"/>
                    <w:bidi w:val="0"/>
                    <w:rPr>
                      <w:rFonts w:hint="default"/>
                      <w:lang w:val="en-US" w:eastAsia="zh-CN"/>
                    </w:rPr>
                  </w:pPr>
                  <w:r>
                    <w:rPr>
                      <w:rFonts w:hint="eastAsia"/>
                      <w:lang w:val="en-US" w:eastAsia="zh-CN"/>
                    </w:rPr>
                    <w:t>生活污水先经化粪池（30m</w:t>
                  </w:r>
                  <w:r>
                    <w:rPr>
                      <w:rFonts w:hint="eastAsia"/>
                      <w:vertAlign w:val="superscript"/>
                      <w:lang w:val="en-US" w:eastAsia="zh-CN"/>
                    </w:rPr>
                    <w:t>3</w:t>
                  </w:r>
                  <w:r>
                    <w:rPr>
                      <w:rFonts w:hint="eastAsia"/>
                      <w:lang w:val="en-US" w:eastAsia="zh-CN"/>
                    </w:rPr>
                    <w:t>）预处理，再通过园区排水管网排入若羌县城乡污水处理厂进行集中处理</w:t>
                  </w:r>
                </w:p>
              </w:tc>
              <w:tc>
                <w:tcPr>
                  <w:tcW w:w="675" w:type="pct"/>
                  <w:vAlign w:val="center"/>
                </w:tcPr>
                <w:p>
                  <w:pPr>
                    <w:pStyle w:val="66"/>
                    <w:bidi w:val="0"/>
                    <w:rPr>
                      <w:rFonts w:hint="default"/>
                      <w:lang w:val="en-US" w:eastAsia="zh-CN"/>
                    </w:rPr>
                  </w:pPr>
                  <w:r>
                    <w:rPr>
                      <w:rFonts w:hint="eastAsia"/>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pct"/>
                  <w:vMerge w:val="continue"/>
                  <w:vAlign w:val="center"/>
                </w:tcPr>
                <w:p>
                  <w:pPr>
                    <w:pStyle w:val="66"/>
                    <w:bidi w:val="0"/>
                    <w:rPr>
                      <w:rFonts w:hint="default"/>
                    </w:rPr>
                  </w:pPr>
                </w:p>
              </w:tc>
              <w:tc>
                <w:tcPr>
                  <w:tcW w:w="480" w:type="pct"/>
                  <w:vMerge w:val="continue"/>
                  <w:vAlign w:val="center"/>
                </w:tcPr>
                <w:p>
                  <w:pPr>
                    <w:pStyle w:val="66"/>
                    <w:bidi w:val="0"/>
                    <w:rPr>
                      <w:rFonts w:hint="default"/>
                    </w:rPr>
                  </w:pPr>
                </w:p>
              </w:tc>
              <w:tc>
                <w:tcPr>
                  <w:tcW w:w="856" w:type="pct"/>
                  <w:vMerge w:val="continue"/>
                  <w:vAlign w:val="center"/>
                </w:tcPr>
                <w:p>
                  <w:pPr>
                    <w:pStyle w:val="66"/>
                    <w:bidi w:val="0"/>
                    <w:rPr>
                      <w:rFonts w:hint="default"/>
                    </w:rPr>
                  </w:pPr>
                </w:p>
              </w:tc>
              <w:tc>
                <w:tcPr>
                  <w:tcW w:w="534" w:type="pct"/>
                  <w:vAlign w:val="center"/>
                </w:tcPr>
                <w:p>
                  <w:pPr>
                    <w:pStyle w:val="66"/>
                    <w:bidi w:val="0"/>
                    <w:rPr>
                      <w:rFonts w:hint="default"/>
                      <w:lang w:val="en-US" w:eastAsia="zh-CN"/>
                    </w:rPr>
                  </w:pPr>
                  <w:r>
                    <w:rPr>
                      <w:rFonts w:hint="eastAsia"/>
                      <w:color w:val="auto"/>
                      <w:lang w:val="en-US" w:eastAsia="zh-CN"/>
                    </w:rPr>
                    <w:t>洒水抑尘用水</w:t>
                  </w:r>
                </w:p>
              </w:tc>
              <w:tc>
                <w:tcPr>
                  <w:tcW w:w="2158" w:type="pct"/>
                  <w:vAlign w:val="center"/>
                </w:tcPr>
                <w:p>
                  <w:pPr>
                    <w:pStyle w:val="66"/>
                    <w:bidi w:val="0"/>
                    <w:rPr>
                      <w:rFonts w:hint="default"/>
                      <w:lang w:val="en-US" w:eastAsia="zh-CN"/>
                    </w:rPr>
                  </w:pPr>
                  <w:r>
                    <w:rPr>
                      <w:rFonts w:hint="eastAsia"/>
                      <w:lang w:val="en-US" w:eastAsia="zh-CN"/>
                    </w:rPr>
                    <w:t>蒸发逸散，不外排</w:t>
                  </w:r>
                </w:p>
              </w:tc>
              <w:tc>
                <w:tcPr>
                  <w:tcW w:w="675" w:type="pct"/>
                  <w:vAlign w:val="center"/>
                </w:tcPr>
                <w:p>
                  <w:pPr>
                    <w:pStyle w:val="66"/>
                    <w:bidi w:val="0"/>
                    <w:rPr>
                      <w:rFonts w:hint="default"/>
                      <w:lang w:val="en-US" w:eastAsia="zh-CN"/>
                    </w:rPr>
                  </w:pPr>
                  <w:r>
                    <w:rPr>
                      <w:rFonts w:hint="eastAsia"/>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94" w:type="pct"/>
                  <w:vMerge w:val="continue"/>
                  <w:vAlign w:val="center"/>
                </w:tcPr>
                <w:p>
                  <w:pPr>
                    <w:pStyle w:val="66"/>
                    <w:bidi w:val="0"/>
                    <w:rPr>
                      <w:rFonts w:hint="default"/>
                      <w:lang w:val="en-US" w:eastAsia="zh-CN"/>
                    </w:rPr>
                  </w:pPr>
                </w:p>
              </w:tc>
              <w:tc>
                <w:tcPr>
                  <w:tcW w:w="480" w:type="pct"/>
                  <w:vMerge w:val="continue"/>
                  <w:vAlign w:val="center"/>
                </w:tcPr>
                <w:p>
                  <w:pPr>
                    <w:pStyle w:val="66"/>
                    <w:bidi w:val="0"/>
                    <w:rPr>
                      <w:rFonts w:hint="default"/>
                      <w:lang w:val="en-US" w:eastAsia="zh-CN"/>
                    </w:rPr>
                  </w:pPr>
                </w:p>
              </w:tc>
              <w:tc>
                <w:tcPr>
                  <w:tcW w:w="856" w:type="pct"/>
                  <w:vAlign w:val="center"/>
                </w:tcPr>
                <w:p>
                  <w:pPr>
                    <w:pStyle w:val="66"/>
                    <w:bidi w:val="0"/>
                    <w:rPr>
                      <w:rFonts w:hint="default"/>
                      <w:lang w:val="en-US" w:eastAsia="zh-CN"/>
                    </w:rPr>
                  </w:pPr>
                  <w:r>
                    <w:rPr>
                      <w:rFonts w:hint="default"/>
                      <w:lang w:val="en-US" w:eastAsia="zh-CN"/>
                    </w:rPr>
                    <w:t>噪声</w:t>
                  </w:r>
                </w:p>
              </w:tc>
              <w:tc>
                <w:tcPr>
                  <w:tcW w:w="2693" w:type="pct"/>
                  <w:gridSpan w:val="2"/>
                  <w:vAlign w:val="center"/>
                </w:tcPr>
                <w:p>
                  <w:pPr>
                    <w:pStyle w:val="66"/>
                    <w:bidi w:val="0"/>
                    <w:rPr>
                      <w:rFonts w:hint="default"/>
                      <w:lang w:val="en-US" w:eastAsia="zh-CN"/>
                    </w:rPr>
                  </w:pPr>
                  <w:r>
                    <w:t>选用低噪声设备</w:t>
                  </w:r>
                  <w:r>
                    <w:rPr>
                      <w:rFonts w:hint="eastAsia"/>
                    </w:rPr>
                    <w:t>、</w:t>
                  </w:r>
                  <w:r>
                    <w:t>基础减震</w:t>
                  </w:r>
                  <w:r>
                    <w:rPr>
                      <w:rFonts w:hint="eastAsia"/>
                    </w:rPr>
                    <w:t>、</w:t>
                  </w:r>
                  <w:r>
                    <w:t>厂房隔声</w:t>
                  </w:r>
                </w:p>
              </w:tc>
              <w:tc>
                <w:tcPr>
                  <w:tcW w:w="675" w:type="pct"/>
                  <w:vAlign w:val="center"/>
                </w:tcPr>
                <w:p>
                  <w:pPr>
                    <w:pStyle w:val="66"/>
                    <w:bidi w:val="0"/>
                    <w:rPr>
                      <w:rFonts w:hint="default"/>
                      <w:lang w:val="en-US" w:eastAsia="zh-CN"/>
                    </w:rPr>
                  </w:pPr>
                  <w:r>
                    <w:rPr>
                      <w:rFonts w:hint="eastAsia"/>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4" w:type="pct"/>
                  <w:vMerge w:val="continue"/>
                  <w:vAlign w:val="center"/>
                </w:tcPr>
                <w:p>
                  <w:pPr>
                    <w:pStyle w:val="66"/>
                    <w:bidi w:val="0"/>
                    <w:rPr>
                      <w:rFonts w:hint="default"/>
                      <w:lang w:val="en-US" w:eastAsia="zh-CN"/>
                    </w:rPr>
                  </w:pPr>
                </w:p>
              </w:tc>
              <w:tc>
                <w:tcPr>
                  <w:tcW w:w="480" w:type="pct"/>
                  <w:vMerge w:val="continue"/>
                  <w:vAlign w:val="center"/>
                </w:tcPr>
                <w:p>
                  <w:pPr>
                    <w:pStyle w:val="66"/>
                    <w:bidi w:val="0"/>
                    <w:rPr>
                      <w:rFonts w:hint="default"/>
                      <w:lang w:val="en-US" w:eastAsia="zh-CN"/>
                    </w:rPr>
                  </w:pPr>
                </w:p>
              </w:tc>
              <w:tc>
                <w:tcPr>
                  <w:tcW w:w="856" w:type="pct"/>
                  <w:vAlign w:val="center"/>
                </w:tcPr>
                <w:p>
                  <w:pPr>
                    <w:pStyle w:val="66"/>
                    <w:bidi w:val="0"/>
                    <w:rPr>
                      <w:rFonts w:hint="default"/>
                      <w:lang w:val="en-US" w:eastAsia="zh-CN"/>
                    </w:rPr>
                  </w:pPr>
                  <w:r>
                    <w:rPr>
                      <w:rFonts w:hint="default"/>
                      <w:lang w:val="en-US" w:eastAsia="zh-CN"/>
                    </w:rPr>
                    <w:t>固废</w:t>
                  </w:r>
                </w:p>
              </w:tc>
              <w:tc>
                <w:tcPr>
                  <w:tcW w:w="2693" w:type="pct"/>
                  <w:gridSpan w:val="2"/>
                  <w:vAlign w:val="center"/>
                </w:tcPr>
                <w:p>
                  <w:pPr>
                    <w:pStyle w:val="66"/>
                    <w:bidi w:val="0"/>
                    <w:rPr>
                      <w:rFonts w:hint="default"/>
                      <w:lang w:val="en-US" w:eastAsia="zh-CN"/>
                    </w:rPr>
                  </w:pPr>
                  <w:r>
                    <w:rPr>
                      <w:rFonts w:hint="eastAsia"/>
                      <w:color w:val="auto"/>
                      <w:lang w:val="en-US" w:eastAsia="zh-CN"/>
                    </w:rPr>
                    <w:t>布袋除尘器收集的粉尘作为产品外售或回用于饼状硅生产环节；磁选机和强磁铁产生的铁粉收集后外售综合利用；废弃的原料包装袋收集后交由供应商回收再利用；废布袋由设备厂家定期更换并回收；生活垃圾集中收集后由环卫部门定期清运处理；废润滑油和废润滑油桶暂存危险废物贮存点内并定期委托有资质的单位进行拉运处理</w:t>
                  </w:r>
                </w:p>
              </w:tc>
              <w:tc>
                <w:tcPr>
                  <w:tcW w:w="675" w:type="pct"/>
                  <w:vAlign w:val="center"/>
                </w:tcPr>
                <w:p>
                  <w:pPr>
                    <w:pStyle w:val="66"/>
                    <w:bidi w:val="0"/>
                    <w:rPr>
                      <w:rFonts w:hint="default"/>
                      <w:lang w:val="en-US" w:eastAsia="zh-CN"/>
                    </w:rPr>
                  </w:pPr>
                  <w:r>
                    <w:rPr>
                      <w:rFonts w:hint="eastAsia"/>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4" w:type="pct"/>
                  <w:gridSpan w:val="2"/>
                  <w:vAlign w:val="center"/>
                </w:tcPr>
                <w:p>
                  <w:pPr>
                    <w:pStyle w:val="66"/>
                    <w:bidi w:val="0"/>
                    <w:rPr>
                      <w:rFonts w:hint="default"/>
                      <w:lang w:val="en-US" w:eastAsia="zh-CN"/>
                    </w:rPr>
                  </w:pPr>
                  <w:r>
                    <w:rPr>
                      <w:rFonts w:hint="eastAsia"/>
                      <w:lang w:val="en-US" w:eastAsia="zh-CN"/>
                    </w:rPr>
                    <w:t>环境风险防范工程</w:t>
                  </w:r>
                </w:p>
              </w:tc>
              <w:tc>
                <w:tcPr>
                  <w:tcW w:w="856" w:type="pct"/>
                  <w:vAlign w:val="center"/>
                </w:tcPr>
                <w:p>
                  <w:pPr>
                    <w:pStyle w:val="66"/>
                    <w:bidi w:val="0"/>
                    <w:rPr>
                      <w:rFonts w:hint="default"/>
                      <w:lang w:val="en-US" w:eastAsia="zh-CN"/>
                    </w:rPr>
                  </w:pPr>
                  <w:r>
                    <w:rPr>
                      <w:rFonts w:hint="eastAsia"/>
                      <w:lang w:val="en-US" w:eastAsia="zh-CN"/>
                    </w:rPr>
                    <w:t>危险废物贮存点</w:t>
                  </w:r>
                </w:p>
              </w:tc>
              <w:tc>
                <w:tcPr>
                  <w:tcW w:w="2693" w:type="pct"/>
                  <w:gridSpan w:val="2"/>
                  <w:vAlign w:val="center"/>
                </w:tcPr>
                <w:p>
                  <w:pPr>
                    <w:pStyle w:val="66"/>
                    <w:bidi w:val="0"/>
                    <w:rPr>
                      <w:rFonts w:hint="default"/>
                      <w:lang w:val="en-US"/>
                    </w:rPr>
                  </w:pPr>
                  <w:r>
                    <w:rPr>
                      <w:rFonts w:hint="eastAsia"/>
                      <w:lang w:val="en-US" w:eastAsia="zh-CN"/>
                    </w:rPr>
                    <w:t>位于生产车间西北角，</w:t>
                  </w:r>
                  <w:r>
                    <w:rPr>
                      <w:rFonts w:hint="default"/>
                      <w:lang w:val="en-US" w:eastAsia="zh-CN"/>
                    </w:rPr>
                    <w:t>占地面积10m</w:t>
                  </w:r>
                  <w:r>
                    <w:rPr>
                      <w:rFonts w:hint="default"/>
                      <w:vertAlign w:val="superscript"/>
                      <w:lang w:val="en-US" w:eastAsia="zh-CN"/>
                    </w:rPr>
                    <w:t>2</w:t>
                  </w:r>
                  <w:r>
                    <w:rPr>
                      <w:rFonts w:hint="eastAsia"/>
                      <w:vertAlign w:val="baseline"/>
                      <w:lang w:val="en-US" w:eastAsia="zh-CN"/>
                    </w:rPr>
                    <w:t>，</w:t>
                  </w:r>
                  <w:r>
                    <w:rPr>
                      <w:rFonts w:hint="default"/>
                      <w:lang w:val="en-US" w:eastAsia="zh-CN"/>
                    </w:rPr>
                    <w:t>用于存放废润滑油等危险废弃物，</w:t>
                  </w:r>
                  <w:r>
                    <w:rPr>
                      <w:rFonts w:hint="eastAsia"/>
                      <w:lang w:val="en-US" w:eastAsia="zh-CN"/>
                    </w:rPr>
                    <w:t>按照《危险废物贮存污染控制标准》(GB18597—2023)标准进行建设</w:t>
                  </w:r>
                </w:p>
              </w:tc>
              <w:tc>
                <w:tcPr>
                  <w:tcW w:w="675" w:type="pct"/>
                  <w:vAlign w:val="center"/>
                </w:tcPr>
                <w:p>
                  <w:pPr>
                    <w:pStyle w:val="66"/>
                    <w:bidi w:val="0"/>
                    <w:rPr>
                      <w:rFonts w:hint="default"/>
                      <w:lang w:val="en-US" w:eastAsia="zh-CN"/>
                    </w:rPr>
                  </w:pPr>
                  <w:r>
                    <w:rPr>
                      <w:rFonts w:hint="eastAsia"/>
                      <w:lang w:val="en-US" w:eastAsia="zh-CN"/>
                    </w:rPr>
                    <w:t>新建</w:t>
                  </w:r>
                </w:p>
              </w:tc>
            </w:tr>
          </w:tbl>
          <w:p>
            <w:pPr>
              <w:pStyle w:val="67"/>
              <w:shd w:val="clear"/>
              <w:bidi w:val="0"/>
              <w:rPr>
                <w:rFonts w:hint="default"/>
                <w:color w:val="auto"/>
                <w:lang w:val="en-US" w:eastAsia="zh-CN"/>
              </w:rPr>
            </w:pPr>
            <w:r>
              <w:rPr>
                <w:rFonts w:hint="eastAsia"/>
                <w:color w:val="auto"/>
                <w:lang w:val="en-US" w:eastAsia="zh-CN"/>
              </w:rPr>
              <w:t>5.</w:t>
            </w:r>
            <w:r>
              <w:rPr>
                <w:rFonts w:hint="default"/>
                <w:color w:val="auto"/>
                <w:lang w:val="en-US" w:eastAsia="zh-CN"/>
              </w:rPr>
              <w:t>主要设备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jc w:val="left"/>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本项目主要生产设备</w:t>
            </w:r>
            <w:r>
              <w:rPr>
                <w:rFonts w:hint="eastAsia" w:cs="Times New Roman"/>
                <w:color w:val="000000"/>
                <w:sz w:val="24"/>
                <w:szCs w:val="24"/>
                <w:highlight w:val="none"/>
                <w:lang w:val="en-US" w:eastAsia="zh-CN"/>
              </w:rPr>
              <w:t>详</w:t>
            </w:r>
            <w:r>
              <w:rPr>
                <w:rFonts w:hint="default" w:ascii="Times New Roman" w:hAnsi="Times New Roman" w:eastAsia="宋体" w:cs="Times New Roman"/>
                <w:color w:val="000000"/>
                <w:sz w:val="24"/>
                <w:szCs w:val="24"/>
                <w:highlight w:val="none"/>
                <w:lang w:val="en-US" w:eastAsia="zh-CN"/>
              </w:rPr>
              <w:t>见下表。</w:t>
            </w:r>
          </w:p>
          <w:p>
            <w:pPr>
              <w:pStyle w:val="65"/>
              <w:bidi w:val="0"/>
              <w:rPr>
                <w:rFonts w:hint="default"/>
                <w:lang w:val="en-US" w:eastAsia="zh-CN"/>
              </w:rPr>
            </w:pPr>
            <w:r>
              <w:rPr>
                <w:rFonts w:hint="default"/>
                <w:lang w:val="en-US" w:eastAsia="zh-CN"/>
              </w:rPr>
              <w:t>表2-2</w:t>
            </w:r>
            <w:r>
              <w:rPr>
                <w:rFonts w:hint="eastAsia"/>
                <w:lang w:val="en-US" w:eastAsia="zh-CN"/>
              </w:rPr>
              <w:t xml:space="preserve">  </w:t>
            </w:r>
            <w:r>
              <w:rPr>
                <w:rFonts w:hint="default"/>
                <w:lang w:val="en-US" w:eastAsia="zh-CN"/>
              </w:rPr>
              <w:t xml:space="preserve">  </w:t>
            </w:r>
            <w:r>
              <w:rPr>
                <w:rFonts w:hint="eastAsia"/>
                <w:lang w:val="en-US" w:eastAsia="zh-CN"/>
              </w:rPr>
              <w:t>主要</w:t>
            </w:r>
            <w:r>
              <w:rPr>
                <w:rFonts w:hint="default"/>
                <w:lang w:val="en-US" w:eastAsia="zh-CN"/>
              </w:rPr>
              <w:t>设备一览表</w:t>
            </w:r>
          </w:p>
          <w:tbl>
            <w:tblPr>
              <w:tblStyle w:val="23"/>
              <w:tblW w:w="4998" w:type="pct"/>
              <w:tblInd w:w="0" w:type="dxa"/>
              <w:tblLayout w:type="autofit"/>
              <w:tblCellMar>
                <w:top w:w="0" w:type="dxa"/>
                <w:left w:w="108" w:type="dxa"/>
                <w:bottom w:w="0" w:type="dxa"/>
                <w:right w:w="108" w:type="dxa"/>
              </w:tblCellMar>
            </w:tblPr>
            <w:tblGrid>
              <w:gridCol w:w="1157"/>
              <w:gridCol w:w="2592"/>
              <w:gridCol w:w="3288"/>
              <w:gridCol w:w="1030"/>
            </w:tblGrid>
            <w:tr>
              <w:tblPrEx>
                <w:tblCellMar>
                  <w:top w:w="0" w:type="dxa"/>
                  <w:left w:w="108" w:type="dxa"/>
                  <w:bottom w:w="0" w:type="dxa"/>
                  <w:right w:w="108" w:type="dxa"/>
                </w:tblCellMar>
              </w:tblPrEx>
              <w:trPr>
                <w:cantSplit/>
                <w:trHeight w:val="604" w:hRule="atLeast"/>
              </w:trPr>
              <w:tc>
                <w:tcPr>
                  <w:tcW w:w="717"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pPr>
                  <w:r>
                    <w:t>序号</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pPr>
                  <w:r>
                    <w:t>设备及仪器名称</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pPr>
                  <w:r>
                    <w:t>型号/产地/出厂日期</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pPr>
                  <w:r>
                    <w:t>数量</w:t>
                  </w:r>
                </w:p>
                <w:p>
                  <w:pPr>
                    <w:pStyle w:val="66"/>
                    <w:bidi w:val="0"/>
                  </w:pPr>
                  <w:r>
                    <w:t>(台)</w:t>
                  </w:r>
                </w:p>
              </w:tc>
            </w:tr>
            <w:tr>
              <w:tblPrEx>
                <w:tblCellMar>
                  <w:top w:w="0" w:type="dxa"/>
                  <w:left w:w="108" w:type="dxa"/>
                  <w:bottom w:w="0" w:type="dxa"/>
                  <w:right w:w="108" w:type="dxa"/>
                </w:tblCellMar>
              </w:tblPrEx>
              <w:trPr>
                <w:trHeight w:val="397" w:hRule="atLeast"/>
              </w:trPr>
              <w:tc>
                <w:tcPr>
                  <w:tcW w:w="717"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pPr>
                  <w:r>
                    <w:t>1</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eastAsia"/>
                      <w:lang w:eastAsia="zh-CN"/>
                    </w:rPr>
                  </w:pPr>
                  <w:r>
                    <w:rPr>
                      <w:rFonts w:hint="eastAsia"/>
                      <w:lang w:eastAsia="zh-CN"/>
                    </w:rPr>
                    <w:t>反击式破碎机</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default"/>
                      <w:lang w:val="en-US" w:eastAsia="zh-CN"/>
                    </w:rPr>
                  </w:pPr>
                  <w:r>
                    <w:rPr>
                      <w:rFonts w:hint="eastAsia"/>
                      <w:lang w:val="en-US" w:eastAsia="zh-CN"/>
                    </w:rPr>
                    <w:t>D600河南20240530</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eastAsia"/>
                      <w:lang w:val="en-US" w:eastAsia="zh-CN"/>
                    </w:rPr>
                  </w:pPr>
                  <w:r>
                    <w:rPr>
                      <w:rFonts w:hint="eastAsia"/>
                      <w:lang w:val="en-US" w:eastAsia="zh-CN"/>
                    </w:rPr>
                    <w:t>4</w:t>
                  </w:r>
                </w:p>
              </w:tc>
            </w:tr>
            <w:tr>
              <w:tblPrEx>
                <w:tblCellMar>
                  <w:top w:w="0" w:type="dxa"/>
                  <w:left w:w="108" w:type="dxa"/>
                  <w:bottom w:w="0" w:type="dxa"/>
                  <w:right w:w="108" w:type="dxa"/>
                </w:tblCellMar>
              </w:tblPrEx>
              <w:trPr>
                <w:trHeight w:val="397" w:hRule="atLeast"/>
              </w:trPr>
              <w:tc>
                <w:tcPr>
                  <w:tcW w:w="717"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pPr>
                  <w:r>
                    <w:t>2</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eastAsia"/>
                      <w:lang w:eastAsia="zh-CN"/>
                    </w:rPr>
                  </w:pPr>
                  <w:r>
                    <w:rPr>
                      <w:rFonts w:hint="eastAsia"/>
                      <w:lang w:eastAsia="zh-CN"/>
                    </w:rPr>
                    <w:t>斗提机</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default"/>
                      <w:lang w:val="en-US" w:eastAsia="zh-CN"/>
                    </w:rPr>
                  </w:pPr>
                  <w:r>
                    <w:rPr>
                      <w:rFonts w:hint="eastAsia"/>
                      <w:lang w:val="en-US" w:eastAsia="zh-CN"/>
                    </w:rPr>
                    <w:t>TH160*7.8河南20240530</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eastAsia"/>
                      <w:lang w:val="en-US" w:eastAsia="zh-CN"/>
                    </w:rPr>
                  </w:pPr>
                  <w:r>
                    <w:rPr>
                      <w:rFonts w:hint="eastAsia"/>
                      <w:lang w:val="en-US" w:eastAsia="zh-CN"/>
                    </w:rPr>
                    <w:t>12</w:t>
                  </w:r>
                </w:p>
              </w:tc>
            </w:tr>
            <w:tr>
              <w:tblPrEx>
                <w:tblCellMar>
                  <w:top w:w="0" w:type="dxa"/>
                  <w:left w:w="108" w:type="dxa"/>
                  <w:bottom w:w="0" w:type="dxa"/>
                  <w:right w:w="108" w:type="dxa"/>
                </w:tblCellMar>
              </w:tblPrEx>
              <w:trPr>
                <w:trHeight w:val="397" w:hRule="atLeast"/>
              </w:trPr>
              <w:tc>
                <w:tcPr>
                  <w:tcW w:w="717"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pPr>
                  <w:r>
                    <w:t>3</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eastAsia"/>
                      <w:lang w:eastAsia="zh-CN"/>
                    </w:rPr>
                  </w:pPr>
                  <w:r>
                    <w:rPr>
                      <w:rFonts w:hint="eastAsia"/>
                      <w:lang w:eastAsia="zh-CN"/>
                    </w:rPr>
                    <w:t>二次破碎机</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default"/>
                      <w:lang w:val="en-US" w:eastAsia="zh-CN"/>
                    </w:rPr>
                  </w:pPr>
                  <w:r>
                    <w:rPr>
                      <w:rFonts w:hint="eastAsia"/>
                      <w:lang w:val="en-US" w:eastAsia="zh-CN"/>
                    </w:rPr>
                    <w:t>DP500河南20240530</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eastAsia"/>
                      <w:lang w:val="en-US" w:eastAsia="zh-CN"/>
                    </w:rPr>
                  </w:pPr>
                  <w:r>
                    <w:rPr>
                      <w:rFonts w:hint="eastAsia"/>
                      <w:lang w:val="en-US" w:eastAsia="zh-CN"/>
                    </w:rPr>
                    <w:t>4</w:t>
                  </w:r>
                </w:p>
              </w:tc>
            </w:tr>
            <w:tr>
              <w:tblPrEx>
                <w:tblCellMar>
                  <w:top w:w="0" w:type="dxa"/>
                  <w:left w:w="108" w:type="dxa"/>
                  <w:bottom w:w="0" w:type="dxa"/>
                  <w:right w:w="108" w:type="dxa"/>
                </w:tblCellMar>
              </w:tblPrEx>
              <w:trPr>
                <w:trHeight w:val="485"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5</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eastAsia"/>
                      <w:lang w:eastAsia="zh-CN"/>
                    </w:rPr>
                  </w:pPr>
                  <w:r>
                    <w:rPr>
                      <w:rFonts w:hint="eastAsia"/>
                      <w:lang w:eastAsia="zh-CN"/>
                    </w:rPr>
                    <w:t>空压机</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default"/>
                      <w:lang w:val="en-US" w:eastAsia="zh-CN"/>
                    </w:rPr>
                  </w:pPr>
                  <w:r>
                    <w:rPr>
                      <w:rFonts w:hint="eastAsia"/>
                      <w:lang w:val="en-US" w:eastAsia="zh-CN"/>
                    </w:rPr>
                    <w:t>75-CL新疆20240301</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eastAsia"/>
                      <w:lang w:val="en-US" w:eastAsia="zh-CN"/>
                    </w:rPr>
                  </w:pPr>
                  <w:r>
                    <w:rPr>
                      <w:rFonts w:hint="eastAsia"/>
                      <w:lang w:val="en-US" w:eastAsia="zh-CN"/>
                    </w:rPr>
                    <w:t>4</w:t>
                  </w:r>
                </w:p>
              </w:tc>
            </w:tr>
            <w:tr>
              <w:tblPrEx>
                <w:tblCellMar>
                  <w:top w:w="0" w:type="dxa"/>
                  <w:left w:w="108" w:type="dxa"/>
                  <w:bottom w:w="0" w:type="dxa"/>
                  <w:right w:w="108" w:type="dxa"/>
                </w:tblCellMar>
              </w:tblPrEx>
              <w:trPr>
                <w:trHeight w:val="485"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6</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eastAsia"/>
                      <w:lang w:eastAsia="zh-CN"/>
                    </w:rPr>
                  </w:pPr>
                  <w:r>
                    <w:rPr>
                      <w:rFonts w:hint="eastAsia"/>
                      <w:lang w:eastAsia="zh-CN"/>
                    </w:rPr>
                    <w:t>离心破振动给料机</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eastAsia"/>
                      <w:lang w:val="en-US" w:eastAsia="zh-CN"/>
                    </w:rPr>
                  </w:pPr>
                  <w:r>
                    <w:rPr>
                      <w:rFonts w:hint="eastAsia"/>
                      <w:lang w:val="en-US" w:eastAsia="zh-CN"/>
                    </w:rPr>
                    <w:t>功率：0.5kW 输送量：5吨/hr以上</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default"/>
                      <w:lang w:val="en-US" w:eastAsia="zh-CN"/>
                    </w:rPr>
                  </w:pPr>
                  <w:r>
                    <w:rPr>
                      <w:rFonts w:hint="eastAsia"/>
                      <w:lang w:val="en-US" w:eastAsia="zh-CN"/>
                    </w:rPr>
                    <w:t>8</w:t>
                  </w:r>
                </w:p>
              </w:tc>
            </w:tr>
            <w:tr>
              <w:tblPrEx>
                <w:tblCellMar>
                  <w:top w:w="0" w:type="dxa"/>
                  <w:left w:w="108" w:type="dxa"/>
                  <w:bottom w:w="0" w:type="dxa"/>
                  <w:right w:w="108" w:type="dxa"/>
                </w:tblCellMar>
              </w:tblPrEx>
              <w:trPr>
                <w:trHeight w:val="397"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66"/>
                    <w:bidi w:val="0"/>
                    <w:rPr>
                      <w:rFonts w:hint="default" w:ascii="Times New Roman" w:hAnsi="Times New Roman" w:eastAsia="宋体" w:cs="宋体"/>
                      <w:kern w:val="0"/>
                      <w:sz w:val="21"/>
                      <w:szCs w:val="21"/>
                      <w:lang w:val="en-US" w:eastAsia="zh-CN" w:bidi="ar-SA"/>
                    </w:rPr>
                  </w:pPr>
                  <w:r>
                    <w:rPr>
                      <w:rFonts w:hint="eastAsia"/>
                      <w:lang w:val="en-US" w:eastAsia="zh-CN"/>
                    </w:rPr>
                    <w:t>7</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eastAsia"/>
                      <w:lang w:eastAsia="zh-CN"/>
                    </w:rPr>
                  </w:pPr>
                  <w:r>
                    <w:rPr>
                      <w:rFonts w:hint="eastAsia"/>
                      <w:lang w:eastAsia="zh-CN"/>
                    </w:rPr>
                    <w:t>筛分机</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default"/>
                      <w:lang w:val="en-US" w:eastAsia="zh-CN"/>
                    </w:rPr>
                  </w:pPr>
                  <w:r>
                    <w:rPr>
                      <w:rFonts w:hint="eastAsia"/>
                      <w:lang w:val="en-US" w:eastAsia="zh-CN"/>
                    </w:rPr>
                    <w:t>FYBS1536-4S河南20240630</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eastAsia"/>
                      <w:lang w:val="en-US" w:eastAsia="zh-CN"/>
                    </w:rPr>
                  </w:pPr>
                  <w:r>
                    <w:rPr>
                      <w:rFonts w:hint="eastAsia"/>
                      <w:lang w:val="en-US" w:eastAsia="zh-CN"/>
                    </w:rPr>
                    <w:t>8</w:t>
                  </w:r>
                </w:p>
              </w:tc>
            </w:tr>
            <w:tr>
              <w:tblPrEx>
                <w:tblCellMar>
                  <w:top w:w="0" w:type="dxa"/>
                  <w:left w:w="108" w:type="dxa"/>
                  <w:bottom w:w="0" w:type="dxa"/>
                  <w:right w:w="108" w:type="dxa"/>
                </w:tblCellMar>
              </w:tblPrEx>
              <w:trPr>
                <w:trHeight w:val="397"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8</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eastAsia"/>
                      <w:lang w:eastAsia="zh-CN"/>
                    </w:rPr>
                  </w:pPr>
                  <w:r>
                    <w:rPr>
                      <w:rFonts w:hint="eastAsia"/>
                      <w:lang w:eastAsia="zh-CN"/>
                    </w:rPr>
                    <w:t>双旋风分离器</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eastAsia"/>
                      <w:lang w:val="en-US" w:eastAsia="zh-CN"/>
                    </w:rPr>
                  </w:pPr>
                  <w:r>
                    <w:rPr>
                      <w:rFonts w:hint="eastAsia"/>
                      <w:lang w:val="en-US" w:eastAsia="zh-CN"/>
                    </w:rPr>
                    <w:t>φ1100mm×3200mm</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default"/>
                      <w:lang w:val="en-US" w:eastAsia="zh-CN"/>
                    </w:rPr>
                  </w:pPr>
                  <w:r>
                    <w:rPr>
                      <w:rFonts w:hint="eastAsia"/>
                      <w:lang w:val="en-US" w:eastAsia="zh-CN"/>
                    </w:rPr>
                    <w:t>4</w:t>
                  </w:r>
                </w:p>
              </w:tc>
            </w:tr>
            <w:tr>
              <w:tblPrEx>
                <w:tblCellMar>
                  <w:top w:w="0" w:type="dxa"/>
                  <w:left w:w="108" w:type="dxa"/>
                  <w:bottom w:w="0" w:type="dxa"/>
                  <w:right w:w="108" w:type="dxa"/>
                </w:tblCellMar>
              </w:tblPrEx>
              <w:trPr>
                <w:trHeight w:val="397"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66"/>
                    <w:bidi w:val="0"/>
                    <w:rPr>
                      <w:rFonts w:hint="default" w:ascii="Times New Roman" w:hAnsi="Times New Roman" w:eastAsia="宋体" w:cs="宋体"/>
                      <w:kern w:val="0"/>
                      <w:sz w:val="21"/>
                      <w:szCs w:val="21"/>
                      <w:lang w:val="en-US" w:eastAsia="zh-CN" w:bidi="ar-SA"/>
                    </w:rPr>
                  </w:pPr>
                  <w:r>
                    <w:rPr>
                      <w:rFonts w:hint="eastAsia"/>
                      <w:lang w:val="en-US" w:eastAsia="zh-CN"/>
                    </w:rPr>
                    <w:t>9</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eastAsia"/>
                      <w:lang w:eastAsia="zh-CN"/>
                    </w:rPr>
                  </w:pPr>
                  <w:r>
                    <w:rPr>
                      <w:rFonts w:hint="eastAsia"/>
                      <w:lang w:val="en-US" w:eastAsia="zh-CN"/>
                    </w:rPr>
                    <w:t>震荡输送器</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default"/>
                      <w:lang w:val="en-US"/>
                    </w:rPr>
                  </w:pPr>
                  <w:r>
                    <w:rPr>
                      <w:rFonts w:hint="eastAsia"/>
                      <w:lang w:val="en-US" w:eastAsia="zh-CN"/>
                    </w:rPr>
                    <w:t>220*600河南20240530</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eastAsia"/>
                      <w:lang w:val="en-US" w:eastAsia="zh-CN"/>
                    </w:rPr>
                  </w:pPr>
                  <w:r>
                    <w:rPr>
                      <w:rFonts w:hint="eastAsia"/>
                      <w:lang w:val="en-US" w:eastAsia="zh-CN"/>
                    </w:rPr>
                    <w:t>4</w:t>
                  </w:r>
                </w:p>
              </w:tc>
            </w:tr>
            <w:tr>
              <w:tblPrEx>
                <w:tblCellMar>
                  <w:top w:w="0" w:type="dxa"/>
                  <w:left w:w="108" w:type="dxa"/>
                  <w:bottom w:w="0" w:type="dxa"/>
                  <w:right w:w="108" w:type="dxa"/>
                </w:tblCellMar>
              </w:tblPrEx>
              <w:trPr>
                <w:trHeight w:val="397"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66"/>
                    <w:bidi w:val="0"/>
                    <w:rPr>
                      <w:rFonts w:hint="default" w:ascii="Times New Roman" w:hAnsi="Times New Roman" w:eastAsia="宋体" w:cs="宋体"/>
                      <w:kern w:val="0"/>
                      <w:sz w:val="21"/>
                      <w:szCs w:val="21"/>
                      <w:lang w:val="en-US" w:eastAsia="zh-CN" w:bidi="ar-SA"/>
                    </w:rPr>
                  </w:pPr>
                  <w:r>
                    <w:rPr>
                      <w:rFonts w:hint="eastAsia"/>
                      <w:lang w:val="en-US" w:eastAsia="zh-CN"/>
                    </w:rPr>
                    <w:t>10</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eastAsia" w:eastAsia="宋体"/>
                      <w:lang w:val="en-US" w:eastAsia="zh-CN"/>
                    </w:rPr>
                  </w:pPr>
                  <w:r>
                    <w:rPr>
                      <w:rFonts w:hint="eastAsia"/>
                      <w:lang w:val="en-US" w:eastAsia="zh-CN"/>
                    </w:rPr>
                    <w:t>三次破碎机</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default"/>
                      <w:lang w:val="en-US" w:eastAsia="zh-CN"/>
                    </w:rPr>
                  </w:pPr>
                  <w:r>
                    <w:rPr>
                      <w:rFonts w:hint="eastAsia"/>
                      <w:lang w:val="en-US" w:eastAsia="zh-CN"/>
                    </w:rPr>
                    <w:t>DP500河南20240530</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default"/>
                      <w:lang w:val="en-US" w:eastAsia="zh-CN"/>
                    </w:rPr>
                  </w:pPr>
                  <w:r>
                    <w:rPr>
                      <w:rFonts w:hint="eastAsia"/>
                      <w:lang w:val="en-US" w:eastAsia="zh-CN"/>
                    </w:rPr>
                    <w:t>4</w:t>
                  </w:r>
                </w:p>
              </w:tc>
            </w:tr>
            <w:tr>
              <w:tblPrEx>
                <w:tblCellMar>
                  <w:top w:w="0" w:type="dxa"/>
                  <w:left w:w="108" w:type="dxa"/>
                  <w:bottom w:w="0" w:type="dxa"/>
                  <w:right w:w="108" w:type="dxa"/>
                </w:tblCellMar>
              </w:tblPrEx>
              <w:trPr>
                <w:trHeight w:val="549"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66"/>
                    <w:bidi w:val="0"/>
                    <w:rPr>
                      <w:rFonts w:hint="default" w:ascii="Times New Roman" w:hAnsi="Times New Roman" w:eastAsia="宋体" w:cs="宋体"/>
                      <w:kern w:val="0"/>
                      <w:sz w:val="21"/>
                      <w:szCs w:val="21"/>
                      <w:lang w:val="en-US" w:eastAsia="zh-CN" w:bidi="ar-SA"/>
                    </w:rPr>
                  </w:pPr>
                  <w:r>
                    <w:rPr>
                      <w:rFonts w:hint="eastAsia"/>
                      <w:lang w:val="en-US" w:eastAsia="zh-CN"/>
                    </w:rPr>
                    <w:t>11</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eastAsia"/>
                      <w:lang w:eastAsia="zh-CN"/>
                    </w:rPr>
                  </w:pPr>
                  <w:r>
                    <w:rPr>
                      <w:rFonts w:hint="eastAsia"/>
                      <w:lang w:eastAsia="zh-CN"/>
                    </w:rPr>
                    <w:t>磁选机</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default"/>
                      <w:lang w:val="en-US" w:eastAsia="zh-CN"/>
                    </w:rPr>
                  </w:pPr>
                  <w:r>
                    <w:rPr>
                      <w:rFonts w:hint="eastAsia"/>
                      <w:lang w:val="en-US" w:eastAsia="zh-CN"/>
                    </w:rPr>
                    <w:t>HMCX-600-2 四川 20240521</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eastAsia"/>
                      <w:lang w:val="en-US" w:eastAsia="zh-CN"/>
                    </w:rPr>
                  </w:pPr>
                  <w:r>
                    <w:rPr>
                      <w:rFonts w:hint="eastAsia"/>
                      <w:lang w:val="en-US" w:eastAsia="zh-CN"/>
                    </w:rPr>
                    <w:t>4</w:t>
                  </w:r>
                </w:p>
              </w:tc>
            </w:tr>
            <w:tr>
              <w:tblPrEx>
                <w:tblCellMar>
                  <w:top w:w="0" w:type="dxa"/>
                  <w:left w:w="108" w:type="dxa"/>
                  <w:bottom w:w="0" w:type="dxa"/>
                  <w:right w:w="108" w:type="dxa"/>
                </w:tblCellMar>
              </w:tblPrEx>
              <w:trPr>
                <w:trHeight w:val="397"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66"/>
                    <w:bidi w:val="0"/>
                    <w:rPr>
                      <w:rFonts w:hint="default" w:ascii="Times New Roman" w:hAnsi="Times New Roman" w:eastAsia="宋体" w:cs="宋体"/>
                      <w:kern w:val="0"/>
                      <w:sz w:val="21"/>
                      <w:szCs w:val="21"/>
                      <w:lang w:val="en-US" w:eastAsia="zh-CN" w:bidi="ar-SA"/>
                    </w:rPr>
                  </w:pPr>
                  <w:r>
                    <w:rPr>
                      <w:rFonts w:hint="eastAsia" w:cs="宋体"/>
                      <w:kern w:val="0"/>
                      <w:sz w:val="21"/>
                      <w:szCs w:val="21"/>
                      <w:lang w:val="en-US" w:eastAsia="zh-CN" w:bidi="ar-SA"/>
                    </w:rPr>
                    <w:t>12</w:t>
                  </w:r>
                </w:p>
              </w:tc>
              <w:tc>
                <w:tcPr>
                  <w:tcW w:w="1606"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eastAsia"/>
                      <w:lang w:eastAsia="zh-CN"/>
                    </w:rPr>
                  </w:pPr>
                  <w:r>
                    <w:rPr>
                      <w:rFonts w:hint="eastAsia"/>
                      <w:lang w:eastAsia="zh-CN"/>
                    </w:rPr>
                    <w:t>压饼机</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default"/>
                      <w:lang w:val="en-US" w:eastAsia="zh-CN"/>
                    </w:rPr>
                  </w:pPr>
                  <w:r>
                    <w:rPr>
                      <w:rFonts w:hint="eastAsia"/>
                      <w:lang w:val="en-US" w:eastAsia="zh-CN"/>
                    </w:rPr>
                    <w:t>H32-700 河南 20250530</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pStyle w:val="66"/>
                    <w:bidi w:val="0"/>
                    <w:rPr>
                      <w:rFonts w:hint="default"/>
                      <w:lang w:val="en-US" w:eastAsia="zh-CN"/>
                    </w:rPr>
                  </w:pPr>
                  <w:r>
                    <w:rPr>
                      <w:rFonts w:hint="eastAsia"/>
                      <w:lang w:val="en-US" w:eastAsia="zh-CN"/>
                    </w:rPr>
                    <w:t>4</w:t>
                  </w:r>
                </w:p>
              </w:tc>
            </w:tr>
          </w:tbl>
          <w:p>
            <w:pPr>
              <w:pStyle w:val="67"/>
              <w:bidi w:val="0"/>
              <w:rPr>
                <w:rFonts w:hint="eastAsia"/>
                <w:lang w:val="en-US" w:eastAsia="zh-CN"/>
              </w:rPr>
            </w:pPr>
            <w:r>
              <w:rPr>
                <w:rFonts w:hint="eastAsia"/>
                <w:lang w:val="en-US" w:eastAsia="zh-CN"/>
              </w:rPr>
              <w:t>6.产品方案</w:t>
            </w:r>
          </w:p>
          <w:p>
            <w:pPr>
              <w:pStyle w:val="68"/>
              <w:bidi w:val="0"/>
              <w:rPr>
                <w:rFonts w:hint="default"/>
                <w:lang w:val="en-US" w:eastAsia="zh-CN"/>
              </w:rPr>
            </w:pPr>
            <w:r>
              <w:rPr>
                <w:rFonts w:hint="eastAsia"/>
                <w:lang w:val="en-US" w:eastAsia="zh-CN"/>
              </w:rPr>
              <w:t>本</w:t>
            </w:r>
            <w:r>
              <w:rPr>
                <w:rFonts w:hint="default"/>
                <w:lang w:val="en-US" w:eastAsia="zh-CN"/>
              </w:rPr>
              <w:t>项目产品方案</w:t>
            </w:r>
            <w:r>
              <w:rPr>
                <w:rFonts w:hint="eastAsia"/>
                <w:lang w:val="en-US" w:eastAsia="zh-CN"/>
              </w:rPr>
              <w:t>详</w:t>
            </w:r>
            <w:r>
              <w:rPr>
                <w:rFonts w:hint="default"/>
                <w:lang w:val="en-US" w:eastAsia="zh-CN"/>
              </w:rPr>
              <w:t>见下表。</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 xml:space="preserve">表2-3  </w:t>
            </w:r>
            <w:r>
              <w:rPr>
                <w:rFonts w:hint="eastAsia"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val="en-US" w:eastAsia="zh-CN"/>
              </w:rPr>
              <w:t>产品及产能一览表</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219"/>
              <w:gridCol w:w="1136"/>
              <w:gridCol w:w="945"/>
              <w:gridCol w:w="1046"/>
              <w:gridCol w:w="1863"/>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42" w:type="pct"/>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序号</w:t>
                  </w:r>
                </w:p>
              </w:tc>
              <w:tc>
                <w:tcPr>
                  <w:tcW w:w="756" w:type="pct"/>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产品名称</w:t>
                  </w:r>
                </w:p>
              </w:tc>
              <w:tc>
                <w:tcPr>
                  <w:tcW w:w="705" w:type="pct"/>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sz w:val="21"/>
                      <w:szCs w:val="21"/>
                      <w:vertAlign w:val="baseline"/>
                      <w:lang w:val="en-US" w:eastAsia="zh-CN"/>
                    </w:rPr>
                    <w:t>产品规格</w:t>
                  </w:r>
                </w:p>
              </w:tc>
              <w:tc>
                <w:tcPr>
                  <w:tcW w:w="586" w:type="pct"/>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sz w:val="21"/>
                      <w:szCs w:val="21"/>
                      <w:vertAlign w:val="baseline"/>
                      <w:lang w:val="en-US" w:eastAsia="zh-CN"/>
                    </w:rPr>
                    <w:t>生产规模</w:t>
                  </w:r>
                  <w:r>
                    <w:rPr>
                      <w:rFonts w:hint="eastAsia" w:cs="Times New Roman"/>
                      <w:sz w:val="21"/>
                      <w:szCs w:val="21"/>
                      <w:vertAlign w:val="baseline"/>
                      <w:lang w:val="en-US" w:eastAsia="zh-CN"/>
                    </w:rPr>
                    <w:t>/万吨</w:t>
                  </w:r>
                </w:p>
              </w:tc>
              <w:tc>
                <w:tcPr>
                  <w:tcW w:w="649" w:type="pct"/>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性状</w:t>
                  </w:r>
                </w:p>
              </w:tc>
              <w:tc>
                <w:tcPr>
                  <w:tcW w:w="1156" w:type="pct"/>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cs="Times New Roman"/>
                      <w:sz w:val="21"/>
                      <w:szCs w:val="21"/>
                      <w:vertAlign w:val="baseline"/>
                      <w:lang w:val="en-US" w:eastAsia="zh-CN"/>
                    </w:rPr>
                    <w:t>主要用途</w:t>
                  </w:r>
                </w:p>
              </w:tc>
              <w:tc>
                <w:tcPr>
                  <w:tcW w:w="803" w:type="pct"/>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s="Times New Roman"/>
                      <w:sz w:val="21"/>
                      <w:szCs w:val="21"/>
                      <w:vertAlign w:val="baseline"/>
                      <w:lang w:val="en-US" w:eastAsia="zh-CN"/>
                    </w:rPr>
                  </w:pPr>
                  <w:r>
                    <w:rPr>
                      <w:rFonts w:hint="eastAsia" w:cs="Times New Roman"/>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42" w:type="pct"/>
                  <w:vMerge w:val="restart"/>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756" w:type="pct"/>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99硅颗粒</w:t>
                  </w:r>
                </w:p>
              </w:tc>
              <w:tc>
                <w:tcPr>
                  <w:tcW w:w="705" w:type="pct"/>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10-120目</w:t>
                  </w:r>
                </w:p>
              </w:tc>
              <w:tc>
                <w:tcPr>
                  <w:tcW w:w="586" w:type="pct"/>
                  <w:vMerge w:val="restart"/>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10</w:t>
                  </w:r>
                </w:p>
              </w:tc>
              <w:tc>
                <w:tcPr>
                  <w:tcW w:w="649" w:type="pct"/>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s="Times New Roman"/>
                      <w:sz w:val="21"/>
                      <w:szCs w:val="21"/>
                      <w:vertAlign w:val="baseline"/>
                      <w:lang w:val="en-US" w:eastAsia="zh-CN"/>
                    </w:rPr>
                  </w:pPr>
                  <w:r>
                    <w:rPr>
                      <w:rFonts w:hint="eastAsia" w:cs="Times New Roman"/>
                      <w:sz w:val="21"/>
                      <w:szCs w:val="21"/>
                      <w:vertAlign w:val="baseline"/>
                      <w:lang w:val="en-US" w:eastAsia="zh-CN"/>
                    </w:rPr>
                    <w:t>颗粒</w:t>
                  </w:r>
                </w:p>
              </w:tc>
              <w:tc>
                <w:tcPr>
                  <w:tcW w:w="1156" w:type="pct"/>
                  <w:vMerge w:val="restart"/>
                  <w:vAlign w:val="center"/>
                </w:tcPr>
                <w:p>
                  <w:pPr>
                    <w:pStyle w:val="1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kern w:val="2"/>
                      <w:sz w:val="21"/>
                      <w:szCs w:val="21"/>
                      <w:vertAlign w:val="baseline"/>
                      <w:lang w:val="en-US" w:eastAsia="zh-CN" w:bidi="ar-SA"/>
                    </w:rPr>
                    <w:t>主要用于冶金、化工等对纯度要求不极致的领域</w:t>
                  </w:r>
                </w:p>
              </w:tc>
              <w:tc>
                <w:tcPr>
                  <w:tcW w:w="803" w:type="pct"/>
                  <w:vAlign w:val="center"/>
                </w:tcPr>
                <w:p>
                  <w:pPr>
                    <w:pStyle w:val="1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42" w:type="pct"/>
                  <w:vMerge w:val="continue"/>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756" w:type="pct"/>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sz w:val="21"/>
                      <w:szCs w:val="21"/>
                      <w:vertAlign w:val="baseline"/>
                      <w:lang w:val="en-US" w:eastAsia="zh-CN"/>
                    </w:rPr>
                  </w:pPr>
                  <w:r>
                    <w:rPr>
                      <w:rFonts w:hint="eastAsia" w:cs="Times New Roman"/>
                      <w:sz w:val="21"/>
                      <w:szCs w:val="21"/>
                      <w:vertAlign w:val="baseline"/>
                      <w:lang w:val="en-US" w:eastAsia="zh-CN"/>
                    </w:rPr>
                    <w:t>99饼状硅</w:t>
                  </w:r>
                </w:p>
              </w:tc>
              <w:tc>
                <w:tcPr>
                  <w:tcW w:w="705" w:type="pct"/>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s="Times New Roman"/>
                      <w:sz w:val="21"/>
                      <w:szCs w:val="21"/>
                      <w:vertAlign w:val="baseline"/>
                      <w:lang w:val="en-US" w:eastAsia="zh-CN"/>
                    </w:rPr>
                  </w:pPr>
                  <w:r>
                    <w:rPr>
                      <w:rFonts w:hint="eastAsia" w:cs="Times New Roman"/>
                      <w:sz w:val="21"/>
                      <w:szCs w:val="21"/>
                      <w:vertAlign w:val="baseline"/>
                      <w:lang w:val="en-US" w:eastAsia="zh-CN"/>
                    </w:rPr>
                    <w:t>/</w:t>
                  </w:r>
                </w:p>
              </w:tc>
              <w:tc>
                <w:tcPr>
                  <w:tcW w:w="586" w:type="pct"/>
                  <w:vMerge w:val="continue"/>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s="Times New Roman"/>
                      <w:sz w:val="21"/>
                      <w:szCs w:val="21"/>
                      <w:vertAlign w:val="baseline"/>
                      <w:lang w:val="en-US" w:eastAsia="zh-CN"/>
                    </w:rPr>
                  </w:pPr>
                </w:p>
              </w:tc>
              <w:tc>
                <w:tcPr>
                  <w:tcW w:w="649" w:type="pct"/>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s="Times New Roman"/>
                      <w:sz w:val="21"/>
                      <w:szCs w:val="21"/>
                      <w:vertAlign w:val="baseline"/>
                      <w:lang w:val="en-US" w:eastAsia="zh-CN"/>
                    </w:rPr>
                  </w:pPr>
                  <w:r>
                    <w:rPr>
                      <w:rFonts w:hint="eastAsia" w:cs="Times New Roman"/>
                      <w:sz w:val="21"/>
                      <w:szCs w:val="21"/>
                      <w:vertAlign w:val="baseline"/>
                      <w:lang w:val="en-US" w:eastAsia="zh-CN"/>
                    </w:rPr>
                    <w:t>饼状</w:t>
                  </w:r>
                </w:p>
              </w:tc>
              <w:tc>
                <w:tcPr>
                  <w:tcW w:w="1156" w:type="pct"/>
                  <w:vMerge w:val="continue"/>
                  <w:vAlign w:val="center"/>
                </w:tcPr>
                <w:p>
                  <w:pPr>
                    <w:pStyle w:val="1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p>
              </w:tc>
              <w:tc>
                <w:tcPr>
                  <w:tcW w:w="803" w:type="pct"/>
                  <w:vMerge w:val="restart"/>
                  <w:vAlign w:val="center"/>
                </w:tcPr>
                <w:p>
                  <w:pPr>
                    <w:pStyle w:val="1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cs="Times New Roman"/>
                      <w:kern w:val="2"/>
                      <w:sz w:val="21"/>
                      <w:szCs w:val="21"/>
                      <w:vertAlign w:val="baseline"/>
                      <w:lang w:val="en-US" w:eastAsia="zh-CN" w:bidi="ar-SA"/>
                    </w:rPr>
                    <w:t>副产品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42" w:type="pct"/>
                  <w:vMerge w:val="continue"/>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756" w:type="pct"/>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sz w:val="21"/>
                      <w:szCs w:val="21"/>
                      <w:vertAlign w:val="baseline"/>
                      <w:lang w:val="en-US" w:eastAsia="zh-CN"/>
                    </w:rPr>
                  </w:pPr>
                  <w:r>
                    <w:rPr>
                      <w:rFonts w:hint="eastAsia" w:cs="Times New Roman"/>
                      <w:sz w:val="21"/>
                      <w:szCs w:val="21"/>
                      <w:vertAlign w:val="baseline"/>
                      <w:lang w:val="en-US" w:eastAsia="zh-CN"/>
                    </w:rPr>
                    <w:t>99硅细粉</w:t>
                  </w:r>
                </w:p>
              </w:tc>
              <w:tc>
                <w:tcPr>
                  <w:tcW w:w="705" w:type="pct"/>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s="Times New Roman"/>
                      <w:sz w:val="21"/>
                      <w:szCs w:val="21"/>
                      <w:vertAlign w:val="baseline"/>
                      <w:lang w:val="en-US" w:eastAsia="zh-CN"/>
                    </w:rPr>
                  </w:pPr>
                  <w:r>
                    <w:rPr>
                      <w:rFonts w:hint="eastAsia" w:cs="Times New Roman"/>
                      <w:sz w:val="21"/>
                      <w:szCs w:val="21"/>
                      <w:vertAlign w:val="baseline"/>
                      <w:lang w:val="en-US" w:eastAsia="zh-CN"/>
                    </w:rPr>
                    <w:t>/</w:t>
                  </w:r>
                </w:p>
              </w:tc>
              <w:tc>
                <w:tcPr>
                  <w:tcW w:w="586" w:type="pct"/>
                  <w:vMerge w:val="continue"/>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s="Times New Roman"/>
                      <w:sz w:val="21"/>
                      <w:szCs w:val="21"/>
                      <w:vertAlign w:val="baseline"/>
                      <w:lang w:val="en-US" w:eastAsia="zh-CN"/>
                    </w:rPr>
                  </w:pPr>
                </w:p>
              </w:tc>
              <w:tc>
                <w:tcPr>
                  <w:tcW w:w="649" w:type="pct"/>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s="Times New Roman"/>
                      <w:sz w:val="21"/>
                      <w:szCs w:val="21"/>
                      <w:vertAlign w:val="baseline"/>
                      <w:lang w:val="en-US" w:eastAsia="zh-CN"/>
                    </w:rPr>
                  </w:pPr>
                  <w:r>
                    <w:rPr>
                      <w:rFonts w:hint="eastAsia" w:cs="Times New Roman"/>
                      <w:sz w:val="21"/>
                      <w:szCs w:val="21"/>
                      <w:vertAlign w:val="baseline"/>
                      <w:lang w:val="en-US" w:eastAsia="zh-CN"/>
                    </w:rPr>
                    <w:t>粉状</w:t>
                  </w:r>
                </w:p>
              </w:tc>
              <w:tc>
                <w:tcPr>
                  <w:tcW w:w="1156" w:type="pct"/>
                  <w:vMerge w:val="continue"/>
                  <w:vAlign w:val="center"/>
                </w:tcPr>
                <w:p>
                  <w:pPr>
                    <w:pStyle w:val="1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p>
              </w:tc>
              <w:tc>
                <w:tcPr>
                  <w:tcW w:w="803" w:type="pct"/>
                  <w:vMerge w:val="continue"/>
                  <w:vAlign w:val="center"/>
                </w:tcPr>
                <w:p>
                  <w:pPr>
                    <w:pStyle w:val="1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42" w:type="pct"/>
                  <w:vMerge w:val="restart"/>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2</w:t>
                  </w:r>
                </w:p>
              </w:tc>
              <w:tc>
                <w:tcPr>
                  <w:tcW w:w="756" w:type="pct"/>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sz w:val="21"/>
                      <w:szCs w:val="21"/>
                      <w:vertAlign w:val="baseline"/>
                      <w:lang w:val="en-US" w:eastAsia="zh-CN"/>
                    </w:rPr>
                  </w:pPr>
                  <w:r>
                    <w:rPr>
                      <w:rFonts w:hint="eastAsia" w:cs="Times New Roman"/>
                      <w:sz w:val="21"/>
                      <w:szCs w:val="21"/>
                      <w:vertAlign w:val="baseline"/>
                      <w:lang w:val="en-US" w:eastAsia="zh-CN"/>
                    </w:rPr>
                    <w:t>421硅颗粒</w:t>
                  </w:r>
                </w:p>
              </w:tc>
              <w:tc>
                <w:tcPr>
                  <w:tcW w:w="705" w:type="pct"/>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s="Times New Roman"/>
                      <w:sz w:val="21"/>
                      <w:szCs w:val="21"/>
                      <w:vertAlign w:val="baseline"/>
                      <w:lang w:val="en-US" w:eastAsia="zh-CN"/>
                    </w:rPr>
                  </w:pPr>
                  <w:r>
                    <w:rPr>
                      <w:rFonts w:hint="eastAsia" w:cs="Times New Roman"/>
                      <w:sz w:val="21"/>
                      <w:szCs w:val="21"/>
                      <w:vertAlign w:val="baseline"/>
                      <w:lang w:val="en-US" w:eastAsia="zh-CN"/>
                    </w:rPr>
                    <w:t>10-120目</w:t>
                  </w:r>
                </w:p>
              </w:tc>
              <w:tc>
                <w:tcPr>
                  <w:tcW w:w="586" w:type="pct"/>
                  <w:vMerge w:val="continue"/>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s="Times New Roman"/>
                      <w:sz w:val="21"/>
                      <w:szCs w:val="21"/>
                      <w:vertAlign w:val="baseline"/>
                      <w:lang w:val="en-US" w:eastAsia="zh-CN"/>
                    </w:rPr>
                  </w:pPr>
                </w:p>
              </w:tc>
              <w:tc>
                <w:tcPr>
                  <w:tcW w:w="649" w:type="pct"/>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s="Times New Roman"/>
                      <w:sz w:val="21"/>
                      <w:szCs w:val="21"/>
                      <w:vertAlign w:val="baseline"/>
                      <w:lang w:val="en-US" w:eastAsia="zh-CN"/>
                    </w:rPr>
                  </w:pPr>
                  <w:r>
                    <w:rPr>
                      <w:rFonts w:hint="eastAsia" w:cs="Times New Roman"/>
                      <w:sz w:val="21"/>
                      <w:szCs w:val="21"/>
                      <w:vertAlign w:val="baseline"/>
                      <w:lang w:val="en-US" w:eastAsia="zh-CN"/>
                    </w:rPr>
                    <w:t>颗粒</w:t>
                  </w:r>
                </w:p>
              </w:tc>
              <w:tc>
                <w:tcPr>
                  <w:tcW w:w="1156" w:type="pct"/>
                  <w:vMerge w:val="restart"/>
                  <w:vAlign w:val="center"/>
                </w:tcPr>
                <w:p>
                  <w:pPr>
                    <w:pStyle w:val="1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cs="Times New Roman"/>
                      <w:sz w:val="21"/>
                      <w:szCs w:val="21"/>
                      <w:vertAlign w:val="baseline"/>
                      <w:lang w:val="en-US" w:eastAsia="zh-CN"/>
                    </w:rPr>
                  </w:pPr>
                  <w:r>
                    <w:rPr>
                      <w:rFonts w:hint="eastAsia" w:cs="Times New Roman"/>
                      <w:sz w:val="21"/>
                      <w:szCs w:val="21"/>
                      <w:vertAlign w:val="baseline"/>
                      <w:lang w:val="en-US" w:eastAsia="zh-CN"/>
                    </w:rPr>
                    <w:t>主要用于光伏、电子等对硅料纯度和稳定性要求更高的领域</w:t>
                  </w:r>
                </w:p>
              </w:tc>
              <w:tc>
                <w:tcPr>
                  <w:tcW w:w="803" w:type="pct"/>
                  <w:vAlign w:val="center"/>
                </w:tcPr>
                <w:p>
                  <w:pPr>
                    <w:pStyle w:val="1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cs="Times New Roman"/>
                      <w:sz w:val="21"/>
                      <w:szCs w:val="21"/>
                      <w:vertAlign w:val="baseline"/>
                      <w:lang w:val="en-US" w:eastAsia="zh-CN"/>
                    </w:rPr>
                  </w:pPr>
                  <w:r>
                    <w:rPr>
                      <w:rFonts w:hint="eastAsia" w:cs="Times New Roman"/>
                      <w:kern w:val="2"/>
                      <w:sz w:val="21"/>
                      <w:szCs w:val="21"/>
                      <w:vertAlign w:val="baseline"/>
                      <w:lang w:val="en-US" w:eastAsia="zh-CN" w:bidi="ar-SA"/>
                    </w:rPr>
                    <w:t>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42" w:type="pct"/>
                  <w:vMerge w:val="continue"/>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s="Times New Roman"/>
                      <w:sz w:val="21"/>
                      <w:szCs w:val="21"/>
                      <w:vertAlign w:val="baseline"/>
                      <w:lang w:val="en-US" w:eastAsia="zh-CN"/>
                    </w:rPr>
                  </w:pPr>
                </w:p>
              </w:tc>
              <w:tc>
                <w:tcPr>
                  <w:tcW w:w="756" w:type="pct"/>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sz w:val="21"/>
                      <w:szCs w:val="21"/>
                      <w:vertAlign w:val="baseline"/>
                      <w:lang w:val="en-US" w:eastAsia="zh-CN"/>
                    </w:rPr>
                  </w:pPr>
                  <w:r>
                    <w:rPr>
                      <w:rFonts w:hint="eastAsia" w:cs="Times New Roman"/>
                      <w:sz w:val="21"/>
                      <w:szCs w:val="21"/>
                      <w:vertAlign w:val="baseline"/>
                      <w:lang w:val="en-US" w:eastAsia="zh-CN"/>
                    </w:rPr>
                    <w:t>421饼状硅</w:t>
                  </w:r>
                </w:p>
              </w:tc>
              <w:tc>
                <w:tcPr>
                  <w:tcW w:w="705" w:type="pct"/>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s="Times New Roman"/>
                      <w:sz w:val="21"/>
                      <w:szCs w:val="21"/>
                      <w:vertAlign w:val="baseline"/>
                      <w:lang w:val="en-US" w:eastAsia="zh-CN"/>
                    </w:rPr>
                  </w:pPr>
                  <w:r>
                    <w:rPr>
                      <w:rFonts w:hint="eastAsia" w:cs="Times New Roman"/>
                      <w:sz w:val="21"/>
                      <w:szCs w:val="21"/>
                      <w:vertAlign w:val="baseline"/>
                      <w:lang w:val="en-US" w:eastAsia="zh-CN"/>
                    </w:rPr>
                    <w:t>/</w:t>
                  </w:r>
                </w:p>
              </w:tc>
              <w:tc>
                <w:tcPr>
                  <w:tcW w:w="586" w:type="pct"/>
                  <w:vMerge w:val="continue"/>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s="Times New Roman"/>
                      <w:sz w:val="21"/>
                      <w:szCs w:val="21"/>
                      <w:vertAlign w:val="baseline"/>
                      <w:lang w:val="en-US" w:eastAsia="zh-CN"/>
                    </w:rPr>
                  </w:pPr>
                </w:p>
              </w:tc>
              <w:tc>
                <w:tcPr>
                  <w:tcW w:w="649" w:type="pct"/>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s="Times New Roman"/>
                      <w:sz w:val="21"/>
                      <w:szCs w:val="21"/>
                      <w:vertAlign w:val="baseline"/>
                      <w:lang w:val="en-US" w:eastAsia="zh-CN"/>
                    </w:rPr>
                  </w:pPr>
                  <w:r>
                    <w:rPr>
                      <w:rFonts w:hint="eastAsia" w:cs="Times New Roman"/>
                      <w:sz w:val="21"/>
                      <w:szCs w:val="21"/>
                      <w:vertAlign w:val="baseline"/>
                      <w:lang w:val="en-US" w:eastAsia="zh-CN"/>
                    </w:rPr>
                    <w:t>饼状</w:t>
                  </w:r>
                </w:p>
              </w:tc>
              <w:tc>
                <w:tcPr>
                  <w:tcW w:w="1156" w:type="pct"/>
                  <w:vMerge w:val="continue"/>
                  <w:vAlign w:val="center"/>
                </w:tcPr>
                <w:p>
                  <w:pPr>
                    <w:pStyle w:val="1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cs="Times New Roman"/>
                      <w:sz w:val="21"/>
                      <w:szCs w:val="21"/>
                      <w:vertAlign w:val="baseline"/>
                      <w:lang w:val="en-US" w:eastAsia="zh-CN"/>
                    </w:rPr>
                  </w:pPr>
                </w:p>
              </w:tc>
              <w:tc>
                <w:tcPr>
                  <w:tcW w:w="803" w:type="pct"/>
                  <w:vMerge w:val="restart"/>
                  <w:vAlign w:val="center"/>
                </w:tcPr>
                <w:p>
                  <w:pPr>
                    <w:pStyle w:val="1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cs="Times New Roman"/>
                      <w:sz w:val="21"/>
                      <w:szCs w:val="21"/>
                      <w:vertAlign w:val="baseline"/>
                      <w:lang w:val="en-US" w:eastAsia="zh-CN"/>
                    </w:rPr>
                  </w:pPr>
                  <w:r>
                    <w:rPr>
                      <w:rFonts w:hint="eastAsia" w:cs="Times New Roman"/>
                      <w:kern w:val="2"/>
                      <w:sz w:val="21"/>
                      <w:szCs w:val="21"/>
                      <w:vertAlign w:val="baseline"/>
                      <w:lang w:val="en-US" w:eastAsia="zh-CN" w:bidi="ar-SA"/>
                    </w:rPr>
                    <w:t>副产品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42" w:type="pct"/>
                  <w:vMerge w:val="continue"/>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s="Times New Roman"/>
                      <w:sz w:val="21"/>
                      <w:szCs w:val="21"/>
                      <w:vertAlign w:val="baseline"/>
                      <w:lang w:val="en-US" w:eastAsia="zh-CN"/>
                    </w:rPr>
                  </w:pPr>
                </w:p>
              </w:tc>
              <w:tc>
                <w:tcPr>
                  <w:tcW w:w="756" w:type="pct"/>
                  <w:vAlign w:val="center"/>
                </w:tcPr>
                <w:p>
                  <w:pPr>
                    <w:pStyle w:val="19"/>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sz w:val="21"/>
                      <w:szCs w:val="21"/>
                      <w:vertAlign w:val="baseline"/>
                      <w:lang w:val="en-US" w:eastAsia="zh-CN"/>
                    </w:rPr>
                  </w:pPr>
                  <w:r>
                    <w:rPr>
                      <w:rFonts w:hint="eastAsia" w:cs="Times New Roman"/>
                      <w:sz w:val="21"/>
                      <w:szCs w:val="21"/>
                      <w:vertAlign w:val="baseline"/>
                      <w:lang w:val="en-US" w:eastAsia="zh-CN"/>
                    </w:rPr>
                    <w:t>99硅细粉</w:t>
                  </w:r>
                </w:p>
              </w:tc>
              <w:tc>
                <w:tcPr>
                  <w:tcW w:w="705" w:type="pct"/>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s="Times New Roman"/>
                      <w:sz w:val="21"/>
                      <w:szCs w:val="21"/>
                      <w:vertAlign w:val="baseline"/>
                      <w:lang w:val="en-US" w:eastAsia="zh-CN"/>
                    </w:rPr>
                  </w:pPr>
                  <w:r>
                    <w:rPr>
                      <w:rFonts w:hint="eastAsia" w:cs="Times New Roman"/>
                      <w:sz w:val="21"/>
                      <w:szCs w:val="21"/>
                      <w:vertAlign w:val="baseline"/>
                      <w:lang w:val="en-US" w:eastAsia="zh-CN"/>
                    </w:rPr>
                    <w:t>/</w:t>
                  </w:r>
                </w:p>
              </w:tc>
              <w:tc>
                <w:tcPr>
                  <w:tcW w:w="586" w:type="pct"/>
                  <w:vMerge w:val="continue"/>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s="Times New Roman"/>
                      <w:sz w:val="21"/>
                      <w:szCs w:val="21"/>
                      <w:vertAlign w:val="baseline"/>
                      <w:lang w:val="en-US" w:eastAsia="zh-CN"/>
                    </w:rPr>
                  </w:pPr>
                </w:p>
              </w:tc>
              <w:tc>
                <w:tcPr>
                  <w:tcW w:w="649" w:type="pct"/>
                  <w:vAlign w:val="center"/>
                </w:tcPr>
                <w:p>
                  <w:pPr>
                    <w:pStyle w:val="1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s="Times New Roman"/>
                      <w:sz w:val="21"/>
                      <w:szCs w:val="21"/>
                      <w:vertAlign w:val="baseline"/>
                      <w:lang w:val="en-US" w:eastAsia="zh-CN"/>
                    </w:rPr>
                  </w:pPr>
                  <w:r>
                    <w:rPr>
                      <w:rFonts w:hint="eastAsia" w:cs="Times New Roman"/>
                      <w:sz w:val="21"/>
                      <w:szCs w:val="21"/>
                      <w:vertAlign w:val="baseline"/>
                      <w:lang w:val="en-US" w:eastAsia="zh-CN"/>
                    </w:rPr>
                    <w:t>粉状</w:t>
                  </w:r>
                </w:p>
              </w:tc>
              <w:tc>
                <w:tcPr>
                  <w:tcW w:w="1156" w:type="pct"/>
                  <w:vMerge w:val="continue"/>
                  <w:vAlign w:val="center"/>
                </w:tcPr>
                <w:p>
                  <w:pPr>
                    <w:pStyle w:val="1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cs="Times New Roman"/>
                      <w:sz w:val="21"/>
                      <w:szCs w:val="21"/>
                      <w:vertAlign w:val="baseline"/>
                      <w:lang w:val="en-US" w:eastAsia="zh-CN"/>
                    </w:rPr>
                  </w:pPr>
                </w:p>
              </w:tc>
              <w:tc>
                <w:tcPr>
                  <w:tcW w:w="803" w:type="pct"/>
                  <w:vMerge w:val="continue"/>
                  <w:vAlign w:val="center"/>
                </w:tcPr>
                <w:p>
                  <w:pPr>
                    <w:pStyle w:val="1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cs="Times New Roman"/>
                      <w:sz w:val="21"/>
                      <w:szCs w:val="21"/>
                      <w:vertAlign w:val="baseline"/>
                      <w:lang w:val="en-US" w:eastAsia="zh-CN"/>
                    </w:rPr>
                  </w:pPr>
                </w:p>
              </w:tc>
            </w:tr>
          </w:tbl>
          <w:p>
            <w:pPr>
              <w:pStyle w:val="67"/>
              <w:bidi w:val="0"/>
              <w:rPr>
                <w:rFonts w:hint="default"/>
                <w:lang w:val="en-US" w:eastAsia="zh-CN"/>
              </w:rPr>
            </w:pPr>
            <w:r>
              <w:rPr>
                <w:rFonts w:hint="eastAsia"/>
                <w:lang w:val="en-US" w:eastAsia="zh-CN"/>
              </w:rPr>
              <w:t>7.</w:t>
            </w:r>
            <w:r>
              <w:rPr>
                <w:rFonts w:hint="default"/>
                <w:lang w:val="en-US" w:eastAsia="zh-CN"/>
              </w:rPr>
              <w:t>主要原辅</w:t>
            </w:r>
            <w:r>
              <w:rPr>
                <w:rFonts w:hint="eastAsia"/>
                <w:lang w:val="en-US" w:eastAsia="zh-CN"/>
              </w:rPr>
              <w:t>材料</w:t>
            </w:r>
          </w:p>
          <w:p>
            <w:pPr>
              <w:pStyle w:val="68"/>
              <w:bidi w:val="0"/>
              <w:rPr>
                <w:rFonts w:hint="default"/>
              </w:rPr>
            </w:pPr>
            <w:r>
              <w:rPr>
                <w:rFonts w:hint="default"/>
              </w:rPr>
              <w:t>本项目主要所需主要原辅材料、能源消耗及来源</w:t>
            </w:r>
            <w:r>
              <w:rPr>
                <w:rFonts w:hint="eastAsia"/>
                <w:lang w:val="en-US" w:eastAsia="zh-CN"/>
              </w:rPr>
              <w:t>详</w:t>
            </w:r>
            <w:r>
              <w:rPr>
                <w:rFonts w:hint="default"/>
              </w:rPr>
              <w:t>见下表</w:t>
            </w:r>
            <w:r>
              <w:rPr>
                <w:rFonts w:hint="default"/>
                <w:lang w:val="en-US" w:eastAsia="zh-CN"/>
              </w:rPr>
              <w:t>。</w:t>
            </w:r>
          </w:p>
          <w:p>
            <w:pPr>
              <w:keepNext w:val="0"/>
              <w:keepLines w:val="0"/>
              <w:pageBreakBefore w:val="0"/>
              <w:widowControl w:val="0"/>
              <w:numPr>
                <w:ilvl w:val="0"/>
                <w:numId w:val="0"/>
              </w:numPr>
              <w:tabs>
                <w:tab w:val="left" w:pos="2481"/>
                <w:tab w:val="center" w:pos="4509"/>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 xml:space="preserve">表2-4 </w:t>
            </w:r>
            <w:r>
              <w:rPr>
                <w:rFonts w:hint="eastAsia"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val="en-US" w:eastAsia="zh-CN"/>
              </w:rPr>
              <w:t xml:space="preserve"> 原料及能源消耗情况一览表</w:t>
            </w:r>
          </w:p>
          <w:tbl>
            <w:tblPr>
              <w:tblStyle w:val="2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346"/>
              <w:gridCol w:w="1112"/>
              <w:gridCol w:w="1200"/>
              <w:gridCol w:w="1597"/>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30" w:type="pct"/>
                  <w:vAlign w:val="center"/>
                </w:tcPr>
                <w:p>
                  <w:pPr>
                    <w:pStyle w:val="66"/>
                    <w:bidi w:val="0"/>
                    <w:rPr>
                      <w:rFonts w:hint="default"/>
                      <w:lang w:val="en-US" w:eastAsia="zh-CN"/>
                    </w:rPr>
                  </w:pPr>
                  <w:r>
                    <w:rPr>
                      <w:rFonts w:hint="default"/>
                      <w:lang w:val="en-US" w:eastAsia="zh-CN"/>
                    </w:rPr>
                    <w:t>序号</w:t>
                  </w:r>
                </w:p>
              </w:tc>
              <w:tc>
                <w:tcPr>
                  <w:tcW w:w="835" w:type="pct"/>
                  <w:vAlign w:val="center"/>
                </w:tcPr>
                <w:p>
                  <w:pPr>
                    <w:pStyle w:val="66"/>
                    <w:bidi w:val="0"/>
                    <w:rPr>
                      <w:rFonts w:hint="default"/>
                      <w:lang w:val="en-US" w:eastAsia="zh-CN"/>
                    </w:rPr>
                  </w:pPr>
                  <w:r>
                    <w:rPr>
                      <w:rFonts w:hint="default"/>
                      <w:lang w:val="en-US" w:eastAsia="zh-CN"/>
                    </w:rPr>
                    <w:t>名称</w:t>
                  </w:r>
                </w:p>
              </w:tc>
              <w:tc>
                <w:tcPr>
                  <w:tcW w:w="690" w:type="pct"/>
                  <w:vAlign w:val="center"/>
                </w:tcPr>
                <w:p>
                  <w:pPr>
                    <w:pStyle w:val="66"/>
                    <w:bidi w:val="0"/>
                    <w:rPr>
                      <w:rFonts w:hint="default"/>
                      <w:lang w:val="en-US" w:eastAsia="zh-CN"/>
                    </w:rPr>
                  </w:pPr>
                  <w:r>
                    <w:rPr>
                      <w:rFonts w:hint="default"/>
                      <w:lang w:val="en-US" w:eastAsia="zh-CN"/>
                    </w:rPr>
                    <w:t>单位</w:t>
                  </w:r>
                </w:p>
              </w:tc>
              <w:tc>
                <w:tcPr>
                  <w:tcW w:w="745" w:type="pct"/>
                  <w:vAlign w:val="center"/>
                </w:tcPr>
                <w:p>
                  <w:pPr>
                    <w:pStyle w:val="66"/>
                    <w:bidi w:val="0"/>
                    <w:rPr>
                      <w:rFonts w:hint="default"/>
                      <w:lang w:val="en-US" w:eastAsia="zh-CN"/>
                    </w:rPr>
                  </w:pPr>
                  <w:r>
                    <w:rPr>
                      <w:rFonts w:hint="eastAsia"/>
                      <w:lang w:val="en-US" w:eastAsia="zh-CN"/>
                    </w:rPr>
                    <w:t>用量</w:t>
                  </w:r>
                </w:p>
              </w:tc>
              <w:tc>
                <w:tcPr>
                  <w:tcW w:w="991" w:type="pct"/>
                  <w:vAlign w:val="center"/>
                </w:tcPr>
                <w:p>
                  <w:pPr>
                    <w:pStyle w:val="66"/>
                    <w:bidi w:val="0"/>
                    <w:rPr>
                      <w:rFonts w:hint="default"/>
                      <w:lang w:val="en-US" w:eastAsia="zh-CN"/>
                    </w:rPr>
                  </w:pPr>
                  <w:r>
                    <w:rPr>
                      <w:rFonts w:hint="default"/>
                      <w:lang w:val="en-US" w:eastAsia="zh-CN"/>
                    </w:rPr>
                    <w:t>来源</w:t>
                  </w:r>
                </w:p>
              </w:tc>
              <w:tc>
                <w:tcPr>
                  <w:tcW w:w="1206" w:type="pct"/>
                  <w:vAlign w:val="center"/>
                </w:tcPr>
                <w:p>
                  <w:pPr>
                    <w:pStyle w:val="66"/>
                    <w:bidi w:val="0"/>
                    <w:rPr>
                      <w:rFonts w:hint="default"/>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30" w:type="pct"/>
                  <w:vAlign w:val="center"/>
                </w:tcPr>
                <w:p>
                  <w:pPr>
                    <w:pStyle w:val="66"/>
                    <w:bidi w:val="0"/>
                    <w:rPr>
                      <w:rFonts w:hint="default"/>
                      <w:lang w:val="en-US" w:eastAsia="zh-CN"/>
                    </w:rPr>
                  </w:pPr>
                  <w:r>
                    <w:rPr>
                      <w:rFonts w:hint="default"/>
                      <w:lang w:val="en-US" w:eastAsia="zh-CN"/>
                    </w:rPr>
                    <w:t>1</w:t>
                  </w:r>
                </w:p>
              </w:tc>
              <w:tc>
                <w:tcPr>
                  <w:tcW w:w="835" w:type="pct"/>
                  <w:vAlign w:val="center"/>
                </w:tcPr>
                <w:p>
                  <w:pPr>
                    <w:pStyle w:val="66"/>
                    <w:bidi w:val="0"/>
                    <w:rPr>
                      <w:rFonts w:hint="default"/>
                      <w:lang w:val="en-US" w:eastAsia="zh-CN"/>
                    </w:rPr>
                  </w:pPr>
                  <w:r>
                    <w:rPr>
                      <w:rFonts w:hint="eastAsia"/>
                      <w:lang w:val="en-US" w:eastAsia="zh-CN"/>
                    </w:rPr>
                    <w:t>99硅块</w:t>
                  </w:r>
                </w:p>
              </w:tc>
              <w:tc>
                <w:tcPr>
                  <w:tcW w:w="690" w:type="pct"/>
                  <w:vMerge w:val="restart"/>
                  <w:vAlign w:val="center"/>
                </w:tcPr>
                <w:p>
                  <w:pPr>
                    <w:pStyle w:val="66"/>
                    <w:bidi w:val="0"/>
                    <w:rPr>
                      <w:rFonts w:hint="default"/>
                      <w:lang w:val="en-US" w:eastAsia="zh-CN"/>
                    </w:rPr>
                  </w:pPr>
                  <w:r>
                    <w:rPr>
                      <w:rFonts w:hint="default"/>
                      <w:lang w:val="en-US" w:eastAsia="zh-CN"/>
                    </w:rPr>
                    <w:t>t/a</w:t>
                  </w:r>
                </w:p>
              </w:tc>
              <w:tc>
                <w:tcPr>
                  <w:tcW w:w="745" w:type="pct"/>
                  <w:vMerge w:val="restart"/>
                  <w:shd w:val="clear" w:color="auto" w:fill="auto"/>
                  <w:vAlign w:val="center"/>
                </w:tcPr>
                <w:p>
                  <w:pPr>
                    <w:pStyle w:val="66"/>
                    <w:bidi w:val="0"/>
                    <w:rPr>
                      <w:rFonts w:hint="default"/>
                      <w:lang w:val="en-US" w:eastAsia="zh-CN"/>
                    </w:rPr>
                  </w:pPr>
                  <w:r>
                    <w:rPr>
                      <w:rFonts w:hint="eastAsia"/>
                      <w:lang w:val="en-US" w:eastAsia="zh-CN"/>
                    </w:rPr>
                    <w:t>100564</w:t>
                  </w:r>
                </w:p>
              </w:tc>
              <w:tc>
                <w:tcPr>
                  <w:tcW w:w="991" w:type="pct"/>
                  <w:vAlign w:val="center"/>
                </w:tcPr>
                <w:p>
                  <w:pPr>
                    <w:pStyle w:val="66"/>
                    <w:bidi w:val="0"/>
                    <w:rPr>
                      <w:rFonts w:hint="default"/>
                      <w:lang w:val="en-US" w:eastAsia="zh-CN"/>
                    </w:rPr>
                  </w:pPr>
                  <w:r>
                    <w:rPr>
                      <w:rFonts w:hint="default"/>
                      <w:lang w:val="en-US" w:eastAsia="zh-CN"/>
                    </w:rPr>
                    <w:t>外购</w:t>
                  </w:r>
                </w:p>
              </w:tc>
              <w:tc>
                <w:tcPr>
                  <w:tcW w:w="1206" w:type="pct"/>
                  <w:vMerge w:val="restart"/>
                  <w:vAlign w:val="center"/>
                </w:tcPr>
                <w:p>
                  <w:pPr>
                    <w:pStyle w:val="66"/>
                    <w:bidi w:val="0"/>
                    <w:rPr>
                      <w:rFonts w:hint="default"/>
                      <w:lang w:val="en-US" w:eastAsia="zh-CN"/>
                    </w:rPr>
                  </w:pPr>
                  <w:r>
                    <w:rPr>
                      <w:rFonts w:hint="eastAsia"/>
                      <w:lang w:val="en-US" w:eastAsia="zh-CN"/>
                    </w:rPr>
                    <w:t>原料区别：纯度不同。根据不同客户需求，选择对应的原料进行破碎生产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0" w:type="pct"/>
                  <w:vAlign w:val="center"/>
                </w:tcPr>
                <w:p>
                  <w:pPr>
                    <w:pStyle w:val="66"/>
                    <w:bidi w:val="0"/>
                    <w:rPr>
                      <w:rFonts w:hint="default"/>
                      <w:lang w:val="en-US" w:eastAsia="zh-CN"/>
                    </w:rPr>
                  </w:pPr>
                  <w:r>
                    <w:rPr>
                      <w:rFonts w:hint="eastAsia"/>
                      <w:lang w:val="en-US" w:eastAsia="zh-CN"/>
                    </w:rPr>
                    <w:t>2</w:t>
                  </w:r>
                </w:p>
              </w:tc>
              <w:tc>
                <w:tcPr>
                  <w:tcW w:w="835" w:type="pct"/>
                  <w:vAlign w:val="center"/>
                </w:tcPr>
                <w:p>
                  <w:pPr>
                    <w:pStyle w:val="66"/>
                    <w:bidi w:val="0"/>
                    <w:rPr>
                      <w:rFonts w:hint="default"/>
                      <w:lang w:val="en-US" w:eastAsia="zh-CN"/>
                    </w:rPr>
                  </w:pPr>
                  <w:r>
                    <w:rPr>
                      <w:rFonts w:hint="eastAsia"/>
                      <w:lang w:val="en-US" w:eastAsia="zh-CN"/>
                    </w:rPr>
                    <w:t>421硅块</w:t>
                  </w:r>
                </w:p>
              </w:tc>
              <w:tc>
                <w:tcPr>
                  <w:tcW w:w="690" w:type="pct"/>
                  <w:vMerge w:val="continue"/>
                  <w:vAlign w:val="center"/>
                </w:tcPr>
                <w:p>
                  <w:pPr>
                    <w:pStyle w:val="66"/>
                    <w:bidi w:val="0"/>
                    <w:rPr>
                      <w:rFonts w:hint="eastAsia"/>
                      <w:lang w:val="en-US" w:eastAsia="zh-CN"/>
                    </w:rPr>
                  </w:pPr>
                </w:p>
              </w:tc>
              <w:tc>
                <w:tcPr>
                  <w:tcW w:w="745" w:type="pct"/>
                  <w:vMerge w:val="continue"/>
                  <w:shd w:val="clear" w:color="auto" w:fill="auto"/>
                  <w:vAlign w:val="center"/>
                </w:tcPr>
                <w:p>
                  <w:pPr>
                    <w:pStyle w:val="66"/>
                    <w:bidi w:val="0"/>
                    <w:rPr>
                      <w:rFonts w:hint="eastAsia"/>
                      <w:lang w:val="en-US" w:eastAsia="zh-CN"/>
                    </w:rPr>
                  </w:pPr>
                </w:p>
              </w:tc>
              <w:tc>
                <w:tcPr>
                  <w:tcW w:w="991" w:type="pct"/>
                  <w:vAlign w:val="center"/>
                </w:tcPr>
                <w:p>
                  <w:pPr>
                    <w:pStyle w:val="66"/>
                    <w:bidi w:val="0"/>
                    <w:rPr>
                      <w:rFonts w:hint="default"/>
                      <w:lang w:val="en-US" w:eastAsia="zh-CN"/>
                    </w:rPr>
                  </w:pPr>
                  <w:r>
                    <w:rPr>
                      <w:rFonts w:hint="default"/>
                      <w:lang w:val="en-US" w:eastAsia="zh-CN"/>
                    </w:rPr>
                    <w:t>外购</w:t>
                  </w:r>
                </w:p>
              </w:tc>
              <w:tc>
                <w:tcPr>
                  <w:tcW w:w="1206" w:type="pct"/>
                  <w:vMerge w:val="continue"/>
                  <w:vAlign w:val="center"/>
                </w:tcPr>
                <w:p>
                  <w:pPr>
                    <w:pStyle w:val="66"/>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0" w:type="pct"/>
                  <w:vAlign w:val="center"/>
                </w:tcPr>
                <w:p>
                  <w:pPr>
                    <w:pStyle w:val="66"/>
                    <w:bidi w:val="0"/>
                    <w:rPr>
                      <w:rFonts w:hint="default"/>
                      <w:lang w:val="en-US" w:eastAsia="zh-CN"/>
                    </w:rPr>
                  </w:pPr>
                  <w:r>
                    <w:rPr>
                      <w:rFonts w:hint="eastAsia"/>
                      <w:lang w:val="en-US" w:eastAsia="zh-CN"/>
                    </w:rPr>
                    <w:t>3</w:t>
                  </w:r>
                </w:p>
              </w:tc>
              <w:tc>
                <w:tcPr>
                  <w:tcW w:w="835" w:type="pct"/>
                  <w:vAlign w:val="center"/>
                </w:tcPr>
                <w:p>
                  <w:pPr>
                    <w:pStyle w:val="66"/>
                    <w:bidi w:val="0"/>
                    <w:rPr>
                      <w:rFonts w:hint="default"/>
                      <w:lang w:val="en-US" w:eastAsia="zh-CN"/>
                    </w:rPr>
                  </w:pPr>
                  <w:r>
                    <w:rPr>
                      <w:rFonts w:hint="eastAsia"/>
                      <w:lang w:val="en-US" w:eastAsia="zh-CN"/>
                    </w:rPr>
                    <w:t>水</w:t>
                  </w:r>
                </w:p>
              </w:tc>
              <w:tc>
                <w:tcPr>
                  <w:tcW w:w="690" w:type="pct"/>
                  <w:vAlign w:val="center"/>
                </w:tcPr>
                <w:p>
                  <w:pPr>
                    <w:pStyle w:val="66"/>
                    <w:bidi w:val="0"/>
                    <w:rPr>
                      <w:rFonts w:hint="default"/>
                      <w:lang w:val="en-US" w:eastAsia="zh-CN"/>
                    </w:rPr>
                  </w:pPr>
                  <w:r>
                    <w:rPr>
                      <w:rFonts w:hint="eastAsia"/>
                      <w:lang w:val="en-US" w:eastAsia="zh-CN"/>
                    </w:rPr>
                    <w:t>m</w:t>
                  </w:r>
                  <w:r>
                    <w:rPr>
                      <w:rFonts w:hint="eastAsia"/>
                      <w:vertAlign w:val="superscript"/>
                      <w:lang w:val="en-US" w:eastAsia="zh-CN"/>
                    </w:rPr>
                    <w:t>3</w:t>
                  </w:r>
                  <w:r>
                    <w:rPr>
                      <w:rFonts w:hint="eastAsia"/>
                      <w:lang w:val="en-US" w:eastAsia="zh-CN"/>
                    </w:rPr>
                    <w:t>/a</w:t>
                  </w:r>
                </w:p>
              </w:tc>
              <w:tc>
                <w:tcPr>
                  <w:tcW w:w="745" w:type="pct"/>
                  <w:shd w:val="clear" w:color="auto" w:fill="auto"/>
                  <w:vAlign w:val="center"/>
                </w:tcPr>
                <w:p>
                  <w:pPr>
                    <w:pStyle w:val="66"/>
                    <w:bidi w:val="0"/>
                    <w:rPr>
                      <w:rFonts w:hint="default"/>
                      <w:lang w:val="en-US" w:eastAsia="zh-CN"/>
                    </w:rPr>
                  </w:pPr>
                  <w:r>
                    <w:rPr>
                      <w:rFonts w:hint="eastAsia"/>
                      <w:lang w:val="en-US" w:eastAsia="zh-CN"/>
                    </w:rPr>
                    <w:t>454.5</w:t>
                  </w:r>
                </w:p>
              </w:tc>
              <w:tc>
                <w:tcPr>
                  <w:tcW w:w="991" w:type="pct"/>
                  <w:vAlign w:val="center"/>
                </w:tcPr>
                <w:p>
                  <w:pPr>
                    <w:pStyle w:val="66"/>
                    <w:bidi w:val="0"/>
                    <w:rPr>
                      <w:rFonts w:hint="default"/>
                      <w:lang w:val="en-US" w:eastAsia="zh-CN"/>
                    </w:rPr>
                  </w:pPr>
                  <w:r>
                    <w:rPr>
                      <w:rFonts w:hint="eastAsia"/>
                      <w:lang w:val="en-US" w:eastAsia="zh-CN"/>
                    </w:rPr>
                    <w:t>园区供水</w:t>
                  </w:r>
                </w:p>
              </w:tc>
              <w:tc>
                <w:tcPr>
                  <w:tcW w:w="1206" w:type="pct"/>
                  <w:vAlign w:val="center"/>
                </w:tcPr>
                <w:p>
                  <w:pPr>
                    <w:pStyle w:val="66"/>
                    <w:bidi w:val="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530" w:type="pct"/>
                  <w:vAlign w:val="center"/>
                </w:tcPr>
                <w:p>
                  <w:pPr>
                    <w:pStyle w:val="66"/>
                    <w:bidi w:val="0"/>
                    <w:rPr>
                      <w:rFonts w:hint="default"/>
                      <w:lang w:val="en-US" w:eastAsia="zh-CN"/>
                    </w:rPr>
                  </w:pPr>
                  <w:r>
                    <w:rPr>
                      <w:rFonts w:hint="eastAsia"/>
                      <w:lang w:val="en-US" w:eastAsia="zh-CN"/>
                    </w:rPr>
                    <w:t>4</w:t>
                  </w:r>
                </w:p>
              </w:tc>
              <w:tc>
                <w:tcPr>
                  <w:tcW w:w="835" w:type="pct"/>
                  <w:vAlign w:val="center"/>
                </w:tcPr>
                <w:p>
                  <w:pPr>
                    <w:pStyle w:val="66"/>
                    <w:bidi w:val="0"/>
                    <w:rPr>
                      <w:rFonts w:hint="default"/>
                      <w:lang w:val="en-US" w:eastAsia="zh-CN"/>
                    </w:rPr>
                  </w:pPr>
                  <w:r>
                    <w:rPr>
                      <w:rFonts w:hint="eastAsia"/>
                      <w:lang w:val="en-US" w:eastAsia="zh-CN"/>
                    </w:rPr>
                    <w:t>电</w:t>
                  </w:r>
                </w:p>
              </w:tc>
              <w:tc>
                <w:tcPr>
                  <w:tcW w:w="690" w:type="pct"/>
                  <w:vAlign w:val="center"/>
                </w:tcPr>
                <w:p>
                  <w:pPr>
                    <w:pStyle w:val="66"/>
                    <w:bidi w:val="0"/>
                    <w:rPr>
                      <w:rFonts w:hint="eastAsia"/>
                      <w:lang w:val="en-US" w:eastAsia="zh-CN"/>
                    </w:rPr>
                  </w:pPr>
                  <w:r>
                    <w:rPr>
                      <w:rFonts w:hint="eastAsia"/>
                      <w:b w:val="0"/>
                      <w:bCs w:val="0"/>
                      <w:vertAlign w:val="baseline"/>
                      <w:lang w:val="en-US" w:eastAsia="zh-CN"/>
                    </w:rPr>
                    <w:t>万KWh</w:t>
                  </w:r>
                </w:p>
              </w:tc>
              <w:tc>
                <w:tcPr>
                  <w:tcW w:w="745" w:type="pct"/>
                  <w:shd w:val="clear" w:color="auto" w:fill="auto"/>
                  <w:vAlign w:val="center"/>
                </w:tcPr>
                <w:p>
                  <w:pPr>
                    <w:pStyle w:val="66"/>
                    <w:bidi w:val="0"/>
                    <w:rPr>
                      <w:rFonts w:hint="eastAsia"/>
                      <w:lang w:val="en-US" w:eastAsia="zh-CN"/>
                    </w:rPr>
                  </w:pPr>
                  <w:r>
                    <w:rPr>
                      <w:rFonts w:hint="eastAsia"/>
                      <w:b w:val="0"/>
                      <w:bCs w:val="0"/>
                      <w:vertAlign w:val="baseline"/>
                      <w:lang w:val="en-US" w:eastAsia="zh-CN"/>
                    </w:rPr>
                    <w:t>100</w:t>
                  </w:r>
                </w:p>
              </w:tc>
              <w:tc>
                <w:tcPr>
                  <w:tcW w:w="991" w:type="pct"/>
                  <w:vAlign w:val="center"/>
                </w:tcPr>
                <w:p>
                  <w:pPr>
                    <w:pStyle w:val="66"/>
                    <w:bidi w:val="0"/>
                    <w:rPr>
                      <w:rFonts w:hint="eastAsia"/>
                      <w:lang w:val="en-US" w:eastAsia="zh-CN"/>
                    </w:rPr>
                  </w:pPr>
                  <w:r>
                    <w:rPr>
                      <w:rFonts w:hint="eastAsia"/>
                      <w:lang w:val="en-US" w:eastAsia="zh-CN"/>
                    </w:rPr>
                    <w:t>园区供水</w:t>
                  </w:r>
                </w:p>
              </w:tc>
              <w:tc>
                <w:tcPr>
                  <w:tcW w:w="1206" w:type="pct"/>
                  <w:vAlign w:val="center"/>
                </w:tcPr>
                <w:p>
                  <w:pPr>
                    <w:pStyle w:val="66"/>
                    <w:bidi w:val="0"/>
                    <w:rPr>
                      <w:rFonts w:hint="eastAsia"/>
                      <w:lang w:val="en-US" w:eastAsia="zh-CN"/>
                    </w:rPr>
                  </w:pPr>
                  <w:r>
                    <w:rPr>
                      <w:rFonts w:hint="eastAsia"/>
                      <w:lang w:val="en-US" w:eastAsia="zh-CN"/>
                    </w:rPr>
                    <w:t>/</w:t>
                  </w:r>
                </w:p>
              </w:tc>
            </w:tr>
          </w:tbl>
          <w:p>
            <w:pPr>
              <w:pStyle w:val="22"/>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b w:val="0"/>
                <w:bCs/>
                <w:szCs w:val="21"/>
                <w:lang w:val="en-US" w:eastAsia="zh-CN"/>
              </w:rPr>
            </w:pPr>
            <w:r>
              <w:rPr>
                <w:rFonts w:hint="eastAsia" w:cs="Times New Roman"/>
                <w:b w:val="0"/>
                <w:bCs/>
                <w:szCs w:val="21"/>
                <w:lang w:val="en-US" w:eastAsia="zh-CN"/>
              </w:rPr>
              <w:t>本项目</w:t>
            </w:r>
            <w:r>
              <w:rPr>
                <w:rFonts w:hint="default" w:ascii="Times New Roman" w:hAnsi="Times New Roman" w:cs="Times New Roman"/>
                <w:b w:val="0"/>
                <w:bCs/>
                <w:szCs w:val="21"/>
                <w:lang w:val="en-US" w:eastAsia="zh-CN"/>
              </w:rPr>
              <w:t>原辅</w:t>
            </w:r>
            <w:r>
              <w:rPr>
                <w:rFonts w:hint="eastAsia" w:cs="Times New Roman"/>
                <w:b w:val="0"/>
                <w:bCs/>
                <w:szCs w:val="21"/>
                <w:lang w:val="en-US" w:eastAsia="zh-CN"/>
              </w:rPr>
              <w:t>材料</w:t>
            </w:r>
            <w:r>
              <w:rPr>
                <w:rFonts w:hint="default" w:ascii="Times New Roman" w:hAnsi="Times New Roman" w:cs="Times New Roman"/>
                <w:b w:val="0"/>
                <w:bCs/>
                <w:szCs w:val="21"/>
                <w:lang w:val="en-US" w:eastAsia="zh-CN"/>
              </w:rPr>
              <w:t>理化性质</w:t>
            </w:r>
            <w:r>
              <w:rPr>
                <w:rFonts w:hint="eastAsia" w:cs="Times New Roman"/>
                <w:b w:val="0"/>
                <w:bCs/>
                <w:szCs w:val="21"/>
                <w:lang w:val="en-US" w:eastAsia="zh-CN"/>
              </w:rPr>
              <w:t>详</w:t>
            </w:r>
            <w:r>
              <w:rPr>
                <w:rFonts w:hint="default" w:ascii="Times New Roman" w:hAnsi="Times New Roman" w:cs="Times New Roman"/>
                <w:b w:val="0"/>
                <w:bCs/>
                <w:szCs w:val="21"/>
                <w:lang w:val="en-US" w:eastAsia="zh-CN"/>
              </w:rPr>
              <w:t>见</w:t>
            </w:r>
            <w:r>
              <w:rPr>
                <w:rFonts w:hint="eastAsia" w:cs="Times New Roman"/>
                <w:b w:val="0"/>
                <w:bCs/>
                <w:szCs w:val="21"/>
                <w:lang w:val="en-US" w:eastAsia="zh-CN"/>
              </w:rPr>
              <w:t>下</w:t>
            </w:r>
            <w:r>
              <w:rPr>
                <w:rFonts w:hint="default" w:ascii="Times New Roman" w:hAnsi="Times New Roman" w:cs="Times New Roman"/>
                <w:b w:val="0"/>
                <w:bCs/>
                <w:szCs w:val="21"/>
                <w:lang w:val="en-US" w:eastAsia="zh-CN"/>
              </w:rPr>
              <w:t>表。</w:t>
            </w:r>
          </w:p>
          <w:p>
            <w:pPr>
              <w:keepNext w:val="0"/>
              <w:keepLines w:val="0"/>
              <w:pageBreakBefore w:val="0"/>
              <w:widowControl w:val="0"/>
              <w:numPr>
                <w:ilvl w:val="0"/>
                <w:numId w:val="0"/>
              </w:numPr>
              <w:tabs>
                <w:tab w:val="left" w:pos="2481"/>
                <w:tab w:val="center" w:pos="4509"/>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00"/>
                <w:sz w:val="21"/>
                <w:szCs w:val="21"/>
                <w:highlight w:val="none"/>
                <w:lang w:val="en-US" w:eastAsia="zh-CN"/>
              </w:rPr>
            </w:pPr>
            <w:r>
              <w:rPr>
                <w:rFonts w:hint="default" w:ascii="Times New Roman" w:hAnsi="Times New Roman" w:eastAsia="宋体" w:cs="Times New Roman"/>
                <w:b/>
                <w:bCs/>
                <w:color w:val="000000"/>
                <w:sz w:val="21"/>
                <w:szCs w:val="21"/>
                <w:highlight w:val="none"/>
                <w:lang w:val="en-US" w:eastAsia="zh-CN"/>
              </w:rPr>
              <w:t>表2-</w:t>
            </w:r>
            <w:r>
              <w:rPr>
                <w:rFonts w:hint="eastAsia" w:cs="Times New Roman"/>
                <w:b/>
                <w:bCs/>
                <w:color w:val="000000"/>
                <w:sz w:val="21"/>
                <w:szCs w:val="21"/>
                <w:highlight w:val="none"/>
                <w:lang w:val="en-US" w:eastAsia="zh-CN"/>
              </w:rPr>
              <w:t>5</w:t>
            </w:r>
            <w:r>
              <w:rPr>
                <w:rFonts w:hint="default" w:ascii="Times New Roman" w:hAnsi="Times New Roman" w:eastAsia="宋体" w:cs="Times New Roman"/>
                <w:b/>
                <w:bCs/>
                <w:color w:val="000000"/>
                <w:sz w:val="21"/>
                <w:szCs w:val="21"/>
                <w:highlight w:val="none"/>
                <w:lang w:val="en-US" w:eastAsia="zh-CN"/>
              </w:rPr>
              <w:t xml:space="preserve"> </w:t>
            </w:r>
            <w:r>
              <w:rPr>
                <w:rFonts w:hint="eastAsia" w:cs="Times New Roman"/>
                <w:b/>
                <w:bCs/>
                <w:color w:val="000000"/>
                <w:sz w:val="21"/>
                <w:szCs w:val="21"/>
                <w:highlight w:val="none"/>
                <w:lang w:val="en-US" w:eastAsia="zh-CN"/>
              </w:rPr>
              <w:t xml:space="preserve">  </w:t>
            </w:r>
            <w:r>
              <w:rPr>
                <w:rFonts w:hint="default" w:ascii="Times New Roman" w:hAnsi="Times New Roman" w:eastAsia="宋体" w:cs="Times New Roman"/>
                <w:b/>
                <w:bCs/>
                <w:color w:val="000000"/>
                <w:sz w:val="21"/>
                <w:szCs w:val="21"/>
                <w:highlight w:val="none"/>
                <w:lang w:val="en-US" w:eastAsia="zh-CN"/>
              </w:rPr>
              <w:t xml:space="preserve"> 原辅料理化性质一览表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58"/>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 w:type="pct"/>
                  <w:vAlign w:val="center"/>
                </w:tcPr>
                <w:p>
                  <w:pPr>
                    <w:pStyle w:val="66"/>
                    <w:bidi w:val="0"/>
                    <w:rPr>
                      <w:rFonts w:hint="default"/>
                      <w:lang w:val="en-US" w:eastAsia="zh-CN"/>
                    </w:rPr>
                  </w:pPr>
                  <w:r>
                    <w:rPr>
                      <w:rFonts w:hint="default"/>
                      <w:lang w:val="en-US" w:eastAsia="zh-CN"/>
                    </w:rPr>
                    <w:t>序号</w:t>
                  </w:r>
                </w:p>
              </w:tc>
              <w:tc>
                <w:tcPr>
                  <w:tcW w:w="780" w:type="pct"/>
                  <w:vAlign w:val="center"/>
                </w:tcPr>
                <w:p>
                  <w:pPr>
                    <w:pStyle w:val="66"/>
                    <w:bidi w:val="0"/>
                    <w:rPr>
                      <w:rFonts w:hint="default"/>
                      <w:lang w:val="en-US" w:eastAsia="zh-CN"/>
                    </w:rPr>
                  </w:pPr>
                  <w:r>
                    <w:rPr>
                      <w:rFonts w:hint="default"/>
                      <w:lang w:val="en-US" w:eastAsia="zh-CN"/>
                    </w:rPr>
                    <w:t>原辅料名称</w:t>
                  </w:r>
                </w:p>
              </w:tc>
              <w:tc>
                <w:tcPr>
                  <w:tcW w:w="3795" w:type="pct"/>
                  <w:vAlign w:val="center"/>
                </w:tcPr>
                <w:p>
                  <w:pPr>
                    <w:pStyle w:val="66"/>
                    <w:bidi w:val="0"/>
                    <w:rPr>
                      <w:rFonts w:hint="default"/>
                      <w:lang w:val="en-US" w:eastAsia="zh-CN"/>
                    </w:rPr>
                  </w:pPr>
                  <w:r>
                    <w:rPr>
                      <w:rFonts w:hint="default"/>
                      <w:lang w:val="en-US" w:eastAsia="zh-CN"/>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pStyle w:val="66"/>
                    <w:bidi w:val="0"/>
                    <w:rPr>
                      <w:rFonts w:hint="default"/>
                      <w:lang w:val="en-US" w:eastAsia="zh-CN"/>
                    </w:rPr>
                  </w:pPr>
                  <w:r>
                    <w:rPr>
                      <w:rFonts w:hint="default"/>
                      <w:lang w:val="en-US" w:eastAsia="zh-CN"/>
                    </w:rPr>
                    <w:t>1</w:t>
                  </w:r>
                </w:p>
              </w:tc>
              <w:tc>
                <w:tcPr>
                  <w:tcW w:w="780" w:type="pct"/>
                  <w:vAlign w:val="center"/>
                </w:tcPr>
                <w:p>
                  <w:pPr>
                    <w:pStyle w:val="66"/>
                    <w:bidi w:val="0"/>
                    <w:rPr>
                      <w:rFonts w:hint="default"/>
                      <w:lang w:val="en-US" w:eastAsia="zh-CN"/>
                    </w:rPr>
                  </w:pPr>
                  <w:r>
                    <w:rPr>
                      <w:rFonts w:hint="eastAsia"/>
                      <w:lang w:val="en-US" w:eastAsia="zh-CN"/>
                    </w:rPr>
                    <w:t>99硅块</w:t>
                  </w:r>
                </w:p>
              </w:tc>
              <w:tc>
                <w:tcPr>
                  <w:tcW w:w="3795" w:type="pct"/>
                  <w:vAlign w:val="center"/>
                </w:tcPr>
                <w:p>
                  <w:pPr>
                    <w:pStyle w:val="66"/>
                    <w:bidi w:val="0"/>
                    <w:rPr>
                      <w:rFonts w:hint="default"/>
                      <w:lang w:val="en-US" w:eastAsia="zh-CN"/>
                    </w:rPr>
                  </w:pPr>
                  <w:r>
                    <w:rPr>
                      <w:rFonts w:hint="default"/>
                      <w:lang w:val="en-US" w:eastAsia="zh-CN"/>
                    </w:rPr>
                    <w:t>99硅块通常指工业级硅，即纯度约为99%的硅材料（可能含有铁、铝、钙等杂质</w:t>
                  </w:r>
                  <w:r>
                    <w:rPr>
                      <w:rFonts w:hint="eastAsia"/>
                      <w:lang w:val="en-US" w:eastAsia="zh-CN"/>
                    </w:rPr>
                    <w:t>），是灰黑色块状固体，表面可能因氧化或杂质呈现喑哑光泽。密度：约2.32–2.34g/cm³（杂质可能略微影响密度）；熔点：1410–1415</w:t>
                  </w:r>
                  <w:r>
                    <w:rPr>
                      <w:rFonts w:hint="default" w:ascii="Times New Roman" w:hAnsi="Times New Roman" w:cs="Times New Roman"/>
                      <w:lang w:val="en-US" w:eastAsia="zh-CN"/>
                    </w:rPr>
                    <w:t>℃</w:t>
                  </w:r>
                  <w:r>
                    <w:rPr>
                      <w:rFonts w:hint="eastAsia"/>
                      <w:lang w:val="en-US" w:eastAsia="zh-CN"/>
                    </w:rPr>
                    <w:t>（杂质可能降低熔点）；沸点：约3265</w:t>
                  </w:r>
                  <w:r>
                    <w:rPr>
                      <w:rFonts w:hint="default" w:ascii="Times New Roman" w:hAnsi="Times New Roman" w:cs="Times New Roman"/>
                      <w:lang w:val="en-US" w:eastAsia="zh-CN"/>
                    </w:rPr>
                    <w:t>℃</w:t>
                  </w:r>
                  <w:r>
                    <w:rPr>
                      <w:rFonts w:hint="eastAsia"/>
                      <w:lang w:val="en-US" w:eastAsia="zh-CN"/>
                    </w:rPr>
                    <w:t>（与高纯硅相近）。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pStyle w:val="66"/>
                    <w:bidi w:val="0"/>
                    <w:rPr>
                      <w:rFonts w:hint="default"/>
                      <w:lang w:val="en-US" w:eastAsia="zh-CN"/>
                    </w:rPr>
                  </w:pPr>
                  <w:r>
                    <w:rPr>
                      <w:rFonts w:hint="eastAsia"/>
                      <w:lang w:val="en-US" w:eastAsia="zh-CN"/>
                    </w:rPr>
                    <w:t>2</w:t>
                  </w:r>
                </w:p>
              </w:tc>
              <w:tc>
                <w:tcPr>
                  <w:tcW w:w="780" w:type="pct"/>
                  <w:vAlign w:val="center"/>
                </w:tcPr>
                <w:p>
                  <w:pPr>
                    <w:pStyle w:val="66"/>
                    <w:bidi w:val="0"/>
                    <w:rPr>
                      <w:rFonts w:hint="eastAsia"/>
                      <w:lang w:val="en-US" w:eastAsia="zh-CN"/>
                    </w:rPr>
                  </w:pPr>
                  <w:r>
                    <w:rPr>
                      <w:rFonts w:hint="eastAsia"/>
                      <w:lang w:val="en-US" w:eastAsia="zh-CN"/>
                    </w:rPr>
                    <w:t>421硅块</w:t>
                  </w:r>
                </w:p>
              </w:tc>
              <w:tc>
                <w:tcPr>
                  <w:tcW w:w="3795" w:type="pct"/>
                  <w:vAlign w:val="center"/>
                </w:tcPr>
                <w:p>
                  <w:pPr>
                    <w:pStyle w:val="66"/>
                    <w:bidi w:val="0"/>
                    <w:rPr>
                      <w:rFonts w:hint="default" w:eastAsia="宋体"/>
                      <w:lang w:val="en-US" w:eastAsia="zh-CN"/>
                    </w:rPr>
                  </w:pPr>
                  <w:r>
                    <w:rPr>
                      <w:rFonts w:hint="default"/>
                    </w:rPr>
                    <w:t>通常指纯度达到99.9999%以上的高纯硅</w:t>
                  </w:r>
                  <w:r>
                    <w:rPr>
                      <w:rFonts w:hint="eastAsia"/>
                      <w:lang w:eastAsia="zh-CN"/>
                    </w:rPr>
                    <w:t>，</w:t>
                  </w:r>
                  <w:r>
                    <w:rPr>
                      <w:rFonts w:hint="default"/>
                    </w:rPr>
                    <w:t>是一种重要的半导体材料</w:t>
                  </w:r>
                  <w:r>
                    <w:rPr>
                      <w:rFonts w:hint="eastAsia"/>
                      <w:lang w:eastAsia="zh-CN"/>
                    </w:rPr>
                    <w:t>，银灰色有金属光泽的固体，呈块状或晶体结构。</w:t>
                  </w:r>
                  <w:r>
                    <w:rPr>
                      <w:rFonts w:hint="eastAsia"/>
                      <w:lang w:val="en-US" w:eastAsia="zh-CN"/>
                    </w:rPr>
                    <w:t>密度：2.329g/cm</w:t>
                  </w:r>
                  <w:r>
                    <w:rPr>
                      <w:rFonts w:hint="eastAsia"/>
                      <w:vertAlign w:val="superscript"/>
                      <w:lang w:val="en-US" w:eastAsia="zh-CN"/>
                    </w:rPr>
                    <w:t>3</w:t>
                  </w:r>
                  <w:r>
                    <w:rPr>
                      <w:rFonts w:hint="eastAsia"/>
                      <w:lang w:val="en-US" w:eastAsia="zh-CN"/>
                    </w:rPr>
                    <w:t>（25</w:t>
                  </w:r>
                  <w:r>
                    <w:rPr>
                      <w:rFonts w:hint="default" w:ascii="Times New Roman" w:hAnsi="Times New Roman" w:cs="Times New Roman"/>
                      <w:lang w:val="en-US" w:eastAsia="zh-CN"/>
                    </w:rPr>
                    <w:t>℃</w:t>
                  </w:r>
                  <w:r>
                    <w:rPr>
                      <w:rFonts w:hint="eastAsia"/>
                      <w:lang w:val="en-US" w:eastAsia="zh-CN"/>
                    </w:rPr>
                    <w:t>）；熔点：1414</w:t>
                  </w:r>
                  <w:r>
                    <w:rPr>
                      <w:rFonts w:hint="default" w:ascii="Times New Roman" w:hAnsi="Times New Roman" w:eastAsia="仿宋" w:cs="Times New Roman"/>
                      <w:lang w:val="en-US" w:eastAsia="zh-CN"/>
                    </w:rPr>
                    <w:t>℃</w:t>
                  </w:r>
                  <w:r>
                    <w:rPr>
                      <w:rFonts w:hint="eastAsia"/>
                      <w:lang w:val="en-US" w:eastAsia="zh-CN"/>
                    </w:rPr>
                    <w:t>（高纯度硅熔点略有升高）；沸点：3265</w:t>
                  </w:r>
                  <w:r>
                    <w:rPr>
                      <w:rFonts w:hint="default" w:ascii="Times New Roman" w:hAnsi="Times New Roman" w:cs="Times New Roman"/>
                      <w:lang w:val="en-US" w:eastAsia="zh-CN"/>
                    </w:rPr>
                    <w:t>℃</w:t>
                  </w:r>
                  <w:r>
                    <w:rPr>
                      <w:rFonts w:hint="eastAsia" w:ascii="Times New Roman" w:hAnsi="Times New Roman" w:cs="Times New Roman"/>
                      <w:lang w:val="en-US" w:eastAsia="zh-CN"/>
                    </w:rPr>
                    <w:t>。</w:t>
                  </w:r>
                </w:p>
              </w:tc>
            </w:tr>
          </w:tbl>
          <w:p>
            <w:pPr>
              <w:pStyle w:val="67"/>
              <w:bidi w:val="0"/>
              <w:rPr>
                <w:rFonts w:hint="default"/>
                <w:lang w:val="en-US" w:eastAsia="zh-CN"/>
              </w:rPr>
            </w:pPr>
            <w:r>
              <w:rPr>
                <w:rFonts w:hint="eastAsia"/>
                <w:lang w:val="en-US" w:eastAsia="zh-CN"/>
              </w:rPr>
              <w:t>8.劳动定员及工作制度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本项目新增劳动定员约</w:t>
            </w:r>
            <w:r>
              <w:rPr>
                <w:rFonts w:hint="eastAsia" w:cs="Times New Roman"/>
                <w:color w:val="auto"/>
                <w:sz w:val="24"/>
                <w:szCs w:val="24"/>
                <w:lang w:val="en-US" w:eastAsia="zh-CN"/>
              </w:rPr>
              <w:t>30</w:t>
            </w:r>
            <w:r>
              <w:rPr>
                <w:rFonts w:hint="default" w:ascii="Times New Roman" w:hAnsi="Times New Roman" w:eastAsia="宋体" w:cs="Times New Roman"/>
                <w:color w:val="auto"/>
                <w:sz w:val="24"/>
                <w:szCs w:val="24"/>
                <w:lang w:val="en-US" w:eastAsia="zh-CN"/>
              </w:rPr>
              <w:t>人，</w:t>
            </w:r>
            <w:r>
              <w:rPr>
                <w:rFonts w:hint="default" w:ascii="Times New Roman" w:hAnsi="Times New Roman" w:eastAsia="宋体" w:cs="Times New Roman"/>
                <w:color w:val="auto"/>
                <w:kern w:val="2"/>
                <w:sz w:val="24"/>
                <w:szCs w:val="24"/>
                <w:vertAlign w:val="baseline"/>
                <w:lang w:val="en-US" w:eastAsia="zh-CN" w:bidi="ar"/>
              </w:rPr>
              <w:t>年生产期约300天，两班制</w:t>
            </w:r>
            <w:r>
              <w:rPr>
                <w:rFonts w:hint="eastAsia" w:cs="Times New Roman"/>
                <w:color w:val="auto"/>
                <w:kern w:val="2"/>
                <w:sz w:val="24"/>
                <w:szCs w:val="24"/>
                <w:vertAlign w:val="baseline"/>
                <w:lang w:val="en-US" w:eastAsia="zh-CN" w:bidi="ar"/>
              </w:rPr>
              <w:t>（10:00-02:00）</w:t>
            </w:r>
            <w:r>
              <w:rPr>
                <w:rFonts w:hint="default" w:ascii="Times New Roman" w:hAnsi="Times New Roman" w:eastAsia="宋体" w:cs="Times New Roman"/>
                <w:color w:val="auto"/>
                <w:kern w:val="2"/>
                <w:sz w:val="24"/>
                <w:szCs w:val="24"/>
                <w:vertAlign w:val="baseline"/>
                <w:lang w:val="en-US" w:eastAsia="zh-CN" w:bidi="ar"/>
              </w:rPr>
              <w:t>，每班8h，</w:t>
            </w:r>
            <w:r>
              <w:rPr>
                <w:rFonts w:hint="eastAsia" w:cs="Times New Roman"/>
                <w:color w:val="auto"/>
                <w:kern w:val="2"/>
                <w:sz w:val="24"/>
                <w:szCs w:val="24"/>
                <w:vertAlign w:val="baseline"/>
                <w:lang w:val="en-US" w:eastAsia="zh-CN" w:bidi="ar"/>
              </w:rPr>
              <w:t>工作时间共计4800h。</w:t>
            </w:r>
            <w:r>
              <w:rPr>
                <w:rFonts w:hint="default" w:ascii="Times New Roman" w:hAnsi="Times New Roman" w:eastAsia="宋体" w:cs="Times New Roman"/>
                <w:color w:val="auto"/>
                <w:kern w:val="2"/>
                <w:sz w:val="24"/>
                <w:szCs w:val="24"/>
                <w:vertAlign w:val="baseline"/>
                <w:lang w:val="en-US" w:eastAsia="zh-CN" w:bidi="ar"/>
              </w:rPr>
              <w:t>厂区</w:t>
            </w:r>
            <w:r>
              <w:rPr>
                <w:rFonts w:hint="eastAsia" w:cs="Times New Roman"/>
                <w:color w:val="auto"/>
                <w:kern w:val="2"/>
                <w:sz w:val="24"/>
                <w:szCs w:val="24"/>
                <w:vertAlign w:val="baseline"/>
                <w:lang w:val="en-US" w:eastAsia="zh-CN" w:bidi="ar"/>
              </w:rPr>
              <w:t>范围内仅设办公区域，工作人员均为本地居民，不在厂内食宿</w:t>
            </w:r>
            <w:r>
              <w:rPr>
                <w:rFonts w:hint="default" w:ascii="Times New Roman" w:hAnsi="Times New Roman" w:eastAsia="宋体" w:cs="Times New Roman"/>
                <w:color w:val="auto"/>
                <w:kern w:val="2"/>
                <w:sz w:val="24"/>
                <w:szCs w:val="24"/>
                <w:vertAlign w:val="baseline"/>
                <w:lang w:val="en-US" w:eastAsia="zh-CN" w:bidi="ar"/>
              </w:rPr>
              <w:t>。</w:t>
            </w:r>
          </w:p>
          <w:p>
            <w:pPr>
              <w:pStyle w:val="67"/>
              <w:bidi w:val="0"/>
              <w:rPr>
                <w:rFonts w:hint="default"/>
                <w:lang w:val="en-US" w:eastAsia="zh-CN"/>
              </w:rPr>
            </w:pPr>
            <w:r>
              <w:rPr>
                <w:rFonts w:hint="eastAsia"/>
                <w:lang w:val="en-US" w:eastAsia="zh-CN"/>
              </w:rPr>
              <w:t>9.</w:t>
            </w:r>
            <w:r>
              <w:rPr>
                <w:rFonts w:hint="default"/>
                <w:lang w:val="en-US" w:eastAsia="zh-CN"/>
              </w:rPr>
              <w:t>厂区平面布置</w:t>
            </w:r>
          </w:p>
          <w:p>
            <w:pPr>
              <w:pStyle w:val="72"/>
              <w:bidi w:val="0"/>
              <w:rPr>
                <w:rStyle w:val="71"/>
                <w:rFonts w:hint="default"/>
                <w:lang w:val="en-US" w:eastAsia="zh-CN"/>
              </w:rPr>
            </w:pPr>
            <w:r>
              <w:rPr>
                <w:rFonts w:hint="eastAsia"/>
                <w:lang w:val="en-US" w:eastAsia="zh-CN"/>
              </w:rPr>
              <w:t>本项目租赁一栋标准厂房及其附属办公楼，占地面积共为3922m</w:t>
            </w:r>
            <w:r>
              <w:rPr>
                <w:rFonts w:hint="eastAsia"/>
                <w:vertAlign w:val="superscript"/>
                <w:lang w:val="en-US" w:eastAsia="zh-CN"/>
              </w:rPr>
              <w:t>2</w:t>
            </w:r>
            <w:r>
              <w:rPr>
                <w:rFonts w:hint="eastAsia"/>
                <w:lang w:val="en-US" w:eastAsia="zh-CN"/>
              </w:rPr>
              <w:t>，本项目厂区出入口位于厂区西北侧，办公楼位于生产厂房东侧；</w:t>
            </w:r>
            <w:r>
              <w:rPr>
                <w:rFonts w:hint="default"/>
                <w:lang w:val="en-US" w:eastAsia="zh-CN"/>
              </w:rPr>
              <w:t>整个项目区分区明确，生产区与办公生活区互不影响，保证生产和办公生活的有序进行，从工艺、环保、安全角度考虑基本合理。厂区平面布置图</w:t>
            </w:r>
            <w:r>
              <w:rPr>
                <w:rFonts w:hint="eastAsia"/>
                <w:lang w:val="en-US" w:eastAsia="zh-CN"/>
              </w:rPr>
              <w:t>详见</w:t>
            </w:r>
            <w:r>
              <w:rPr>
                <w:rFonts w:hint="default"/>
                <w:lang w:val="en-US" w:eastAsia="zh-CN"/>
              </w:rPr>
              <w:t>附图3。</w:t>
            </w:r>
          </w:p>
          <w:p>
            <w:pPr>
              <w:pStyle w:val="67"/>
              <w:bidi w:val="0"/>
              <w:rPr>
                <w:rFonts w:hint="default"/>
                <w:color w:val="auto"/>
                <w:lang w:val="en-US" w:eastAsia="zh-CN"/>
              </w:rPr>
            </w:pPr>
            <w:r>
              <w:rPr>
                <w:rFonts w:hint="eastAsia"/>
                <w:color w:val="auto"/>
                <w:lang w:val="en-US" w:eastAsia="zh-CN"/>
              </w:rPr>
              <w:t>10.本</w:t>
            </w:r>
            <w:r>
              <w:rPr>
                <w:rFonts w:hint="default"/>
                <w:color w:val="auto"/>
                <w:lang w:val="en-US" w:eastAsia="zh-CN"/>
              </w:rPr>
              <w:t>项目给排水情况</w:t>
            </w:r>
          </w:p>
          <w:p>
            <w:pPr>
              <w:pStyle w:val="12"/>
              <w:keepNext w:val="0"/>
              <w:keepLines w:val="0"/>
              <w:pageBreakBefore w:val="0"/>
              <w:widowControl/>
              <w:kinsoku/>
              <w:wordWrap w:val="0"/>
              <w:overflowPunct/>
              <w:topLinePunct w:val="0"/>
              <w:autoSpaceDE/>
              <w:autoSpaceDN/>
              <w:bidi w:val="0"/>
              <w:adjustRightInd w:val="0"/>
              <w:snapToGrid w:val="0"/>
              <w:spacing w:before="0" w:after="0" w:line="520" w:lineRule="exact"/>
              <w:ind w:righ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给水</w:t>
            </w:r>
          </w:p>
          <w:p>
            <w:pPr>
              <w:pStyle w:val="12"/>
              <w:keepNext w:val="0"/>
              <w:keepLines w:val="0"/>
              <w:pageBreakBefore w:val="0"/>
              <w:widowControl/>
              <w:kinsoku/>
              <w:wordWrap w:val="0"/>
              <w:overflowPunct/>
              <w:topLinePunct w:val="0"/>
              <w:autoSpaceDE/>
              <w:autoSpaceDN/>
              <w:bidi w:val="0"/>
              <w:adjustRightInd w:val="0"/>
              <w:snapToGrid w:val="0"/>
              <w:spacing w:before="0" w:after="0" w:line="520" w:lineRule="exact"/>
              <w:ind w:right="0" w:firstLine="480" w:firstLineChars="200"/>
              <w:textAlignment w:val="auto"/>
              <w:rPr>
                <w:rFonts w:hint="eastAsia" w:cs="Times New Roman"/>
                <w:color w:val="000000"/>
                <w:sz w:val="24"/>
                <w:szCs w:val="24"/>
                <w:lang w:eastAsia="zh-CN"/>
              </w:rPr>
            </w:pPr>
            <w:r>
              <w:rPr>
                <w:rFonts w:hint="eastAsia" w:cs="Times New Roman"/>
                <w:color w:val="000000"/>
                <w:sz w:val="24"/>
                <w:szCs w:val="24"/>
                <w:lang w:val="en-US" w:eastAsia="zh-CN"/>
              </w:rPr>
              <w:t>本项目员工均不在厂区内食宿，但办公楼存在洗手、冲厕、清洁卫生用水，用水量不多，本项目用水量按50</w:t>
            </w:r>
            <w:r>
              <w:rPr>
                <w:rFonts w:hint="eastAsia" w:cs="Times New Roman"/>
                <w:color w:val="000000"/>
                <w:sz w:val="24"/>
                <w:szCs w:val="24"/>
                <w:lang w:eastAsia="zh-CN"/>
              </w:rPr>
              <w:t>L/人·日计，</w:t>
            </w:r>
            <w:r>
              <w:rPr>
                <w:rFonts w:hint="eastAsia" w:cs="Times New Roman"/>
                <w:color w:val="000000"/>
                <w:sz w:val="24"/>
                <w:szCs w:val="24"/>
                <w:lang w:val="en-US" w:eastAsia="zh-CN"/>
              </w:rPr>
              <w:t>则生活用水量为1.5</w:t>
            </w:r>
            <w:r>
              <w:rPr>
                <w:rFonts w:hint="eastAsia" w:cs="Times New Roman"/>
                <w:color w:val="000000"/>
                <w:sz w:val="24"/>
                <w:szCs w:val="24"/>
                <w:lang w:eastAsia="zh-CN"/>
              </w:rPr>
              <w:t>m</w:t>
            </w:r>
            <w:r>
              <w:rPr>
                <w:rFonts w:hint="eastAsia" w:cs="Times New Roman"/>
                <w:color w:val="000000"/>
                <w:sz w:val="24"/>
                <w:szCs w:val="24"/>
                <w:vertAlign w:val="superscript"/>
                <w:lang w:eastAsia="zh-CN"/>
              </w:rPr>
              <w:t>3</w:t>
            </w:r>
            <w:r>
              <w:rPr>
                <w:rFonts w:hint="eastAsia" w:cs="Times New Roman"/>
                <w:color w:val="000000"/>
                <w:sz w:val="24"/>
                <w:szCs w:val="24"/>
                <w:lang w:eastAsia="zh-CN"/>
              </w:rPr>
              <w:t>/d（</w:t>
            </w:r>
            <w:r>
              <w:rPr>
                <w:rFonts w:hint="eastAsia" w:cs="Times New Roman"/>
                <w:color w:val="000000"/>
                <w:sz w:val="24"/>
                <w:szCs w:val="24"/>
                <w:lang w:val="en-US" w:eastAsia="zh-CN"/>
              </w:rPr>
              <w:t>450</w:t>
            </w:r>
            <w:r>
              <w:rPr>
                <w:rFonts w:hint="eastAsia" w:cs="Times New Roman"/>
                <w:color w:val="000000"/>
                <w:sz w:val="24"/>
                <w:szCs w:val="24"/>
                <w:lang w:eastAsia="zh-CN"/>
              </w:rPr>
              <w:t>m</w:t>
            </w:r>
            <w:r>
              <w:rPr>
                <w:rFonts w:hint="eastAsia" w:cs="Times New Roman"/>
                <w:color w:val="000000"/>
                <w:sz w:val="24"/>
                <w:szCs w:val="24"/>
                <w:vertAlign w:val="superscript"/>
                <w:lang w:eastAsia="zh-CN"/>
              </w:rPr>
              <w:t>3</w:t>
            </w:r>
            <w:r>
              <w:rPr>
                <w:rFonts w:hint="eastAsia" w:cs="Times New Roman"/>
                <w:color w:val="000000"/>
                <w:sz w:val="24"/>
                <w:szCs w:val="24"/>
                <w:lang w:eastAsia="zh-CN"/>
              </w:rPr>
              <w:t>/a）。</w:t>
            </w:r>
          </w:p>
          <w:p>
            <w:pPr>
              <w:pStyle w:val="12"/>
              <w:keepNext w:val="0"/>
              <w:keepLines w:val="0"/>
              <w:pageBreakBefore w:val="0"/>
              <w:widowControl/>
              <w:kinsoku/>
              <w:wordWrap w:val="0"/>
              <w:overflowPunct/>
              <w:topLinePunct w:val="0"/>
              <w:autoSpaceDE/>
              <w:autoSpaceDN/>
              <w:bidi w:val="0"/>
              <w:adjustRightInd w:val="0"/>
              <w:snapToGrid w:val="0"/>
              <w:spacing w:before="0" w:after="0" w:line="520" w:lineRule="exact"/>
              <w:ind w:right="0" w:firstLine="480" w:firstLineChars="200"/>
              <w:textAlignment w:val="auto"/>
              <w:rPr>
                <w:rFonts w:hint="default" w:ascii="Times New Roman" w:hAnsi="Times New Roman" w:eastAsia="宋体" w:cs="Times New Roman"/>
                <w:b w:val="0"/>
                <w:bCs w:val="0"/>
                <w:sz w:val="24"/>
                <w:szCs w:val="24"/>
                <w:lang w:val="en-US" w:eastAsia="zh-CN"/>
              </w:rPr>
            </w:pPr>
            <w:r>
              <w:rPr>
                <w:rFonts w:hint="eastAsia" w:cs="Times New Roman"/>
                <w:color w:val="000000"/>
                <w:sz w:val="24"/>
                <w:szCs w:val="24"/>
                <w:lang w:val="en-US" w:eastAsia="zh-CN"/>
              </w:rPr>
              <w:t>本项目生产过程中产生少量颗粒物，为控制厂内无组织颗粒物排放，采取洒水降尘措施。根据运营计划，每日洒水用水量约0.015m</w:t>
            </w:r>
            <w:r>
              <w:rPr>
                <w:rFonts w:hint="eastAsia" w:cs="Times New Roman"/>
                <w:color w:val="000000"/>
                <w:sz w:val="24"/>
                <w:szCs w:val="24"/>
                <w:vertAlign w:val="superscript"/>
                <w:lang w:val="en-US" w:eastAsia="zh-CN"/>
              </w:rPr>
              <w:t>3</w:t>
            </w:r>
            <w:r>
              <w:rPr>
                <w:rFonts w:hint="eastAsia" w:cs="Times New Roman"/>
                <w:color w:val="000000"/>
                <w:sz w:val="24"/>
                <w:szCs w:val="24"/>
                <w:lang w:val="en-US" w:eastAsia="zh-CN"/>
              </w:rPr>
              <w:t>，结合项目全年300天的生产天数，核算得出本项目洒水抑尘年用水量为4.5m</w:t>
            </w:r>
            <w:r>
              <w:rPr>
                <w:rFonts w:hint="eastAsia" w:cs="Times New Roman"/>
                <w:color w:val="000000"/>
                <w:sz w:val="24"/>
                <w:szCs w:val="24"/>
                <w:vertAlign w:val="superscript"/>
                <w:lang w:val="en-US" w:eastAsia="zh-CN"/>
              </w:rPr>
              <w:t>3</w:t>
            </w:r>
            <w:r>
              <w:rPr>
                <w:rFonts w:hint="eastAsia" w:cs="Times New Roman"/>
                <w:color w:val="000000"/>
                <w:sz w:val="24"/>
                <w:szCs w:val="24"/>
                <w:lang w:val="en-US" w:eastAsia="zh-CN"/>
              </w:rPr>
              <w:t>/a。</w:t>
            </w:r>
          </w:p>
          <w:p>
            <w:pPr>
              <w:pStyle w:val="19"/>
              <w:keepNext w:val="0"/>
              <w:keepLines w:val="0"/>
              <w:pageBreakBefore w:val="0"/>
              <w:widowControl w:val="0"/>
              <w:kinsoku/>
              <w:wordWrap w:val="0"/>
              <w:overflowPunct/>
              <w:topLinePunct w:val="0"/>
              <w:autoSpaceDE/>
              <w:autoSpaceDN/>
              <w:bidi w:val="0"/>
              <w:adjustRightInd/>
              <w:snapToGrid/>
              <w:spacing w:line="520" w:lineRule="exact"/>
              <w:ind w:lef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排水</w:t>
            </w:r>
          </w:p>
          <w:p>
            <w:pPr>
              <w:pStyle w:val="12"/>
              <w:keepNext w:val="0"/>
              <w:keepLines w:val="0"/>
              <w:pageBreakBefore w:val="0"/>
              <w:widowControl/>
              <w:shd w:val="clear"/>
              <w:kinsoku/>
              <w:wordWrap w:val="0"/>
              <w:overflowPunct/>
              <w:topLinePunct w:val="0"/>
              <w:autoSpaceDE/>
              <w:autoSpaceDN/>
              <w:bidi w:val="0"/>
              <w:adjustRightInd w:val="0"/>
              <w:snapToGrid w:val="0"/>
              <w:spacing w:before="0" w:after="0" w:line="520" w:lineRule="exact"/>
              <w:ind w:right="0"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本项目生活污水产污系数按0.8计，则废水排放量为</w:t>
            </w:r>
            <w:r>
              <w:rPr>
                <w:rFonts w:hint="eastAsia" w:cs="Times New Roman"/>
                <w:color w:val="000000"/>
                <w:sz w:val="24"/>
                <w:szCs w:val="24"/>
                <w:lang w:val="en-US" w:eastAsia="zh-CN"/>
              </w:rPr>
              <w:t>360</w:t>
            </w:r>
            <w:r>
              <w:rPr>
                <w:rFonts w:hint="default" w:ascii="Times New Roman" w:hAnsi="Times New Roman" w:eastAsia="宋体" w:cs="Times New Roman"/>
                <w:color w:val="000000"/>
                <w:sz w:val="24"/>
                <w:szCs w:val="24"/>
                <w:lang w:val="en-US" w:eastAsia="zh-CN"/>
              </w:rPr>
              <w:t>m</w:t>
            </w:r>
            <w:r>
              <w:rPr>
                <w:rFonts w:hint="default" w:ascii="Times New Roman" w:hAnsi="Times New Roman" w:eastAsia="宋体" w:cs="Times New Roman"/>
                <w:color w:val="000000"/>
                <w:sz w:val="24"/>
                <w:szCs w:val="24"/>
                <w:vertAlign w:val="superscript"/>
              </w:rPr>
              <w:t>3</w:t>
            </w:r>
            <w:r>
              <w:rPr>
                <w:rFonts w:hint="default" w:ascii="Times New Roman" w:hAnsi="Times New Roman" w:eastAsia="宋体" w:cs="Times New Roman"/>
                <w:color w:val="000000"/>
                <w:sz w:val="24"/>
                <w:szCs w:val="24"/>
              </w:rPr>
              <w:t>/a</w:t>
            </w:r>
            <w:r>
              <w:rPr>
                <w:rFonts w:hint="eastAsia" w:cs="Times New Roman"/>
                <w:color w:val="000000"/>
                <w:sz w:val="24"/>
                <w:szCs w:val="24"/>
                <w:lang w:eastAsia="zh-CN"/>
              </w:rPr>
              <w:t>，生活污水先经化粪池预处理，再通过园区排水管网排入若羌县城乡污水处理厂进行集中处理</w:t>
            </w:r>
            <w:r>
              <w:rPr>
                <w:rFonts w:hint="eastAsia" w:cs="Times New Roman"/>
                <w:color w:val="000000"/>
                <w:sz w:val="24"/>
                <w:szCs w:val="24"/>
                <w:lang w:val="en-US" w:eastAsia="zh-CN"/>
              </w:rPr>
              <w:t>。</w:t>
            </w:r>
          </w:p>
          <w:p>
            <w:pPr>
              <w:pStyle w:val="12"/>
              <w:keepNext w:val="0"/>
              <w:keepLines w:val="0"/>
              <w:pageBreakBefore w:val="0"/>
              <w:widowControl/>
              <w:kinsoku/>
              <w:wordWrap w:val="0"/>
              <w:overflowPunct/>
              <w:topLinePunct w:val="0"/>
              <w:autoSpaceDE/>
              <w:autoSpaceDN/>
              <w:bidi w:val="0"/>
              <w:adjustRightInd w:val="0"/>
              <w:snapToGrid w:val="0"/>
              <w:spacing w:before="0" w:after="0" w:line="520" w:lineRule="exact"/>
              <w:ind w:right="0" w:firstLine="452" w:firstLineChars="200"/>
              <w:textAlignment w:val="auto"/>
              <w:rPr>
                <w:rFonts w:hint="default" w:ascii="Times New Roman" w:hAnsi="Times New Roman" w:eastAsia="宋体" w:cs="Times New Roman"/>
                <w:spacing w:val="-7"/>
                <w:sz w:val="24"/>
                <w:szCs w:val="24"/>
                <w:lang w:val="en-US" w:eastAsia="zh-CN"/>
              </w:rPr>
            </w:pPr>
            <w:r>
              <w:rPr>
                <w:rFonts w:hint="eastAsia" w:cs="Times New Roman"/>
                <w:spacing w:val="-7"/>
                <w:sz w:val="24"/>
                <w:szCs w:val="24"/>
                <w:lang w:val="en-US" w:eastAsia="zh-CN"/>
              </w:rPr>
              <w:t>项目区洒水抑尘用水全部蒸发逸散，不外排。</w:t>
            </w:r>
          </w:p>
          <w:p>
            <w:pPr>
              <w:pStyle w:val="68"/>
              <w:shd w:val="clear"/>
              <w:rPr>
                <w:rFonts w:hint="default"/>
                <w:lang w:val="en-US" w:eastAsia="zh-CN"/>
              </w:rPr>
            </w:pPr>
            <w:r>
              <w:rPr>
                <w:rFonts w:hint="eastAsia"/>
                <w:lang w:val="en-US" w:eastAsia="zh-CN"/>
              </w:rPr>
              <w:t>本项目水平衡图详见下图。</w:t>
            </w:r>
          </w:p>
          <w:p>
            <w:pPr>
              <w:jc w:val="center"/>
              <w:rPr>
                <w:rFonts w:hint="default"/>
                <w:lang w:val="en-US" w:eastAsia="zh-CN"/>
                <w:rPrChange w:id="0" w:author="宝" w:date="2024-10-15T17:14:26Z">
                  <w:rPr>
                    <w:rFonts w:hint="eastAsia"/>
                    <w:lang w:val="en-US" w:eastAsia="zh-CN"/>
                  </w:rPr>
                </w:rPrChange>
              </w:rPr>
            </w:pPr>
            <w:r>
              <w:rPr>
                <w:rFonts w:hint="default"/>
                <w:b/>
                <w:bCs/>
                <w:lang w:val="en-US" w:eastAsia="zh-CN"/>
              </w:rPr>
              <w:drawing>
                <wp:inline distT="0" distB="0" distL="114300" distR="114300">
                  <wp:extent cx="4545965" cy="1604010"/>
                  <wp:effectExtent l="0" t="0" r="6985" b="15240"/>
                  <wp:docPr id="3" name="F360BE8B-6686-4F3D-AEAF-501FE73E4058-1" descr="C:/Users/Administrator/AppData/Local/Temp/绘图1(38).png绘图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360BE8B-6686-4F3D-AEAF-501FE73E4058-1" descr="C:/Users/Administrator/AppData/Local/Temp/绘图1(38).png绘图1(38)"/>
                          <pic:cNvPicPr>
                            <a:picLocks noChangeAspect="1"/>
                          </pic:cNvPicPr>
                        </pic:nvPicPr>
                        <pic:blipFill>
                          <a:blip r:embed="rId10"/>
                          <a:stretch>
                            <a:fillRect/>
                          </a:stretch>
                        </pic:blipFill>
                        <pic:spPr>
                          <a:xfrm>
                            <a:off x="0" y="0"/>
                            <a:ext cx="4545965" cy="1604010"/>
                          </a:xfrm>
                          <a:prstGeom prst="rect">
                            <a:avLst/>
                          </a:prstGeom>
                        </pic:spPr>
                      </pic:pic>
                    </a:graphicData>
                  </a:graphic>
                </wp:inline>
              </w:drawing>
            </w:r>
          </w:p>
          <w:p>
            <w:pPr>
              <w:pStyle w:val="69"/>
              <w:rPr>
                <w:rFonts w:hint="default"/>
                <w:lang w:val="en-US" w:eastAsia="zh-CN"/>
              </w:rPr>
            </w:pPr>
            <w:r>
              <w:rPr>
                <w:rFonts w:hint="eastAsia"/>
                <w:lang w:val="en-US" w:eastAsia="zh-CN"/>
              </w:rPr>
              <w:t>图2-1    本项目水平衡图</w:t>
            </w:r>
          </w:p>
          <w:p>
            <w:pPr>
              <w:pStyle w:val="67"/>
              <w:bidi w:val="0"/>
              <w:rPr>
                <w:rFonts w:hint="default"/>
                <w:lang w:val="en-US" w:eastAsia="zh-CN"/>
              </w:rPr>
            </w:pPr>
            <w:r>
              <w:rPr>
                <w:rFonts w:hint="eastAsia"/>
                <w:lang w:val="en-US" w:eastAsia="zh-CN"/>
              </w:rPr>
              <w:t>11</w:t>
            </w:r>
            <w:r>
              <w:rPr>
                <w:rFonts w:hint="default"/>
                <w:lang w:val="en-US" w:eastAsia="zh-CN"/>
              </w:rPr>
              <w:t>项目环保投资估算</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left="0" w:leftChars="0"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本项目总投资</w:t>
            </w:r>
            <w:r>
              <w:rPr>
                <w:rFonts w:hint="eastAsia" w:cs="Times New Roman"/>
                <w:bCs/>
                <w:color w:val="auto"/>
                <w:sz w:val="24"/>
                <w:szCs w:val="24"/>
                <w:lang w:val="en-US" w:eastAsia="zh-CN"/>
              </w:rPr>
              <w:t>4000</w:t>
            </w:r>
            <w:r>
              <w:rPr>
                <w:rFonts w:hint="default" w:ascii="Times New Roman" w:hAnsi="Times New Roman" w:eastAsia="宋体" w:cs="Times New Roman"/>
                <w:bCs/>
                <w:color w:val="auto"/>
                <w:sz w:val="24"/>
                <w:szCs w:val="24"/>
                <w:lang w:val="en-US" w:eastAsia="zh-CN"/>
              </w:rPr>
              <w:t>万元，其中环保投资</w:t>
            </w:r>
            <w:r>
              <w:rPr>
                <w:rFonts w:hint="eastAsia" w:cs="Times New Roman"/>
                <w:bCs/>
                <w:color w:val="auto"/>
                <w:sz w:val="24"/>
                <w:szCs w:val="24"/>
                <w:lang w:val="en-US" w:eastAsia="zh-CN"/>
              </w:rPr>
              <w:t>50</w:t>
            </w:r>
            <w:r>
              <w:rPr>
                <w:rFonts w:hint="default" w:ascii="Times New Roman" w:hAnsi="Times New Roman" w:eastAsia="宋体" w:cs="Times New Roman"/>
                <w:bCs/>
                <w:color w:val="auto"/>
                <w:sz w:val="24"/>
                <w:szCs w:val="24"/>
                <w:lang w:val="en-US" w:eastAsia="zh-CN"/>
              </w:rPr>
              <w:t>万元，占投资的</w:t>
            </w:r>
            <w:r>
              <w:rPr>
                <w:rFonts w:hint="eastAsia" w:cs="Times New Roman"/>
                <w:bCs/>
                <w:color w:val="auto"/>
                <w:sz w:val="24"/>
                <w:szCs w:val="24"/>
                <w:lang w:val="en-US" w:eastAsia="zh-CN"/>
              </w:rPr>
              <w:t>1.25</w:t>
            </w:r>
            <w:r>
              <w:rPr>
                <w:rFonts w:hint="default" w:ascii="Times New Roman" w:hAnsi="Times New Roman" w:eastAsia="宋体" w:cs="Times New Roman"/>
                <w:bCs/>
                <w:color w:val="auto"/>
                <w:sz w:val="24"/>
                <w:szCs w:val="24"/>
                <w:lang w:val="en-US" w:eastAsia="zh-CN"/>
              </w:rPr>
              <w:t>%。详见表2-7。</w:t>
            </w:r>
          </w:p>
          <w:p>
            <w:pPr>
              <w:pStyle w:val="65"/>
              <w:bidi w:val="0"/>
              <w:rPr>
                <w:rFonts w:hint="default" w:ascii="Times New Roman" w:hAnsi="Times New Roman" w:eastAsia="宋体" w:cs="Times New Roman"/>
                <w:b/>
                <w:bCs/>
                <w:color w:val="auto"/>
                <w:szCs w:val="21"/>
                <w:lang w:val="en-US" w:eastAsia="zh-CN"/>
              </w:rPr>
            </w:pPr>
            <w:r>
              <w:rPr>
                <w:rFonts w:hint="default"/>
                <w:lang w:val="en-US" w:eastAsia="zh-CN"/>
              </w:rPr>
              <w:t xml:space="preserve">表2-7  </w:t>
            </w:r>
            <w:r>
              <w:rPr>
                <w:rFonts w:hint="eastAsia"/>
                <w:lang w:val="en-US" w:eastAsia="zh-CN"/>
              </w:rPr>
              <w:t xml:space="preserve">  </w:t>
            </w:r>
            <w:r>
              <w:rPr>
                <w:rFonts w:hint="default"/>
                <w:lang w:val="en-US" w:eastAsia="zh-CN"/>
              </w:rPr>
              <w:t>环保设施（措施）及投资估算一览表</w:t>
            </w:r>
          </w:p>
          <w:tbl>
            <w:tblPr>
              <w:tblStyle w:val="23"/>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78"/>
              <w:gridCol w:w="843"/>
              <w:gridCol w:w="2721"/>
              <w:gridCol w:w="3277"/>
              <w:gridCol w:w="7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297" w:type="pct"/>
                  <w:noWrap w:val="0"/>
                  <w:vAlign w:val="center"/>
                </w:tcPr>
                <w:p>
                  <w:pPr>
                    <w:pStyle w:val="66"/>
                    <w:bidi w:val="0"/>
                    <w:rPr>
                      <w:rFonts w:hint="default"/>
                    </w:rPr>
                  </w:pPr>
                  <w:r>
                    <w:rPr>
                      <w:rFonts w:hint="default"/>
                    </w:rPr>
                    <w:t>时段</w:t>
                  </w:r>
                </w:p>
              </w:tc>
              <w:tc>
                <w:tcPr>
                  <w:tcW w:w="2215" w:type="pct"/>
                  <w:gridSpan w:val="2"/>
                  <w:noWrap w:val="0"/>
                  <w:vAlign w:val="center"/>
                </w:tcPr>
                <w:p>
                  <w:pPr>
                    <w:pStyle w:val="66"/>
                    <w:bidi w:val="0"/>
                    <w:rPr>
                      <w:rFonts w:hint="default"/>
                    </w:rPr>
                  </w:pPr>
                  <w:r>
                    <w:rPr>
                      <w:rFonts w:hint="default"/>
                    </w:rPr>
                    <w:t>项目</w:t>
                  </w:r>
                </w:p>
              </w:tc>
              <w:tc>
                <w:tcPr>
                  <w:tcW w:w="2034" w:type="pct"/>
                  <w:noWrap w:val="0"/>
                  <w:vAlign w:val="center"/>
                </w:tcPr>
                <w:p>
                  <w:pPr>
                    <w:pStyle w:val="66"/>
                    <w:bidi w:val="0"/>
                    <w:rPr>
                      <w:rFonts w:hint="default"/>
                    </w:rPr>
                  </w:pPr>
                  <w:r>
                    <w:rPr>
                      <w:rFonts w:hint="default"/>
                    </w:rPr>
                    <w:t>环保措施</w:t>
                  </w:r>
                </w:p>
              </w:tc>
              <w:tc>
                <w:tcPr>
                  <w:tcW w:w="452" w:type="pct"/>
                  <w:noWrap w:val="0"/>
                  <w:vAlign w:val="center"/>
                </w:tcPr>
                <w:p>
                  <w:pPr>
                    <w:pStyle w:val="66"/>
                    <w:bidi w:val="0"/>
                    <w:rPr>
                      <w:rFonts w:hint="default"/>
                    </w:rPr>
                  </w:pPr>
                  <w:r>
                    <w:rPr>
                      <w:rFonts w:hint="default"/>
                    </w:rPr>
                    <w:t>投资（万元）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97" w:type="pct"/>
                  <w:vMerge w:val="restart"/>
                  <w:tcBorders>
                    <w:top w:val="single" w:color="auto" w:sz="4" w:space="0"/>
                  </w:tcBorders>
                  <w:noWrap w:val="0"/>
                  <w:vAlign w:val="center"/>
                </w:tcPr>
                <w:p>
                  <w:pPr>
                    <w:pStyle w:val="66"/>
                    <w:bidi w:val="0"/>
                    <w:rPr>
                      <w:rFonts w:hint="eastAsia" w:eastAsia="宋体"/>
                      <w:lang w:val="en-US" w:eastAsia="zh-CN"/>
                    </w:rPr>
                  </w:pPr>
                  <w:r>
                    <w:rPr>
                      <w:rFonts w:hint="eastAsia"/>
                      <w:lang w:val="en-US" w:eastAsia="zh-CN"/>
                    </w:rPr>
                    <w:t>施工期</w:t>
                  </w:r>
                </w:p>
              </w:tc>
              <w:tc>
                <w:tcPr>
                  <w:tcW w:w="2215" w:type="pct"/>
                  <w:gridSpan w:val="2"/>
                  <w:tcBorders>
                    <w:top w:val="single" w:color="auto" w:sz="4" w:space="0"/>
                    <w:right w:val="single" w:color="auto" w:sz="4" w:space="0"/>
                  </w:tcBorders>
                  <w:noWrap w:val="0"/>
                  <w:vAlign w:val="center"/>
                </w:tcPr>
                <w:p>
                  <w:pPr>
                    <w:pStyle w:val="66"/>
                    <w:bidi w:val="0"/>
                    <w:rPr>
                      <w:rFonts w:hint="eastAsia"/>
                      <w:lang w:val="en-US" w:eastAsia="zh-CN"/>
                    </w:rPr>
                  </w:pPr>
                  <w:r>
                    <w:rPr>
                      <w:rFonts w:hint="eastAsia"/>
                      <w:lang w:val="en-US" w:eastAsia="zh-CN"/>
                    </w:rPr>
                    <w:t>扬尘治理</w:t>
                  </w:r>
                </w:p>
              </w:tc>
              <w:tc>
                <w:tcPr>
                  <w:tcW w:w="2034" w:type="pct"/>
                  <w:tcBorders>
                    <w:left w:val="single" w:color="auto" w:sz="4" w:space="0"/>
                    <w:right w:val="single" w:color="auto" w:sz="4" w:space="0"/>
                  </w:tcBorders>
                  <w:shd w:val="clear" w:color="auto" w:fill="auto"/>
                  <w:noWrap w:val="0"/>
                  <w:vAlign w:val="center"/>
                </w:tcPr>
                <w:p>
                  <w:pPr>
                    <w:pStyle w:val="66"/>
                    <w:bidi w:val="0"/>
                    <w:rPr>
                      <w:rFonts w:hint="default"/>
                      <w:lang w:val="en-US" w:eastAsia="zh-CN"/>
                    </w:rPr>
                  </w:pPr>
                  <w:r>
                    <w:rPr>
                      <w:rFonts w:hint="eastAsia"/>
                      <w:lang w:val="en-US" w:eastAsia="zh-CN"/>
                    </w:rPr>
                    <w:t>洒水降尘</w:t>
                  </w:r>
                </w:p>
              </w:tc>
              <w:tc>
                <w:tcPr>
                  <w:tcW w:w="452" w:type="pct"/>
                  <w:shd w:val="clear" w:color="auto" w:fill="auto"/>
                  <w:noWrap w:val="0"/>
                  <w:vAlign w:val="center"/>
                </w:tcPr>
                <w:p>
                  <w:pPr>
                    <w:pStyle w:val="66"/>
                    <w:bidi w:val="0"/>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97" w:type="pct"/>
                  <w:vMerge w:val="continue"/>
                  <w:noWrap w:val="0"/>
                  <w:vAlign w:val="center"/>
                </w:tcPr>
                <w:p>
                  <w:pPr>
                    <w:pStyle w:val="66"/>
                    <w:bidi w:val="0"/>
                    <w:rPr>
                      <w:rFonts w:hint="default"/>
                    </w:rPr>
                  </w:pPr>
                </w:p>
              </w:tc>
              <w:tc>
                <w:tcPr>
                  <w:tcW w:w="2215" w:type="pct"/>
                  <w:gridSpan w:val="2"/>
                  <w:tcBorders>
                    <w:top w:val="single" w:color="auto" w:sz="4" w:space="0"/>
                    <w:right w:val="single" w:color="auto" w:sz="4" w:space="0"/>
                  </w:tcBorders>
                  <w:noWrap w:val="0"/>
                  <w:vAlign w:val="center"/>
                </w:tcPr>
                <w:p>
                  <w:pPr>
                    <w:pStyle w:val="66"/>
                    <w:bidi w:val="0"/>
                    <w:rPr>
                      <w:rFonts w:hint="eastAsia"/>
                      <w:lang w:val="en-US" w:eastAsia="zh-CN"/>
                    </w:rPr>
                  </w:pPr>
                  <w:r>
                    <w:rPr>
                      <w:rFonts w:hint="eastAsia"/>
                      <w:lang w:val="en-US" w:eastAsia="zh-CN"/>
                    </w:rPr>
                    <w:t>废水治理</w:t>
                  </w:r>
                </w:p>
              </w:tc>
              <w:tc>
                <w:tcPr>
                  <w:tcW w:w="2034" w:type="pct"/>
                  <w:tcBorders>
                    <w:left w:val="single" w:color="auto" w:sz="4" w:space="0"/>
                    <w:right w:val="single" w:color="auto" w:sz="4" w:space="0"/>
                  </w:tcBorders>
                  <w:shd w:val="clear" w:color="auto" w:fill="auto"/>
                  <w:noWrap w:val="0"/>
                  <w:vAlign w:val="center"/>
                </w:tcPr>
                <w:p>
                  <w:pPr>
                    <w:pStyle w:val="66"/>
                    <w:bidi w:val="0"/>
                    <w:rPr>
                      <w:rFonts w:hint="eastAsia"/>
                      <w:lang w:val="en-US" w:eastAsia="zh-CN"/>
                    </w:rPr>
                  </w:pPr>
                  <w:r>
                    <w:rPr>
                      <w:rFonts w:hint="eastAsia" w:cs="Times New Roman"/>
                    </w:rPr>
                    <w:t>化粪池</w:t>
                  </w:r>
                </w:p>
              </w:tc>
              <w:tc>
                <w:tcPr>
                  <w:tcW w:w="452" w:type="pct"/>
                  <w:shd w:val="clear" w:color="auto" w:fill="auto"/>
                  <w:noWrap w:val="0"/>
                  <w:vAlign w:val="center"/>
                </w:tcPr>
                <w:p>
                  <w:pPr>
                    <w:pStyle w:val="66"/>
                    <w:bidi w:val="0"/>
                    <w:rPr>
                      <w:rFonts w:hint="default"/>
                      <w:lang w:val="en-US" w:eastAsia="zh-CN"/>
                    </w:rPr>
                  </w:pPr>
                  <w:r>
                    <w:rPr>
                      <w:rFonts w:hint="eastAsia"/>
                      <w:lang w:val="en-US" w:eastAsia="zh-CN"/>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jc w:val="center"/>
              </w:trPr>
              <w:tc>
                <w:tcPr>
                  <w:tcW w:w="297" w:type="pct"/>
                  <w:vMerge w:val="continue"/>
                  <w:noWrap w:val="0"/>
                  <w:vAlign w:val="center"/>
                </w:tcPr>
                <w:p>
                  <w:pPr>
                    <w:pStyle w:val="66"/>
                    <w:bidi w:val="0"/>
                    <w:rPr>
                      <w:rFonts w:hint="default"/>
                    </w:rPr>
                  </w:pPr>
                </w:p>
              </w:tc>
              <w:tc>
                <w:tcPr>
                  <w:tcW w:w="2215" w:type="pct"/>
                  <w:gridSpan w:val="2"/>
                  <w:tcBorders>
                    <w:top w:val="single" w:color="auto" w:sz="4" w:space="0"/>
                    <w:right w:val="single" w:color="auto" w:sz="4" w:space="0"/>
                  </w:tcBorders>
                  <w:noWrap w:val="0"/>
                  <w:vAlign w:val="center"/>
                </w:tcPr>
                <w:p>
                  <w:pPr>
                    <w:pStyle w:val="66"/>
                    <w:bidi w:val="0"/>
                    <w:rPr>
                      <w:rFonts w:hint="eastAsia"/>
                      <w:lang w:val="en-US" w:eastAsia="zh-CN"/>
                    </w:rPr>
                  </w:pPr>
                  <w:r>
                    <w:rPr>
                      <w:rFonts w:hint="eastAsia"/>
                      <w:lang w:val="en-US" w:eastAsia="zh-CN"/>
                    </w:rPr>
                    <w:t>固废治理</w:t>
                  </w:r>
                </w:p>
              </w:tc>
              <w:tc>
                <w:tcPr>
                  <w:tcW w:w="2034" w:type="pct"/>
                  <w:tcBorders>
                    <w:left w:val="single" w:color="auto" w:sz="4" w:space="0"/>
                    <w:right w:val="single" w:color="auto" w:sz="4" w:space="0"/>
                  </w:tcBorders>
                  <w:shd w:val="clear" w:color="auto" w:fill="auto"/>
                  <w:noWrap w:val="0"/>
                  <w:vAlign w:val="center"/>
                </w:tcPr>
                <w:p>
                  <w:pPr>
                    <w:pStyle w:val="66"/>
                    <w:bidi w:val="0"/>
                    <w:rPr>
                      <w:rFonts w:hint="default"/>
                      <w:lang w:val="en-US" w:eastAsia="zh-CN"/>
                    </w:rPr>
                  </w:pPr>
                  <w:r>
                    <w:rPr>
                      <w:rFonts w:hint="default"/>
                      <w:lang w:val="en-US" w:eastAsia="zh-CN"/>
                    </w:rPr>
                    <w:t>垃圾填埋场填埋</w:t>
                  </w:r>
                </w:p>
              </w:tc>
              <w:tc>
                <w:tcPr>
                  <w:tcW w:w="452" w:type="pct"/>
                  <w:shd w:val="clear" w:color="auto" w:fill="auto"/>
                  <w:noWrap w:val="0"/>
                  <w:vAlign w:val="center"/>
                </w:tcPr>
                <w:p>
                  <w:pPr>
                    <w:pStyle w:val="66"/>
                    <w:bidi w:val="0"/>
                    <w:rPr>
                      <w:rFonts w:hint="default"/>
                      <w:lang w:val="en-US" w:eastAsia="zh-CN"/>
                    </w:rPr>
                  </w:pPr>
                  <w:r>
                    <w:rPr>
                      <w:rFonts w:hint="eastAsia"/>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jc w:val="center"/>
              </w:trPr>
              <w:tc>
                <w:tcPr>
                  <w:tcW w:w="297" w:type="pct"/>
                  <w:vMerge w:val="continue"/>
                  <w:noWrap w:val="0"/>
                  <w:vAlign w:val="center"/>
                </w:tcPr>
                <w:p>
                  <w:pPr>
                    <w:pStyle w:val="66"/>
                    <w:bidi w:val="0"/>
                    <w:rPr>
                      <w:rFonts w:hint="default"/>
                    </w:rPr>
                  </w:pPr>
                </w:p>
              </w:tc>
              <w:tc>
                <w:tcPr>
                  <w:tcW w:w="2215" w:type="pct"/>
                  <w:gridSpan w:val="2"/>
                  <w:tcBorders>
                    <w:top w:val="single" w:color="auto" w:sz="4" w:space="0"/>
                    <w:right w:val="single" w:color="auto" w:sz="4" w:space="0"/>
                  </w:tcBorders>
                  <w:noWrap w:val="0"/>
                  <w:vAlign w:val="center"/>
                </w:tcPr>
                <w:p>
                  <w:pPr>
                    <w:pStyle w:val="66"/>
                    <w:bidi w:val="0"/>
                    <w:rPr>
                      <w:rFonts w:hint="default"/>
                      <w:lang w:val="en-US" w:eastAsia="zh-CN"/>
                    </w:rPr>
                  </w:pPr>
                  <w:r>
                    <w:rPr>
                      <w:rFonts w:hint="eastAsia"/>
                      <w:lang w:val="en-US" w:eastAsia="zh-CN"/>
                    </w:rPr>
                    <w:t>噪声治理</w:t>
                  </w:r>
                </w:p>
              </w:tc>
              <w:tc>
                <w:tcPr>
                  <w:tcW w:w="2034" w:type="pct"/>
                  <w:tcBorders>
                    <w:left w:val="single" w:color="auto" w:sz="4" w:space="0"/>
                    <w:right w:val="single" w:color="auto" w:sz="4" w:space="0"/>
                  </w:tcBorders>
                  <w:shd w:val="clear" w:color="auto" w:fill="auto"/>
                  <w:noWrap w:val="0"/>
                  <w:vAlign w:val="center"/>
                </w:tcPr>
                <w:p>
                  <w:pPr>
                    <w:pStyle w:val="66"/>
                    <w:bidi w:val="0"/>
                    <w:rPr>
                      <w:rFonts w:hint="eastAsia"/>
                      <w:lang w:val="en-US" w:eastAsia="zh-CN"/>
                    </w:rPr>
                  </w:pPr>
                  <w:r>
                    <w:rPr>
                      <w:rFonts w:hint="default"/>
                    </w:rPr>
                    <w:t>围墙遮挡、施工设备降噪</w:t>
                  </w:r>
                </w:p>
              </w:tc>
              <w:tc>
                <w:tcPr>
                  <w:tcW w:w="452" w:type="pct"/>
                  <w:shd w:val="clear" w:color="auto" w:fill="auto"/>
                  <w:noWrap w:val="0"/>
                  <w:vAlign w:val="center"/>
                </w:tcPr>
                <w:p>
                  <w:pPr>
                    <w:pStyle w:val="66"/>
                    <w:bidi w:val="0"/>
                    <w:rPr>
                      <w:rFonts w:hint="eastAsia"/>
                      <w:lang w:val="en-US" w:eastAsia="zh-CN"/>
                    </w:rPr>
                  </w:pPr>
                  <w:r>
                    <w:rPr>
                      <w:rFonts w:hint="eastAsia"/>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97" w:type="pct"/>
                  <w:vMerge w:val="restart"/>
                  <w:tcBorders>
                    <w:top w:val="single" w:color="auto" w:sz="4" w:space="0"/>
                  </w:tcBorders>
                  <w:noWrap w:val="0"/>
                  <w:vAlign w:val="center"/>
                </w:tcPr>
                <w:p>
                  <w:pPr>
                    <w:pStyle w:val="66"/>
                    <w:bidi w:val="0"/>
                    <w:rPr>
                      <w:rFonts w:hint="default"/>
                    </w:rPr>
                  </w:pPr>
                  <w:r>
                    <w:rPr>
                      <w:rFonts w:hint="default"/>
                    </w:rPr>
                    <w:t>运</w:t>
                  </w:r>
                </w:p>
                <w:p>
                  <w:pPr>
                    <w:pStyle w:val="66"/>
                    <w:bidi w:val="0"/>
                    <w:rPr>
                      <w:rFonts w:hint="default"/>
                    </w:rPr>
                  </w:pPr>
                  <w:r>
                    <w:rPr>
                      <w:rFonts w:hint="default"/>
                    </w:rPr>
                    <w:t>营</w:t>
                  </w:r>
                </w:p>
                <w:p>
                  <w:pPr>
                    <w:pStyle w:val="66"/>
                    <w:bidi w:val="0"/>
                    <w:rPr>
                      <w:rFonts w:hint="default"/>
                    </w:rPr>
                  </w:pPr>
                  <w:r>
                    <w:rPr>
                      <w:rFonts w:hint="default"/>
                    </w:rPr>
                    <w:t>期</w:t>
                  </w:r>
                </w:p>
              </w:tc>
              <w:tc>
                <w:tcPr>
                  <w:tcW w:w="524" w:type="pct"/>
                  <w:vMerge w:val="restart"/>
                  <w:tcBorders>
                    <w:top w:val="single" w:color="auto" w:sz="4" w:space="0"/>
                  </w:tcBorders>
                  <w:noWrap w:val="0"/>
                  <w:vAlign w:val="center"/>
                </w:tcPr>
                <w:p>
                  <w:pPr>
                    <w:pStyle w:val="66"/>
                    <w:bidi w:val="0"/>
                    <w:rPr>
                      <w:rFonts w:hint="default"/>
                    </w:rPr>
                  </w:pPr>
                  <w:r>
                    <w:rPr>
                      <w:rFonts w:hint="default"/>
                    </w:rPr>
                    <w:t>废气治理</w:t>
                  </w:r>
                </w:p>
              </w:tc>
              <w:tc>
                <w:tcPr>
                  <w:tcW w:w="1690" w:type="pct"/>
                  <w:tcBorders>
                    <w:right w:val="single" w:color="auto" w:sz="4" w:space="0"/>
                  </w:tcBorders>
                  <w:shd w:val="clear" w:color="auto" w:fill="auto"/>
                  <w:noWrap w:val="0"/>
                  <w:vAlign w:val="center"/>
                </w:tcPr>
                <w:p>
                  <w:pPr>
                    <w:pStyle w:val="66"/>
                    <w:bidi w:val="0"/>
                    <w:rPr>
                      <w:rFonts w:hint="default"/>
                      <w:lang w:val="en-US" w:eastAsia="zh-CN"/>
                    </w:rPr>
                  </w:pPr>
                  <w:r>
                    <w:rPr>
                      <w:rFonts w:hint="eastAsia"/>
                      <w:lang w:val="en-US" w:eastAsia="zh-CN"/>
                    </w:rPr>
                    <w:t>1#生产线一级破碎、二级破碎、筛分、三级破碎工序产生的废气</w:t>
                  </w:r>
                </w:p>
              </w:tc>
              <w:tc>
                <w:tcPr>
                  <w:tcW w:w="2034" w:type="pct"/>
                  <w:tcBorders>
                    <w:left w:val="single" w:color="auto" w:sz="4" w:space="0"/>
                    <w:right w:val="single" w:color="auto" w:sz="4" w:space="0"/>
                  </w:tcBorders>
                  <w:shd w:val="clear" w:color="auto" w:fill="auto"/>
                  <w:noWrap w:val="0"/>
                  <w:vAlign w:val="center"/>
                </w:tcPr>
                <w:p>
                  <w:pPr>
                    <w:pStyle w:val="66"/>
                    <w:bidi w:val="0"/>
                    <w:rPr>
                      <w:rFonts w:hint="default"/>
                      <w:lang w:val="en-US" w:eastAsia="zh-CN"/>
                    </w:rPr>
                  </w:pPr>
                  <w:r>
                    <w:rPr>
                      <w:rFonts w:hint="eastAsia"/>
                      <w:lang w:val="en-US" w:eastAsia="zh-CN"/>
                    </w:rPr>
                    <w:t>布袋除尘器+15m排气筒</w:t>
                  </w:r>
                </w:p>
              </w:tc>
              <w:tc>
                <w:tcPr>
                  <w:tcW w:w="452" w:type="pct"/>
                  <w:shd w:val="clear" w:color="auto" w:fill="auto"/>
                  <w:noWrap w:val="0"/>
                  <w:vAlign w:val="center"/>
                </w:tcPr>
                <w:p>
                  <w:pPr>
                    <w:pStyle w:val="66"/>
                    <w:bidi w:val="0"/>
                    <w:rPr>
                      <w:rFonts w:hint="default"/>
                      <w:lang w:val="en-US" w:eastAsia="zh-CN"/>
                    </w:rPr>
                  </w:pPr>
                  <w:r>
                    <w:rPr>
                      <w:rFonts w:hint="eastAsia"/>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97" w:type="pct"/>
                  <w:vMerge w:val="continue"/>
                  <w:noWrap w:val="0"/>
                  <w:vAlign w:val="center"/>
                </w:tcPr>
                <w:p>
                  <w:pPr>
                    <w:pStyle w:val="66"/>
                    <w:bidi w:val="0"/>
                    <w:rPr>
                      <w:rFonts w:hint="default"/>
                    </w:rPr>
                  </w:pPr>
                </w:p>
              </w:tc>
              <w:tc>
                <w:tcPr>
                  <w:tcW w:w="524" w:type="pct"/>
                  <w:vMerge w:val="continue"/>
                  <w:noWrap w:val="0"/>
                  <w:vAlign w:val="center"/>
                </w:tcPr>
                <w:p>
                  <w:pPr>
                    <w:pStyle w:val="66"/>
                    <w:bidi w:val="0"/>
                    <w:rPr>
                      <w:rFonts w:hint="default"/>
                    </w:rPr>
                  </w:pPr>
                </w:p>
              </w:tc>
              <w:tc>
                <w:tcPr>
                  <w:tcW w:w="1690" w:type="pct"/>
                  <w:tcBorders>
                    <w:right w:val="single" w:color="auto" w:sz="4" w:space="0"/>
                  </w:tcBorders>
                  <w:shd w:val="clear" w:color="auto" w:fill="auto"/>
                  <w:noWrap w:val="0"/>
                  <w:vAlign w:val="center"/>
                </w:tcPr>
                <w:p>
                  <w:pPr>
                    <w:pStyle w:val="66"/>
                    <w:bidi w:val="0"/>
                    <w:rPr>
                      <w:rFonts w:hint="eastAsia"/>
                      <w:lang w:val="en-US" w:eastAsia="zh-CN"/>
                    </w:rPr>
                  </w:pPr>
                  <w:r>
                    <w:rPr>
                      <w:rFonts w:hint="eastAsia"/>
                      <w:lang w:val="en-US" w:eastAsia="zh-CN"/>
                    </w:rPr>
                    <w:t>2#生产线一级破碎、二级破碎、筛分、三级破碎工序产生的废气</w:t>
                  </w:r>
                </w:p>
              </w:tc>
              <w:tc>
                <w:tcPr>
                  <w:tcW w:w="2034" w:type="pct"/>
                  <w:tcBorders>
                    <w:left w:val="single" w:color="auto" w:sz="4" w:space="0"/>
                    <w:right w:val="single" w:color="auto" w:sz="4" w:space="0"/>
                  </w:tcBorders>
                  <w:shd w:val="clear" w:color="auto" w:fill="auto"/>
                  <w:noWrap w:val="0"/>
                  <w:vAlign w:val="center"/>
                </w:tcPr>
                <w:p>
                  <w:pPr>
                    <w:pStyle w:val="66"/>
                    <w:bidi w:val="0"/>
                    <w:rPr>
                      <w:rFonts w:hint="eastAsia"/>
                      <w:lang w:val="en-US" w:eastAsia="zh-CN"/>
                    </w:rPr>
                  </w:pPr>
                  <w:r>
                    <w:rPr>
                      <w:rFonts w:hint="eastAsia"/>
                      <w:lang w:val="en-US" w:eastAsia="zh-CN"/>
                    </w:rPr>
                    <w:t>布袋除尘器+15m排气筒</w:t>
                  </w:r>
                </w:p>
              </w:tc>
              <w:tc>
                <w:tcPr>
                  <w:tcW w:w="452" w:type="pct"/>
                  <w:shd w:val="clear" w:color="auto" w:fill="auto"/>
                  <w:noWrap w:val="0"/>
                  <w:vAlign w:val="center"/>
                </w:tcPr>
                <w:p>
                  <w:pPr>
                    <w:pStyle w:val="66"/>
                    <w:bidi w:val="0"/>
                    <w:rPr>
                      <w:rFonts w:hint="default"/>
                      <w:lang w:val="en-US" w:eastAsia="zh-CN"/>
                    </w:rPr>
                  </w:pPr>
                  <w:r>
                    <w:rPr>
                      <w:rFonts w:hint="eastAsia"/>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97" w:type="pct"/>
                  <w:vMerge w:val="continue"/>
                  <w:noWrap w:val="0"/>
                  <w:vAlign w:val="center"/>
                </w:tcPr>
                <w:p>
                  <w:pPr>
                    <w:pStyle w:val="66"/>
                    <w:bidi w:val="0"/>
                    <w:rPr>
                      <w:rFonts w:hint="default"/>
                    </w:rPr>
                  </w:pPr>
                </w:p>
              </w:tc>
              <w:tc>
                <w:tcPr>
                  <w:tcW w:w="524" w:type="pct"/>
                  <w:vMerge w:val="continue"/>
                  <w:noWrap w:val="0"/>
                  <w:vAlign w:val="center"/>
                </w:tcPr>
                <w:p>
                  <w:pPr>
                    <w:pStyle w:val="66"/>
                    <w:bidi w:val="0"/>
                    <w:rPr>
                      <w:rFonts w:hint="default"/>
                    </w:rPr>
                  </w:pPr>
                </w:p>
              </w:tc>
              <w:tc>
                <w:tcPr>
                  <w:tcW w:w="1690" w:type="pct"/>
                  <w:tcBorders>
                    <w:right w:val="single" w:color="auto" w:sz="4" w:space="0"/>
                  </w:tcBorders>
                  <w:shd w:val="clear" w:color="auto" w:fill="auto"/>
                  <w:noWrap w:val="0"/>
                  <w:vAlign w:val="center"/>
                </w:tcPr>
                <w:p>
                  <w:pPr>
                    <w:pStyle w:val="66"/>
                    <w:bidi w:val="0"/>
                    <w:rPr>
                      <w:rFonts w:hint="eastAsia"/>
                      <w:lang w:val="en-US" w:eastAsia="zh-CN"/>
                    </w:rPr>
                  </w:pPr>
                  <w:r>
                    <w:rPr>
                      <w:rFonts w:hint="eastAsia"/>
                      <w:lang w:val="en-US" w:eastAsia="zh-CN"/>
                    </w:rPr>
                    <w:t>3#生产线一级破碎、二级破碎、筛分、三级破碎工序产生的废气</w:t>
                  </w:r>
                </w:p>
              </w:tc>
              <w:tc>
                <w:tcPr>
                  <w:tcW w:w="2034" w:type="pct"/>
                  <w:tcBorders>
                    <w:left w:val="single" w:color="auto" w:sz="4" w:space="0"/>
                    <w:right w:val="single" w:color="auto" w:sz="4" w:space="0"/>
                  </w:tcBorders>
                  <w:shd w:val="clear" w:color="auto" w:fill="auto"/>
                  <w:noWrap w:val="0"/>
                  <w:vAlign w:val="center"/>
                </w:tcPr>
                <w:p>
                  <w:pPr>
                    <w:pStyle w:val="66"/>
                    <w:bidi w:val="0"/>
                    <w:rPr>
                      <w:rFonts w:hint="eastAsia"/>
                      <w:lang w:val="en-US" w:eastAsia="zh-CN"/>
                    </w:rPr>
                  </w:pPr>
                  <w:r>
                    <w:rPr>
                      <w:rFonts w:hint="eastAsia"/>
                      <w:lang w:val="en-US" w:eastAsia="zh-CN"/>
                    </w:rPr>
                    <w:t>布袋除尘器+15m排气筒</w:t>
                  </w:r>
                </w:p>
              </w:tc>
              <w:tc>
                <w:tcPr>
                  <w:tcW w:w="452" w:type="pct"/>
                  <w:shd w:val="clear" w:color="auto" w:fill="auto"/>
                  <w:noWrap w:val="0"/>
                  <w:vAlign w:val="center"/>
                </w:tcPr>
                <w:p>
                  <w:pPr>
                    <w:pStyle w:val="66"/>
                    <w:bidi w:val="0"/>
                    <w:rPr>
                      <w:rFonts w:hint="default"/>
                      <w:lang w:val="en-US" w:eastAsia="zh-CN"/>
                    </w:rPr>
                  </w:pPr>
                  <w:r>
                    <w:rPr>
                      <w:rFonts w:hint="eastAsia"/>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97" w:type="pct"/>
                  <w:vMerge w:val="continue"/>
                  <w:noWrap w:val="0"/>
                  <w:vAlign w:val="center"/>
                </w:tcPr>
                <w:p>
                  <w:pPr>
                    <w:pStyle w:val="66"/>
                    <w:bidi w:val="0"/>
                    <w:rPr>
                      <w:rFonts w:hint="default"/>
                    </w:rPr>
                  </w:pPr>
                </w:p>
              </w:tc>
              <w:tc>
                <w:tcPr>
                  <w:tcW w:w="524" w:type="pct"/>
                  <w:vMerge w:val="continue"/>
                  <w:noWrap w:val="0"/>
                  <w:vAlign w:val="center"/>
                </w:tcPr>
                <w:p>
                  <w:pPr>
                    <w:pStyle w:val="66"/>
                    <w:bidi w:val="0"/>
                    <w:rPr>
                      <w:rFonts w:hint="default"/>
                    </w:rPr>
                  </w:pPr>
                </w:p>
              </w:tc>
              <w:tc>
                <w:tcPr>
                  <w:tcW w:w="1690" w:type="pct"/>
                  <w:tcBorders>
                    <w:right w:val="single" w:color="auto" w:sz="4" w:space="0"/>
                  </w:tcBorders>
                  <w:shd w:val="clear" w:color="auto" w:fill="auto"/>
                  <w:noWrap w:val="0"/>
                  <w:vAlign w:val="center"/>
                </w:tcPr>
                <w:p>
                  <w:pPr>
                    <w:pStyle w:val="66"/>
                    <w:bidi w:val="0"/>
                    <w:rPr>
                      <w:rFonts w:hint="eastAsia"/>
                      <w:lang w:val="en-US" w:eastAsia="zh-CN"/>
                    </w:rPr>
                  </w:pPr>
                  <w:r>
                    <w:rPr>
                      <w:rFonts w:hint="eastAsia"/>
                      <w:lang w:val="en-US" w:eastAsia="zh-CN"/>
                    </w:rPr>
                    <w:t>4#生产线一级破碎、二级破碎、筛分、三级破碎工序产生的废气</w:t>
                  </w:r>
                </w:p>
              </w:tc>
              <w:tc>
                <w:tcPr>
                  <w:tcW w:w="2034" w:type="pct"/>
                  <w:tcBorders>
                    <w:left w:val="single" w:color="auto" w:sz="4" w:space="0"/>
                    <w:right w:val="single" w:color="auto" w:sz="4" w:space="0"/>
                  </w:tcBorders>
                  <w:shd w:val="clear" w:color="auto" w:fill="auto"/>
                  <w:noWrap w:val="0"/>
                  <w:vAlign w:val="center"/>
                </w:tcPr>
                <w:p>
                  <w:pPr>
                    <w:pStyle w:val="66"/>
                    <w:bidi w:val="0"/>
                    <w:rPr>
                      <w:rFonts w:hint="eastAsia"/>
                      <w:lang w:val="en-US" w:eastAsia="zh-CN"/>
                    </w:rPr>
                  </w:pPr>
                  <w:r>
                    <w:rPr>
                      <w:rFonts w:hint="eastAsia"/>
                      <w:lang w:val="en-US" w:eastAsia="zh-CN"/>
                    </w:rPr>
                    <w:t>布袋除尘器+15m排气筒</w:t>
                  </w:r>
                </w:p>
              </w:tc>
              <w:tc>
                <w:tcPr>
                  <w:tcW w:w="452" w:type="pct"/>
                  <w:shd w:val="clear" w:color="auto" w:fill="auto"/>
                  <w:noWrap w:val="0"/>
                  <w:vAlign w:val="center"/>
                </w:tcPr>
                <w:p>
                  <w:pPr>
                    <w:pStyle w:val="66"/>
                    <w:bidi w:val="0"/>
                    <w:rPr>
                      <w:rFonts w:hint="default"/>
                      <w:lang w:val="en-US" w:eastAsia="zh-CN"/>
                    </w:rPr>
                  </w:pPr>
                  <w:r>
                    <w:rPr>
                      <w:rFonts w:hint="eastAsia"/>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97" w:type="pct"/>
                  <w:vMerge w:val="continue"/>
                  <w:noWrap w:val="0"/>
                  <w:vAlign w:val="center"/>
                </w:tcPr>
                <w:p>
                  <w:pPr>
                    <w:pStyle w:val="66"/>
                    <w:bidi w:val="0"/>
                    <w:rPr>
                      <w:rFonts w:hint="default"/>
                    </w:rPr>
                  </w:pPr>
                </w:p>
              </w:tc>
              <w:tc>
                <w:tcPr>
                  <w:tcW w:w="524" w:type="pct"/>
                  <w:vMerge w:val="continue"/>
                  <w:noWrap w:val="0"/>
                  <w:vAlign w:val="center"/>
                </w:tcPr>
                <w:p>
                  <w:pPr>
                    <w:pStyle w:val="66"/>
                    <w:bidi w:val="0"/>
                    <w:rPr>
                      <w:rFonts w:hint="default"/>
                    </w:rPr>
                  </w:pPr>
                </w:p>
              </w:tc>
              <w:tc>
                <w:tcPr>
                  <w:tcW w:w="1690" w:type="pct"/>
                  <w:tcBorders>
                    <w:right w:val="single" w:color="auto" w:sz="4" w:space="0"/>
                  </w:tcBorders>
                  <w:shd w:val="clear" w:color="auto" w:fill="auto"/>
                  <w:noWrap w:val="0"/>
                  <w:vAlign w:val="center"/>
                </w:tcPr>
                <w:p>
                  <w:pPr>
                    <w:pStyle w:val="66"/>
                    <w:bidi w:val="0"/>
                    <w:rPr>
                      <w:rFonts w:hint="default"/>
                      <w:lang w:val="en-US" w:eastAsia="zh-CN"/>
                    </w:rPr>
                  </w:pPr>
                  <w:r>
                    <w:rPr>
                      <w:rFonts w:hint="eastAsia"/>
                      <w:lang w:val="en-US" w:eastAsia="zh-CN"/>
                    </w:rPr>
                    <w:t>输送粉尘</w:t>
                  </w:r>
                </w:p>
              </w:tc>
              <w:tc>
                <w:tcPr>
                  <w:tcW w:w="2034" w:type="pct"/>
                  <w:tcBorders>
                    <w:left w:val="single" w:color="auto" w:sz="4" w:space="0"/>
                    <w:right w:val="single" w:color="auto" w:sz="4" w:space="0"/>
                  </w:tcBorders>
                  <w:shd w:val="clear" w:color="auto" w:fill="auto"/>
                  <w:noWrap w:val="0"/>
                  <w:vAlign w:val="center"/>
                </w:tcPr>
                <w:p>
                  <w:pPr>
                    <w:pStyle w:val="66"/>
                    <w:bidi w:val="0"/>
                    <w:rPr>
                      <w:rFonts w:hint="eastAsia"/>
                      <w:lang w:val="en-US" w:eastAsia="zh-CN"/>
                    </w:rPr>
                  </w:pPr>
                  <w:r>
                    <w:rPr>
                      <w:rFonts w:hint="eastAsia"/>
                      <w:lang w:val="en-US" w:eastAsia="zh-CN"/>
                    </w:rPr>
                    <w:t>输送皮带密闭</w:t>
                  </w:r>
                </w:p>
              </w:tc>
              <w:tc>
                <w:tcPr>
                  <w:tcW w:w="452" w:type="pct"/>
                  <w:shd w:val="clear" w:color="auto" w:fill="auto"/>
                  <w:noWrap w:val="0"/>
                  <w:vAlign w:val="center"/>
                </w:tcPr>
                <w:p>
                  <w:pPr>
                    <w:pStyle w:val="66"/>
                    <w:bidi w:val="0"/>
                    <w:rPr>
                      <w:rFonts w:hint="default"/>
                      <w:lang w:val="en-US" w:eastAsia="zh-CN"/>
                    </w:rPr>
                  </w:pPr>
                  <w:r>
                    <w:rPr>
                      <w:rFonts w:hint="eastAsia"/>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297" w:type="pct"/>
                  <w:vMerge w:val="continue"/>
                  <w:noWrap w:val="0"/>
                  <w:vAlign w:val="center"/>
                </w:tcPr>
                <w:p>
                  <w:pPr>
                    <w:pStyle w:val="66"/>
                    <w:bidi w:val="0"/>
                    <w:rPr>
                      <w:rFonts w:hint="default"/>
                    </w:rPr>
                  </w:pPr>
                </w:p>
              </w:tc>
              <w:tc>
                <w:tcPr>
                  <w:tcW w:w="524" w:type="pct"/>
                  <w:vMerge w:val="continue"/>
                  <w:noWrap w:val="0"/>
                  <w:vAlign w:val="center"/>
                </w:tcPr>
                <w:p>
                  <w:pPr>
                    <w:pStyle w:val="66"/>
                    <w:bidi w:val="0"/>
                    <w:rPr>
                      <w:rFonts w:hint="default"/>
                    </w:rPr>
                  </w:pPr>
                </w:p>
              </w:tc>
              <w:tc>
                <w:tcPr>
                  <w:tcW w:w="1690" w:type="pct"/>
                  <w:tcBorders>
                    <w:right w:val="single" w:color="auto" w:sz="4" w:space="0"/>
                  </w:tcBorders>
                  <w:shd w:val="clear" w:color="auto" w:fill="auto"/>
                  <w:noWrap w:val="0"/>
                  <w:vAlign w:val="center"/>
                </w:tcPr>
                <w:p>
                  <w:pPr>
                    <w:pStyle w:val="66"/>
                    <w:bidi w:val="0"/>
                    <w:rPr>
                      <w:rFonts w:hint="default"/>
                      <w:lang w:val="en-US" w:eastAsia="zh-CN"/>
                    </w:rPr>
                  </w:pPr>
                  <w:r>
                    <w:rPr>
                      <w:rFonts w:hint="eastAsia"/>
                      <w:lang w:val="en-US" w:eastAsia="zh-CN"/>
                    </w:rPr>
                    <w:t>投料粉尘</w:t>
                  </w:r>
                </w:p>
              </w:tc>
              <w:tc>
                <w:tcPr>
                  <w:tcW w:w="2034" w:type="pct"/>
                  <w:tcBorders>
                    <w:left w:val="single" w:color="auto" w:sz="4" w:space="0"/>
                    <w:right w:val="single" w:color="auto" w:sz="4" w:space="0"/>
                  </w:tcBorders>
                  <w:shd w:val="clear" w:color="auto" w:fill="auto"/>
                  <w:noWrap w:val="0"/>
                  <w:vAlign w:val="center"/>
                </w:tcPr>
                <w:p>
                  <w:pPr>
                    <w:pStyle w:val="66"/>
                    <w:bidi w:val="0"/>
                    <w:rPr>
                      <w:rFonts w:hint="default"/>
                      <w:lang w:val="en-US" w:eastAsia="zh-CN"/>
                    </w:rPr>
                  </w:pPr>
                  <w:r>
                    <w:rPr>
                      <w:rFonts w:hint="eastAsia"/>
                      <w:lang w:val="en-US" w:eastAsia="zh-CN"/>
                    </w:rPr>
                    <w:t>厂房密闭+洒水降尘</w:t>
                  </w:r>
                </w:p>
              </w:tc>
              <w:tc>
                <w:tcPr>
                  <w:tcW w:w="452" w:type="pct"/>
                  <w:shd w:val="clear" w:color="auto" w:fill="auto"/>
                  <w:noWrap w:val="0"/>
                  <w:vAlign w:val="center"/>
                </w:tcPr>
                <w:p>
                  <w:pPr>
                    <w:pStyle w:val="66"/>
                    <w:bidi w:val="0"/>
                    <w:rPr>
                      <w:rFonts w:hint="default"/>
                      <w:lang w:val="en-US" w:eastAsia="zh-CN"/>
                    </w:rPr>
                  </w:pPr>
                  <w:r>
                    <w:rPr>
                      <w:rFonts w:hint="eastAsia"/>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297" w:type="pct"/>
                  <w:vMerge w:val="continue"/>
                  <w:noWrap w:val="0"/>
                  <w:vAlign w:val="center"/>
                </w:tcPr>
                <w:p>
                  <w:pPr>
                    <w:pStyle w:val="66"/>
                    <w:bidi w:val="0"/>
                    <w:rPr>
                      <w:rFonts w:hint="default"/>
                    </w:rPr>
                  </w:pPr>
                </w:p>
              </w:tc>
              <w:tc>
                <w:tcPr>
                  <w:tcW w:w="524" w:type="pct"/>
                  <w:noWrap w:val="0"/>
                  <w:vAlign w:val="center"/>
                </w:tcPr>
                <w:p>
                  <w:pPr>
                    <w:pStyle w:val="66"/>
                    <w:bidi w:val="0"/>
                    <w:rPr>
                      <w:rFonts w:hint="default"/>
                      <w:lang w:val="en-US" w:eastAsia="zh-CN"/>
                    </w:rPr>
                  </w:pPr>
                  <w:r>
                    <w:rPr>
                      <w:rFonts w:hint="default"/>
                    </w:rPr>
                    <w:t>噪声</w:t>
                  </w:r>
                  <w:r>
                    <w:rPr>
                      <w:rFonts w:hint="default"/>
                      <w:lang w:val="en-US" w:eastAsia="zh-CN"/>
                    </w:rPr>
                    <w:t>治理</w:t>
                  </w:r>
                </w:p>
              </w:tc>
              <w:tc>
                <w:tcPr>
                  <w:tcW w:w="1690" w:type="pct"/>
                  <w:tcBorders>
                    <w:right w:val="single" w:color="auto" w:sz="4" w:space="0"/>
                  </w:tcBorders>
                  <w:shd w:val="clear" w:color="auto" w:fill="auto"/>
                  <w:noWrap w:val="0"/>
                  <w:vAlign w:val="center"/>
                </w:tcPr>
                <w:p>
                  <w:pPr>
                    <w:pStyle w:val="66"/>
                    <w:bidi w:val="0"/>
                    <w:rPr>
                      <w:rFonts w:hint="default"/>
                    </w:rPr>
                  </w:pPr>
                  <w:r>
                    <w:rPr>
                      <w:rFonts w:hint="default"/>
                    </w:rPr>
                    <w:t>设备噪声</w:t>
                  </w:r>
                </w:p>
              </w:tc>
              <w:tc>
                <w:tcPr>
                  <w:tcW w:w="2034" w:type="pct"/>
                  <w:tcBorders>
                    <w:left w:val="single" w:color="auto" w:sz="4" w:space="0"/>
                    <w:right w:val="single" w:color="auto" w:sz="4" w:space="0"/>
                  </w:tcBorders>
                  <w:shd w:val="clear" w:color="auto" w:fill="auto"/>
                  <w:noWrap w:val="0"/>
                  <w:vAlign w:val="center"/>
                </w:tcPr>
                <w:p>
                  <w:pPr>
                    <w:pStyle w:val="66"/>
                    <w:bidi w:val="0"/>
                    <w:rPr>
                      <w:rFonts w:hint="default"/>
                      <w:lang w:val="en-US" w:eastAsia="zh-CN"/>
                    </w:rPr>
                  </w:pPr>
                  <w:r>
                    <w:rPr>
                      <w:rFonts w:hint="default"/>
                    </w:rPr>
                    <w:t>合理布置产噪设备，优化设备选型，设置基础减振，加强设备的检修和维护</w:t>
                  </w:r>
                </w:p>
              </w:tc>
              <w:tc>
                <w:tcPr>
                  <w:tcW w:w="452" w:type="pct"/>
                  <w:shd w:val="clear" w:color="auto" w:fill="auto"/>
                  <w:noWrap w:val="0"/>
                  <w:vAlign w:val="center"/>
                </w:tcPr>
                <w:p>
                  <w:pPr>
                    <w:pStyle w:val="66"/>
                    <w:bidi w:val="0"/>
                    <w:rPr>
                      <w:rFonts w:hint="default"/>
                      <w:lang w:eastAsia="zh-CN"/>
                    </w:rPr>
                  </w:pPr>
                  <w:r>
                    <w:rPr>
                      <w:rFonts w:hint="eastAsia"/>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atLeast"/>
                <w:jc w:val="center"/>
              </w:trPr>
              <w:tc>
                <w:tcPr>
                  <w:tcW w:w="297" w:type="pct"/>
                  <w:vMerge w:val="continue"/>
                  <w:noWrap w:val="0"/>
                  <w:vAlign w:val="center"/>
                </w:tcPr>
                <w:p>
                  <w:pPr>
                    <w:pStyle w:val="66"/>
                    <w:bidi w:val="0"/>
                    <w:rPr>
                      <w:rFonts w:hint="default"/>
                    </w:rPr>
                  </w:pPr>
                </w:p>
              </w:tc>
              <w:tc>
                <w:tcPr>
                  <w:tcW w:w="524" w:type="pct"/>
                  <w:vMerge w:val="restart"/>
                  <w:noWrap w:val="0"/>
                  <w:vAlign w:val="center"/>
                </w:tcPr>
                <w:p>
                  <w:pPr>
                    <w:pStyle w:val="66"/>
                    <w:bidi w:val="0"/>
                    <w:rPr>
                      <w:rFonts w:hint="default"/>
                    </w:rPr>
                  </w:pPr>
                  <w:r>
                    <w:rPr>
                      <w:rFonts w:hint="default"/>
                    </w:rPr>
                    <w:t>废水治理</w:t>
                  </w:r>
                </w:p>
              </w:tc>
              <w:tc>
                <w:tcPr>
                  <w:tcW w:w="1690" w:type="pct"/>
                  <w:tcBorders>
                    <w:bottom w:val="single" w:color="auto" w:sz="4" w:space="0"/>
                    <w:right w:val="single" w:color="auto" w:sz="4" w:space="0"/>
                  </w:tcBorders>
                  <w:shd w:val="clear" w:color="auto" w:fill="auto"/>
                  <w:noWrap w:val="0"/>
                  <w:vAlign w:val="center"/>
                </w:tcPr>
                <w:p>
                  <w:pPr>
                    <w:pStyle w:val="66"/>
                    <w:bidi w:val="0"/>
                    <w:rPr>
                      <w:rFonts w:hint="default"/>
                      <w:lang w:val="en-US" w:eastAsia="zh-CN"/>
                    </w:rPr>
                  </w:pPr>
                  <w:r>
                    <w:rPr>
                      <w:rFonts w:hint="default"/>
                    </w:rPr>
                    <w:t>生活</w:t>
                  </w:r>
                  <w:r>
                    <w:rPr>
                      <w:rFonts w:hint="default"/>
                      <w:lang w:val="en-US" w:eastAsia="zh-CN"/>
                    </w:rPr>
                    <w:t>污</w:t>
                  </w:r>
                  <w:r>
                    <w:rPr>
                      <w:rFonts w:hint="default"/>
                    </w:rPr>
                    <w:t>水</w:t>
                  </w:r>
                </w:p>
              </w:tc>
              <w:tc>
                <w:tcPr>
                  <w:tcW w:w="2034" w:type="pct"/>
                  <w:tcBorders>
                    <w:left w:val="single" w:color="auto" w:sz="4" w:space="0"/>
                    <w:bottom w:val="single" w:color="auto" w:sz="4" w:space="0"/>
                    <w:right w:val="single" w:color="auto" w:sz="4" w:space="0"/>
                  </w:tcBorders>
                  <w:shd w:val="clear" w:color="auto" w:fill="auto"/>
                  <w:noWrap w:val="0"/>
                  <w:vAlign w:val="center"/>
                </w:tcPr>
                <w:p>
                  <w:pPr>
                    <w:pStyle w:val="66"/>
                    <w:bidi w:val="0"/>
                    <w:rPr>
                      <w:rFonts w:hint="default"/>
                      <w:lang w:val="en-US" w:eastAsia="zh-CN"/>
                    </w:rPr>
                  </w:pPr>
                  <w:r>
                    <w:rPr>
                      <w:rFonts w:hint="default"/>
                      <w:lang w:val="en-US" w:eastAsia="zh-CN"/>
                    </w:rPr>
                    <w:t>生活污水</w:t>
                  </w:r>
                  <w:r>
                    <w:rPr>
                      <w:rFonts w:hint="eastAsia"/>
                      <w:lang w:val="en-US" w:eastAsia="zh-CN"/>
                    </w:rPr>
                    <w:t>先</w:t>
                  </w:r>
                  <w:r>
                    <w:rPr>
                      <w:rFonts w:hint="default"/>
                      <w:lang w:val="en-US" w:eastAsia="zh-CN"/>
                    </w:rPr>
                    <w:t>经化粪池处理</w:t>
                  </w:r>
                  <w:r>
                    <w:rPr>
                      <w:rFonts w:hint="eastAsia"/>
                      <w:lang w:val="en-US" w:eastAsia="zh-CN"/>
                    </w:rPr>
                    <w:t>，再</w:t>
                  </w:r>
                  <w:r>
                    <w:rPr>
                      <w:rFonts w:hint="default"/>
                      <w:lang w:val="en-US" w:eastAsia="zh-CN"/>
                    </w:rPr>
                    <w:t>通过园区排水管网</w:t>
                  </w:r>
                  <w:r>
                    <w:rPr>
                      <w:rFonts w:hint="eastAsia"/>
                      <w:lang w:val="en-US" w:eastAsia="zh-CN"/>
                    </w:rPr>
                    <w:t>排入</w:t>
                  </w:r>
                  <w:r>
                    <w:rPr>
                      <w:rFonts w:hint="default"/>
                      <w:lang w:val="en-US" w:eastAsia="zh-CN"/>
                    </w:rPr>
                    <w:t>若羌县城乡污水处理厂进行处理</w:t>
                  </w:r>
                </w:p>
              </w:tc>
              <w:tc>
                <w:tcPr>
                  <w:tcW w:w="452" w:type="pct"/>
                  <w:tcBorders>
                    <w:bottom w:val="single" w:color="auto" w:sz="4" w:space="0"/>
                  </w:tcBorders>
                  <w:shd w:val="clear" w:color="auto" w:fill="auto"/>
                  <w:noWrap w:val="0"/>
                  <w:vAlign w:val="center"/>
                </w:tcPr>
                <w:p>
                  <w:pPr>
                    <w:pStyle w:val="66"/>
                    <w:bidi w:val="0"/>
                    <w:rPr>
                      <w:rFonts w:hint="default"/>
                      <w:lang w:val="en-US" w:eastAsia="zh-CN"/>
                    </w:rPr>
                  </w:pPr>
                  <w:r>
                    <w:rPr>
                      <w:rFonts w:hint="eastAsia"/>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297" w:type="pct"/>
                  <w:vMerge w:val="continue"/>
                  <w:noWrap w:val="0"/>
                  <w:vAlign w:val="center"/>
                </w:tcPr>
                <w:p>
                  <w:pPr>
                    <w:pStyle w:val="66"/>
                    <w:bidi w:val="0"/>
                    <w:rPr>
                      <w:rFonts w:hint="default"/>
                    </w:rPr>
                  </w:pPr>
                </w:p>
              </w:tc>
              <w:tc>
                <w:tcPr>
                  <w:tcW w:w="524" w:type="pct"/>
                  <w:vMerge w:val="continue"/>
                  <w:noWrap w:val="0"/>
                  <w:vAlign w:val="center"/>
                </w:tcPr>
                <w:p>
                  <w:pPr>
                    <w:pStyle w:val="66"/>
                    <w:bidi w:val="0"/>
                    <w:rPr>
                      <w:rFonts w:hint="default"/>
                    </w:rPr>
                  </w:pPr>
                </w:p>
              </w:tc>
              <w:tc>
                <w:tcPr>
                  <w:tcW w:w="1690" w:type="pct"/>
                  <w:tcBorders>
                    <w:top w:val="single" w:color="auto" w:sz="4" w:space="0"/>
                    <w:right w:val="single" w:color="auto" w:sz="4" w:space="0"/>
                  </w:tcBorders>
                  <w:noWrap w:val="0"/>
                  <w:vAlign w:val="center"/>
                </w:tcPr>
                <w:p>
                  <w:pPr>
                    <w:pStyle w:val="66"/>
                    <w:bidi w:val="0"/>
                    <w:rPr>
                      <w:rFonts w:hint="default"/>
                    </w:rPr>
                  </w:pPr>
                  <w:r>
                    <w:rPr>
                      <w:rFonts w:hint="eastAsia"/>
                      <w:lang w:val="en-US" w:eastAsia="zh-CN"/>
                    </w:rPr>
                    <w:t>洒水降尘用水</w:t>
                  </w:r>
                </w:p>
              </w:tc>
              <w:tc>
                <w:tcPr>
                  <w:tcW w:w="2034" w:type="pct"/>
                  <w:tcBorders>
                    <w:top w:val="single" w:color="auto" w:sz="4" w:space="0"/>
                    <w:left w:val="single" w:color="auto" w:sz="4" w:space="0"/>
                    <w:right w:val="single" w:color="auto" w:sz="4" w:space="0"/>
                  </w:tcBorders>
                  <w:noWrap w:val="0"/>
                  <w:vAlign w:val="center"/>
                </w:tcPr>
                <w:p>
                  <w:pPr>
                    <w:pStyle w:val="66"/>
                    <w:bidi w:val="0"/>
                    <w:rPr>
                      <w:rFonts w:hint="default"/>
                      <w:lang w:val="en-US" w:eastAsia="zh-CN"/>
                    </w:rPr>
                  </w:pPr>
                  <w:r>
                    <w:rPr>
                      <w:rFonts w:hint="eastAsia"/>
                      <w:lang w:val="en-US" w:eastAsia="zh-CN"/>
                    </w:rPr>
                    <w:t>蒸发逸散，不外排</w:t>
                  </w:r>
                </w:p>
              </w:tc>
              <w:tc>
                <w:tcPr>
                  <w:tcW w:w="452" w:type="pct"/>
                  <w:tcBorders>
                    <w:top w:val="single" w:color="auto" w:sz="4" w:space="0"/>
                  </w:tcBorders>
                  <w:noWrap w:val="0"/>
                  <w:vAlign w:val="center"/>
                </w:tcPr>
                <w:p>
                  <w:pPr>
                    <w:pStyle w:val="66"/>
                    <w:bidi w:val="0"/>
                    <w:rPr>
                      <w:rFonts w:hint="default"/>
                      <w:lang w:val="en-US" w:eastAsia="zh-CN"/>
                    </w:rPr>
                  </w:pPr>
                  <w:r>
                    <w:rPr>
                      <w:rFonts w:hint="eastAsia"/>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1" w:hRule="atLeast"/>
                <w:jc w:val="center"/>
              </w:trPr>
              <w:tc>
                <w:tcPr>
                  <w:tcW w:w="297" w:type="pct"/>
                  <w:vMerge w:val="continue"/>
                  <w:noWrap w:val="0"/>
                  <w:vAlign w:val="center"/>
                </w:tcPr>
                <w:p>
                  <w:pPr>
                    <w:pStyle w:val="66"/>
                    <w:bidi w:val="0"/>
                    <w:rPr>
                      <w:rFonts w:hint="default"/>
                    </w:rPr>
                  </w:pPr>
                </w:p>
              </w:tc>
              <w:tc>
                <w:tcPr>
                  <w:tcW w:w="524" w:type="pct"/>
                  <w:vMerge w:val="restart"/>
                  <w:noWrap w:val="0"/>
                  <w:vAlign w:val="center"/>
                </w:tcPr>
                <w:p>
                  <w:pPr>
                    <w:pStyle w:val="66"/>
                    <w:bidi w:val="0"/>
                    <w:rPr>
                      <w:rFonts w:hint="default"/>
                    </w:rPr>
                  </w:pPr>
                  <w:r>
                    <w:rPr>
                      <w:rFonts w:hint="default"/>
                    </w:rPr>
                    <w:t>固废治理</w:t>
                  </w:r>
                </w:p>
              </w:tc>
              <w:tc>
                <w:tcPr>
                  <w:tcW w:w="1690" w:type="pct"/>
                  <w:tcBorders>
                    <w:bottom w:val="single" w:color="auto" w:sz="4" w:space="0"/>
                    <w:right w:val="single" w:color="auto" w:sz="4" w:space="0"/>
                  </w:tcBorders>
                  <w:noWrap w:val="0"/>
                  <w:vAlign w:val="center"/>
                </w:tcPr>
                <w:p>
                  <w:pPr>
                    <w:pStyle w:val="66"/>
                    <w:bidi w:val="0"/>
                    <w:rPr>
                      <w:rFonts w:hint="default"/>
                      <w:lang w:val="en-US" w:eastAsia="zh-CN"/>
                    </w:rPr>
                  </w:pPr>
                  <w:r>
                    <w:rPr>
                      <w:rFonts w:hint="default"/>
                    </w:rPr>
                    <w:t>生活垃圾</w:t>
                  </w:r>
                </w:p>
              </w:tc>
              <w:tc>
                <w:tcPr>
                  <w:tcW w:w="2034" w:type="pct"/>
                  <w:tcBorders>
                    <w:left w:val="single" w:color="auto" w:sz="4" w:space="0"/>
                    <w:bottom w:val="single" w:color="auto" w:sz="4" w:space="0"/>
                    <w:right w:val="single" w:color="auto" w:sz="4" w:space="0"/>
                  </w:tcBorders>
                  <w:noWrap w:val="0"/>
                  <w:vAlign w:val="center"/>
                </w:tcPr>
                <w:p>
                  <w:pPr>
                    <w:pStyle w:val="66"/>
                    <w:bidi w:val="0"/>
                    <w:rPr>
                      <w:rFonts w:hint="default"/>
                      <w:lang w:val="en-US" w:eastAsia="zh-CN"/>
                    </w:rPr>
                  </w:pPr>
                  <w:r>
                    <w:rPr>
                      <w:rFonts w:hint="default"/>
                      <w:lang w:val="en-US" w:eastAsia="zh-CN"/>
                    </w:rPr>
                    <w:t>生活垃圾收集后由环卫部门</w:t>
                  </w:r>
                  <w:r>
                    <w:rPr>
                      <w:rFonts w:hint="eastAsia"/>
                      <w:lang w:val="en-US" w:eastAsia="zh-CN"/>
                    </w:rPr>
                    <w:t>统一清运处理</w:t>
                  </w:r>
                </w:p>
              </w:tc>
              <w:tc>
                <w:tcPr>
                  <w:tcW w:w="452" w:type="pct"/>
                  <w:tcBorders>
                    <w:bottom w:val="single" w:color="auto" w:sz="4" w:space="0"/>
                  </w:tcBorders>
                  <w:noWrap w:val="0"/>
                  <w:vAlign w:val="center"/>
                </w:tcPr>
                <w:p>
                  <w:pPr>
                    <w:pStyle w:val="66"/>
                    <w:bidi w:val="0"/>
                    <w:rPr>
                      <w:rFonts w:hint="default"/>
                      <w:lang w:val="en-US" w:eastAsia="zh-CN"/>
                    </w:rPr>
                  </w:pPr>
                  <w:r>
                    <w:rPr>
                      <w:rFonts w:hint="eastAsia"/>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5" w:hRule="atLeast"/>
                <w:jc w:val="center"/>
              </w:trPr>
              <w:tc>
                <w:tcPr>
                  <w:tcW w:w="297" w:type="pct"/>
                  <w:vMerge w:val="continue"/>
                  <w:noWrap w:val="0"/>
                  <w:vAlign w:val="center"/>
                </w:tcPr>
                <w:p>
                  <w:pPr>
                    <w:pStyle w:val="66"/>
                    <w:bidi w:val="0"/>
                    <w:rPr>
                      <w:rFonts w:hint="default"/>
                    </w:rPr>
                  </w:pPr>
                </w:p>
              </w:tc>
              <w:tc>
                <w:tcPr>
                  <w:tcW w:w="524" w:type="pct"/>
                  <w:vMerge w:val="continue"/>
                  <w:noWrap w:val="0"/>
                  <w:vAlign w:val="center"/>
                </w:tcPr>
                <w:p>
                  <w:pPr>
                    <w:pStyle w:val="66"/>
                    <w:bidi w:val="0"/>
                    <w:rPr>
                      <w:rFonts w:hint="default"/>
                    </w:rPr>
                  </w:pPr>
                </w:p>
              </w:tc>
              <w:tc>
                <w:tcPr>
                  <w:tcW w:w="1690" w:type="pct"/>
                  <w:tcBorders>
                    <w:top w:val="single" w:color="auto" w:sz="4" w:space="0"/>
                    <w:bottom w:val="single" w:color="auto" w:sz="4" w:space="0"/>
                    <w:right w:val="single" w:color="auto" w:sz="4" w:space="0"/>
                  </w:tcBorders>
                  <w:noWrap w:val="0"/>
                  <w:vAlign w:val="center"/>
                </w:tcPr>
                <w:p>
                  <w:pPr>
                    <w:pStyle w:val="66"/>
                    <w:bidi w:val="0"/>
                    <w:rPr>
                      <w:rFonts w:hint="default"/>
                    </w:rPr>
                  </w:pPr>
                  <w:r>
                    <w:rPr>
                      <w:rFonts w:hint="default"/>
                      <w:lang w:eastAsia="zh-CN"/>
                    </w:rPr>
                    <w:t>一般固废</w:t>
                  </w:r>
                </w:p>
              </w:tc>
              <w:tc>
                <w:tcPr>
                  <w:tcW w:w="2034" w:type="pct"/>
                  <w:tcBorders>
                    <w:top w:val="single" w:color="auto" w:sz="4" w:space="0"/>
                    <w:left w:val="single" w:color="auto" w:sz="4" w:space="0"/>
                    <w:bottom w:val="single" w:color="auto" w:sz="4" w:space="0"/>
                    <w:right w:val="single" w:color="auto" w:sz="4" w:space="0"/>
                  </w:tcBorders>
                  <w:noWrap w:val="0"/>
                  <w:vAlign w:val="center"/>
                </w:tcPr>
                <w:p>
                  <w:pPr>
                    <w:pStyle w:val="66"/>
                    <w:bidi w:val="0"/>
                    <w:rPr>
                      <w:rFonts w:hint="default"/>
                      <w:lang w:val="en-US" w:eastAsia="zh-CN"/>
                    </w:rPr>
                  </w:pPr>
                  <w:r>
                    <w:rPr>
                      <w:rFonts w:hint="eastAsia"/>
                      <w:lang w:val="en-US" w:eastAsia="zh-CN"/>
                    </w:rPr>
                    <w:t>布袋除尘器收集的粉尘作为产品外售或回用于饼状硅生产环节；磁选机和强磁铁产生的铁粉收集后外售综合利用；废布袋由设备厂家定期更换并回收；废弃的原料包装袋收集后交由供应商回收再利用</w:t>
                  </w:r>
                </w:p>
              </w:tc>
              <w:tc>
                <w:tcPr>
                  <w:tcW w:w="452" w:type="pct"/>
                  <w:tcBorders>
                    <w:top w:val="single" w:color="auto" w:sz="4" w:space="0"/>
                    <w:bottom w:val="single" w:color="auto" w:sz="4" w:space="0"/>
                  </w:tcBorders>
                  <w:noWrap w:val="0"/>
                  <w:vAlign w:val="center"/>
                </w:tcPr>
                <w:p>
                  <w:pPr>
                    <w:pStyle w:val="66"/>
                    <w:bidi w:val="0"/>
                    <w:rPr>
                      <w:rFonts w:hint="default"/>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2" w:hRule="atLeast"/>
                <w:jc w:val="center"/>
              </w:trPr>
              <w:tc>
                <w:tcPr>
                  <w:tcW w:w="297" w:type="pct"/>
                  <w:vMerge w:val="continue"/>
                  <w:noWrap w:val="0"/>
                  <w:vAlign w:val="center"/>
                </w:tcPr>
                <w:p>
                  <w:pPr>
                    <w:pStyle w:val="66"/>
                    <w:bidi w:val="0"/>
                    <w:rPr>
                      <w:rFonts w:hint="default"/>
                    </w:rPr>
                  </w:pPr>
                </w:p>
              </w:tc>
              <w:tc>
                <w:tcPr>
                  <w:tcW w:w="524" w:type="pct"/>
                  <w:vMerge w:val="continue"/>
                  <w:noWrap w:val="0"/>
                  <w:vAlign w:val="center"/>
                </w:tcPr>
                <w:p>
                  <w:pPr>
                    <w:pStyle w:val="66"/>
                    <w:bidi w:val="0"/>
                    <w:rPr>
                      <w:rFonts w:hint="default"/>
                    </w:rPr>
                  </w:pPr>
                </w:p>
              </w:tc>
              <w:tc>
                <w:tcPr>
                  <w:tcW w:w="1690" w:type="pct"/>
                  <w:tcBorders>
                    <w:top w:val="single" w:color="auto" w:sz="4" w:space="0"/>
                    <w:bottom w:val="single" w:color="auto" w:sz="4" w:space="0"/>
                    <w:right w:val="single" w:color="auto" w:sz="4" w:space="0"/>
                  </w:tcBorders>
                  <w:noWrap w:val="0"/>
                  <w:vAlign w:val="center"/>
                </w:tcPr>
                <w:p>
                  <w:pPr>
                    <w:pStyle w:val="66"/>
                    <w:bidi w:val="0"/>
                    <w:rPr>
                      <w:rFonts w:hint="default"/>
                      <w:lang w:eastAsia="zh-CN"/>
                    </w:rPr>
                  </w:pPr>
                  <w:r>
                    <w:rPr>
                      <w:rFonts w:hint="default"/>
                      <w:lang w:val="en-US" w:eastAsia="zh-CN"/>
                    </w:rPr>
                    <w:t>危险废物</w:t>
                  </w:r>
                </w:p>
              </w:tc>
              <w:tc>
                <w:tcPr>
                  <w:tcW w:w="2034" w:type="pct"/>
                  <w:tcBorders>
                    <w:top w:val="single" w:color="auto" w:sz="4" w:space="0"/>
                    <w:left w:val="single" w:color="auto" w:sz="4" w:space="0"/>
                    <w:bottom w:val="single" w:color="auto" w:sz="4" w:space="0"/>
                    <w:right w:val="single" w:color="auto" w:sz="4" w:space="0"/>
                  </w:tcBorders>
                  <w:noWrap w:val="0"/>
                  <w:vAlign w:val="center"/>
                </w:tcPr>
                <w:p>
                  <w:pPr>
                    <w:pStyle w:val="66"/>
                    <w:bidi w:val="0"/>
                    <w:rPr>
                      <w:rFonts w:hint="default" w:eastAsia="宋体"/>
                      <w:lang w:val="en-US" w:eastAsia="zh-CN"/>
                    </w:rPr>
                  </w:pPr>
                  <w:r>
                    <w:rPr>
                      <w:rFonts w:hint="eastAsia"/>
                      <w:lang w:val="en-US" w:eastAsia="zh-CN"/>
                    </w:rPr>
                    <w:t>废润滑油和废润滑油桶暂存危险废物贮存点处并定期委托有资质的单位进行拉运处理</w:t>
                  </w:r>
                </w:p>
              </w:tc>
              <w:tc>
                <w:tcPr>
                  <w:tcW w:w="452" w:type="pct"/>
                  <w:tcBorders>
                    <w:top w:val="single" w:color="auto" w:sz="4" w:space="0"/>
                    <w:bottom w:val="single" w:color="auto" w:sz="4" w:space="0"/>
                  </w:tcBorders>
                  <w:noWrap w:val="0"/>
                  <w:vAlign w:val="center"/>
                </w:tcPr>
                <w:p>
                  <w:pPr>
                    <w:pStyle w:val="66"/>
                    <w:bidi w:val="0"/>
                    <w:rPr>
                      <w:rFonts w:hint="default"/>
                      <w:lang w:val="en-US" w:eastAsia="zh-CN"/>
                    </w:rPr>
                  </w:pPr>
                  <w:r>
                    <w:rPr>
                      <w:rFonts w:hint="eastAsia"/>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2" w:hRule="atLeast"/>
                <w:jc w:val="center"/>
              </w:trPr>
              <w:tc>
                <w:tcPr>
                  <w:tcW w:w="297" w:type="pct"/>
                  <w:vMerge w:val="continue"/>
                  <w:noWrap w:val="0"/>
                  <w:vAlign w:val="center"/>
                </w:tcPr>
                <w:p>
                  <w:pPr>
                    <w:pStyle w:val="66"/>
                    <w:bidi w:val="0"/>
                    <w:rPr>
                      <w:rFonts w:hint="default"/>
                    </w:rPr>
                  </w:pPr>
                </w:p>
              </w:tc>
              <w:tc>
                <w:tcPr>
                  <w:tcW w:w="524" w:type="pct"/>
                  <w:noWrap w:val="0"/>
                  <w:vAlign w:val="center"/>
                </w:tcPr>
                <w:p>
                  <w:pPr>
                    <w:pStyle w:val="66"/>
                    <w:bidi w:val="0"/>
                    <w:rPr>
                      <w:rFonts w:hint="default" w:eastAsia="宋体"/>
                      <w:lang w:val="en-US" w:eastAsia="zh-CN"/>
                    </w:rPr>
                  </w:pPr>
                  <w:r>
                    <w:rPr>
                      <w:rFonts w:hint="eastAsia"/>
                      <w:lang w:val="en-US" w:eastAsia="zh-CN"/>
                    </w:rPr>
                    <w:t>环境风险防范工程</w:t>
                  </w:r>
                </w:p>
              </w:tc>
              <w:tc>
                <w:tcPr>
                  <w:tcW w:w="1690" w:type="pct"/>
                  <w:tcBorders>
                    <w:top w:val="single" w:color="auto" w:sz="4" w:space="0"/>
                    <w:bottom w:val="single" w:color="auto" w:sz="4" w:space="0"/>
                    <w:right w:val="single" w:color="auto" w:sz="4" w:space="0"/>
                  </w:tcBorders>
                  <w:shd w:val="clear" w:color="auto" w:fill="auto"/>
                  <w:noWrap w:val="0"/>
                  <w:vAlign w:val="center"/>
                </w:tcPr>
                <w:p>
                  <w:pPr>
                    <w:pStyle w:val="66"/>
                    <w:bidi w:val="0"/>
                    <w:rPr>
                      <w:rFonts w:hint="default" w:ascii="Times New Roman" w:hAnsi="Times New Roman" w:eastAsia="宋体" w:cs="宋体"/>
                      <w:kern w:val="0"/>
                      <w:sz w:val="21"/>
                      <w:szCs w:val="21"/>
                      <w:lang w:val="en-US" w:eastAsia="zh-CN" w:bidi="ar-SA"/>
                    </w:rPr>
                  </w:pPr>
                  <w:r>
                    <w:rPr>
                      <w:rFonts w:hint="eastAsia" w:cs="Times New Roman"/>
                      <w:lang w:val="en-US" w:eastAsia="zh-CN"/>
                    </w:rPr>
                    <w:t>危险废物贮存点</w:t>
                  </w:r>
                </w:p>
              </w:tc>
              <w:tc>
                <w:tcPr>
                  <w:tcW w:w="20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66"/>
                    <w:bidi w:val="0"/>
                    <w:rPr>
                      <w:rFonts w:hint="eastAsia" w:ascii="Times New Roman" w:hAnsi="Times New Roman" w:eastAsia="宋体" w:cs="宋体"/>
                      <w:kern w:val="0"/>
                      <w:sz w:val="21"/>
                      <w:szCs w:val="21"/>
                      <w:lang w:val="en-US" w:eastAsia="zh-CN" w:bidi="ar-SA"/>
                    </w:rPr>
                  </w:pPr>
                  <w:r>
                    <w:rPr>
                      <w:rFonts w:hint="eastAsia"/>
                      <w:highlight w:val="none"/>
                      <w:lang w:val="en-US" w:eastAsia="zh-CN"/>
                    </w:rPr>
                    <w:t>按照《危险废物贮存污染控制标准》（GB18597—2023）标准进行建设</w:t>
                  </w:r>
                </w:p>
              </w:tc>
              <w:tc>
                <w:tcPr>
                  <w:tcW w:w="452" w:type="pct"/>
                  <w:tcBorders>
                    <w:top w:val="single" w:color="auto" w:sz="4" w:space="0"/>
                    <w:bottom w:val="single" w:color="auto" w:sz="4" w:space="0"/>
                  </w:tcBorders>
                  <w:noWrap w:val="0"/>
                  <w:vAlign w:val="center"/>
                </w:tcPr>
                <w:p>
                  <w:pPr>
                    <w:pStyle w:val="66"/>
                    <w:bidi w:val="0"/>
                    <w:rPr>
                      <w:rFonts w:hint="default"/>
                      <w:lang w:val="en-US" w:eastAsia="zh-CN"/>
                    </w:rPr>
                  </w:pPr>
                  <w:r>
                    <w:rPr>
                      <w:rFonts w:hint="eastAsia"/>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297" w:type="pct"/>
                  <w:vMerge w:val="continue"/>
                  <w:noWrap w:val="0"/>
                  <w:vAlign w:val="center"/>
                </w:tcPr>
                <w:p>
                  <w:pPr>
                    <w:pStyle w:val="66"/>
                    <w:bidi w:val="0"/>
                    <w:rPr>
                      <w:rFonts w:hint="default"/>
                    </w:rPr>
                  </w:pPr>
                </w:p>
              </w:tc>
              <w:tc>
                <w:tcPr>
                  <w:tcW w:w="4249" w:type="pct"/>
                  <w:gridSpan w:val="3"/>
                  <w:tcBorders>
                    <w:right w:val="single" w:color="auto" w:sz="4" w:space="0"/>
                  </w:tcBorders>
                  <w:noWrap w:val="0"/>
                  <w:vAlign w:val="center"/>
                </w:tcPr>
                <w:p>
                  <w:pPr>
                    <w:pStyle w:val="66"/>
                    <w:bidi w:val="0"/>
                    <w:rPr>
                      <w:rFonts w:hint="default"/>
                    </w:rPr>
                  </w:pPr>
                  <w:r>
                    <w:rPr>
                      <w:rFonts w:hint="default"/>
                      <w:lang w:val="en-US" w:eastAsia="zh-CN"/>
                    </w:rPr>
                    <w:t>环保措施运维费用</w:t>
                  </w:r>
                </w:p>
              </w:tc>
              <w:tc>
                <w:tcPr>
                  <w:tcW w:w="452" w:type="pct"/>
                  <w:noWrap w:val="0"/>
                  <w:vAlign w:val="center"/>
                </w:tcPr>
                <w:p>
                  <w:pPr>
                    <w:pStyle w:val="66"/>
                    <w:bidi w:val="0"/>
                    <w:rPr>
                      <w:rFonts w:hint="default"/>
                      <w:lang w:val="en-US" w:eastAsia="zh-CN"/>
                    </w:rPr>
                  </w:pPr>
                  <w:r>
                    <w:rPr>
                      <w:rFonts w:hint="eastAsia"/>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547" w:type="pct"/>
                  <w:gridSpan w:val="4"/>
                  <w:tcBorders>
                    <w:right w:val="single" w:color="auto" w:sz="4" w:space="0"/>
                  </w:tcBorders>
                  <w:noWrap w:val="0"/>
                  <w:vAlign w:val="center"/>
                </w:tcPr>
                <w:p>
                  <w:pPr>
                    <w:pStyle w:val="66"/>
                    <w:bidi w:val="0"/>
                    <w:rPr>
                      <w:rFonts w:hint="default"/>
                    </w:rPr>
                  </w:pPr>
                  <w:r>
                    <w:rPr>
                      <w:rFonts w:hint="default"/>
                    </w:rPr>
                    <w:t>合计</w:t>
                  </w:r>
                </w:p>
              </w:tc>
              <w:tc>
                <w:tcPr>
                  <w:tcW w:w="452" w:type="pct"/>
                  <w:noWrap w:val="0"/>
                  <w:vAlign w:val="center"/>
                </w:tcPr>
                <w:p>
                  <w:pPr>
                    <w:pStyle w:val="66"/>
                    <w:bidi w:val="0"/>
                    <w:rPr>
                      <w:rFonts w:hint="default"/>
                      <w:lang w:val="en-US" w:eastAsia="zh-CN"/>
                    </w:rPr>
                  </w:pPr>
                  <w:r>
                    <w:rPr>
                      <w:rFonts w:hint="eastAsia"/>
                      <w:lang w:val="en-US" w:eastAsia="zh-CN"/>
                    </w:rPr>
                    <w:t>50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Cs/>
                <w:color w:val="auto"/>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noWrap w:val="0"/>
            <w:vAlign w:val="center"/>
          </w:tcPr>
          <w:p>
            <w:pPr>
              <w:pStyle w:val="20"/>
              <w:adjustRightInd w:val="0"/>
              <w:snapToGrid w:val="0"/>
              <w:spacing w:before="0" w:beforeAutospacing="0" w:after="0" w:afterAutospacing="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4"/>
                <w:szCs w:val="24"/>
              </w:rPr>
              <w:t>工艺流程和产排污环节</w:t>
            </w:r>
          </w:p>
        </w:tc>
        <w:tc>
          <w:tcPr>
            <w:tcW w:w="8286" w:type="dxa"/>
            <w:noWrap w:val="0"/>
            <w:vAlign w:val="top"/>
          </w:tcPr>
          <w:p>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Autospacing="0" w:afterAutospacing="0" w:line="520" w:lineRule="exact"/>
              <w:ind w:right="0" w:rightChars="0"/>
              <w:jc w:val="both"/>
              <w:textAlignment w:val="auto"/>
              <w:rPr>
                <w:rFonts w:hint="eastAsia" w:cs="Times New Roman"/>
                <w:b/>
                <w:bCs w:val="0"/>
                <w:color w:val="auto"/>
                <w:kern w:val="2"/>
                <w:sz w:val="24"/>
                <w:szCs w:val="24"/>
                <w:lang w:val="en-US" w:eastAsia="zh-CN" w:bidi="ar"/>
              </w:rPr>
            </w:pPr>
            <w:r>
              <w:rPr>
                <w:rFonts w:hint="eastAsia" w:cs="Times New Roman"/>
                <w:b/>
                <w:bCs w:val="0"/>
                <w:color w:val="auto"/>
                <w:kern w:val="2"/>
                <w:sz w:val="24"/>
                <w:szCs w:val="24"/>
                <w:lang w:val="en-US" w:eastAsia="zh-CN" w:bidi="ar"/>
              </w:rPr>
              <w:t>1.施工期工艺流程及产污环节</w:t>
            </w:r>
          </w:p>
          <w:p>
            <w:pPr>
              <w:pStyle w:val="72"/>
              <w:bidi w:val="0"/>
              <w:rPr>
                <w:rFonts w:hint="eastAsia" w:ascii="宋体" w:hAnsi="宋体" w:cs="宋体"/>
                <w:szCs w:val="21"/>
                <w:lang w:val="en-US" w:eastAsia="zh-CN"/>
              </w:rPr>
            </w:pPr>
            <w:r>
              <w:rPr>
                <w:rFonts w:hint="eastAsia"/>
                <w:lang w:val="en-US" w:eastAsia="zh-CN"/>
              </w:rPr>
              <w:t>本项目位于新疆巴音郭楞蒙古自治州若羌县塔东物流商贸综合园区，为租赁用地。本项目施工期需对租赁车间进行功能分区，需进行场地整理、设备安装调试等。项目施工期会产生扬尘、噪声、固体废弃物和废水等污染物，其排放量随工期和施工强度不同而有所变化。项目施工期的工艺流程及产污位置见下图。</w:t>
            </w:r>
          </w:p>
          <w:p>
            <w:pPr>
              <w:pStyle w:val="69"/>
              <w:bidi w:val="0"/>
              <w:rPr>
                <w:rFonts w:hint="default"/>
                <w:lang w:val="en-US" w:eastAsia="zh-CN"/>
              </w:rPr>
            </w:pPr>
            <w:r>
              <w:drawing>
                <wp:anchor distT="0" distB="0" distL="114300" distR="114300" simplePos="0" relativeHeight="251659264" behindDoc="0" locked="0" layoutInCell="1" allowOverlap="1">
                  <wp:simplePos x="0" y="0"/>
                  <wp:positionH relativeFrom="column">
                    <wp:posOffset>466090</wp:posOffset>
                  </wp:positionH>
                  <wp:positionV relativeFrom="paragraph">
                    <wp:posOffset>18415</wp:posOffset>
                  </wp:positionV>
                  <wp:extent cx="4238625" cy="1821180"/>
                  <wp:effectExtent l="0" t="0" r="9525" b="7620"/>
                  <wp:wrapTopAndBottom/>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1"/>
                          <a:stretch>
                            <a:fillRect/>
                          </a:stretch>
                        </pic:blipFill>
                        <pic:spPr>
                          <a:xfrm>
                            <a:off x="0" y="0"/>
                            <a:ext cx="4238625" cy="1821180"/>
                          </a:xfrm>
                          <a:prstGeom prst="rect">
                            <a:avLst/>
                          </a:prstGeom>
                          <a:noFill/>
                          <a:ln>
                            <a:noFill/>
                          </a:ln>
                        </pic:spPr>
                      </pic:pic>
                    </a:graphicData>
                  </a:graphic>
                </wp:anchor>
              </w:drawing>
            </w:r>
            <w:r>
              <w:rPr>
                <w:rFonts w:hint="eastAsia"/>
                <w:lang w:val="en-US" w:eastAsia="zh-CN"/>
              </w:rPr>
              <w:t>图2-2    施工期工艺流程及产污环节图</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520" w:lineRule="exact"/>
              <w:ind w:right="0"/>
              <w:jc w:val="both"/>
              <w:textAlignment w:val="auto"/>
              <w:rPr>
                <w:rFonts w:hint="default" w:ascii="Times New Roman" w:hAnsi="Times New Roman" w:eastAsia="宋体" w:cs="Times New Roman"/>
                <w:b/>
                <w:bCs w:val="0"/>
                <w:color w:val="auto"/>
                <w:kern w:val="2"/>
                <w:sz w:val="24"/>
                <w:szCs w:val="24"/>
              </w:rPr>
            </w:pPr>
            <w:r>
              <w:rPr>
                <w:rFonts w:hint="eastAsia" w:cs="Times New Roman"/>
                <w:b/>
                <w:bCs w:val="0"/>
                <w:color w:val="auto"/>
                <w:kern w:val="2"/>
                <w:sz w:val="24"/>
                <w:szCs w:val="24"/>
                <w:lang w:val="en-US" w:eastAsia="zh-CN" w:bidi="ar"/>
              </w:rPr>
              <w:t>2</w:t>
            </w:r>
            <w:r>
              <w:rPr>
                <w:rFonts w:hint="default" w:ascii="Times New Roman" w:hAnsi="Times New Roman" w:cs="Times New Roman"/>
                <w:b/>
                <w:bCs w:val="0"/>
                <w:color w:val="auto"/>
                <w:kern w:val="2"/>
                <w:sz w:val="24"/>
                <w:szCs w:val="24"/>
                <w:lang w:val="en-US" w:eastAsia="zh-CN" w:bidi="ar"/>
              </w:rPr>
              <w:t>.</w:t>
            </w:r>
            <w:r>
              <w:rPr>
                <w:rFonts w:hint="default" w:ascii="Times New Roman" w:hAnsi="Times New Roman" w:eastAsia="宋体" w:cs="Times New Roman"/>
                <w:b/>
                <w:bCs w:val="0"/>
                <w:color w:val="auto"/>
                <w:kern w:val="2"/>
                <w:sz w:val="24"/>
                <w:szCs w:val="24"/>
                <w:lang w:val="en-US" w:eastAsia="zh-CN" w:bidi="ar"/>
              </w:rPr>
              <w:t>运营期工艺流程及产污环节</w:t>
            </w:r>
          </w:p>
          <w:p>
            <w:pPr>
              <w:pStyle w:val="12"/>
              <w:keepNext w:val="0"/>
              <w:keepLines w:val="0"/>
              <w:pageBreakBefore w:val="0"/>
              <w:widowControl/>
              <w:kinsoku/>
              <w:wordWrap w:val="0"/>
              <w:overflowPunct/>
              <w:topLinePunct w:val="0"/>
              <w:autoSpaceDE/>
              <w:autoSpaceDN/>
              <w:bidi w:val="0"/>
              <w:adjustRightInd w:val="0"/>
              <w:snapToGrid w:val="0"/>
              <w:spacing w:before="0" w:after="0" w:line="520" w:lineRule="exact"/>
              <w:ind w:leftChars="0" w:right="0" w:firstLine="480" w:firstLineChars="200"/>
              <w:jc w:val="both"/>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硅颗粒主要是将硅块进行破碎和筛分后得到的产物，制作工艺较为简单。</w:t>
            </w:r>
          </w:p>
          <w:p>
            <w:pPr>
              <w:pStyle w:val="22"/>
              <w:keepNext w:val="0"/>
              <w:keepLines w:val="0"/>
              <w:pageBreakBefore w:val="0"/>
              <w:widowControl w:val="0"/>
              <w:numPr>
                <w:ilvl w:val="0"/>
                <w:numId w:val="0"/>
              </w:numPr>
              <w:tabs>
                <w:tab w:val="left" w:pos="257"/>
              </w:tabs>
              <w:kinsoku/>
              <w:wordWrap w:val="0"/>
              <w:overflowPunct/>
              <w:topLinePunct w:val="0"/>
              <w:autoSpaceDE/>
              <w:autoSpaceDN/>
              <w:bidi w:val="0"/>
              <w:adjustRightInd w:val="0"/>
              <w:snapToGrid w:val="0"/>
              <w:spacing w:after="0" w:line="520" w:lineRule="exact"/>
              <w:textAlignment w:val="auto"/>
              <w:rPr>
                <w:rFonts w:hint="default" w:ascii="Times New Roman" w:hAnsi="Times New Roman" w:eastAsia="宋体" w:cs="Times New Roman"/>
                <w:b w:val="0"/>
                <w:bCs/>
                <w:color w:val="auto"/>
                <w:kern w:val="2"/>
                <w:sz w:val="24"/>
                <w:szCs w:val="24"/>
                <w:lang w:val="en-US" w:eastAsia="zh-CN" w:bidi="ar"/>
              </w:rPr>
            </w:pPr>
            <w:r>
              <w:rPr>
                <w:rFonts w:hint="eastAsia" w:cs="Times New Roman"/>
                <w:lang w:val="en-US" w:eastAsia="zh-CN"/>
              </w:rPr>
              <w:t>硅颗粒</w:t>
            </w:r>
            <w:r>
              <w:rPr>
                <w:rFonts w:hint="default" w:ascii="Times New Roman" w:hAnsi="Times New Roman" w:eastAsia="宋体" w:cs="Times New Roman"/>
                <w:lang w:val="en-US" w:eastAsia="zh-CN"/>
              </w:rPr>
              <w:t>工艺流程图</w:t>
            </w:r>
            <w:r>
              <w:rPr>
                <w:rFonts w:hint="default" w:ascii="Times New Roman" w:hAnsi="Times New Roman" w:eastAsia="宋体" w:cs="Times New Roman"/>
                <w:b w:val="0"/>
                <w:bCs/>
                <w:color w:val="auto"/>
                <w:kern w:val="2"/>
                <w:sz w:val="24"/>
                <w:szCs w:val="24"/>
                <w:lang w:val="en-US" w:eastAsia="zh-CN" w:bidi="ar"/>
              </w:rPr>
              <w:t>见下图。</w:t>
            </w:r>
          </w:p>
          <w:p>
            <w:pPr>
              <w:rPr>
                <w:rFonts w:hint="default" w:ascii="Times New Roman" w:hAnsi="Times New Roman" w:eastAsia="宋体" w:cs="Times New Roman"/>
                <w:b w:val="0"/>
                <w:bCs/>
                <w:color w:val="auto"/>
                <w:kern w:val="2"/>
                <w:sz w:val="24"/>
                <w:szCs w:val="24"/>
                <w:lang w:val="en-US" w:eastAsia="zh-CN" w:bidi="ar"/>
              </w:rPr>
            </w:pPr>
          </w:p>
          <w:p>
            <w:pPr>
              <w:rPr>
                <w:rFonts w:hint="default" w:ascii="Times New Roman" w:hAnsi="Times New Roman" w:eastAsia="宋体" w:cs="Times New Roman"/>
                <w:b w:val="0"/>
                <w:bCs/>
                <w:color w:val="auto"/>
                <w:kern w:val="2"/>
                <w:sz w:val="24"/>
                <w:szCs w:val="24"/>
                <w:lang w:val="en-US" w:eastAsia="zh-CN" w:bidi="ar"/>
              </w:rPr>
            </w:pPr>
          </w:p>
          <w:p>
            <w:pPr>
              <w:rPr>
                <w:rFonts w:hint="default" w:ascii="Times New Roman" w:hAnsi="Times New Roman" w:eastAsia="宋体" w:cs="Times New Roman"/>
                <w:b w:val="0"/>
                <w:bCs/>
                <w:color w:val="auto"/>
                <w:kern w:val="2"/>
                <w:sz w:val="24"/>
                <w:szCs w:val="24"/>
                <w:lang w:val="en-US" w:eastAsia="zh-CN" w:bidi="ar"/>
              </w:rPr>
            </w:pPr>
          </w:p>
          <w:p>
            <w:pPr>
              <w:rPr>
                <w:rFonts w:hint="default" w:ascii="Times New Roman" w:hAnsi="Times New Roman" w:eastAsia="宋体" w:cs="Times New Roman"/>
                <w:b w:val="0"/>
                <w:bCs/>
                <w:color w:val="auto"/>
                <w:kern w:val="2"/>
                <w:sz w:val="24"/>
                <w:szCs w:val="24"/>
                <w:lang w:val="en-US" w:eastAsia="zh-CN" w:bidi="ar"/>
              </w:rPr>
            </w:pPr>
          </w:p>
          <w:p>
            <w:pPr>
              <w:rPr>
                <w:rFonts w:hint="default" w:ascii="Times New Roman" w:hAnsi="Times New Roman" w:eastAsia="宋体" w:cs="Times New Roman"/>
                <w:b w:val="0"/>
                <w:bCs/>
                <w:color w:val="auto"/>
                <w:kern w:val="2"/>
                <w:sz w:val="24"/>
                <w:szCs w:val="24"/>
                <w:lang w:val="en-US" w:eastAsia="zh-CN" w:bidi="ar"/>
              </w:rPr>
            </w:pPr>
          </w:p>
          <w:p>
            <w:pPr>
              <w:rPr>
                <w:rFonts w:hint="default" w:ascii="Times New Roman" w:hAnsi="Times New Roman" w:eastAsia="宋体" w:cs="Times New Roman"/>
                <w:b w:val="0"/>
                <w:bCs/>
                <w:color w:val="auto"/>
                <w:kern w:val="2"/>
                <w:sz w:val="24"/>
                <w:szCs w:val="24"/>
                <w:lang w:val="en-US" w:eastAsia="zh-CN" w:bidi="ar"/>
              </w:rPr>
            </w:pPr>
          </w:p>
          <w:p>
            <w:pPr>
              <w:rPr>
                <w:rFonts w:hint="default" w:ascii="Times New Roman" w:hAnsi="Times New Roman" w:eastAsia="宋体" w:cs="Times New Roman"/>
                <w:b w:val="0"/>
                <w:bCs/>
                <w:color w:val="auto"/>
                <w:kern w:val="2"/>
                <w:sz w:val="24"/>
                <w:szCs w:val="24"/>
                <w:lang w:val="en-US" w:eastAsia="zh-CN" w:bidi="ar"/>
              </w:rPr>
            </w:pPr>
          </w:p>
          <w:p>
            <w:pPr>
              <w:rPr>
                <w:rFonts w:hint="default" w:ascii="Times New Roman" w:hAnsi="Times New Roman" w:eastAsia="宋体" w:cs="Times New Roman"/>
                <w:b w:val="0"/>
                <w:bCs/>
                <w:color w:val="auto"/>
                <w:kern w:val="2"/>
                <w:sz w:val="24"/>
                <w:szCs w:val="24"/>
                <w:lang w:val="en-US" w:eastAsia="zh-CN" w:bidi="ar"/>
              </w:rPr>
            </w:pPr>
          </w:p>
          <w:p>
            <w:pPr>
              <w:rPr>
                <w:rFonts w:hint="default" w:ascii="Times New Roman" w:hAnsi="Times New Roman" w:eastAsia="宋体" w:cs="Times New Roman"/>
                <w:b w:val="0"/>
                <w:bCs/>
                <w:color w:val="auto"/>
                <w:kern w:val="2"/>
                <w:sz w:val="24"/>
                <w:szCs w:val="24"/>
                <w:lang w:val="en-US" w:eastAsia="zh-CN" w:bidi="ar"/>
              </w:rPr>
            </w:pPr>
          </w:p>
          <w:p>
            <w:pPr>
              <w:rPr>
                <w:rFonts w:hint="default" w:ascii="Times New Roman" w:hAnsi="Times New Roman" w:eastAsia="宋体" w:cs="Times New Roman"/>
                <w:b w:val="0"/>
                <w:bCs/>
                <w:color w:val="auto"/>
                <w:kern w:val="2"/>
                <w:sz w:val="24"/>
                <w:szCs w:val="24"/>
                <w:lang w:val="en-US" w:eastAsia="zh-CN" w:bidi="ar"/>
              </w:rPr>
            </w:pPr>
          </w:p>
          <w:p>
            <w:pPr>
              <w:rPr>
                <w:rFonts w:hint="default" w:ascii="Times New Roman" w:hAnsi="Times New Roman" w:eastAsia="宋体" w:cs="Times New Roman"/>
                <w:b w:val="0"/>
                <w:bCs/>
                <w:color w:val="auto"/>
                <w:kern w:val="2"/>
                <w:sz w:val="24"/>
                <w:szCs w:val="24"/>
                <w:lang w:val="en-US" w:eastAsia="zh-CN" w:bidi="ar"/>
              </w:rPr>
            </w:pPr>
          </w:p>
          <w:p>
            <w:pPr>
              <w:rPr>
                <w:rFonts w:hint="default" w:ascii="Times New Roman" w:hAnsi="Times New Roman" w:eastAsia="宋体" w:cs="Times New Roman"/>
                <w:b w:val="0"/>
                <w:bCs/>
                <w:color w:val="auto"/>
                <w:kern w:val="2"/>
                <w:sz w:val="24"/>
                <w:szCs w:val="24"/>
                <w:lang w:val="en-US" w:eastAsia="zh-CN" w:bidi="ar"/>
              </w:rPr>
            </w:pPr>
          </w:p>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default" w:ascii="Times New Roman" w:hAnsi="Times New Roman" w:cs="Times New Roman"/>
                <w:lang w:val="en-US" w:eastAsia="zh-CN"/>
              </w:rPr>
            </w:pPr>
            <w:r>
              <w:rPr>
                <w:rFonts w:hint="eastAsia" w:eastAsia="宋体"/>
                <w:lang w:eastAsia="zh-CN"/>
              </w:rPr>
              <w:drawing>
                <wp:inline distT="0" distB="0" distL="114300" distR="114300">
                  <wp:extent cx="4865370" cy="3014345"/>
                  <wp:effectExtent l="0" t="0" r="11430" b="3175"/>
                  <wp:docPr id="6" name="F360BE8B-6686-4F3D-AEAF-501FE73E4058-2" descr="C:/Users/Administrator/AppData/Local/Temp/绘图1(59).png绘图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360BE8B-6686-4F3D-AEAF-501FE73E4058-2" descr="C:/Users/Administrator/AppData/Local/Temp/绘图1(59).png绘图1(59)"/>
                          <pic:cNvPicPr>
                            <a:picLocks noChangeAspect="1"/>
                          </pic:cNvPicPr>
                        </pic:nvPicPr>
                        <pic:blipFill>
                          <a:blip r:embed="rId12"/>
                          <a:stretch>
                            <a:fillRect/>
                          </a:stretch>
                        </pic:blipFill>
                        <pic:spPr>
                          <a:xfrm>
                            <a:off x="0" y="0"/>
                            <a:ext cx="4865370" cy="3014345"/>
                          </a:xfrm>
                          <a:prstGeom prst="rect">
                            <a:avLst/>
                          </a:prstGeom>
                        </pic:spPr>
                      </pic:pic>
                    </a:graphicData>
                  </a:graphic>
                </wp:inline>
              </w:drawing>
            </w:r>
          </w:p>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default" w:ascii="Times New Roman" w:hAnsi="Times New Roman" w:cs="Times New Roman"/>
                <w:lang w:val="en-US" w:eastAsia="zh-CN"/>
              </w:rPr>
            </w:pPr>
            <w:r>
              <w:rPr>
                <w:rFonts w:hint="default" w:ascii="Times New Roman" w:hAnsi="Times New Roman" w:eastAsia="宋体" w:cs="Times New Roman"/>
                <w:b/>
                <w:bCs w:val="0"/>
                <w:color w:val="auto"/>
                <w:kern w:val="24"/>
                <w:sz w:val="21"/>
                <w:szCs w:val="21"/>
              </w:rPr>
              <w:t>图</w:t>
            </w:r>
            <w:r>
              <w:rPr>
                <w:rFonts w:hint="default" w:ascii="Times New Roman" w:hAnsi="Times New Roman" w:eastAsia="宋体" w:cs="Times New Roman"/>
                <w:b/>
                <w:bCs w:val="0"/>
                <w:color w:val="auto"/>
                <w:kern w:val="24"/>
                <w:sz w:val="21"/>
                <w:szCs w:val="21"/>
                <w:lang w:val="en-US" w:eastAsia="zh-CN"/>
              </w:rPr>
              <w:t>2-</w:t>
            </w:r>
            <w:r>
              <w:rPr>
                <w:rFonts w:hint="eastAsia" w:cs="Times New Roman"/>
                <w:b/>
                <w:bCs w:val="0"/>
                <w:color w:val="auto"/>
                <w:kern w:val="24"/>
                <w:sz w:val="21"/>
                <w:szCs w:val="21"/>
                <w:lang w:val="en-US" w:eastAsia="zh-CN"/>
              </w:rPr>
              <w:t>3</w:t>
            </w:r>
            <w:r>
              <w:rPr>
                <w:rFonts w:hint="default" w:ascii="Times New Roman" w:hAnsi="Times New Roman" w:eastAsia="宋体" w:cs="Times New Roman"/>
                <w:b/>
                <w:bCs w:val="0"/>
                <w:color w:val="auto"/>
                <w:kern w:val="24"/>
                <w:sz w:val="21"/>
                <w:szCs w:val="21"/>
              </w:rPr>
              <w:t xml:space="preserve">  </w:t>
            </w:r>
            <w:r>
              <w:rPr>
                <w:rFonts w:hint="eastAsia" w:cs="Times New Roman"/>
                <w:b/>
                <w:bCs w:val="0"/>
                <w:color w:val="auto"/>
                <w:kern w:val="24"/>
                <w:sz w:val="21"/>
                <w:szCs w:val="21"/>
                <w:lang w:val="en-US" w:eastAsia="zh-CN"/>
              </w:rPr>
              <w:t xml:space="preserve">  硅颗粒</w:t>
            </w:r>
            <w:r>
              <w:rPr>
                <w:rFonts w:hint="default" w:ascii="Times New Roman" w:hAnsi="Times New Roman" w:eastAsia="宋体" w:cs="Times New Roman"/>
                <w:b/>
                <w:bCs/>
                <w:sz w:val="21"/>
                <w:szCs w:val="21"/>
                <w:lang w:val="en-US" w:eastAsia="zh-CN"/>
              </w:rPr>
              <w:t>工艺流程</w:t>
            </w:r>
            <w:r>
              <w:rPr>
                <w:rFonts w:hint="default" w:ascii="Times New Roman" w:hAnsi="Times New Roman" w:eastAsia="宋体" w:cs="Times New Roman"/>
                <w:b/>
                <w:bCs w:val="0"/>
                <w:color w:val="auto"/>
                <w:kern w:val="24"/>
                <w:sz w:val="21"/>
                <w:szCs w:val="21"/>
              </w:rPr>
              <w:t>及产污</w:t>
            </w:r>
            <w:r>
              <w:rPr>
                <w:rFonts w:hint="default" w:ascii="Times New Roman" w:hAnsi="Times New Roman" w:eastAsia="宋体" w:cs="Times New Roman"/>
                <w:b/>
                <w:bCs w:val="0"/>
                <w:color w:val="auto"/>
                <w:kern w:val="24"/>
                <w:sz w:val="21"/>
                <w:szCs w:val="21"/>
                <w:lang w:val="en-US" w:eastAsia="zh-CN"/>
              </w:rPr>
              <w:t>节点</w:t>
            </w:r>
            <w:r>
              <w:rPr>
                <w:rFonts w:hint="default" w:ascii="Times New Roman" w:hAnsi="Times New Roman" w:eastAsia="宋体" w:cs="Times New Roman"/>
                <w:b/>
                <w:bCs w:val="0"/>
                <w:color w:val="auto"/>
                <w:kern w:val="24"/>
                <w:sz w:val="21"/>
                <w:szCs w:val="21"/>
              </w:rPr>
              <w:t>图</w:t>
            </w:r>
          </w:p>
          <w:p>
            <w:pPr>
              <w:pStyle w:val="22"/>
              <w:keepNext w:val="0"/>
              <w:keepLines w:val="0"/>
              <w:pageBreakBefore w:val="0"/>
              <w:widowControl w:val="0"/>
              <w:kinsoku/>
              <w:wordWrap w:val="0"/>
              <w:overflowPunct/>
              <w:topLinePunct w:val="0"/>
              <w:autoSpaceDE/>
              <w:autoSpaceDN/>
              <w:bidi w:val="0"/>
              <w:adjustRightInd w:val="0"/>
              <w:snapToGrid w:val="0"/>
              <w:spacing w:after="0" w:line="520" w:lineRule="exact"/>
              <w:ind w:left="0" w:leftChars="0" w:firstLine="0" w:firstLineChars="0"/>
              <w:jc w:val="left"/>
              <w:textAlignment w:val="auto"/>
              <w:rPr>
                <w:rFonts w:hint="default" w:ascii="Times New Roman" w:hAnsi="Times New Roman" w:eastAsia="宋体" w:cs="Times New Roman"/>
                <w:b w:val="0"/>
                <w:bCs/>
                <w:color w:val="auto"/>
                <w:sz w:val="24"/>
                <w:szCs w:val="24"/>
                <w:lang w:val="en-US" w:eastAsia="zh-CN"/>
              </w:rPr>
            </w:pPr>
            <w:r>
              <w:rPr>
                <w:rStyle w:val="71"/>
                <w:rFonts w:hint="eastAsia"/>
                <w:b/>
                <w:bCs/>
                <w:lang w:val="en-US" w:eastAsia="zh-CN"/>
              </w:rPr>
              <w:t>工艺流程简述</w:t>
            </w:r>
            <w:r>
              <w:rPr>
                <w:rStyle w:val="71"/>
                <w:rFonts w:hint="default"/>
                <w:b/>
                <w:bCs/>
                <w:lang w:val="en-US" w:eastAsia="zh-CN"/>
              </w:rPr>
              <w:t>：</w:t>
            </w:r>
          </w:p>
          <w:p>
            <w:pPr>
              <w:pStyle w:val="68"/>
              <w:shd w:val="clear"/>
              <w:bidi w:val="0"/>
              <w:rPr>
                <w:rFonts w:hint="eastAsia"/>
              </w:rPr>
            </w:pPr>
            <w:r>
              <w:rPr>
                <w:rFonts w:hint="eastAsia"/>
              </w:rPr>
              <w:t>一级破碎：外购的硅块作为初始原料，首先进入振动给料机。振动给料机通过持续的振动作用，将硅块均匀、稳定地输送至一级破碎机，避免因原料堆积导致破碎机进料不均。一级破碎机对大块硅料进行初步破碎，通过机械力将硅块破碎成粒度相对较大的颗粒，为后续二次破碎奠定基础。破碎后的物料由提升机运送至一级产品缓冲仓。</w:t>
            </w:r>
          </w:p>
          <w:p>
            <w:pPr>
              <w:pStyle w:val="68"/>
              <w:shd w:val="clear"/>
              <w:bidi w:val="0"/>
              <w:rPr>
                <w:rFonts w:hint="eastAsia"/>
              </w:rPr>
            </w:pPr>
            <w:r>
              <w:rPr>
                <w:rFonts w:hint="eastAsia"/>
              </w:rPr>
              <w:t>二级破碎：一级产品缓冲仓内的物料按设定速率进入二级破碎机。二级破碎针对一级破碎后的硅颗粒进行更深层次的细化处理，通过调整破碎参数，将物料粒度进一步减小，使其更接近后续筛分环节的目标粒度范围。</w:t>
            </w:r>
          </w:p>
          <w:p>
            <w:pPr>
              <w:pStyle w:val="68"/>
              <w:shd w:val="clear"/>
              <w:bidi w:val="0"/>
              <w:rPr>
                <w:rFonts w:hint="eastAsia"/>
              </w:rPr>
            </w:pPr>
            <w:r>
              <w:rPr>
                <w:rFonts w:hint="eastAsia"/>
              </w:rPr>
              <w:t>分离：破碎后的物料进入双旋风分离器进行分离，双旋风分离器本质是利用含尘气流的旋转运动，将粉尘颗粒的重力与离心力协同作用，实现气固分离。分离出的硅细</w:t>
            </w:r>
            <w:r>
              <w:rPr>
                <w:rFonts w:hint="eastAsia"/>
                <w:lang w:val="en-US" w:eastAsia="zh-CN"/>
              </w:rPr>
              <w:t>粉回用于生产或直接包装外售</w:t>
            </w:r>
            <w:r>
              <w:rPr>
                <w:rFonts w:hint="eastAsia"/>
              </w:rPr>
              <w:t>，硅粗粉进入</w:t>
            </w:r>
            <w:r>
              <w:rPr>
                <w:rFonts w:hint="eastAsia"/>
                <w:lang w:val="en-US" w:eastAsia="zh-CN"/>
              </w:rPr>
              <w:t>下一道</w:t>
            </w:r>
            <w:r>
              <w:rPr>
                <w:rFonts w:hint="eastAsia"/>
              </w:rPr>
              <w:t>工序。</w:t>
            </w:r>
          </w:p>
          <w:p>
            <w:pPr>
              <w:pStyle w:val="68"/>
              <w:shd w:val="clear"/>
              <w:bidi w:val="0"/>
              <w:rPr>
                <w:rFonts w:hint="default" w:eastAsia="宋体"/>
                <w:lang w:val="en-US" w:eastAsia="zh-CN"/>
              </w:rPr>
            </w:pPr>
            <w:r>
              <w:rPr>
                <w:rFonts w:hint="eastAsia"/>
              </w:rPr>
              <w:t>筛分：经分离后的物料进入筛分机，筛分机内设有特定规格的筛网。物料在筛分机内通过振动或旋转运动，使符合10-120目粒度的硅颗粒透过筛网，成为合格的中间产品，进入下一道除铁环节；</w:t>
            </w:r>
            <w:r>
              <w:rPr>
                <w:rFonts w:hint="eastAsia"/>
                <w:lang w:val="en-US" w:eastAsia="zh-CN"/>
              </w:rPr>
              <w:t>筛分出的硅细粉（易随气流漂浮）可直接吸附至集气管道内（负压），然后通过布袋除尘器处理后硅细粉会被滤袋拦截，拦截的细粉定期通过除尘器灰斗排出，排出的硅细粉经包装后可直接作为产品外售或经压饼机处理后得到饼状硅。</w:t>
            </w:r>
          </w:p>
          <w:p>
            <w:pPr>
              <w:pStyle w:val="68"/>
              <w:shd w:val="clear"/>
              <w:bidi w:val="0"/>
              <w:rPr>
                <w:rFonts w:hint="eastAsia"/>
              </w:rPr>
            </w:pPr>
            <w:r>
              <w:rPr>
                <w:rFonts w:hint="eastAsia"/>
              </w:rPr>
              <w:t>除铁：筛分合格的硅颗粒进入磁铁机（磁选设备）。由于硅料在破碎、输送过程中可能混入铁屑、铁磁性金属颗粒等杂质（如设备磨损产生的碎屑），这些杂质若残留于硅颗粒中，会严重影响后续产品的性能。磁铁机利用强磁场产生的吸引力，将硅颗粒中混杂的铁磁性杂质牢牢吸附，从而与硅颗粒分离，确保进入后续环节的硅颗粒纯度符合要求。</w:t>
            </w:r>
          </w:p>
          <w:p>
            <w:pPr>
              <w:pStyle w:val="68"/>
              <w:shd w:val="clear"/>
              <w:bidi w:val="0"/>
              <w:rPr>
                <w:rFonts w:hint="eastAsia"/>
              </w:rPr>
            </w:pPr>
            <w:r>
              <w:rPr>
                <w:rFonts w:hint="eastAsia"/>
              </w:rPr>
              <w:t>包装：</w:t>
            </w:r>
            <w:r>
              <w:rPr>
                <w:rFonts w:hint="eastAsia"/>
                <w:lang w:val="en-US" w:eastAsia="zh-CN"/>
              </w:rPr>
              <w:t>本项目产品分为硅细粉，饼状硅和硅颗粒，硅细粉和硅颗粒使用吨包袋进行包装，饼状硅使用中转箱进行包装。</w:t>
            </w:r>
            <w:r>
              <w:rPr>
                <w:rFonts w:hint="eastAsia"/>
              </w:rPr>
              <w:t>包装后的</w:t>
            </w:r>
            <w:r>
              <w:rPr>
                <w:rFonts w:hint="eastAsia"/>
                <w:lang w:val="en-US" w:eastAsia="zh-CN"/>
              </w:rPr>
              <w:t>产品</w:t>
            </w:r>
            <w:r>
              <w:rPr>
                <w:rFonts w:hint="eastAsia"/>
              </w:rPr>
              <w:t>存放至成品区域进行外售。</w:t>
            </w:r>
          </w:p>
          <w:p>
            <w:pPr>
              <w:pStyle w:val="68"/>
              <w:shd w:val="clear"/>
              <w:bidi w:val="0"/>
              <w:rPr>
                <w:rFonts w:hint="eastAsia"/>
              </w:rPr>
            </w:pPr>
            <w:r>
              <w:rPr>
                <w:rFonts w:hint="eastAsia"/>
              </w:rPr>
              <w:t>三级破碎：根据客户要求，需要</w:t>
            </w:r>
            <w:r>
              <w:rPr>
                <w:rFonts w:hint="eastAsia"/>
                <w:lang w:eastAsia="zh-CN"/>
              </w:rPr>
              <w:t>超细颗粒</w:t>
            </w:r>
            <w:r>
              <w:rPr>
                <w:rFonts w:hint="eastAsia"/>
              </w:rPr>
              <w:t>的产品，经筛分后再进入三级破碎机进行破碎，破碎完之后再回到筛分，筛分出合格物料再进行除铁，包装。</w:t>
            </w:r>
          </w:p>
          <w:p>
            <w:pPr>
              <w:pStyle w:val="68"/>
              <w:shd w:val="clear"/>
              <w:bidi w:val="0"/>
              <w:rPr>
                <w:rFonts w:hint="eastAsia"/>
              </w:rPr>
            </w:pPr>
            <w:r>
              <w:rPr>
                <w:rFonts w:hint="eastAsia"/>
              </w:rPr>
              <w:t>压饼：</w:t>
            </w:r>
            <w:r>
              <w:rPr>
                <w:rFonts w:hint="eastAsia"/>
                <w:lang w:val="en-US" w:eastAsia="zh-CN"/>
              </w:rPr>
              <w:t>根据客户要求，部分</w:t>
            </w:r>
            <w:r>
              <w:rPr>
                <w:rFonts w:hint="eastAsia"/>
              </w:rPr>
              <w:t>双旋风分离器分离出的硅细粉</w:t>
            </w:r>
            <w:r>
              <w:rPr>
                <w:rFonts w:hint="eastAsia"/>
                <w:lang w:eastAsia="zh-CN"/>
              </w:rPr>
              <w:t>，</w:t>
            </w:r>
            <w:r>
              <w:rPr>
                <w:rFonts w:hint="eastAsia"/>
                <w:lang w:val="en-US" w:eastAsia="zh-CN"/>
              </w:rPr>
              <w:t>除尘器收集的粉尘和</w:t>
            </w:r>
            <w:r>
              <w:rPr>
                <w:rFonts w:hint="eastAsia"/>
              </w:rPr>
              <w:t>筛分机筛分出来的硅细粉用压饼机将硅粉压制成饼状，改变其物理形态，方便</w:t>
            </w:r>
            <w:r>
              <w:rPr>
                <w:rFonts w:hint="eastAsia"/>
                <w:lang w:val="en-US" w:eastAsia="zh-CN"/>
              </w:rPr>
              <w:t>饼状硅粉的售卖、</w:t>
            </w:r>
            <w:r>
              <w:rPr>
                <w:rFonts w:hint="eastAsia"/>
              </w:rPr>
              <w:t>运输和储存。</w:t>
            </w:r>
          </w:p>
          <w:p>
            <w:pPr>
              <w:pStyle w:val="68"/>
              <w:shd w:val="clear"/>
              <w:bidi w:val="0"/>
              <w:rPr>
                <w:rFonts w:hint="default" w:eastAsia="宋体"/>
                <w:sz w:val="22"/>
                <w:szCs w:val="22"/>
                <w:lang w:val="en-US" w:eastAsia="zh-CN"/>
              </w:rPr>
            </w:pPr>
            <w:r>
              <w:rPr>
                <w:rFonts w:hint="eastAsia"/>
                <w:sz w:val="22"/>
                <w:szCs w:val="22"/>
                <w:lang w:val="en-US" w:eastAsia="zh-CN"/>
              </w:rPr>
              <w:t>备注：本项目料仓处，出料口和进料口处都放置强磁块，用来吸附磁性物质。</w:t>
            </w:r>
          </w:p>
          <w:p>
            <w:pPr>
              <w:pStyle w:val="68"/>
              <w:bidi w:val="0"/>
              <w:ind w:left="0" w:leftChars="0" w:firstLine="0" w:firstLineChars="0"/>
              <w:rPr>
                <w:rFonts w:hint="default"/>
                <w:b/>
                <w:bCs/>
                <w:lang w:val="en-US" w:eastAsia="zh-CN"/>
              </w:rPr>
            </w:pPr>
            <w:r>
              <w:rPr>
                <w:rFonts w:hint="eastAsia"/>
                <w:b/>
                <w:bCs/>
                <w:lang w:val="en-US" w:eastAsia="zh-CN"/>
              </w:rPr>
              <w:t>产排污环节分析：</w:t>
            </w:r>
          </w:p>
          <w:p>
            <w:pPr>
              <w:pStyle w:val="68"/>
              <w:bidi w:val="0"/>
              <w:rPr>
                <w:rFonts w:hint="default"/>
                <w:lang w:val="en-US" w:eastAsia="zh-CN"/>
              </w:rPr>
            </w:pPr>
            <w:r>
              <w:rPr>
                <w:rFonts w:hint="default"/>
                <w:lang w:val="en-US" w:eastAsia="zh-CN"/>
              </w:rPr>
              <w:t>本项目生产中会产生相应类别的污染物，本项目产污环节汇总表</w:t>
            </w:r>
            <w:r>
              <w:rPr>
                <w:rFonts w:hint="eastAsia"/>
                <w:lang w:val="en-US" w:eastAsia="zh-CN"/>
              </w:rPr>
              <w:t>详</w:t>
            </w:r>
            <w:r>
              <w:rPr>
                <w:rFonts w:hint="default"/>
                <w:lang w:val="en-US" w:eastAsia="zh-CN"/>
              </w:rPr>
              <w:t>见</w:t>
            </w:r>
            <w:r>
              <w:rPr>
                <w:rFonts w:hint="eastAsia"/>
                <w:lang w:val="en-US" w:eastAsia="zh-CN"/>
              </w:rPr>
              <w:t>下</w:t>
            </w:r>
            <w:r>
              <w:rPr>
                <w:rFonts w:hint="default"/>
                <w:lang w:val="en-US" w:eastAsia="zh-CN"/>
              </w:rPr>
              <w:t>表</w:t>
            </w:r>
            <w:r>
              <w:rPr>
                <w:rFonts w:hint="eastAsia"/>
                <w:lang w:val="en-US" w:eastAsia="zh-CN"/>
              </w:rPr>
              <w:t>。</w:t>
            </w:r>
          </w:p>
          <w:p>
            <w:pPr>
              <w:pStyle w:val="65"/>
              <w:bidi w:val="0"/>
              <w:rPr>
                <w:rFonts w:hint="default"/>
                <w:lang w:val="en-US" w:eastAsia="zh-CN"/>
              </w:rPr>
            </w:pPr>
            <w:r>
              <w:rPr>
                <w:rFonts w:hint="default"/>
                <w:lang w:val="en-US" w:eastAsia="zh-CN"/>
              </w:rPr>
              <w:t>表2-</w:t>
            </w:r>
            <w:r>
              <w:rPr>
                <w:rFonts w:hint="eastAsia"/>
                <w:lang w:val="en-US" w:eastAsia="zh-CN"/>
              </w:rPr>
              <w:t>8</w:t>
            </w:r>
            <w:r>
              <w:rPr>
                <w:rFonts w:hint="default"/>
                <w:lang w:val="en-US" w:eastAsia="zh-CN"/>
              </w:rPr>
              <w:t xml:space="preserve">  </w:t>
            </w:r>
            <w:r>
              <w:rPr>
                <w:rFonts w:hint="eastAsia"/>
                <w:lang w:val="en-US" w:eastAsia="zh-CN"/>
              </w:rPr>
              <w:t xml:space="preserve">  </w:t>
            </w:r>
            <w:r>
              <w:rPr>
                <w:rFonts w:hint="default"/>
                <w:lang w:val="en-US" w:eastAsia="zh-CN"/>
              </w:rPr>
              <w:t>运营期主要污染工序一览表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873"/>
              <w:gridCol w:w="1994"/>
              <w:gridCol w:w="3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9" w:type="pct"/>
                  <w:shd w:val="clear" w:color="auto" w:fill="auto"/>
                  <w:noWrap w:val="0"/>
                  <w:vAlign w:val="center"/>
                </w:tcPr>
                <w:p>
                  <w:pPr>
                    <w:pStyle w:val="66"/>
                    <w:bidi w:val="0"/>
                    <w:rPr>
                      <w:rFonts w:hint="default"/>
                      <w:lang w:val="en-US" w:eastAsia="zh-CN"/>
                    </w:rPr>
                  </w:pPr>
                  <w:r>
                    <w:rPr>
                      <w:rFonts w:hint="default"/>
                      <w:lang w:val="en-US" w:eastAsia="zh-CN"/>
                    </w:rPr>
                    <w:t>污染类别</w:t>
                  </w:r>
                </w:p>
              </w:tc>
              <w:tc>
                <w:tcPr>
                  <w:tcW w:w="1162" w:type="pct"/>
                  <w:noWrap w:val="0"/>
                  <w:vAlign w:val="center"/>
                </w:tcPr>
                <w:p>
                  <w:pPr>
                    <w:pStyle w:val="66"/>
                    <w:bidi w:val="0"/>
                    <w:rPr>
                      <w:rFonts w:hint="default"/>
                      <w:lang w:val="en-US" w:eastAsia="zh-CN"/>
                    </w:rPr>
                  </w:pPr>
                  <w:r>
                    <w:rPr>
                      <w:rFonts w:hint="default"/>
                      <w:lang w:val="en-US" w:eastAsia="zh-CN"/>
                    </w:rPr>
                    <w:t>工序</w:t>
                  </w:r>
                </w:p>
              </w:tc>
              <w:tc>
                <w:tcPr>
                  <w:tcW w:w="1237" w:type="pct"/>
                  <w:noWrap w:val="0"/>
                  <w:vAlign w:val="center"/>
                </w:tcPr>
                <w:p>
                  <w:pPr>
                    <w:pStyle w:val="66"/>
                    <w:bidi w:val="0"/>
                    <w:rPr>
                      <w:rFonts w:hint="default"/>
                      <w:lang w:val="en-US" w:eastAsia="zh-CN"/>
                    </w:rPr>
                  </w:pPr>
                  <w:r>
                    <w:rPr>
                      <w:rFonts w:hint="default"/>
                      <w:lang w:val="en-US" w:eastAsia="zh-CN"/>
                    </w:rPr>
                    <w:t>主要污染因子</w:t>
                  </w:r>
                </w:p>
              </w:tc>
              <w:tc>
                <w:tcPr>
                  <w:tcW w:w="2110" w:type="pct"/>
                  <w:noWrap w:val="0"/>
                  <w:vAlign w:val="center"/>
                </w:tcPr>
                <w:p>
                  <w:pPr>
                    <w:pStyle w:val="66"/>
                    <w:bidi w:val="0"/>
                    <w:rPr>
                      <w:rFonts w:hint="default"/>
                      <w:lang w:val="en-US" w:eastAsia="zh-CN"/>
                    </w:rPr>
                  </w:pPr>
                  <w:r>
                    <w:rPr>
                      <w:rFonts w:hint="default"/>
                      <w:lang w:val="en-US" w:eastAsia="zh-CN"/>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89" w:type="pct"/>
                  <w:vMerge w:val="restart"/>
                  <w:shd w:val="clear" w:color="auto" w:fill="auto"/>
                  <w:noWrap w:val="0"/>
                  <w:vAlign w:val="center"/>
                </w:tcPr>
                <w:p>
                  <w:pPr>
                    <w:pStyle w:val="66"/>
                    <w:bidi w:val="0"/>
                    <w:rPr>
                      <w:rFonts w:hint="default"/>
                      <w:lang w:val="en-US" w:eastAsia="zh-CN"/>
                    </w:rPr>
                  </w:pPr>
                  <w:r>
                    <w:rPr>
                      <w:rFonts w:hint="default"/>
                      <w:lang w:val="en-US" w:eastAsia="zh-CN"/>
                    </w:rPr>
                    <w:t>废气</w:t>
                  </w:r>
                </w:p>
              </w:tc>
              <w:tc>
                <w:tcPr>
                  <w:tcW w:w="1162" w:type="pct"/>
                  <w:shd w:val="clear" w:color="auto" w:fill="auto"/>
                  <w:noWrap w:val="0"/>
                  <w:vAlign w:val="center"/>
                </w:tcPr>
                <w:p>
                  <w:pPr>
                    <w:pStyle w:val="66"/>
                    <w:bidi w:val="0"/>
                    <w:rPr>
                      <w:rFonts w:hint="default"/>
                      <w:lang w:val="en-US" w:eastAsia="zh-CN"/>
                    </w:rPr>
                  </w:pPr>
                  <w:r>
                    <w:rPr>
                      <w:rFonts w:hint="eastAsia"/>
                      <w:lang w:val="en-US" w:eastAsia="zh-CN"/>
                    </w:rPr>
                    <w:t>1#生产线一级破碎、二级破碎、筛分、三级破碎</w:t>
                  </w:r>
                </w:p>
              </w:tc>
              <w:tc>
                <w:tcPr>
                  <w:tcW w:w="1237" w:type="pct"/>
                  <w:shd w:val="clear" w:color="auto" w:fill="auto"/>
                  <w:noWrap w:val="0"/>
                  <w:vAlign w:val="center"/>
                </w:tcPr>
                <w:p>
                  <w:pPr>
                    <w:pStyle w:val="66"/>
                    <w:bidi w:val="0"/>
                    <w:rPr>
                      <w:rFonts w:hint="default"/>
                      <w:lang w:val="en-US" w:eastAsia="zh-CN"/>
                    </w:rPr>
                  </w:pPr>
                  <w:r>
                    <w:rPr>
                      <w:rFonts w:hint="default"/>
                      <w:lang w:val="en-US" w:eastAsia="zh-CN"/>
                    </w:rPr>
                    <w:t>颗粒物</w:t>
                  </w:r>
                </w:p>
              </w:tc>
              <w:tc>
                <w:tcPr>
                  <w:tcW w:w="2110" w:type="pct"/>
                  <w:shd w:val="clear" w:color="auto" w:fill="auto"/>
                  <w:noWrap w:val="0"/>
                  <w:vAlign w:val="center"/>
                </w:tcPr>
                <w:p>
                  <w:pPr>
                    <w:pStyle w:val="66"/>
                    <w:bidi w:val="0"/>
                    <w:rPr>
                      <w:rFonts w:hint="default"/>
                      <w:lang w:val="en-US" w:eastAsia="zh-CN"/>
                    </w:rPr>
                  </w:pPr>
                  <w:r>
                    <w:rPr>
                      <w:rFonts w:hint="eastAsia"/>
                      <w:lang w:val="en-US" w:eastAsia="zh-CN"/>
                    </w:rPr>
                    <w:t>收集后经布袋除尘器+15m排气筒进行处理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89" w:type="pct"/>
                  <w:vMerge w:val="continue"/>
                  <w:shd w:val="clear" w:color="auto" w:fill="auto"/>
                  <w:noWrap w:val="0"/>
                  <w:vAlign w:val="center"/>
                </w:tcPr>
                <w:p>
                  <w:pPr>
                    <w:pStyle w:val="66"/>
                    <w:bidi w:val="0"/>
                    <w:rPr>
                      <w:rFonts w:hint="default"/>
                      <w:lang w:val="en-US" w:eastAsia="zh-CN"/>
                    </w:rPr>
                  </w:pPr>
                </w:p>
              </w:tc>
              <w:tc>
                <w:tcPr>
                  <w:tcW w:w="1162" w:type="pct"/>
                  <w:shd w:val="clear" w:color="auto" w:fill="auto"/>
                  <w:noWrap w:val="0"/>
                  <w:vAlign w:val="center"/>
                </w:tcPr>
                <w:p>
                  <w:pPr>
                    <w:pStyle w:val="66"/>
                    <w:bidi w:val="0"/>
                    <w:rPr>
                      <w:rFonts w:hint="eastAsia"/>
                      <w:lang w:val="en-US" w:eastAsia="zh-CN"/>
                    </w:rPr>
                  </w:pPr>
                  <w:r>
                    <w:rPr>
                      <w:rFonts w:hint="eastAsia"/>
                      <w:lang w:val="en-US" w:eastAsia="zh-CN"/>
                    </w:rPr>
                    <w:t>2#生产线一级破碎、二级破碎、筛分、三级破碎</w:t>
                  </w:r>
                </w:p>
              </w:tc>
              <w:tc>
                <w:tcPr>
                  <w:tcW w:w="1237" w:type="pct"/>
                  <w:shd w:val="clear" w:color="auto" w:fill="auto"/>
                  <w:noWrap w:val="0"/>
                  <w:vAlign w:val="center"/>
                </w:tcPr>
                <w:p>
                  <w:pPr>
                    <w:pStyle w:val="66"/>
                    <w:bidi w:val="0"/>
                    <w:rPr>
                      <w:rFonts w:hint="default" w:ascii="Times New Roman" w:hAnsi="Times New Roman" w:eastAsia="宋体" w:cs="宋体"/>
                      <w:kern w:val="0"/>
                      <w:sz w:val="21"/>
                      <w:szCs w:val="21"/>
                      <w:lang w:val="en-US" w:eastAsia="zh-CN" w:bidi="ar-SA"/>
                    </w:rPr>
                  </w:pPr>
                  <w:r>
                    <w:rPr>
                      <w:rFonts w:hint="default"/>
                      <w:lang w:val="en-US" w:eastAsia="zh-CN"/>
                    </w:rPr>
                    <w:t>颗粒物</w:t>
                  </w:r>
                </w:p>
              </w:tc>
              <w:tc>
                <w:tcPr>
                  <w:tcW w:w="2110" w:type="pct"/>
                  <w:shd w:val="clear" w:color="auto" w:fill="auto"/>
                  <w:noWrap w:val="0"/>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收集后经布袋除尘器+15m排气筒进行处理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89" w:type="pct"/>
                  <w:vMerge w:val="continue"/>
                  <w:shd w:val="clear" w:color="auto" w:fill="auto"/>
                  <w:noWrap w:val="0"/>
                  <w:vAlign w:val="center"/>
                </w:tcPr>
                <w:p>
                  <w:pPr>
                    <w:pStyle w:val="66"/>
                    <w:bidi w:val="0"/>
                    <w:rPr>
                      <w:rFonts w:hint="default"/>
                      <w:lang w:val="en-US" w:eastAsia="zh-CN"/>
                    </w:rPr>
                  </w:pPr>
                </w:p>
              </w:tc>
              <w:tc>
                <w:tcPr>
                  <w:tcW w:w="1162" w:type="pct"/>
                  <w:shd w:val="clear" w:color="auto" w:fill="auto"/>
                  <w:noWrap w:val="0"/>
                  <w:vAlign w:val="center"/>
                </w:tcPr>
                <w:p>
                  <w:pPr>
                    <w:pStyle w:val="66"/>
                    <w:bidi w:val="0"/>
                    <w:rPr>
                      <w:rFonts w:hint="eastAsia"/>
                      <w:lang w:val="en-US" w:eastAsia="zh-CN"/>
                    </w:rPr>
                  </w:pPr>
                  <w:r>
                    <w:rPr>
                      <w:rFonts w:hint="eastAsia"/>
                      <w:lang w:val="en-US" w:eastAsia="zh-CN"/>
                    </w:rPr>
                    <w:t>3#生产线一级破碎、二级破碎、筛分、三级破碎</w:t>
                  </w:r>
                </w:p>
              </w:tc>
              <w:tc>
                <w:tcPr>
                  <w:tcW w:w="1237" w:type="pct"/>
                  <w:shd w:val="clear" w:color="auto" w:fill="auto"/>
                  <w:noWrap w:val="0"/>
                  <w:vAlign w:val="center"/>
                </w:tcPr>
                <w:p>
                  <w:pPr>
                    <w:pStyle w:val="66"/>
                    <w:bidi w:val="0"/>
                    <w:rPr>
                      <w:rFonts w:hint="default" w:ascii="Times New Roman" w:hAnsi="Times New Roman" w:eastAsia="宋体" w:cs="宋体"/>
                      <w:kern w:val="0"/>
                      <w:sz w:val="21"/>
                      <w:szCs w:val="21"/>
                      <w:lang w:val="en-US" w:eastAsia="zh-CN" w:bidi="ar-SA"/>
                    </w:rPr>
                  </w:pPr>
                  <w:r>
                    <w:rPr>
                      <w:rFonts w:hint="default"/>
                      <w:lang w:val="en-US" w:eastAsia="zh-CN"/>
                    </w:rPr>
                    <w:t>颗粒物</w:t>
                  </w:r>
                </w:p>
              </w:tc>
              <w:tc>
                <w:tcPr>
                  <w:tcW w:w="2110" w:type="pct"/>
                  <w:shd w:val="clear" w:color="auto" w:fill="auto"/>
                  <w:noWrap w:val="0"/>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收集后经布袋除尘器+15m排气筒进行处理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89" w:type="pct"/>
                  <w:vMerge w:val="continue"/>
                  <w:shd w:val="clear" w:color="auto" w:fill="auto"/>
                  <w:noWrap w:val="0"/>
                  <w:vAlign w:val="center"/>
                </w:tcPr>
                <w:p>
                  <w:pPr>
                    <w:pStyle w:val="66"/>
                    <w:bidi w:val="0"/>
                    <w:rPr>
                      <w:rFonts w:hint="default"/>
                      <w:lang w:val="en-US" w:eastAsia="zh-CN"/>
                    </w:rPr>
                  </w:pPr>
                </w:p>
              </w:tc>
              <w:tc>
                <w:tcPr>
                  <w:tcW w:w="1162" w:type="pct"/>
                  <w:shd w:val="clear" w:color="auto" w:fill="auto"/>
                  <w:noWrap w:val="0"/>
                  <w:vAlign w:val="center"/>
                </w:tcPr>
                <w:p>
                  <w:pPr>
                    <w:pStyle w:val="66"/>
                    <w:bidi w:val="0"/>
                    <w:rPr>
                      <w:rFonts w:hint="eastAsia"/>
                      <w:lang w:val="en-US" w:eastAsia="zh-CN"/>
                    </w:rPr>
                  </w:pPr>
                  <w:r>
                    <w:rPr>
                      <w:rFonts w:hint="eastAsia"/>
                      <w:lang w:val="en-US" w:eastAsia="zh-CN"/>
                    </w:rPr>
                    <w:t>4#生产线一级破碎、二级破碎、筛分、三级破碎</w:t>
                  </w:r>
                </w:p>
              </w:tc>
              <w:tc>
                <w:tcPr>
                  <w:tcW w:w="1237" w:type="pct"/>
                  <w:shd w:val="clear" w:color="auto" w:fill="auto"/>
                  <w:noWrap w:val="0"/>
                  <w:vAlign w:val="center"/>
                </w:tcPr>
                <w:p>
                  <w:pPr>
                    <w:pStyle w:val="66"/>
                    <w:bidi w:val="0"/>
                    <w:rPr>
                      <w:rFonts w:hint="default" w:ascii="Times New Roman" w:hAnsi="Times New Roman" w:eastAsia="宋体" w:cs="宋体"/>
                      <w:kern w:val="0"/>
                      <w:sz w:val="21"/>
                      <w:szCs w:val="21"/>
                      <w:lang w:val="en-US" w:eastAsia="zh-CN" w:bidi="ar-SA"/>
                    </w:rPr>
                  </w:pPr>
                  <w:r>
                    <w:rPr>
                      <w:rFonts w:hint="default"/>
                      <w:lang w:val="en-US" w:eastAsia="zh-CN"/>
                    </w:rPr>
                    <w:t>颗粒物</w:t>
                  </w:r>
                </w:p>
              </w:tc>
              <w:tc>
                <w:tcPr>
                  <w:tcW w:w="2110" w:type="pct"/>
                  <w:shd w:val="clear" w:color="auto" w:fill="auto"/>
                  <w:noWrap w:val="0"/>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收集后经布袋除尘器+15m排气筒进行处理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9" w:type="pct"/>
                  <w:vMerge w:val="restart"/>
                  <w:shd w:val="clear" w:color="auto" w:fill="auto"/>
                  <w:noWrap w:val="0"/>
                  <w:vAlign w:val="center"/>
                </w:tcPr>
                <w:p>
                  <w:pPr>
                    <w:pStyle w:val="66"/>
                    <w:bidi w:val="0"/>
                    <w:rPr>
                      <w:rFonts w:hint="default"/>
                      <w:lang w:val="en-US" w:eastAsia="zh-CN"/>
                    </w:rPr>
                  </w:pPr>
                  <w:r>
                    <w:rPr>
                      <w:rFonts w:hint="default"/>
                      <w:lang w:val="en-US" w:eastAsia="zh-CN"/>
                    </w:rPr>
                    <w:t>废水</w:t>
                  </w:r>
                </w:p>
              </w:tc>
              <w:tc>
                <w:tcPr>
                  <w:tcW w:w="1162" w:type="pct"/>
                  <w:noWrap w:val="0"/>
                  <w:vAlign w:val="center"/>
                </w:tcPr>
                <w:p>
                  <w:pPr>
                    <w:pStyle w:val="66"/>
                    <w:bidi w:val="0"/>
                    <w:rPr>
                      <w:rFonts w:hint="default"/>
                      <w:lang w:val="en-US" w:eastAsia="zh-CN"/>
                    </w:rPr>
                  </w:pPr>
                  <w:r>
                    <w:rPr>
                      <w:rFonts w:hint="default"/>
                      <w:lang w:val="en-US" w:eastAsia="zh-CN"/>
                    </w:rPr>
                    <w:t>生活污水</w:t>
                  </w:r>
                </w:p>
              </w:tc>
              <w:tc>
                <w:tcPr>
                  <w:tcW w:w="1237" w:type="pct"/>
                  <w:noWrap w:val="0"/>
                  <w:vAlign w:val="center"/>
                </w:tcPr>
                <w:p>
                  <w:pPr>
                    <w:pStyle w:val="66"/>
                    <w:bidi w:val="0"/>
                    <w:rPr>
                      <w:rFonts w:hint="default" w:eastAsia="宋体"/>
                      <w:lang w:val="en-US" w:eastAsia="zh-CN"/>
                    </w:rPr>
                  </w:pPr>
                  <w:r>
                    <w:rPr>
                      <w:rFonts w:hint="default"/>
                    </w:rPr>
                    <w:t>COD、BOD</w:t>
                  </w:r>
                  <w:r>
                    <w:rPr>
                      <w:rFonts w:hint="default"/>
                      <w:vertAlign w:val="subscript"/>
                    </w:rPr>
                    <w:t>5</w:t>
                  </w:r>
                  <w:r>
                    <w:rPr>
                      <w:rFonts w:hint="default"/>
                    </w:rPr>
                    <w:t>、SS、NH</w:t>
                  </w:r>
                  <w:r>
                    <w:rPr>
                      <w:rFonts w:hint="default"/>
                      <w:vertAlign w:val="subscript"/>
                    </w:rPr>
                    <w:t>3</w:t>
                  </w:r>
                  <w:r>
                    <w:rPr>
                      <w:rFonts w:hint="default"/>
                    </w:rPr>
                    <w:t>-N</w:t>
                  </w:r>
                  <w:r>
                    <w:rPr>
                      <w:rFonts w:hint="eastAsia"/>
                      <w:lang w:eastAsia="zh-CN"/>
                    </w:rPr>
                    <w:t>、</w:t>
                  </w:r>
                  <w:r>
                    <w:rPr>
                      <w:rFonts w:hint="eastAsia"/>
                      <w:lang w:val="en-US" w:eastAsia="zh-CN"/>
                    </w:rPr>
                    <w:t>动植物油</w:t>
                  </w:r>
                </w:p>
              </w:tc>
              <w:tc>
                <w:tcPr>
                  <w:tcW w:w="2110" w:type="pct"/>
                  <w:noWrap w:val="0"/>
                  <w:vAlign w:val="center"/>
                </w:tcPr>
                <w:p>
                  <w:pPr>
                    <w:pStyle w:val="66"/>
                    <w:bidi w:val="0"/>
                    <w:rPr>
                      <w:rFonts w:hint="default"/>
                      <w:lang w:val="en-US" w:eastAsia="zh-CN"/>
                    </w:rPr>
                  </w:pPr>
                  <w:r>
                    <w:rPr>
                      <w:rFonts w:hint="default"/>
                      <w:lang w:val="en-US" w:eastAsia="zh-CN"/>
                    </w:rPr>
                    <w:t>生活污水</w:t>
                  </w:r>
                  <w:r>
                    <w:rPr>
                      <w:rFonts w:hint="eastAsia"/>
                      <w:lang w:val="en-US" w:eastAsia="zh-CN"/>
                    </w:rPr>
                    <w:t>先</w:t>
                  </w:r>
                  <w:r>
                    <w:rPr>
                      <w:rFonts w:hint="default"/>
                      <w:lang w:val="en-US" w:eastAsia="zh-CN"/>
                    </w:rPr>
                    <w:t>经化粪池</w:t>
                  </w:r>
                  <w:r>
                    <w:rPr>
                      <w:rFonts w:hint="eastAsia"/>
                      <w:lang w:val="en-US" w:eastAsia="zh-CN"/>
                    </w:rPr>
                    <w:t>预处理，再</w:t>
                  </w:r>
                  <w:r>
                    <w:rPr>
                      <w:rFonts w:hint="default"/>
                      <w:lang w:val="en-US" w:eastAsia="zh-CN"/>
                    </w:rPr>
                    <w:t>通过园区排水管网排至若羌县城乡污水处理厂进行处理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9" w:type="pct"/>
                  <w:vMerge w:val="continue"/>
                  <w:shd w:val="clear" w:color="auto" w:fill="auto"/>
                  <w:noWrap w:val="0"/>
                  <w:vAlign w:val="center"/>
                </w:tcPr>
                <w:p>
                  <w:pPr>
                    <w:pStyle w:val="66"/>
                    <w:bidi w:val="0"/>
                    <w:rPr>
                      <w:rFonts w:hint="default"/>
                      <w:lang w:val="en-US" w:eastAsia="zh-CN"/>
                    </w:rPr>
                  </w:pPr>
                </w:p>
              </w:tc>
              <w:tc>
                <w:tcPr>
                  <w:tcW w:w="1162" w:type="pct"/>
                  <w:noWrap w:val="0"/>
                  <w:vAlign w:val="center"/>
                </w:tcPr>
                <w:p>
                  <w:pPr>
                    <w:pStyle w:val="66"/>
                    <w:bidi w:val="0"/>
                    <w:rPr>
                      <w:rFonts w:hint="default"/>
                      <w:lang w:val="en-US" w:eastAsia="zh-CN"/>
                    </w:rPr>
                  </w:pPr>
                  <w:r>
                    <w:rPr>
                      <w:rFonts w:hint="eastAsia"/>
                      <w:lang w:val="en-US" w:eastAsia="zh-CN"/>
                    </w:rPr>
                    <w:t>洒水降尘用水</w:t>
                  </w:r>
                </w:p>
              </w:tc>
              <w:tc>
                <w:tcPr>
                  <w:tcW w:w="3348" w:type="pct"/>
                  <w:gridSpan w:val="2"/>
                  <w:noWrap w:val="0"/>
                  <w:vAlign w:val="center"/>
                </w:tcPr>
                <w:p>
                  <w:pPr>
                    <w:pStyle w:val="66"/>
                    <w:bidi w:val="0"/>
                    <w:rPr>
                      <w:rFonts w:hint="default"/>
                      <w:lang w:val="en-US" w:eastAsia="zh-CN"/>
                    </w:rPr>
                  </w:pPr>
                  <w:r>
                    <w:rPr>
                      <w:rFonts w:hint="eastAsia"/>
                      <w:lang w:val="en-US" w:eastAsia="zh-CN"/>
                    </w:rPr>
                    <w:t>洒水降尘用水蒸发逸散，不外排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9" w:type="pct"/>
                  <w:shd w:val="clear" w:color="auto" w:fill="auto"/>
                  <w:noWrap w:val="0"/>
                  <w:vAlign w:val="center"/>
                </w:tcPr>
                <w:p>
                  <w:pPr>
                    <w:pStyle w:val="66"/>
                    <w:bidi w:val="0"/>
                    <w:rPr>
                      <w:rFonts w:hint="default"/>
                      <w:lang w:val="en-US" w:eastAsia="zh-CN"/>
                    </w:rPr>
                  </w:pPr>
                  <w:r>
                    <w:rPr>
                      <w:rFonts w:hint="default"/>
                    </w:rPr>
                    <w:t>噪声</w:t>
                  </w:r>
                </w:p>
              </w:tc>
              <w:tc>
                <w:tcPr>
                  <w:tcW w:w="1162" w:type="pct"/>
                  <w:noWrap w:val="0"/>
                  <w:vAlign w:val="center"/>
                </w:tcPr>
                <w:p>
                  <w:pPr>
                    <w:pStyle w:val="66"/>
                    <w:bidi w:val="0"/>
                    <w:rPr>
                      <w:rFonts w:hint="default"/>
                      <w:lang w:val="en-US" w:eastAsia="zh-CN"/>
                    </w:rPr>
                  </w:pPr>
                  <w:r>
                    <w:rPr>
                      <w:rFonts w:hint="default"/>
                      <w:lang w:val="en-US" w:eastAsia="zh-CN"/>
                    </w:rPr>
                    <w:t>生产设备及运输车辆</w:t>
                  </w:r>
                </w:p>
              </w:tc>
              <w:tc>
                <w:tcPr>
                  <w:tcW w:w="1237" w:type="pct"/>
                  <w:noWrap w:val="0"/>
                  <w:vAlign w:val="center"/>
                </w:tcPr>
                <w:p>
                  <w:pPr>
                    <w:pStyle w:val="66"/>
                    <w:bidi w:val="0"/>
                    <w:rPr>
                      <w:rFonts w:hint="default"/>
                      <w:lang w:val="en-US" w:eastAsia="zh-CN"/>
                    </w:rPr>
                  </w:pPr>
                  <w:r>
                    <w:rPr>
                      <w:rFonts w:hint="default"/>
                      <w:lang w:val="en-US" w:eastAsia="zh-CN"/>
                    </w:rPr>
                    <w:t>噪声</w:t>
                  </w:r>
                </w:p>
              </w:tc>
              <w:tc>
                <w:tcPr>
                  <w:tcW w:w="2110" w:type="pct"/>
                  <w:noWrap w:val="0"/>
                  <w:vAlign w:val="center"/>
                </w:tcPr>
                <w:p>
                  <w:pPr>
                    <w:pStyle w:val="66"/>
                    <w:bidi w:val="0"/>
                    <w:rPr>
                      <w:rFonts w:hint="default"/>
                      <w:lang w:val="en-US" w:eastAsia="zh-CN"/>
                    </w:rPr>
                  </w:pPr>
                  <w:r>
                    <w:rPr>
                      <w:rFonts w:hint="eastAsia"/>
                      <w:lang w:val="en-US" w:eastAsia="zh-CN"/>
                    </w:rPr>
                    <w:t>采取隔声、减震等措施，合理布置高噪声设备在厂区中的位置；定期对设备进行保养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9" w:type="pct"/>
                  <w:vMerge w:val="restart"/>
                  <w:shd w:val="clear" w:color="auto" w:fill="auto"/>
                  <w:noWrap w:val="0"/>
                  <w:vAlign w:val="center"/>
                </w:tcPr>
                <w:p>
                  <w:pPr>
                    <w:pStyle w:val="66"/>
                    <w:bidi w:val="0"/>
                    <w:rPr>
                      <w:rFonts w:hint="default"/>
                      <w:lang w:val="en-US" w:eastAsia="zh-CN"/>
                    </w:rPr>
                  </w:pPr>
                  <w:r>
                    <w:rPr>
                      <w:rFonts w:hint="default"/>
                      <w:lang w:val="en-US" w:eastAsia="zh-CN"/>
                    </w:rPr>
                    <w:t>固体废物</w:t>
                  </w:r>
                </w:p>
              </w:tc>
              <w:tc>
                <w:tcPr>
                  <w:tcW w:w="1162" w:type="pct"/>
                  <w:noWrap w:val="0"/>
                  <w:vAlign w:val="center"/>
                </w:tcPr>
                <w:p>
                  <w:pPr>
                    <w:pStyle w:val="66"/>
                    <w:bidi w:val="0"/>
                    <w:rPr>
                      <w:rFonts w:hint="default"/>
                      <w:lang w:val="en-US" w:eastAsia="zh-CN"/>
                    </w:rPr>
                  </w:pPr>
                  <w:r>
                    <w:rPr>
                      <w:rFonts w:hint="eastAsia"/>
                      <w:lang w:val="en-US" w:eastAsia="zh-CN"/>
                    </w:rPr>
                    <w:t>生活垃圾</w:t>
                  </w:r>
                </w:p>
              </w:tc>
              <w:tc>
                <w:tcPr>
                  <w:tcW w:w="1237" w:type="pct"/>
                  <w:noWrap w:val="0"/>
                  <w:vAlign w:val="center"/>
                </w:tcPr>
                <w:p>
                  <w:pPr>
                    <w:pStyle w:val="66"/>
                    <w:bidi w:val="0"/>
                    <w:rPr>
                      <w:rFonts w:hint="default"/>
                      <w:lang w:val="en-US" w:eastAsia="zh-CN"/>
                    </w:rPr>
                  </w:pPr>
                  <w:r>
                    <w:rPr>
                      <w:rFonts w:hint="eastAsia"/>
                      <w:lang w:val="en-US" w:eastAsia="zh-CN"/>
                    </w:rPr>
                    <w:t>办公生活</w:t>
                  </w:r>
                </w:p>
              </w:tc>
              <w:tc>
                <w:tcPr>
                  <w:tcW w:w="2110" w:type="pct"/>
                  <w:noWrap w:val="0"/>
                  <w:vAlign w:val="center"/>
                </w:tcPr>
                <w:p>
                  <w:pPr>
                    <w:pStyle w:val="66"/>
                    <w:bidi w:val="0"/>
                    <w:rPr>
                      <w:rFonts w:hint="eastAsia"/>
                      <w:lang w:val="en-US" w:eastAsia="zh-CN"/>
                    </w:rPr>
                  </w:pPr>
                  <w:r>
                    <w:rPr>
                      <w:rFonts w:hint="eastAsia"/>
                      <w:lang w:val="en-US" w:eastAsia="zh-CN"/>
                    </w:rPr>
                    <w:t>生活垃圾集中收集后交由环卫部门统一清运至垃圾处理站处理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9" w:type="pct"/>
                  <w:vMerge w:val="continue"/>
                  <w:shd w:val="clear" w:color="auto" w:fill="auto"/>
                  <w:noWrap w:val="0"/>
                  <w:vAlign w:val="center"/>
                </w:tcPr>
                <w:p>
                  <w:pPr>
                    <w:pStyle w:val="66"/>
                    <w:bidi w:val="0"/>
                    <w:rPr>
                      <w:rFonts w:hint="default"/>
                      <w:lang w:val="en-US" w:eastAsia="zh-CN"/>
                    </w:rPr>
                  </w:pPr>
                </w:p>
              </w:tc>
              <w:tc>
                <w:tcPr>
                  <w:tcW w:w="1162" w:type="pct"/>
                  <w:vMerge w:val="restart"/>
                  <w:noWrap w:val="0"/>
                  <w:vAlign w:val="center"/>
                </w:tcPr>
                <w:p>
                  <w:pPr>
                    <w:pStyle w:val="66"/>
                    <w:bidi w:val="0"/>
                    <w:rPr>
                      <w:rFonts w:hint="default"/>
                      <w:lang w:val="en-US" w:eastAsia="zh-CN"/>
                    </w:rPr>
                  </w:pPr>
                  <w:r>
                    <w:rPr>
                      <w:rFonts w:hint="default"/>
                      <w:lang w:val="en-US" w:eastAsia="zh-CN"/>
                    </w:rPr>
                    <w:t>一般固废</w:t>
                  </w:r>
                </w:p>
              </w:tc>
              <w:tc>
                <w:tcPr>
                  <w:tcW w:w="1237" w:type="pct"/>
                  <w:noWrap w:val="0"/>
                  <w:vAlign w:val="center"/>
                </w:tcPr>
                <w:p>
                  <w:pPr>
                    <w:pStyle w:val="66"/>
                    <w:bidi w:val="0"/>
                    <w:rPr>
                      <w:rFonts w:hint="default"/>
                      <w:lang w:val="en-US" w:eastAsia="zh-CN"/>
                    </w:rPr>
                  </w:pPr>
                  <w:r>
                    <w:rPr>
                      <w:rFonts w:hint="eastAsia"/>
                      <w:lang w:val="en-US" w:eastAsia="zh-CN"/>
                    </w:rPr>
                    <w:t>除尘器收集的粉尘</w:t>
                  </w:r>
                </w:p>
              </w:tc>
              <w:tc>
                <w:tcPr>
                  <w:tcW w:w="2110" w:type="pct"/>
                  <w:noWrap w:val="0"/>
                  <w:vAlign w:val="center"/>
                </w:tcPr>
                <w:p>
                  <w:pPr>
                    <w:pStyle w:val="66"/>
                    <w:bidi w:val="0"/>
                    <w:rPr>
                      <w:rFonts w:hint="default"/>
                      <w:lang w:val="en-US" w:eastAsia="zh-CN"/>
                    </w:rPr>
                  </w:pPr>
                  <w:r>
                    <w:rPr>
                      <w:rFonts w:hint="eastAsia"/>
                      <w:lang w:val="en-US" w:eastAsia="zh-CN"/>
                    </w:rPr>
                    <w:t>布袋除尘器收集的粉尘作为产品外售或回用于饼状硅生产环节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89" w:type="pct"/>
                  <w:vMerge w:val="continue"/>
                  <w:shd w:val="clear" w:color="auto" w:fill="auto"/>
                  <w:noWrap w:val="0"/>
                  <w:vAlign w:val="center"/>
                </w:tcPr>
                <w:p>
                  <w:pPr>
                    <w:pStyle w:val="66"/>
                    <w:bidi w:val="0"/>
                    <w:rPr>
                      <w:rFonts w:hint="default"/>
                      <w:lang w:val="en-US" w:eastAsia="zh-CN"/>
                    </w:rPr>
                  </w:pPr>
                </w:p>
              </w:tc>
              <w:tc>
                <w:tcPr>
                  <w:tcW w:w="1162" w:type="pct"/>
                  <w:vMerge w:val="continue"/>
                  <w:noWrap w:val="0"/>
                  <w:vAlign w:val="center"/>
                </w:tcPr>
                <w:p>
                  <w:pPr>
                    <w:pStyle w:val="66"/>
                    <w:bidi w:val="0"/>
                    <w:rPr>
                      <w:rFonts w:hint="default"/>
                      <w:lang w:val="en-US" w:eastAsia="zh-CN"/>
                    </w:rPr>
                  </w:pPr>
                </w:p>
              </w:tc>
              <w:tc>
                <w:tcPr>
                  <w:tcW w:w="1237" w:type="pct"/>
                  <w:noWrap w:val="0"/>
                  <w:vAlign w:val="center"/>
                </w:tcPr>
                <w:p>
                  <w:pPr>
                    <w:pStyle w:val="66"/>
                    <w:bidi w:val="0"/>
                    <w:rPr>
                      <w:rFonts w:hint="default"/>
                      <w:lang w:val="en-US" w:eastAsia="zh-CN"/>
                    </w:rPr>
                  </w:pPr>
                  <w:r>
                    <w:rPr>
                      <w:rFonts w:hint="eastAsia"/>
                      <w:lang w:val="en-US" w:eastAsia="zh-CN"/>
                    </w:rPr>
                    <w:t>磁选机和强磁铁产生的铁粉</w:t>
                  </w:r>
                </w:p>
              </w:tc>
              <w:tc>
                <w:tcPr>
                  <w:tcW w:w="2110" w:type="pct"/>
                  <w:noWrap w:val="0"/>
                  <w:vAlign w:val="center"/>
                </w:tcPr>
                <w:p>
                  <w:pPr>
                    <w:pStyle w:val="66"/>
                    <w:bidi w:val="0"/>
                    <w:rPr>
                      <w:rFonts w:hint="default"/>
                      <w:lang w:val="en-US" w:eastAsia="zh-CN"/>
                    </w:rPr>
                  </w:pPr>
                  <w:r>
                    <w:rPr>
                      <w:rFonts w:hint="eastAsia"/>
                      <w:lang w:val="en-US" w:eastAsia="zh-CN"/>
                    </w:rPr>
                    <w:t>外售后统一综合利用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89" w:type="pct"/>
                  <w:vMerge w:val="continue"/>
                  <w:shd w:val="clear" w:color="auto" w:fill="auto"/>
                  <w:noWrap w:val="0"/>
                  <w:vAlign w:val="center"/>
                </w:tcPr>
                <w:p>
                  <w:pPr>
                    <w:pStyle w:val="66"/>
                    <w:bidi w:val="0"/>
                    <w:rPr>
                      <w:rFonts w:hint="default"/>
                      <w:lang w:val="en-US" w:eastAsia="zh-CN"/>
                    </w:rPr>
                  </w:pPr>
                </w:p>
              </w:tc>
              <w:tc>
                <w:tcPr>
                  <w:tcW w:w="1162" w:type="pct"/>
                  <w:vMerge w:val="continue"/>
                  <w:noWrap w:val="0"/>
                  <w:vAlign w:val="center"/>
                </w:tcPr>
                <w:p>
                  <w:pPr>
                    <w:pStyle w:val="66"/>
                    <w:bidi w:val="0"/>
                    <w:rPr>
                      <w:rFonts w:hint="default"/>
                      <w:lang w:val="en-US" w:eastAsia="zh-CN"/>
                    </w:rPr>
                  </w:pPr>
                </w:p>
              </w:tc>
              <w:tc>
                <w:tcPr>
                  <w:tcW w:w="1237" w:type="pct"/>
                  <w:noWrap w:val="0"/>
                  <w:vAlign w:val="center"/>
                </w:tcPr>
                <w:p>
                  <w:pPr>
                    <w:pStyle w:val="66"/>
                    <w:bidi w:val="0"/>
                    <w:rPr>
                      <w:rFonts w:hint="eastAsia"/>
                      <w:lang w:val="en-US" w:eastAsia="zh-CN"/>
                    </w:rPr>
                  </w:pPr>
                  <w:r>
                    <w:rPr>
                      <w:rFonts w:hint="eastAsia"/>
                      <w:lang w:val="en-US" w:eastAsia="zh-CN"/>
                    </w:rPr>
                    <w:t>废布袋</w:t>
                  </w:r>
                </w:p>
              </w:tc>
              <w:tc>
                <w:tcPr>
                  <w:tcW w:w="2110" w:type="pct"/>
                  <w:noWrap w:val="0"/>
                  <w:vAlign w:val="center"/>
                </w:tcPr>
                <w:p>
                  <w:pPr>
                    <w:pStyle w:val="66"/>
                    <w:bidi w:val="0"/>
                    <w:rPr>
                      <w:rFonts w:hint="eastAsia"/>
                      <w:lang w:val="en-US" w:eastAsia="zh-CN"/>
                    </w:rPr>
                  </w:pPr>
                  <w:r>
                    <w:rPr>
                      <w:rFonts w:hint="eastAsia"/>
                      <w:lang w:val="en-US" w:eastAsia="zh-CN"/>
                    </w:rPr>
                    <w:t>设备厂家定期更换并回收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89" w:type="pct"/>
                  <w:vMerge w:val="continue"/>
                  <w:shd w:val="clear" w:color="auto" w:fill="auto"/>
                  <w:noWrap w:val="0"/>
                  <w:vAlign w:val="center"/>
                </w:tcPr>
                <w:p>
                  <w:pPr>
                    <w:pStyle w:val="66"/>
                    <w:bidi w:val="0"/>
                    <w:rPr>
                      <w:rFonts w:hint="default"/>
                      <w:lang w:val="en-US" w:eastAsia="zh-CN"/>
                    </w:rPr>
                  </w:pPr>
                </w:p>
              </w:tc>
              <w:tc>
                <w:tcPr>
                  <w:tcW w:w="1162" w:type="pct"/>
                  <w:vMerge w:val="continue"/>
                  <w:noWrap w:val="0"/>
                  <w:vAlign w:val="center"/>
                </w:tcPr>
                <w:p>
                  <w:pPr>
                    <w:pStyle w:val="66"/>
                    <w:bidi w:val="0"/>
                    <w:rPr>
                      <w:rFonts w:hint="default"/>
                      <w:lang w:val="en-US" w:eastAsia="zh-CN"/>
                    </w:rPr>
                  </w:pPr>
                </w:p>
              </w:tc>
              <w:tc>
                <w:tcPr>
                  <w:tcW w:w="1237" w:type="pct"/>
                  <w:noWrap w:val="0"/>
                  <w:vAlign w:val="center"/>
                </w:tcPr>
                <w:p>
                  <w:pPr>
                    <w:pStyle w:val="66"/>
                    <w:bidi w:val="0"/>
                    <w:rPr>
                      <w:rFonts w:hint="default"/>
                      <w:lang w:val="en-US" w:eastAsia="zh-CN"/>
                    </w:rPr>
                  </w:pPr>
                  <w:r>
                    <w:rPr>
                      <w:rFonts w:hint="default"/>
                      <w:lang w:val="en-US" w:eastAsia="zh-CN"/>
                    </w:rPr>
                    <w:t>废弃的原料包装袋</w:t>
                  </w:r>
                </w:p>
              </w:tc>
              <w:tc>
                <w:tcPr>
                  <w:tcW w:w="2110" w:type="pct"/>
                  <w:noWrap w:val="0"/>
                  <w:vAlign w:val="center"/>
                </w:tcPr>
                <w:p>
                  <w:pPr>
                    <w:pStyle w:val="66"/>
                    <w:bidi w:val="0"/>
                    <w:rPr>
                      <w:rFonts w:hint="eastAsia"/>
                      <w:lang w:val="en-US" w:eastAsia="zh-CN"/>
                    </w:rPr>
                  </w:pPr>
                  <w:r>
                    <w:rPr>
                      <w:rFonts w:hint="eastAsia" w:ascii="Times New Roman" w:hAnsi="Times New Roman" w:eastAsia="宋体" w:cs="Times New Roman"/>
                      <w:kern w:val="2"/>
                      <w:sz w:val="21"/>
                      <w:szCs w:val="21"/>
                      <w:lang w:val="en-US" w:eastAsia="zh-CN" w:bidi="ar-SA"/>
                    </w:rPr>
                    <w:t>收集后交由供应商回收再利用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9" w:type="pct"/>
                  <w:vMerge w:val="continue"/>
                  <w:shd w:val="clear" w:color="auto" w:fill="auto"/>
                  <w:noWrap w:val="0"/>
                  <w:vAlign w:val="center"/>
                </w:tcPr>
                <w:p>
                  <w:pPr>
                    <w:pStyle w:val="66"/>
                    <w:bidi w:val="0"/>
                    <w:rPr>
                      <w:rFonts w:hint="default"/>
                      <w:lang w:val="en-US" w:eastAsia="zh-CN"/>
                    </w:rPr>
                  </w:pPr>
                </w:p>
              </w:tc>
              <w:tc>
                <w:tcPr>
                  <w:tcW w:w="1162" w:type="pct"/>
                  <w:vMerge w:val="restart"/>
                  <w:noWrap w:val="0"/>
                  <w:vAlign w:val="center"/>
                </w:tcPr>
                <w:p>
                  <w:pPr>
                    <w:pStyle w:val="66"/>
                    <w:bidi w:val="0"/>
                    <w:rPr>
                      <w:rFonts w:hint="default"/>
                      <w:lang w:val="en-US" w:eastAsia="zh-CN"/>
                    </w:rPr>
                  </w:pPr>
                  <w:r>
                    <w:rPr>
                      <w:rFonts w:hint="eastAsia"/>
                      <w:lang w:val="en-US" w:eastAsia="zh-CN"/>
                    </w:rPr>
                    <w:t>危险废物</w:t>
                  </w:r>
                </w:p>
              </w:tc>
              <w:tc>
                <w:tcPr>
                  <w:tcW w:w="1237" w:type="pct"/>
                  <w:noWrap w:val="0"/>
                  <w:vAlign w:val="center"/>
                </w:tcPr>
                <w:p>
                  <w:pPr>
                    <w:pStyle w:val="66"/>
                    <w:bidi w:val="0"/>
                    <w:rPr>
                      <w:rFonts w:hint="default"/>
                      <w:lang w:val="en-US" w:eastAsia="zh-CN"/>
                    </w:rPr>
                  </w:pPr>
                  <w:r>
                    <w:rPr>
                      <w:rFonts w:hint="default"/>
                      <w:lang w:val="en-US" w:eastAsia="zh-CN"/>
                    </w:rPr>
                    <w:t>废润滑油</w:t>
                  </w:r>
                </w:p>
              </w:tc>
              <w:tc>
                <w:tcPr>
                  <w:tcW w:w="2110" w:type="pct"/>
                  <w:vMerge w:val="restart"/>
                  <w:noWrap w:val="0"/>
                  <w:vAlign w:val="center"/>
                </w:tcPr>
                <w:p>
                  <w:pPr>
                    <w:pStyle w:val="66"/>
                    <w:bidi w:val="0"/>
                    <w:rPr>
                      <w:rFonts w:hint="default"/>
                      <w:lang w:val="en-US" w:eastAsia="zh-CN"/>
                    </w:rPr>
                  </w:pPr>
                  <w:r>
                    <w:rPr>
                      <w:rFonts w:hint="eastAsia"/>
                      <w:lang w:val="en-US" w:eastAsia="zh-CN"/>
                    </w:rPr>
                    <w:t>暂存于危险废物贮存点处</w:t>
                  </w:r>
                  <w:r>
                    <w:rPr>
                      <w:rFonts w:hint="default"/>
                    </w:rPr>
                    <w:t>，</w:t>
                  </w:r>
                  <w:r>
                    <w:rPr>
                      <w:rFonts w:hint="eastAsia"/>
                      <w:lang w:val="en-US" w:eastAsia="zh-CN"/>
                    </w:rPr>
                    <w:t>定期交由有</w:t>
                  </w:r>
                  <w:r>
                    <w:rPr>
                      <w:rFonts w:hint="default"/>
                    </w:rPr>
                    <w:t>资质</w:t>
                  </w:r>
                  <w:r>
                    <w:rPr>
                      <w:rFonts w:hint="eastAsia"/>
                      <w:lang w:val="en-US" w:eastAsia="zh-CN"/>
                    </w:rPr>
                    <w:t>的</w:t>
                  </w:r>
                  <w:r>
                    <w:rPr>
                      <w:rFonts w:hint="default"/>
                    </w:rPr>
                    <w:t>单位</w:t>
                  </w:r>
                  <w:r>
                    <w:rPr>
                      <w:rFonts w:hint="eastAsia"/>
                      <w:lang w:val="en-US" w:eastAsia="zh-CN"/>
                    </w:rPr>
                    <w:t>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9" w:type="pct"/>
                  <w:vMerge w:val="continue"/>
                  <w:shd w:val="clear" w:color="auto" w:fill="auto"/>
                  <w:noWrap w:val="0"/>
                  <w:vAlign w:val="center"/>
                </w:tcPr>
                <w:p>
                  <w:pPr>
                    <w:pStyle w:val="66"/>
                    <w:bidi w:val="0"/>
                    <w:rPr>
                      <w:rFonts w:hint="default"/>
                      <w:lang w:val="en-US" w:eastAsia="zh-CN"/>
                    </w:rPr>
                  </w:pPr>
                </w:p>
              </w:tc>
              <w:tc>
                <w:tcPr>
                  <w:tcW w:w="1162" w:type="pct"/>
                  <w:vMerge w:val="continue"/>
                  <w:noWrap w:val="0"/>
                  <w:vAlign w:val="center"/>
                </w:tcPr>
                <w:p>
                  <w:pPr>
                    <w:pStyle w:val="66"/>
                    <w:bidi w:val="0"/>
                    <w:rPr>
                      <w:rFonts w:hint="eastAsia"/>
                      <w:lang w:val="en-US" w:eastAsia="zh-CN"/>
                    </w:rPr>
                  </w:pPr>
                </w:p>
              </w:tc>
              <w:tc>
                <w:tcPr>
                  <w:tcW w:w="1237" w:type="pct"/>
                  <w:noWrap w:val="0"/>
                  <w:vAlign w:val="center"/>
                </w:tcPr>
                <w:p>
                  <w:pPr>
                    <w:pStyle w:val="66"/>
                    <w:bidi w:val="0"/>
                    <w:rPr>
                      <w:rFonts w:hint="default"/>
                      <w:lang w:val="en-US" w:eastAsia="zh-CN"/>
                    </w:rPr>
                  </w:pPr>
                  <w:r>
                    <w:rPr>
                      <w:rFonts w:hint="default"/>
                      <w:lang w:val="en-US" w:eastAsia="zh-CN"/>
                    </w:rPr>
                    <w:t>废润滑油</w:t>
                  </w:r>
                  <w:r>
                    <w:rPr>
                      <w:rFonts w:hint="eastAsia"/>
                      <w:lang w:val="en-US" w:eastAsia="zh-CN"/>
                    </w:rPr>
                    <w:t>桶</w:t>
                  </w:r>
                </w:p>
              </w:tc>
              <w:tc>
                <w:tcPr>
                  <w:tcW w:w="2110" w:type="pct"/>
                  <w:vMerge w:val="continue"/>
                  <w:noWrap w:val="0"/>
                  <w:vAlign w:val="center"/>
                </w:tcPr>
                <w:p>
                  <w:pPr>
                    <w:pStyle w:val="66"/>
                    <w:bidi w:val="0"/>
                    <w:rPr>
                      <w:rFonts w:hint="eastAsia"/>
                      <w:lang w:val="en-US" w:eastAsia="zh-CN"/>
                    </w:rPr>
                  </w:pPr>
                </w:p>
              </w:tc>
            </w:tr>
          </w:tbl>
          <w:p>
            <w:pPr>
              <w:pStyle w:val="65"/>
              <w:bidi w:val="0"/>
              <w:jc w:val="both"/>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3" w:hRule="atLeast"/>
          <w:jc w:val="center"/>
        </w:trPr>
        <w:tc>
          <w:tcPr>
            <w:tcW w:w="786" w:type="dxa"/>
            <w:noWrap w:val="0"/>
            <w:vAlign w:val="center"/>
          </w:tcPr>
          <w:p>
            <w:pPr>
              <w:pStyle w:val="20"/>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kern w:val="2"/>
                <w:sz w:val="21"/>
                <w:szCs w:val="21"/>
              </w:rPr>
              <w:t>与项目有关的原有环境污染问题</w:t>
            </w:r>
          </w:p>
        </w:tc>
        <w:tc>
          <w:tcPr>
            <w:tcW w:w="8286" w:type="dxa"/>
            <w:noWrap w:val="0"/>
            <w:vAlign w:val="center"/>
          </w:tcPr>
          <w:p>
            <w:pPr>
              <w:pStyle w:val="68"/>
              <w:bidi w:val="0"/>
              <w:ind w:left="0" w:leftChars="0" w:firstLine="0" w:firstLineChars="0"/>
              <w:jc w:val="center"/>
              <w:rPr>
                <w:rFonts w:hint="default"/>
                <w:lang w:val="en-US" w:eastAsia="zh-CN"/>
              </w:rPr>
            </w:pPr>
            <w:r>
              <w:rPr>
                <w:rFonts w:hint="eastAsia"/>
                <w:lang w:val="en-US" w:eastAsia="zh-CN"/>
              </w:rPr>
              <w:t>无</w:t>
            </w:r>
          </w:p>
        </w:tc>
      </w:tr>
    </w:tbl>
    <w:p>
      <w:pPr>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br w:type="page"/>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三、区域环境质量现状、环境保护目标及评价标准</w:t>
      </w:r>
    </w:p>
    <w:tbl>
      <w:tblPr>
        <w:tblStyle w:val="2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83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76" w:hRule="atLeast"/>
          <w:jc w:val="center"/>
        </w:trPr>
        <w:tc>
          <w:tcPr>
            <w:tcW w:w="3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4"/>
                <w:szCs w:val="24"/>
              </w:rPr>
              <w:t>区域环境质量现状</w:t>
            </w:r>
          </w:p>
        </w:tc>
        <w:tc>
          <w:tcPr>
            <w:tcW w:w="4610" w:type="pct"/>
            <w:noWrap w:val="0"/>
            <w:vAlign w:val="center"/>
          </w:tcPr>
          <w:p>
            <w:pPr>
              <w:pStyle w:val="67"/>
              <w:bidi w:val="0"/>
              <w:rPr>
                <w:rFonts w:hint="default"/>
                <w:lang w:val="en-US" w:eastAsia="zh-CN"/>
              </w:rPr>
            </w:pPr>
            <w:r>
              <w:rPr>
                <w:rFonts w:hint="default"/>
                <w:lang w:val="en-US" w:eastAsia="zh-CN"/>
              </w:rPr>
              <w:t>1.环境空气现状调查与评价</w:t>
            </w:r>
          </w:p>
          <w:p>
            <w:pPr>
              <w:pStyle w:val="67"/>
              <w:bidi w:val="0"/>
              <w:rPr>
                <w:rFonts w:hint="default"/>
                <w:lang w:val="en-US" w:eastAsia="zh-CN"/>
              </w:rPr>
            </w:pPr>
            <w:r>
              <w:rPr>
                <w:rFonts w:hint="default"/>
                <w:lang w:val="en-US" w:eastAsia="zh-CN"/>
              </w:rPr>
              <w:t>1.1基本污染物空气环境质量现状</w:t>
            </w:r>
          </w:p>
          <w:p>
            <w:pPr>
              <w:pStyle w:val="68"/>
              <w:bidi w:val="0"/>
              <w:rPr>
                <w:rFonts w:hint="default"/>
                <w:lang w:val="en-US" w:eastAsia="zh-CN"/>
              </w:rPr>
            </w:pPr>
            <w:r>
              <w:rPr>
                <w:rFonts w:hint="default"/>
                <w:lang w:val="en-US" w:eastAsia="zh-CN"/>
              </w:rPr>
              <w:t>根据《建设项目环境影响报告表编制技术指南(污染影响类)(试行)》对于基本污染物环境质量现状数据，项目所在区域达标判定优先采用国家或地方生态环境主管部门公开发布的评价基准年环境质量公告或环境质量报告中的数据或结论。</w:t>
            </w:r>
          </w:p>
          <w:p>
            <w:pPr>
              <w:pStyle w:val="68"/>
              <w:bidi w:val="0"/>
              <w:rPr>
                <w:rFonts w:hint="default" w:ascii="Times New Roman" w:hAnsi="Times New Roman" w:eastAsia="宋体" w:cs="Times New Roman"/>
                <w:b w:val="0"/>
                <w:bCs/>
                <w:szCs w:val="24"/>
                <w:lang w:val="en-US" w:eastAsia="zh-CN"/>
              </w:rPr>
            </w:pPr>
            <w:r>
              <w:rPr>
                <w:rFonts w:hint="default"/>
                <w:lang w:val="en-US" w:eastAsia="zh-CN"/>
              </w:rPr>
              <w:t>本工程建设地点位于</w:t>
            </w:r>
            <w:r>
              <w:rPr>
                <w:rFonts w:hint="eastAsia"/>
                <w:lang w:val="en-US" w:eastAsia="zh-CN"/>
              </w:rPr>
              <w:t>新疆巴音郭楞蒙古自治州若羌县塔东物流商贸综合园区</w:t>
            </w:r>
            <w:r>
              <w:rPr>
                <w:rFonts w:hint="default"/>
                <w:lang w:val="en-US" w:eastAsia="zh-CN"/>
              </w:rPr>
              <w:t>，本次评价现状监测资料引用若羌县</w:t>
            </w:r>
            <w:r>
              <w:rPr>
                <w:rFonts w:hint="default"/>
              </w:rPr>
              <w:t>202</w:t>
            </w:r>
            <w:r>
              <w:rPr>
                <w:rFonts w:hint="default"/>
                <w:lang w:val="en-US" w:eastAsia="zh-CN"/>
              </w:rPr>
              <w:t>3</w:t>
            </w:r>
            <w:r>
              <w:rPr>
                <w:rFonts w:hint="default"/>
              </w:rPr>
              <w:t>年环境空气质量数据</w:t>
            </w:r>
            <w:r>
              <w:rPr>
                <w:rFonts w:hint="default"/>
                <w:lang w:val="en-US" w:eastAsia="zh-CN"/>
              </w:rPr>
              <w:t>。作为环境空气现状评价基本污染物</w:t>
            </w:r>
            <w:r>
              <w:rPr>
                <w:rFonts w:hint="default" w:ascii="Times New Roman" w:hAnsi="Times New Roman" w:eastAsia="宋体" w:cs="Times New Roman"/>
                <w:b w:val="0"/>
                <w:bCs/>
                <w:szCs w:val="24"/>
                <w:lang w:val="en-US" w:eastAsia="zh-CN"/>
              </w:rPr>
              <w:t>SO₂、NO₂、PM</w:t>
            </w:r>
            <w:r>
              <w:rPr>
                <w:rFonts w:hint="default" w:ascii="Times New Roman" w:hAnsi="Times New Roman" w:eastAsia="宋体" w:cs="Times New Roman"/>
                <w:b w:val="0"/>
                <w:bCs/>
                <w:szCs w:val="24"/>
                <w:vertAlign w:val="subscript"/>
                <w:lang w:val="en-US" w:eastAsia="zh-CN"/>
              </w:rPr>
              <w:t>10</w:t>
            </w:r>
            <w:r>
              <w:rPr>
                <w:rFonts w:hint="default" w:ascii="Times New Roman" w:hAnsi="Times New Roman" w:eastAsia="宋体" w:cs="Times New Roman"/>
                <w:b w:val="0"/>
                <w:bCs/>
                <w:szCs w:val="24"/>
                <w:lang w:val="en-US" w:eastAsia="zh-CN"/>
              </w:rPr>
              <w:t>、PM</w:t>
            </w:r>
            <w:r>
              <w:rPr>
                <w:rFonts w:hint="default" w:ascii="Times New Roman" w:hAnsi="Times New Roman" w:eastAsia="宋体" w:cs="Times New Roman"/>
                <w:b w:val="0"/>
                <w:bCs/>
                <w:szCs w:val="24"/>
                <w:vertAlign w:val="subscript"/>
                <w:lang w:val="en-US" w:eastAsia="zh-CN"/>
              </w:rPr>
              <w:t>2.5</w:t>
            </w:r>
            <w:r>
              <w:rPr>
                <w:rFonts w:hint="default" w:ascii="Times New Roman" w:hAnsi="Times New Roman" w:eastAsia="宋体" w:cs="Times New Roman"/>
                <w:b w:val="0"/>
                <w:bCs/>
                <w:szCs w:val="24"/>
                <w:lang w:val="en-US" w:eastAsia="zh-CN"/>
              </w:rPr>
              <w:t>、CO和O₃的数据来源。</w:t>
            </w:r>
          </w:p>
          <w:p>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sz w:val="24"/>
                <w:szCs w:val="24"/>
                <w:lang w:val="en-US" w:eastAsia="zh-CN"/>
              </w:rPr>
            </w:pPr>
            <w:r>
              <w:rPr>
                <w:rFonts w:hint="eastAsia" w:cs="Times New Roman"/>
                <w:b w:val="0"/>
                <w:bCs/>
                <w:sz w:val="24"/>
                <w:szCs w:val="24"/>
                <w:lang w:val="en-US" w:eastAsia="zh-CN"/>
              </w:rPr>
              <w:t>（1）</w:t>
            </w:r>
            <w:r>
              <w:rPr>
                <w:rFonts w:hint="default" w:ascii="Times New Roman" w:hAnsi="Times New Roman" w:eastAsia="宋体" w:cs="Times New Roman"/>
                <w:b w:val="0"/>
                <w:bCs/>
                <w:sz w:val="24"/>
                <w:szCs w:val="24"/>
                <w:lang w:val="en-US" w:eastAsia="zh-CN"/>
              </w:rPr>
              <w:t>监测项目、监测时间</w:t>
            </w:r>
          </w:p>
          <w:p>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监测项目：基本污染物SO₂、NO₂、PM</w:t>
            </w:r>
            <w:r>
              <w:rPr>
                <w:rFonts w:hint="default" w:ascii="Times New Roman" w:hAnsi="Times New Roman" w:eastAsia="宋体" w:cs="Times New Roman"/>
                <w:b w:val="0"/>
                <w:bCs/>
                <w:sz w:val="24"/>
                <w:szCs w:val="24"/>
                <w:vertAlign w:val="subscript"/>
                <w:lang w:val="en-US" w:eastAsia="zh-CN"/>
              </w:rPr>
              <w:t>10</w:t>
            </w:r>
            <w:r>
              <w:rPr>
                <w:rFonts w:hint="default" w:ascii="Times New Roman" w:hAnsi="Times New Roman" w:eastAsia="宋体" w:cs="Times New Roman"/>
                <w:b w:val="0"/>
                <w:bCs/>
                <w:sz w:val="24"/>
                <w:szCs w:val="24"/>
                <w:lang w:val="en-US" w:eastAsia="zh-CN"/>
              </w:rPr>
              <w:t>、PM</w:t>
            </w:r>
            <w:r>
              <w:rPr>
                <w:rFonts w:hint="default" w:ascii="Times New Roman" w:hAnsi="Times New Roman" w:eastAsia="宋体" w:cs="Times New Roman"/>
                <w:b w:val="0"/>
                <w:bCs/>
                <w:sz w:val="24"/>
                <w:szCs w:val="24"/>
                <w:vertAlign w:val="subscript"/>
                <w:lang w:val="en-US" w:eastAsia="zh-CN"/>
              </w:rPr>
              <w:t>2.5</w:t>
            </w:r>
            <w:r>
              <w:rPr>
                <w:rFonts w:hint="default" w:ascii="Times New Roman" w:hAnsi="Times New Roman" w:eastAsia="宋体" w:cs="Times New Roman"/>
                <w:b w:val="0"/>
                <w:bCs/>
                <w:sz w:val="24"/>
                <w:szCs w:val="24"/>
                <w:lang w:val="en-US" w:eastAsia="zh-CN"/>
              </w:rPr>
              <w:t>、CO和O₃</w:t>
            </w:r>
            <w:r>
              <w:rPr>
                <w:rFonts w:hint="default" w:ascii="Times New Roman" w:hAnsi="Times New Roman" w:cs="Times New Roman"/>
                <w:b w:val="0"/>
                <w:bCs/>
                <w:sz w:val="24"/>
                <w:szCs w:val="24"/>
                <w:lang w:val="en-US" w:eastAsia="zh-CN"/>
              </w:rPr>
              <w:t>；</w:t>
            </w:r>
          </w:p>
          <w:p>
            <w:pPr>
              <w:pStyle w:val="68"/>
              <w:bidi w:val="0"/>
              <w:rPr>
                <w:rFonts w:hint="default"/>
                <w:lang w:val="en-US" w:eastAsia="zh-CN"/>
              </w:rPr>
            </w:pPr>
            <w:r>
              <w:rPr>
                <w:rFonts w:hint="default" w:ascii="Times New Roman" w:hAnsi="Times New Roman" w:eastAsia="宋体" w:cs="Times New Roman"/>
                <w:b w:val="0"/>
                <w:bCs/>
                <w:szCs w:val="24"/>
                <w:lang w:val="en-US" w:eastAsia="zh-CN"/>
              </w:rPr>
              <w:t>监测时间：基本污染物SO₂、NO₂、PM</w:t>
            </w:r>
            <w:r>
              <w:rPr>
                <w:rFonts w:hint="default" w:ascii="Times New Roman" w:hAnsi="Times New Roman" w:eastAsia="宋体" w:cs="Times New Roman"/>
                <w:b w:val="0"/>
                <w:bCs/>
                <w:szCs w:val="24"/>
                <w:vertAlign w:val="subscript"/>
                <w:lang w:val="en-US" w:eastAsia="zh-CN"/>
              </w:rPr>
              <w:t>10</w:t>
            </w:r>
            <w:r>
              <w:rPr>
                <w:rFonts w:hint="default" w:ascii="Times New Roman" w:hAnsi="Times New Roman" w:eastAsia="宋体" w:cs="Times New Roman"/>
                <w:b w:val="0"/>
                <w:bCs/>
                <w:szCs w:val="24"/>
                <w:lang w:val="en-US" w:eastAsia="zh-CN"/>
              </w:rPr>
              <w:t>、PM</w:t>
            </w:r>
            <w:r>
              <w:rPr>
                <w:rFonts w:hint="default" w:ascii="Times New Roman" w:hAnsi="Times New Roman" w:eastAsia="宋体" w:cs="Times New Roman"/>
                <w:b w:val="0"/>
                <w:bCs/>
                <w:szCs w:val="24"/>
                <w:vertAlign w:val="subscript"/>
                <w:lang w:val="en-US" w:eastAsia="zh-CN"/>
              </w:rPr>
              <w:t>2.5</w:t>
            </w:r>
            <w:r>
              <w:rPr>
                <w:rFonts w:hint="default" w:ascii="Times New Roman" w:hAnsi="Times New Roman" w:eastAsia="宋体" w:cs="Times New Roman"/>
                <w:b w:val="0"/>
                <w:bCs/>
                <w:szCs w:val="24"/>
                <w:lang w:val="en-US" w:eastAsia="zh-CN"/>
              </w:rPr>
              <w:t>、CO和O₃的监测时间为2</w:t>
            </w:r>
            <w:r>
              <w:rPr>
                <w:rFonts w:hint="default"/>
                <w:lang w:val="en-US" w:eastAsia="zh-CN"/>
              </w:rPr>
              <w:t>023年全年监测数据。</w:t>
            </w:r>
          </w:p>
          <w:p>
            <w:pPr>
              <w:pStyle w:val="68"/>
              <w:bidi w:val="0"/>
              <w:rPr>
                <w:rFonts w:hint="default"/>
                <w:lang w:val="en-US" w:eastAsia="zh-CN"/>
              </w:rPr>
            </w:pPr>
            <w:r>
              <w:rPr>
                <w:rFonts w:hint="eastAsia"/>
                <w:lang w:val="en-US" w:eastAsia="zh-CN"/>
              </w:rPr>
              <w:t>（2）</w:t>
            </w:r>
            <w:r>
              <w:rPr>
                <w:rFonts w:hint="default"/>
                <w:lang w:val="en-US" w:eastAsia="zh-CN"/>
              </w:rPr>
              <w:t>评价标准</w:t>
            </w:r>
          </w:p>
          <w:p>
            <w:pPr>
              <w:pStyle w:val="68"/>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根据环境空气质量功能区划分规定，本次评价基本污染物</w:t>
            </w:r>
            <w:r>
              <w:rPr>
                <w:rFonts w:hint="default" w:ascii="Times New Roman" w:hAnsi="Times New Roman" w:eastAsia="宋体" w:cs="Times New Roman"/>
                <w:b w:val="0"/>
                <w:bCs/>
                <w:szCs w:val="24"/>
                <w:lang w:val="en-US" w:eastAsia="zh-CN"/>
              </w:rPr>
              <w:t>SO₂、NO₂、</w:t>
            </w:r>
            <w:r>
              <w:rPr>
                <w:rFonts w:hint="default"/>
                <w:lang w:val="en-US" w:eastAsia="zh-CN"/>
              </w:rPr>
              <w:t>PM</w:t>
            </w:r>
            <w:r>
              <w:rPr>
                <w:rFonts w:hint="default"/>
                <w:vertAlign w:val="subscript"/>
                <w:lang w:val="en-US" w:eastAsia="zh-CN"/>
              </w:rPr>
              <w:t>10</w:t>
            </w:r>
            <w:r>
              <w:rPr>
                <w:rFonts w:hint="default"/>
                <w:lang w:val="en-US" w:eastAsia="zh-CN"/>
              </w:rPr>
              <w:t>、PM</w:t>
            </w:r>
            <w:r>
              <w:rPr>
                <w:rFonts w:hint="default"/>
                <w:vertAlign w:val="subscript"/>
                <w:lang w:val="en-US" w:eastAsia="zh-CN"/>
              </w:rPr>
              <w:t>2.5</w:t>
            </w:r>
            <w:r>
              <w:rPr>
                <w:rFonts w:hint="default"/>
                <w:lang w:val="en-US" w:eastAsia="zh-CN"/>
              </w:rPr>
              <w:t>、CO和O₃执行《环境空气质量标准》(GB3095-2012)及其修改单中二级标准。</w:t>
            </w:r>
          </w:p>
          <w:p>
            <w:pPr>
              <w:pStyle w:val="68"/>
              <w:bidi w:val="0"/>
              <w:rPr>
                <w:rFonts w:hint="default"/>
                <w:lang w:val="en-US" w:eastAsia="zh-CN"/>
              </w:rPr>
            </w:pPr>
            <w:r>
              <w:rPr>
                <w:rFonts w:hint="eastAsia"/>
                <w:lang w:val="en-US" w:eastAsia="zh-CN"/>
              </w:rPr>
              <w:t>（3）</w:t>
            </w:r>
            <w:r>
              <w:rPr>
                <w:rFonts w:hint="default"/>
                <w:lang w:val="en-US" w:eastAsia="zh-CN"/>
              </w:rPr>
              <w:t>评价方法</w:t>
            </w:r>
          </w:p>
          <w:p>
            <w:pPr>
              <w:pStyle w:val="68"/>
              <w:bidi w:val="0"/>
              <w:rPr>
                <w:rFonts w:hint="default"/>
                <w:lang w:val="en-US" w:eastAsia="zh-CN"/>
              </w:rPr>
            </w:pPr>
            <w:r>
              <w:rPr>
                <w:rFonts w:hint="default"/>
                <w:lang w:val="en-US" w:eastAsia="zh-CN"/>
              </w:rPr>
              <w:t>按照《环境空气质量评价技术规范(试行)》(H663-2013)中各评价项目的年评价指标进行判定。年评价指标中的年均浓度和相应百分位数24h平均或8h平均质量浓度满足《环境空气质量标准》(GB3095-2012)及其修改单中二级浓度限值要求的即为达标。对于超标的污染物，计算其超标倍数和超标率。</w:t>
            </w:r>
          </w:p>
          <w:p>
            <w:pPr>
              <w:pStyle w:val="68"/>
              <w:bidi w:val="0"/>
              <w:rPr>
                <w:rFonts w:hint="default"/>
                <w:lang w:val="en-US" w:eastAsia="zh-CN"/>
              </w:rPr>
            </w:pPr>
            <w:r>
              <w:rPr>
                <w:rFonts w:hint="default"/>
                <w:lang w:val="en-US" w:eastAsia="zh-CN"/>
              </w:rPr>
              <w:t>区域空气质量现状评价见下表3-1。</w:t>
            </w:r>
          </w:p>
          <w:p>
            <w:pPr>
              <w:pStyle w:val="65"/>
              <w:bidi w:val="0"/>
              <w:rPr>
                <w:rFonts w:hint="default"/>
                <w:lang w:val="en-US" w:eastAsia="zh-CN"/>
              </w:rPr>
            </w:pPr>
            <w:r>
              <w:rPr>
                <w:rFonts w:hint="default"/>
                <w:lang w:val="en-US" w:eastAsia="zh-CN"/>
              </w:rPr>
              <w:t xml:space="preserve">表3-1 </w:t>
            </w:r>
            <w:r>
              <w:rPr>
                <w:rFonts w:hint="eastAsia"/>
                <w:lang w:val="en-US" w:eastAsia="zh-CN"/>
              </w:rPr>
              <w:t xml:space="preserve">  </w:t>
            </w:r>
            <w:r>
              <w:rPr>
                <w:rFonts w:hint="default"/>
                <w:lang w:val="en-US" w:eastAsia="zh-CN"/>
              </w:rPr>
              <w:t xml:space="preserve"> 区域空气质量现状评价表</w:t>
            </w:r>
          </w:p>
          <w:tbl>
            <w:tblPr>
              <w:tblStyle w:val="24"/>
              <w:tblW w:w="499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2620"/>
              <w:gridCol w:w="1208"/>
              <w:gridCol w:w="1310"/>
              <w:gridCol w:w="935"/>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Borders>
                    <w:tl2br w:val="nil"/>
                    <w:tr2bl w:val="nil"/>
                  </w:tcBorders>
                  <w:noWrap w:val="0"/>
                  <w:vAlign w:val="center"/>
                </w:tcPr>
                <w:p>
                  <w:pPr>
                    <w:pStyle w:val="66"/>
                    <w:bidi w:val="0"/>
                  </w:pPr>
                  <w:r>
                    <w:rPr>
                      <w:rFonts w:hint="eastAsia"/>
                    </w:rPr>
                    <w:t>污染物</w:t>
                  </w:r>
                </w:p>
              </w:tc>
              <w:tc>
                <w:tcPr>
                  <w:tcW w:w="1612" w:type="pct"/>
                  <w:tcBorders>
                    <w:tl2br w:val="nil"/>
                    <w:tr2bl w:val="nil"/>
                  </w:tcBorders>
                  <w:noWrap w:val="0"/>
                  <w:vAlign w:val="center"/>
                </w:tcPr>
                <w:p>
                  <w:pPr>
                    <w:pStyle w:val="66"/>
                    <w:bidi w:val="0"/>
                  </w:pPr>
                  <w:r>
                    <w:rPr>
                      <w:rFonts w:hint="eastAsia"/>
                    </w:rPr>
                    <w:t>评价项目</w:t>
                  </w:r>
                </w:p>
              </w:tc>
              <w:tc>
                <w:tcPr>
                  <w:tcW w:w="743" w:type="pct"/>
                  <w:tcBorders>
                    <w:tl2br w:val="nil"/>
                    <w:tr2bl w:val="nil"/>
                  </w:tcBorders>
                  <w:noWrap w:val="0"/>
                  <w:vAlign w:val="center"/>
                </w:tcPr>
                <w:p>
                  <w:pPr>
                    <w:pStyle w:val="66"/>
                    <w:bidi w:val="0"/>
                  </w:pPr>
                  <w:r>
                    <w:t>浓度（μ</w:t>
                  </w:r>
                  <w:r>
                    <w:rPr>
                      <w:rFonts w:hint="eastAsia"/>
                      <w:lang w:val="en-US" w:eastAsia="zh-CN"/>
                    </w:rPr>
                    <w:t>g</w:t>
                  </w:r>
                  <w:r>
                    <w:t>/m</w:t>
                  </w:r>
                  <w:r>
                    <w:rPr>
                      <w:vertAlign w:val="superscript"/>
                    </w:rPr>
                    <w:t>3</w:t>
                  </w:r>
                  <w:r>
                    <w:t>）</w:t>
                  </w:r>
                </w:p>
              </w:tc>
              <w:tc>
                <w:tcPr>
                  <w:tcW w:w="806" w:type="pct"/>
                  <w:tcBorders>
                    <w:tl2br w:val="nil"/>
                    <w:tr2bl w:val="nil"/>
                  </w:tcBorders>
                  <w:noWrap w:val="0"/>
                  <w:vAlign w:val="center"/>
                </w:tcPr>
                <w:p>
                  <w:pPr>
                    <w:pStyle w:val="66"/>
                    <w:bidi w:val="0"/>
                  </w:pPr>
                  <w:r>
                    <w:rPr>
                      <w:rFonts w:hint="eastAsia"/>
                    </w:rPr>
                    <w:t>标准（二级）</w:t>
                  </w:r>
                  <w:r>
                    <w:t>（μ</w:t>
                  </w:r>
                  <w:r>
                    <w:rPr>
                      <w:rFonts w:hint="eastAsia"/>
                      <w:lang w:val="en-US" w:eastAsia="zh-CN"/>
                    </w:rPr>
                    <w:t>g</w:t>
                  </w:r>
                  <w:r>
                    <w:t>/m</w:t>
                  </w:r>
                  <w:r>
                    <w:rPr>
                      <w:vertAlign w:val="superscript"/>
                    </w:rPr>
                    <w:t>3</w:t>
                  </w:r>
                  <w:r>
                    <w:t>）</w:t>
                  </w:r>
                </w:p>
              </w:tc>
              <w:tc>
                <w:tcPr>
                  <w:tcW w:w="575" w:type="pct"/>
                  <w:tcBorders>
                    <w:tl2br w:val="nil"/>
                    <w:tr2bl w:val="nil"/>
                  </w:tcBorders>
                  <w:noWrap w:val="0"/>
                  <w:vAlign w:val="center"/>
                </w:tcPr>
                <w:p>
                  <w:pPr>
                    <w:pStyle w:val="66"/>
                    <w:bidi w:val="0"/>
                    <w:rPr>
                      <w:rFonts w:hint="default"/>
                      <w:lang w:val="en-US" w:eastAsia="zh-CN"/>
                    </w:rPr>
                  </w:pPr>
                  <w:r>
                    <w:rPr>
                      <w:rFonts w:hint="eastAsia"/>
                      <w:lang w:eastAsia="zh-CN"/>
                    </w:rPr>
                    <w:t>占标率</w:t>
                  </w:r>
                  <w:r>
                    <w:rPr>
                      <w:rFonts w:hint="eastAsia"/>
                      <w:lang w:val="en-US" w:eastAsia="zh-CN"/>
                    </w:rPr>
                    <w:t>%</w:t>
                  </w:r>
                </w:p>
              </w:tc>
              <w:tc>
                <w:tcPr>
                  <w:tcW w:w="657" w:type="pct"/>
                  <w:tcBorders>
                    <w:tl2br w:val="nil"/>
                    <w:tr2bl w:val="nil"/>
                  </w:tcBorders>
                  <w:noWrap w:val="0"/>
                  <w:vAlign w:val="center"/>
                </w:tcPr>
                <w:p>
                  <w:pPr>
                    <w:pStyle w:val="66"/>
                    <w:bidi w:val="0"/>
                    <w:rPr>
                      <w:rFonts w:hint="eastAsia"/>
                      <w:lang w:eastAsia="zh-CN"/>
                    </w:rPr>
                  </w:pPr>
                  <w:r>
                    <w:rPr>
                      <w:rFonts w:hint="eastAsia"/>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Merge w:val="restart"/>
                  <w:tcBorders>
                    <w:tl2br w:val="nil"/>
                    <w:tr2bl w:val="nil"/>
                  </w:tcBorders>
                  <w:noWrap w:val="0"/>
                  <w:vAlign w:val="center"/>
                </w:tcPr>
                <w:p>
                  <w:pPr>
                    <w:pStyle w:val="66"/>
                    <w:bidi w:val="0"/>
                  </w:pPr>
                  <w:r>
                    <w:rPr>
                      <w:rFonts w:hint="eastAsia"/>
                    </w:rPr>
                    <w:t>SO</w:t>
                  </w:r>
                  <w:r>
                    <w:rPr>
                      <w:rFonts w:hint="eastAsia"/>
                      <w:vertAlign w:val="subscript"/>
                    </w:rPr>
                    <w:t>2</w:t>
                  </w:r>
                </w:p>
              </w:tc>
              <w:tc>
                <w:tcPr>
                  <w:tcW w:w="1612" w:type="pct"/>
                  <w:tcBorders>
                    <w:tl2br w:val="nil"/>
                    <w:tr2bl w:val="nil"/>
                  </w:tcBorders>
                  <w:noWrap w:val="0"/>
                  <w:vAlign w:val="center"/>
                </w:tcPr>
                <w:p>
                  <w:pPr>
                    <w:pStyle w:val="66"/>
                    <w:bidi w:val="0"/>
                    <w:rPr>
                      <w:rFonts w:hint="default"/>
                      <w:lang w:val="en-US" w:eastAsia="zh-CN"/>
                    </w:rPr>
                  </w:pPr>
                  <w:r>
                    <w:rPr>
                      <w:rFonts w:hint="eastAsia"/>
                      <w:lang w:val="en-US" w:eastAsia="zh-CN"/>
                    </w:rPr>
                    <w:t>年平均</w:t>
                  </w:r>
                </w:p>
              </w:tc>
              <w:tc>
                <w:tcPr>
                  <w:tcW w:w="743" w:type="pct"/>
                  <w:tcBorders>
                    <w:tl2br w:val="nil"/>
                    <w:tr2bl w:val="nil"/>
                  </w:tcBorders>
                  <w:noWrap w:val="0"/>
                  <w:vAlign w:val="center"/>
                </w:tcPr>
                <w:p>
                  <w:pPr>
                    <w:pStyle w:val="66"/>
                    <w:bidi w:val="0"/>
                    <w:rPr>
                      <w:rFonts w:hint="default"/>
                      <w:lang w:val="en-US" w:eastAsia="zh-CN"/>
                    </w:rPr>
                  </w:pPr>
                  <w:r>
                    <w:rPr>
                      <w:rFonts w:hint="eastAsia"/>
                      <w:lang w:val="en-US" w:eastAsia="zh-CN"/>
                    </w:rPr>
                    <w:t>5</w:t>
                  </w:r>
                </w:p>
              </w:tc>
              <w:tc>
                <w:tcPr>
                  <w:tcW w:w="806" w:type="pct"/>
                  <w:tcBorders>
                    <w:tl2br w:val="nil"/>
                    <w:tr2bl w:val="nil"/>
                  </w:tcBorders>
                  <w:noWrap w:val="0"/>
                  <w:vAlign w:val="center"/>
                </w:tcPr>
                <w:p>
                  <w:pPr>
                    <w:pStyle w:val="66"/>
                    <w:bidi w:val="0"/>
                  </w:pPr>
                  <w:r>
                    <w:rPr>
                      <w:rFonts w:hint="eastAsia"/>
                    </w:rPr>
                    <w:t>60</w:t>
                  </w:r>
                </w:p>
              </w:tc>
              <w:tc>
                <w:tcPr>
                  <w:tcW w:w="575" w:type="pct"/>
                  <w:tcBorders>
                    <w:tl2br w:val="nil"/>
                    <w:tr2bl w:val="nil"/>
                  </w:tcBorders>
                  <w:noWrap w:val="0"/>
                  <w:vAlign w:val="center"/>
                </w:tcPr>
                <w:p>
                  <w:pPr>
                    <w:pStyle w:val="66"/>
                    <w:bidi w:val="0"/>
                    <w:rPr>
                      <w:rFonts w:hint="default"/>
                      <w:lang w:val="en-US" w:eastAsia="zh-CN"/>
                    </w:rPr>
                  </w:pPr>
                  <w:r>
                    <w:rPr>
                      <w:rFonts w:hint="eastAsia"/>
                      <w:lang w:val="en-US" w:eastAsia="zh-CN"/>
                    </w:rPr>
                    <w:t>8.3</w:t>
                  </w:r>
                </w:p>
              </w:tc>
              <w:tc>
                <w:tcPr>
                  <w:tcW w:w="657" w:type="pct"/>
                  <w:tcBorders>
                    <w:tl2br w:val="nil"/>
                    <w:tr2bl w:val="nil"/>
                  </w:tcBorders>
                  <w:noWrap w:val="0"/>
                  <w:vAlign w:val="center"/>
                </w:tcPr>
                <w:p>
                  <w:pPr>
                    <w:pStyle w:val="66"/>
                    <w:bidi w:val="0"/>
                    <w:rPr>
                      <w:rFonts w:hint="eastAsia"/>
                      <w:lang w:eastAsia="zh-CN"/>
                    </w:rPr>
                  </w:pPr>
                  <w:r>
                    <w:rPr>
                      <w:rFonts w:hint="eastAsia"/>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Merge w:val="continue"/>
                  <w:tcBorders>
                    <w:tl2br w:val="nil"/>
                    <w:tr2bl w:val="nil"/>
                  </w:tcBorders>
                  <w:noWrap w:val="0"/>
                  <w:vAlign w:val="center"/>
                </w:tcPr>
                <w:p>
                  <w:pPr>
                    <w:pStyle w:val="66"/>
                    <w:bidi w:val="0"/>
                  </w:pPr>
                </w:p>
              </w:tc>
              <w:tc>
                <w:tcPr>
                  <w:tcW w:w="1612" w:type="pct"/>
                  <w:tcBorders>
                    <w:tl2br w:val="nil"/>
                    <w:tr2bl w:val="nil"/>
                  </w:tcBorders>
                  <w:noWrap w:val="0"/>
                  <w:vAlign w:val="center"/>
                </w:tcPr>
                <w:p>
                  <w:pPr>
                    <w:pStyle w:val="66"/>
                    <w:bidi w:val="0"/>
                    <w:rPr>
                      <w:rFonts w:hint="default"/>
                      <w:lang w:val="en-US" w:eastAsia="zh-CN"/>
                    </w:rPr>
                  </w:pPr>
                  <w:r>
                    <w:rPr>
                      <w:rFonts w:hint="eastAsia"/>
                      <w:lang w:val="en-US" w:eastAsia="zh-CN"/>
                    </w:rPr>
                    <w:t>24h平均第98百分位数</w:t>
                  </w:r>
                </w:p>
              </w:tc>
              <w:tc>
                <w:tcPr>
                  <w:tcW w:w="743" w:type="pct"/>
                  <w:tcBorders>
                    <w:tl2br w:val="nil"/>
                    <w:tr2bl w:val="nil"/>
                  </w:tcBorders>
                  <w:noWrap w:val="0"/>
                  <w:vAlign w:val="center"/>
                </w:tcPr>
                <w:p>
                  <w:pPr>
                    <w:pStyle w:val="66"/>
                    <w:bidi w:val="0"/>
                    <w:rPr>
                      <w:rFonts w:hint="default"/>
                      <w:lang w:val="en-US" w:eastAsia="zh-CN"/>
                    </w:rPr>
                  </w:pPr>
                  <w:r>
                    <w:rPr>
                      <w:rFonts w:hint="eastAsia"/>
                      <w:lang w:val="en-US" w:eastAsia="zh-CN"/>
                    </w:rPr>
                    <w:t>6</w:t>
                  </w:r>
                </w:p>
              </w:tc>
              <w:tc>
                <w:tcPr>
                  <w:tcW w:w="806" w:type="pct"/>
                  <w:tcBorders>
                    <w:tl2br w:val="nil"/>
                    <w:tr2bl w:val="nil"/>
                  </w:tcBorders>
                  <w:noWrap w:val="0"/>
                  <w:vAlign w:val="center"/>
                </w:tcPr>
                <w:p>
                  <w:pPr>
                    <w:pStyle w:val="66"/>
                    <w:bidi w:val="0"/>
                  </w:pPr>
                  <w:r>
                    <w:rPr>
                      <w:rFonts w:hint="eastAsia"/>
                    </w:rPr>
                    <w:t>150</w:t>
                  </w:r>
                </w:p>
              </w:tc>
              <w:tc>
                <w:tcPr>
                  <w:tcW w:w="575" w:type="pct"/>
                  <w:tcBorders>
                    <w:tl2br w:val="nil"/>
                    <w:tr2bl w:val="nil"/>
                  </w:tcBorders>
                  <w:noWrap w:val="0"/>
                  <w:vAlign w:val="center"/>
                </w:tcPr>
                <w:p>
                  <w:pPr>
                    <w:pStyle w:val="66"/>
                    <w:bidi w:val="0"/>
                    <w:rPr>
                      <w:rFonts w:hint="default"/>
                      <w:lang w:val="en-US" w:eastAsia="zh-CN"/>
                    </w:rPr>
                  </w:pPr>
                  <w:r>
                    <w:rPr>
                      <w:rFonts w:hint="eastAsia"/>
                      <w:lang w:val="en-US" w:eastAsia="zh-CN"/>
                    </w:rPr>
                    <w:t>4</w:t>
                  </w:r>
                </w:p>
              </w:tc>
              <w:tc>
                <w:tcPr>
                  <w:tcW w:w="657" w:type="pct"/>
                  <w:tcBorders>
                    <w:tl2br w:val="nil"/>
                    <w:tr2bl w:val="nil"/>
                  </w:tcBorders>
                  <w:noWrap w:val="0"/>
                  <w:vAlign w:val="center"/>
                </w:tcPr>
                <w:p>
                  <w:pPr>
                    <w:pStyle w:val="66"/>
                    <w:bidi w:val="0"/>
                    <w:rPr>
                      <w:rFonts w:hint="eastAsia"/>
                    </w:rPr>
                  </w:pPr>
                  <w:r>
                    <w:rPr>
                      <w:rFonts w:hint="eastAsia"/>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4" w:type="pct"/>
                  <w:vMerge w:val="restart"/>
                  <w:tcBorders>
                    <w:tl2br w:val="nil"/>
                    <w:tr2bl w:val="nil"/>
                  </w:tcBorders>
                  <w:noWrap w:val="0"/>
                  <w:vAlign w:val="center"/>
                </w:tcPr>
                <w:p>
                  <w:pPr>
                    <w:pStyle w:val="66"/>
                    <w:bidi w:val="0"/>
                  </w:pPr>
                  <w:r>
                    <w:rPr>
                      <w:rFonts w:hint="eastAsia"/>
                    </w:rPr>
                    <w:t>NO</w:t>
                  </w:r>
                  <w:r>
                    <w:rPr>
                      <w:rFonts w:hint="eastAsia"/>
                      <w:vertAlign w:val="subscript"/>
                    </w:rPr>
                    <w:t>2</w:t>
                  </w:r>
                </w:p>
              </w:tc>
              <w:tc>
                <w:tcPr>
                  <w:tcW w:w="1612" w:type="pct"/>
                  <w:tcBorders>
                    <w:tl2br w:val="nil"/>
                    <w:tr2bl w:val="nil"/>
                  </w:tcBorders>
                  <w:noWrap w:val="0"/>
                  <w:vAlign w:val="center"/>
                </w:tcPr>
                <w:p>
                  <w:pPr>
                    <w:pStyle w:val="66"/>
                    <w:bidi w:val="0"/>
                    <w:rPr>
                      <w:rFonts w:hint="default"/>
                      <w:lang w:val="en-US" w:eastAsia="zh-CN"/>
                    </w:rPr>
                  </w:pPr>
                  <w:r>
                    <w:rPr>
                      <w:rFonts w:hint="eastAsia"/>
                      <w:lang w:val="en-US" w:eastAsia="zh-CN"/>
                    </w:rPr>
                    <w:t>年平均</w:t>
                  </w:r>
                </w:p>
              </w:tc>
              <w:tc>
                <w:tcPr>
                  <w:tcW w:w="743" w:type="pct"/>
                  <w:tcBorders>
                    <w:tl2br w:val="nil"/>
                    <w:tr2bl w:val="nil"/>
                  </w:tcBorders>
                  <w:noWrap w:val="0"/>
                  <w:vAlign w:val="center"/>
                </w:tcPr>
                <w:p>
                  <w:pPr>
                    <w:pStyle w:val="66"/>
                    <w:bidi w:val="0"/>
                    <w:rPr>
                      <w:rFonts w:hint="default"/>
                      <w:lang w:val="en-US" w:eastAsia="zh-CN"/>
                    </w:rPr>
                  </w:pPr>
                  <w:r>
                    <w:rPr>
                      <w:rFonts w:hint="eastAsia"/>
                      <w:lang w:val="en-US" w:eastAsia="zh-CN"/>
                    </w:rPr>
                    <w:t>7</w:t>
                  </w:r>
                </w:p>
              </w:tc>
              <w:tc>
                <w:tcPr>
                  <w:tcW w:w="806" w:type="pct"/>
                  <w:tcBorders>
                    <w:tl2br w:val="nil"/>
                    <w:tr2bl w:val="nil"/>
                  </w:tcBorders>
                  <w:noWrap w:val="0"/>
                  <w:vAlign w:val="center"/>
                </w:tcPr>
                <w:p>
                  <w:pPr>
                    <w:pStyle w:val="66"/>
                    <w:bidi w:val="0"/>
                  </w:pPr>
                  <w:r>
                    <w:rPr>
                      <w:rFonts w:hint="eastAsia"/>
                    </w:rPr>
                    <w:t>40</w:t>
                  </w:r>
                </w:p>
              </w:tc>
              <w:tc>
                <w:tcPr>
                  <w:tcW w:w="575" w:type="pct"/>
                  <w:tcBorders>
                    <w:tl2br w:val="nil"/>
                    <w:tr2bl w:val="nil"/>
                  </w:tcBorders>
                  <w:noWrap w:val="0"/>
                  <w:vAlign w:val="center"/>
                </w:tcPr>
                <w:p>
                  <w:pPr>
                    <w:pStyle w:val="66"/>
                    <w:bidi w:val="0"/>
                    <w:rPr>
                      <w:rFonts w:hint="default"/>
                      <w:lang w:val="en-US" w:eastAsia="zh-CN"/>
                    </w:rPr>
                  </w:pPr>
                  <w:r>
                    <w:rPr>
                      <w:rFonts w:hint="eastAsia"/>
                      <w:lang w:val="en-US" w:eastAsia="zh-CN"/>
                    </w:rPr>
                    <w:t>17.5</w:t>
                  </w:r>
                </w:p>
              </w:tc>
              <w:tc>
                <w:tcPr>
                  <w:tcW w:w="657" w:type="pct"/>
                  <w:tcBorders>
                    <w:tl2br w:val="nil"/>
                    <w:tr2bl w:val="nil"/>
                  </w:tcBorders>
                  <w:noWrap w:val="0"/>
                  <w:vAlign w:val="center"/>
                </w:tcPr>
                <w:p>
                  <w:pPr>
                    <w:pStyle w:val="66"/>
                    <w:bidi w:val="0"/>
                    <w:rPr>
                      <w:rFonts w:hint="eastAsia"/>
                    </w:rPr>
                  </w:pPr>
                  <w:r>
                    <w:rPr>
                      <w:rFonts w:hint="eastAsia"/>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Merge w:val="continue"/>
                  <w:tcBorders>
                    <w:tl2br w:val="nil"/>
                    <w:tr2bl w:val="nil"/>
                  </w:tcBorders>
                  <w:noWrap w:val="0"/>
                  <w:vAlign w:val="center"/>
                </w:tcPr>
                <w:p>
                  <w:pPr>
                    <w:pStyle w:val="66"/>
                    <w:bidi w:val="0"/>
                  </w:pPr>
                </w:p>
              </w:tc>
              <w:tc>
                <w:tcPr>
                  <w:tcW w:w="1612" w:type="pct"/>
                  <w:tcBorders>
                    <w:tl2br w:val="nil"/>
                    <w:tr2bl w:val="nil"/>
                  </w:tcBorders>
                  <w:noWrap w:val="0"/>
                  <w:vAlign w:val="center"/>
                </w:tcPr>
                <w:p>
                  <w:pPr>
                    <w:pStyle w:val="66"/>
                    <w:bidi w:val="0"/>
                    <w:rPr>
                      <w:rFonts w:hint="default"/>
                      <w:lang w:val="en-US" w:eastAsia="zh-CN"/>
                    </w:rPr>
                  </w:pPr>
                  <w:r>
                    <w:rPr>
                      <w:rFonts w:hint="eastAsia"/>
                      <w:lang w:val="en-US" w:eastAsia="zh-CN"/>
                    </w:rPr>
                    <w:t>24h平均第98百分位数</w:t>
                  </w:r>
                </w:p>
              </w:tc>
              <w:tc>
                <w:tcPr>
                  <w:tcW w:w="743" w:type="pct"/>
                  <w:tcBorders>
                    <w:tl2br w:val="nil"/>
                    <w:tr2bl w:val="nil"/>
                  </w:tcBorders>
                  <w:noWrap w:val="0"/>
                  <w:vAlign w:val="center"/>
                </w:tcPr>
                <w:p>
                  <w:pPr>
                    <w:pStyle w:val="66"/>
                    <w:bidi w:val="0"/>
                    <w:rPr>
                      <w:rFonts w:hint="default"/>
                      <w:lang w:val="en-US" w:eastAsia="zh-CN"/>
                    </w:rPr>
                  </w:pPr>
                  <w:r>
                    <w:rPr>
                      <w:rFonts w:hint="eastAsia"/>
                      <w:lang w:val="en-US" w:eastAsia="zh-CN"/>
                    </w:rPr>
                    <w:t>19</w:t>
                  </w:r>
                </w:p>
              </w:tc>
              <w:tc>
                <w:tcPr>
                  <w:tcW w:w="806" w:type="pct"/>
                  <w:tcBorders>
                    <w:tl2br w:val="nil"/>
                    <w:tr2bl w:val="nil"/>
                  </w:tcBorders>
                  <w:noWrap w:val="0"/>
                  <w:vAlign w:val="center"/>
                </w:tcPr>
                <w:p>
                  <w:pPr>
                    <w:pStyle w:val="66"/>
                    <w:bidi w:val="0"/>
                  </w:pPr>
                  <w:r>
                    <w:rPr>
                      <w:rFonts w:hint="eastAsia"/>
                    </w:rPr>
                    <w:t>80</w:t>
                  </w:r>
                </w:p>
              </w:tc>
              <w:tc>
                <w:tcPr>
                  <w:tcW w:w="575" w:type="pct"/>
                  <w:tcBorders>
                    <w:tl2br w:val="nil"/>
                    <w:tr2bl w:val="nil"/>
                  </w:tcBorders>
                  <w:noWrap w:val="0"/>
                  <w:vAlign w:val="center"/>
                </w:tcPr>
                <w:p>
                  <w:pPr>
                    <w:pStyle w:val="66"/>
                    <w:bidi w:val="0"/>
                    <w:rPr>
                      <w:rFonts w:hint="default"/>
                      <w:lang w:val="en-US" w:eastAsia="zh-CN"/>
                    </w:rPr>
                  </w:pPr>
                  <w:r>
                    <w:rPr>
                      <w:rFonts w:hint="eastAsia"/>
                      <w:lang w:val="en-US" w:eastAsia="zh-CN"/>
                    </w:rPr>
                    <w:t>23.8</w:t>
                  </w:r>
                </w:p>
              </w:tc>
              <w:tc>
                <w:tcPr>
                  <w:tcW w:w="657" w:type="pct"/>
                  <w:tcBorders>
                    <w:tl2br w:val="nil"/>
                    <w:tr2bl w:val="nil"/>
                  </w:tcBorders>
                  <w:noWrap w:val="0"/>
                  <w:vAlign w:val="center"/>
                </w:tcPr>
                <w:p>
                  <w:pPr>
                    <w:pStyle w:val="66"/>
                    <w:bidi w:val="0"/>
                    <w:rPr>
                      <w:rFonts w:hint="eastAsia"/>
                    </w:rPr>
                  </w:pPr>
                  <w:r>
                    <w:rPr>
                      <w:rFonts w:hint="eastAsia"/>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Borders>
                    <w:tl2br w:val="nil"/>
                    <w:tr2bl w:val="nil"/>
                  </w:tcBorders>
                  <w:noWrap w:val="0"/>
                  <w:vAlign w:val="center"/>
                </w:tcPr>
                <w:p>
                  <w:pPr>
                    <w:pStyle w:val="66"/>
                    <w:bidi w:val="0"/>
                  </w:pPr>
                  <w:r>
                    <w:rPr>
                      <w:rFonts w:hint="eastAsia"/>
                    </w:rPr>
                    <w:t>CO</w:t>
                  </w:r>
                </w:p>
              </w:tc>
              <w:tc>
                <w:tcPr>
                  <w:tcW w:w="1612" w:type="pct"/>
                  <w:tcBorders>
                    <w:tl2br w:val="nil"/>
                    <w:tr2bl w:val="nil"/>
                  </w:tcBorders>
                  <w:noWrap w:val="0"/>
                  <w:vAlign w:val="center"/>
                </w:tcPr>
                <w:p>
                  <w:pPr>
                    <w:pStyle w:val="66"/>
                    <w:bidi w:val="0"/>
                    <w:rPr>
                      <w:rFonts w:hint="default"/>
                      <w:lang w:val="en-US" w:eastAsia="zh-CN"/>
                    </w:rPr>
                  </w:pPr>
                  <w:r>
                    <w:rPr>
                      <w:rFonts w:hint="eastAsia"/>
                      <w:lang w:val="en-US" w:eastAsia="zh-CN"/>
                    </w:rPr>
                    <w:t>24h平均第95百分位数</w:t>
                  </w:r>
                </w:p>
              </w:tc>
              <w:tc>
                <w:tcPr>
                  <w:tcW w:w="743" w:type="pct"/>
                  <w:tcBorders>
                    <w:tl2br w:val="nil"/>
                    <w:tr2bl w:val="nil"/>
                  </w:tcBorders>
                  <w:noWrap w:val="0"/>
                  <w:vAlign w:val="center"/>
                </w:tcPr>
                <w:p>
                  <w:pPr>
                    <w:pStyle w:val="66"/>
                    <w:bidi w:val="0"/>
                    <w:rPr>
                      <w:rFonts w:hint="default"/>
                      <w:lang w:val="en-US" w:eastAsia="zh-CN"/>
                    </w:rPr>
                  </w:pPr>
                  <w:r>
                    <w:rPr>
                      <w:rFonts w:hint="eastAsia"/>
                      <w:lang w:val="en-US" w:eastAsia="zh-CN"/>
                    </w:rPr>
                    <w:t>400</w:t>
                  </w:r>
                </w:p>
              </w:tc>
              <w:tc>
                <w:tcPr>
                  <w:tcW w:w="806" w:type="pct"/>
                  <w:tcBorders>
                    <w:tl2br w:val="nil"/>
                    <w:tr2bl w:val="nil"/>
                  </w:tcBorders>
                  <w:noWrap w:val="0"/>
                  <w:vAlign w:val="center"/>
                </w:tcPr>
                <w:p>
                  <w:pPr>
                    <w:pStyle w:val="66"/>
                    <w:bidi w:val="0"/>
                    <w:rPr>
                      <w:rFonts w:hint="default"/>
                      <w:lang w:val="en-US" w:eastAsia="zh-CN"/>
                    </w:rPr>
                  </w:pPr>
                  <w:r>
                    <w:rPr>
                      <w:rFonts w:hint="eastAsia"/>
                    </w:rPr>
                    <w:t>4</w:t>
                  </w:r>
                  <w:r>
                    <w:rPr>
                      <w:rFonts w:hint="eastAsia"/>
                      <w:lang w:val="en-US" w:eastAsia="zh-CN"/>
                    </w:rPr>
                    <w:t>000</w:t>
                  </w:r>
                </w:p>
              </w:tc>
              <w:tc>
                <w:tcPr>
                  <w:tcW w:w="575" w:type="pct"/>
                  <w:tcBorders>
                    <w:tl2br w:val="nil"/>
                    <w:tr2bl w:val="nil"/>
                  </w:tcBorders>
                  <w:noWrap w:val="0"/>
                  <w:vAlign w:val="center"/>
                </w:tcPr>
                <w:p>
                  <w:pPr>
                    <w:pStyle w:val="66"/>
                    <w:bidi w:val="0"/>
                    <w:rPr>
                      <w:rFonts w:hint="default"/>
                      <w:lang w:val="en-US" w:eastAsia="zh-CN"/>
                    </w:rPr>
                  </w:pPr>
                  <w:r>
                    <w:rPr>
                      <w:rFonts w:hint="eastAsia"/>
                      <w:lang w:val="en-US" w:eastAsia="zh-CN"/>
                    </w:rPr>
                    <w:t>10</w:t>
                  </w:r>
                </w:p>
              </w:tc>
              <w:tc>
                <w:tcPr>
                  <w:tcW w:w="657" w:type="pct"/>
                  <w:tcBorders>
                    <w:tl2br w:val="nil"/>
                    <w:tr2bl w:val="nil"/>
                  </w:tcBorders>
                  <w:noWrap w:val="0"/>
                  <w:vAlign w:val="center"/>
                </w:tcPr>
                <w:p>
                  <w:pPr>
                    <w:pStyle w:val="66"/>
                    <w:bidi w:val="0"/>
                    <w:rPr>
                      <w:rFonts w:hint="eastAsia"/>
                    </w:rPr>
                  </w:pPr>
                  <w:r>
                    <w:rPr>
                      <w:rFonts w:hint="eastAsia"/>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Borders>
                    <w:tl2br w:val="nil"/>
                    <w:tr2bl w:val="nil"/>
                  </w:tcBorders>
                  <w:noWrap w:val="0"/>
                  <w:vAlign w:val="center"/>
                </w:tcPr>
                <w:p>
                  <w:pPr>
                    <w:pStyle w:val="66"/>
                    <w:bidi w:val="0"/>
                  </w:pPr>
                  <w:r>
                    <w:rPr>
                      <w:rFonts w:hint="eastAsia"/>
                    </w:rPr>
                    <w:t>O</w:t>
                  </w:r>
                  <w:r>
                    <w:rPr>
                      <w:rFonts w:hint="eastAsia"/>
                      <w:vertAlign w:val="subscript"/>
                    </w:rPr>
                    <w:t>3</w:t>
                  </w:r>
                </w:p>
              </w:tc>
              <w:tc>
                <w:tcPr>
                  <w:tcW w:w="1612" w:type="pct"/>
                  <w:tcBorders>
                    <w:tl2br w:val="nil"/>
                    <w:tr2bl w:val="nil"/>
                  </w:tcBorders>
                  <w:noWrap w:val="0"/>
                  <w:vAlign w:val="center"/>
                </w:tcPr>
                <w:p>
                  <w:pPr>
                    <w:pStyle w:val="66"/>
                    <w:bidi w:val="0"/>
                    <w:rPr>
                      <w:rFonts w:hint="default"/>
                      <w:lang w:val="en-US" w:eastAsia="zh-CN"/>
                    </w:rPr>
                  </w:pPr>
                  <w:r>
                    <w:rPr>
                      <w:rFonts w:hint="default"/>
                      <w:lang w:val="en-US" w:eastAsia="zh-CN"/>
                    </w:rPr>
                    <w:t>最大8小时滑动平均值的第90百分位数</w:t>
                  </w:r>
                </w:p>
              </w:tc>
              <w:tc>
                <w:tcPr>
                  <w:tcW w:w="743" w:type="pct"/>
                  <w:tcBorders>
                    <w:tl2br w:val="nil"/>
                    <w:tr2bl w:val="nil"/>
                  </w:tcBorders>
                  <w:noWrap w:val="0"/>
                  <w:vAlign w:val="center"/>
                </w:tcPr>
                <w:p>
                  <w:pPr>
                    <w:pStyle w:val="66"/>
                    <w:bidi w:val="0"/>
                    <w:rPr>
                      <w:rFonts w:hint="default"/>
                      <w:lang w:val="en-US" w:eastAsia="zh-CN"/>
                    </w:rPr>
                  </w:pPr>
                  <w:r>
                    <w:rPr>
                      <w:rFonts w:hint="eastAsia"/>
                      <w:lang w:val="en-US" w:eastAsia="zh-CN"/>
                    </w:rPr>
                    <w:t>112</w:t>
                  </w:r>
                </w:p>
              </w:tc>
              <w:tc>
                <w:tcPr>
                  <w:tcW w:w="806" w:type="pct"/>
                  <w:tcBorders>
                    <w:tl2br w:val="nil"/>
                    <w:tr2bl w:val="nil"/>
                  </w:tcBorders>
                  <w:noWrap w:val="0"/>
                  <w:vAlign w:val="center"/>
                </w:tcPr>
                <w:p>
                  <w:pPr>
                    <w:pStyle w:val="66"/>
                    <w:bidi w:val="0"/>
                  </w:pPr>
                  <w:r>
                    <w:rPr>
                      <w:rFonts w:hint="eastAsia"/>
                    </w:rPr>
                    <w:t>160</w:t>
                  </w:r>
                </w:p>
              </w:tc>
              <w:tc>
                <w:tcPr>
                  <w:tcW w:w="575" w:type="pct"/>
                  <w:tcBorders>
                    <w:tl2br w:val="nil"/>
                    <w:tr2bl w:val="nil"/>
                  </w:tcBorders>
                  <w:noWrap w:val="0"/>
                  <w:vAlign w:val="center"/>
                </w:tcPr>
                <w:p>
                  <w:pPr>
                    <w:pStyle w:val="66"/>
                    <w:bidi w:val="0"/>
                    <w:rPr>
                      <w:rFonts w:hint="default"/>
                      <w:lang w:val="en-US" w:eastAsia="zh-CN"/>
                    </w:rPr>
                  </w:pPr>
                  <w:r>
                    <w:rPr>
                      <w:rFonts w:hint="eastAsia"/>
                      <w:lang w:val="en-US" w:eastAsia="zh-CN"/>
                    </w:rPr>
                    <w:t>70</w:t>
                  </w:r>
                </w:p>
              </w:tc>
              <w:tc>
                <w:tcPr>
                  <w:tcW w:w="657" w:type="pct"/>
                  <w:tcBorders>
                    <w:tl2br w:val="nil"/>
                    <w:tr2bl w:val="nil"/>
                  </w:tcBorders>
                  <w:noWrap w:val="0"/>
                  <w:vAlign w:val="center"/>
                </w:tcPr>
                <w:p>
                  <w:pPr>
                    <w:pStyle w:val="66"/>
                    <w:bidi w:val="0"/>
                    <w:rPr>
                      <w:rFonts w:hint="eastAsia"/>
                    </w:rPr>
                  </w:pPr>
                  <w:r>
                    <w:rPr>
                      <w:rFonts w:hint="eastAsia"/>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pct"/>
                  <w:vMerge w:val="restart"/>
                  <w:tcBorders>
                    <w:tl2br w:val="nil"/>
                    <w:tr2bl w:val="nil"/>
                  </w:tcBorders>
                  <w:noWrap w:val="0"/>
                  <w:vAlign w:val="center"/>
                </w:tcPr>
                <w:p>
                  <w:pPr>
                    <w:pStyle w:val="66"/>
                    <w:bidi w:val="0"/>
                  </w:pPr>
                  <w:r>
                    <w:rPr>
                      <w:rFonts w:hint="eastAsia"/>
                    </w:rPr>
                    <w:t>PM</w:t>
                  </w:r>
                  <w:r>
                    <w:rPr>
                      <w:rFonts w:hint="eastAsia"/>
                      <w:vertAlign w:val="subscript"/>
                    </w:rPr>
                    <w:t>10</w:t>
                  </w:r>
                </w:p>
              </w:tc>
              <w:tc>
                <w:tcPr>
                  <w:tcW w:w="1612" w:type="pct"/>
                  <w:tcBorders>
                    <w:tl2br w:val="nil"/>
                    <w:tr2bl w:val="nil"/>
                  </w:tcBorders>
                  <w:noWrap w:val="0"/>
                  <w:vAlign w:val="center"/>
                </w:tcPr>
                <w:p>
                  <w:pPr>
                    <w:pStyle w:val="66"/>
                    <w:bidi w:val="0"/>
                    <w:rPr>
                      <w:rFonts w:hint="default"/>
                      <w:lang w:val="en-US" w:eastAsia="zh-CN"/>
                    </w:rPr>
                  </w:pPr>
                  <w:r>
                    <w:rPr>
                      <w:rFonts w:hint="eastAsia"/>
                      <w:lang w:val="en-US" w:eastAsia="zh-CN"/>
                    </w:rPr>
                    <w:t>年平均</w:t>
                  </w:r>
                </w:p>
              </w:tc>
              <w:tc>
                <w:tcPr>
                  <w:tcW w:w="743" w:type="pct"/>
                  <w:tcBorders>
                    <w:tl2br w:val="nil"/>
                    <w:tr2bl w:val="nil"/>
                  </w:tcBorders>
                  <w:noWrap w:val="0"/>
                  <w:vAlign w:val="center"/>
                </w:tcPr>
                <w:p>
                  <w:pPr>
                    <w:pStyle w:val="66"/>
                    <w:bidi w:val="0"/>
                    <w:rPr>
                      <w:rFonts w:hint="default"/>
                      <w:lang w:val="en-US" w:eastAsia="zh-CN"/>
                    </w:rPr>
                  </w:pPr>
                  <w:r>
                    <w:rPr>
                      <w:rFonts w:hint="eastAsia"/>
                      <w:lang w:val="en-US" w:eastAsia="zh-CN"/>
                    </w:rPr>
                    <w:t>190</w:t>
                  </w:r>
                </w:p>
              </w:tc>
              <w:tc>
                <w:tcPr>
                  <w:tcW w:w="806" w:type="pct"/>
                  <w:tcBorders>
                    <w:tl2br w:val="nil"/>
                    <w:tr2bl w:val="nil"/>
                  </w:tcBorders>
                  <w:noWrap w:val="0"/>
                  <w:vAlign w:val="center"/>
                </w:tcPr>
                <w:p>
                  <w:pPr>
                    <w:pStyle w:val="66"/>
                    <w:bidi w:val="0"/>
                  </w:pPr>
                  <w:r>
                    <w:rPr>
                      <w:rFonts w:hint="eastAsia"/>
                    </w:rPr>
                    <w:t>70</w:t>
                  </w:r>
                </w:p>
              </w:tc>
              <w:tc>
                <w:tcPr>
                  <w:tcW w:w="575" w:type="pct"/>
                  <w:tcBorders>
                    <w:tl2br w:val="nil"/>
                    <w:tr2bl w:val="nil"/>
                  </w:tcBorders>
                  <w:noWrap w:val="0"/>
                  <w:vAlign w:val="center"/>
                </w:tcPr>
                <w:p>
                  <w:pPr>
                    <w:pStyle w:val="66"/>
                    <w:bidi w:val="0"/>
                    <w:rPr>
                      <w:rFonts w:hint="default"/>
                      <w:lang w:val="en-US" w:eastAsia="zh-CN"/>
                    </w:rPr>
                  </w:pPr>
                  <w:r>
                    <w:rPr>
                      <w:rFonts w:hint="eastAsia"/>
                      <w:lang w:val="en-US" w:eastAsia="zh-CN"/>
                    </w:rPr>
                    <w:t>271.4</w:t>
                  </w:r>
                </w:p>
              </w:tc>
              <w:tc>
                <w:tcPr>
                  <w:tcW w:w="657" w:type="pct"/>
                  <w:tcBorders>
                    <w:tl2br w:val="nil"/>
                    <w:tr2bl w:val="nil"/>
                  </w:tcBorders>
                  <w:noWrap w:val="0"/>
                  <w:vAlign w:val="center"/>
                </w:tcPr>
                <w:p>
                  <w:pPr>
                    <w:pStyle w:val="66"/>
                    <w:bidi w:val="0"/>
                    <w:rPr>
                      <w:rFonts w:hint="eastAsia"/>
                    </w:rPr>
                  </w:pPr>
                  <w:r>
                    <w:rPr>
                      <w:rFonts w:hint="eastAsia"/>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Merge w:val="continue"/>
                  <w:tcBorders>
                    <w:tl2br w:val="nil"/>
                    <w:tr2bl w:val="nil"/>
                  </w:tcBorders>
                  <w:noWrap w:val="0"/>
                  <w:vAlign w:val="center"/>
                </w:tcPr>
                <w:p>
                  <w:pPr>
                    <w:pStyle w:val="66"/>
                    <w:bidi w:val="0"/>
                  </w:pPr>
                </w:p>
              </w:tc>
              <w:tc>
                <w:tcPr>
                  <w:tcW w:w="1612" w:type="pct"/>
                  <w:tcBorders>
                    <w:tl2br w:val="nil"/>
                    <w:tr2bl w:val="nil"/>
                  </w:tcBorders>
                  <w:noWrap w:val="0"/>
                  <w:vAlign w:val="center"/>
                </w:tcPr>
                <w:p>
                  <w:pPr>
                    <w:pStyle w:val="66"/>
                    <w:bidi w:val="0"/>
                    <w:rPr>
                      <w:rFonts w:hint="default"/>
                      <w:lang w:val="en-US" w:eastAsia="zh-CN"/>
                    </w:rPr>
                  </w:pPr>
                  <w:r>
                    <w:rPr>
                      <w:rFonts w:hint="eastAsia"/>
                      <w:lang w:val="en-US" w:eastAsia="zh-CN"/>
                    </w:rPr>
                    <w:t>24h平均第95百分位数</w:t>
                  </w:r>
                </w:p>
              </w:tc>
              <w:tc>
                <w:tcPr>
                  <w:tcW w:w="743" w:type="pct"/>
                  <w:tcBorders>
                    <w:tl2br w:val="nil"/>
                    <w:tr2bl w:val="nil"/>
                  </w:tcBorders>
                  <w:noWrap w:val="0"/>
                  <w:vAlign w:val="center"/>
                </w:tcPr>
                <w:p>
                  <w:pPr>
                    <w:pStyle w:val="66"/>
                    <w:bidi w:val="0"/>
                    <w:rPr>
                      <w:rFonts w:hint="default"/>
                      <w:lang w:val="en-US" w:eastAsia="zh-CN"/>
                    </w:rPr>
                  </w:pPr>
                  <w:r>
                    <w:rPr>
                      <w:rFonts w:hint="eastAsia"/>
                      <w:lang w:val="en-US" w:eastAsia="zh-CN"/>
                    </w:rPr>
                    <w:t>634</w:t>
                  </w:r>
                </w:p>
              </w:tc>
              <w:tc>
                <w:tcPr>
                  <w:tcW w:w="806" w:type="pct"/>
                  <w:tcBorders>
                    <w:tl2br w:val="nil"/>
                    <w:tr2bl w:val="nil"/>
                  </w:tcBorders>
                  <w:noWrap w:val="0"/>
                  <w:vAlign w:val="center"/>
                </w:tcPr>
                <w:p>
                  <w:pPr>
                    <w:pStyle w:val="66"/>
                    <w:bidi w:val="0"/>
                  </w:pPr>
                  <w:r>
                    <w:rPr>
                      <w:rFonts w:hint="eastAsia"/>
                    </w:rPr>
                    <w:t>150</w:t>
                  </w:r>
                </w:p>
              </w:tc>
              <w:tc>
                <w:tcPr>
                  <w:tcW w:w="575" w:type="pct"/>
                  <w:tcBorders>
                    <w:tl2br w:val="nil"/>
                    <w:tr2bl w:val="nil"/>
                  </w:tcBorders>
                  <w:noWrap w:val="0"/>
                  <w:vAlign w:val="center"/>
                </w:tcPr>
                <w:p>
                  <w:pPr>
                    <w:pStyle w:val="66"/>
                    <w:bidi w:val="0"/>
                    <w:rPr>
                      <w:rFonts w:hint="default"/>
                      <w:lang w:val="en-US" w:eastAsia="zh-CN"/>
                    </w:rPr>
                  </w:pPr>
                  <w:r>
                    <w:rPr>
                      <w:rFonts w:hint="eastAsia"/>
                      <w:lang w:val="en-US" w:eastAsia="zh-CN"/>
                    </w:rPr>
                    <w:t>622.7</w:t>
                  </w:r>
                </w:p>
              </w:tc>
              <w:tc>
                <w:tcPr>
                  <w:tcW w:w="657" w:type="pct"/>
                  <w:tcBorders>
                    <w:tl2br w:val="nil"/>
                    <w:tr2bl w:val="nil"/>
                  </w:tcBorders>
                  <w:noWrap w:val="0"/>
                  <w:vAlign w:val="center"/>
                </w:tcPr>
                <w:p>
                  <w:pPr>
                    <w:pStyle w:val="66"/>
                    <w:bidi w:val="0"/>
                    <w:rPr>
                      <w:rFonts w:hint="eastAsia"/>
                    </w:rPr>
                  </w:pPr>
                  <w:r>
                    <w:rPr>
                      <w:rFonts w:hint="eastAsia"/>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4" w:type="pct"/>
                  <w:vMerge w:val="restart"/>
                  <w:tcBorders>
                    <w:tl2br w:val="nil"/>
                    <w:tr2bl w:val="nil"/>
                  </w:tcBorders>
                  <w:noWrap w:val="0"/>
                  <w:vAlign w:val="center"/>
                </w:tcPr>
                <w:p>
                  <w:pPr>
                    <w:pStyle w:val="66"/>
                    <w:bidi w:val="0"/>
                  </w:pPr>
                  <w:r>
                    <w:rPr>
                      <w:rFonts w:hint="eastAsia"/>
                    </w:rPr>
                    <w:t>PM</w:t>
                  </w:r>
                  <w:r>
                    <w:rPr>
                      <w:rFonts w:hint="eastAsia"/>
                      <w:vertAlign w:val="subscript"/>
                    </w:rPr>
                    <w:t>2.5</w:t>
                  </w:r>
                </w:p>
              </w:tc>
              <w:tc>
                <w:tcPr>
                  <w:tcW w:w="1612" w:type="pct"/>
                  <w:tcBorders>
                    <w:tl2br w:val="nil"/>
                    <w:tr2bl w:val="nil"/>
                  </w:tcBorders>
                  <w:noWrap w:val="0"/>
                  <w:vAlign w:val="center"/>
                </w:tcPr>
                <w:p>
                  <w:pPr>
                    <w:pStyle w:val="66"/>
                    <w:bidi w:val="0"/>
                    <w:rPr>
                      <w:rFonts w:hint="default"/>
                      <w:lang w:val="en-US" w:eastAsia="zh-CN"/>
                    </w:rPr>
                  </w:pPr>
                  <w:r>
                    <w:rPr>
                      <w:rFonts w:hint="eastAsia"/>
                      <w:lang w:val="en-US" w:eastAsia="zh-CN"/>
                    </w:rPr>
                    <w:t>年平均</w:t>
                  </w:r>
                </w:p>
              </w:tc>
              <w:tc>
                <w:tcPr>
                  <w:tcW w:w="743" w:type="pct"/>
                  <w:tcBorders>
                    <w:tl2br w:val="nil"/>
                    <w:tr2bl w:val="nil"/>
                  </w:tcBorders>
                  <w:noWrap w:val="0"/>
                  <w:vAlign w:val="center"/>
                </w:tcPr>
                <w:p>
                  <w:pPr>
                    <w:pStyle w:val="66"/>
                    <w:bidi w:val="0"/>
                    <w:rPr>
                      <w:rFonts w:hint="default"/>
                      <w:lang w:val="en-US" w:eastAsia="zh-CN"/>
                    </w:rPr>
                  </w:pPr>
                  <w:r>
                    <w:rPr>
                      <w:rFonts w:hint="eastAsia"/>
                      <w:lang w:val="en-US" w:eastAsia="zh-CN"/>
                    </w:rPr>
                    <w:t>55</w:t>
                  </w:r>
                </w:p>
              </w:tc>
              <w:tc>
                <w:tcPr>
                  <w:tcW w:w="806" w:type="pct"/>
                  <w:tcBorders>
                    <w:tl2br w:val="nil"/>
                    <w:tr2bl w:val="nil"/>
                  </w:tcBorders>
                  <w:noWrap w:val="0"/>
                  <w:vAlign w:val="center"/>
                </w:tcPr>
                <w:p>
                  <w:pPr>
                    <w:pStyle w:val="66"/>
                    <w:bidi w:val="0"/>
                  </w:pPr>
                  <w:r>
                    <w:rPr>
                      <w:rFonts w:hint="eastAsia"/>
                    </w:rPr>
                    <w:t>35</w:t>
                  </w:r>
                </w:p>
              </w:tc>
              <w:tc>
                <w:tcPr>
                  <w:tcW w:w="575" w:type="pct"/>
                  <w:tcBorders>
                    <w:tl2br w:val="nil"/>
                    <w:tr2bl w:val="nil"/>
                  </w:tcBorders>
                  <w:noWrap w:val="0"/>
                  <w:vAlign w:val="center"/>
                </w:tcPr>
                <w:p>
                  <w:pPr>
                    <w:pStyle w:val="66"/>
                    <w:bidi w:val="0"/>
                    <w:rPr>
                      <w:rFonts w:hint="default"/>
                      <w:lang w:val="en-US" w:eastAsia="zh-CN"/>
                    </w:rPr>
                  </w:pPr>
                  <w:r>
                    <w:rPr>
                      <w:rFonts w:hint="eastAsia"/>
                      <w:lang w:val="en-US" w:eastAsia="zh-CN"/>
                    </w:rPr>
                    <w:t>157.1</w:t>
                  </w:r>
                </w:p>
              </w:tc>
              <w:tc>
                <w:tcPr>
                  <w:tcW w:w="657" w:type="pct"/>
                  <w:tcBorders>
                    <w:tl2br w:val="nil"/>
                    <w:tr2bl w:val="nil"/>
                  </w:tcBorders>
                  <w:noWrap w:val="0"/>
                  <w:vAlign w:val="center"/>
                </w:tcPr>
                <w:p>
                  <w:pPr>
                    <w:pStyle w:val="66"/>
                    <w:bidi w:val="0"/>
                    <w:rPr>
                      <w:rFonts w:hint="eastAsia"/>
                    </w:rPr>
                  </w:pPr>
                  <w:r>
                    <w:rPr>
                      <w:rFonts w:hint="eastAsia"/>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Merge w:val="continue"/>
                  <w:tcBorders>
                    <w:tl2br w:val="nil"/>
                    <w:tr2bl w:val="nil"/>
                  </w:tcBorders>
                  <w:noWrap w:val="0"/>
                  <w:vAlign w:val="center"/>
                </w:tcPr>
                <w:p>
                  <w:pPr>
                    <w:pStyle w:val="66"/>
                    <w:bidi w:val="0"/>
                  </w:pPr>
                </w:p>
              </w:tc>
              <w:tc>
                <w:tcPr>
                  <w:tcW w:w="1612" w:type="pct"/>
                  <w:tcBorders>
                    <w:tl2br w:val="nil"/>
                    <w:tr2bl w:val="nil"/>
                  </w:tcBorders>
                  <w:noWrap w:val="0"/>
                  <w:vAlign w:val="center"/>
                </w:tcPr>
                <w:p>
                  <w:pPr>
                    <w:pStyle w:val="66"/>
                    <w:bidi w:val="0"/>
                    <w:rPr>
                      <w:rFonts w:hint="default"/>
                      <w:lang w:val="en-US" w:eastAsia="zh-CN"/>
                    </w:rPr>
                  </w:pPr>
                  <w:r>
                    <w:rPr>
                      <w:rFonts w:hint="eastAsia"/>
                      <w:lang w:val="en-US" w:eastAsia="zh-CN"/>
                    </w:rPr>
                    <w:t>24h平均第95百分位数</w:t>
                  </w:r>
                </w:p>
              </w:tc>
              <w:tc>
                <w:tcPr>
                  <w:tcW w:w="743" w:type="pct"/>
                  <w:tcBorders>
                    <w:tl2br w:val="nil"/>
                    <w:tr2bl w:val="nil"/>
                  </w:tcBorders>
                  <w:noWrap w:val="0"/>
                  <w:vAlign w:val="center"/>
                </w:tcPr>
                <w:p>
                  <w:pPr>
                    <w:pStyle w:val="66"/>
                    <w:bidi w:val="0"/>
                    <w:rPr>
                      <w:rFonts w:hint="default"/>
                      <w:lang w:val="en-US" w:eastAsia="zh-CN"/>
                    </w:rPr>
                  </w:pPr>
                  <w:r>
                    <w:rPr>
                      <w:rFonts w:hint="eastAsia"/>
                      <w:lang w:val="en-US" w:eastAsia="zh-CN"/>
                    </w:rPr>
                    <w:t>229</w:t>
                  </w:r>
                </w:p>
              </w:tc>
              <w:tc>
                <w:tcPr>
                  <w:tcW w:w="806" w:type="pct"/>
                  <w:tcBorders>
                    <w:tl2br w:val="nil"/>
                    <w:tr2bl w:val="nil"/>
                  </w:tcBorders>
                  <w:noWrap w:val="0"/>
                  <w:vAlign w:val="center"/>
                </w:tcPr>
                <w:p>
                  <w:pPr>
                    <w:pStyle w:val="66"/>
                    <w:bidi w:val="0"/>
                  </w:pPr>
                  <w:r>
                    <w:rPr>
                      <w:rFonts w:hint="eastAsia"/>
                    </w:rPr>
                    <w:t>75</w:t>
                  </w:r>
                </w:p>
              </w:tc>
              <w:tc>
                <w:tcPr>
                  <w:tcW w:w="575" w:type="pct"/>
                  <w:tcBorders>
                    <w:tl2br w:val="nil"/>
                    <w:tr2bl w:val="nil"/>
                  </w:tcBorders>
                  <w:noWrap w:val="0"/>
                  <w:vAlign w:val="center"/>
                </w:tcPr>
                <w:p>
                  <w:pPr>
                    <w:pStyle w:val="66"/>
                    <w:bidi w:val="0"/>
                    <w:rPr>
                      <w:rFonts w:hint="default"/>
                      <w:lang w:val="en-US" w:eastAsia="zh-CN"/>
                    </w:rPr>
                  </w:pPr>
                  <w:r>
                    <w:rPr>
                      <w:rFonts w:hint="eastAsia"/>
                      <w:lang w:val="en-US" w:eastAsia="zh-CN"/>
                    </w:rPr>
                    <w:t>305.3</w:t>
                  </w:r>
                </w:p>
              </w:tc>
              <w:tc>
                <w:tcPr>
                  <w:tcW w:w="657" w:type="pct"/>
                  <w:tcBorders>
                    <w:tl2br w:val="nil"/>
                    <w:tr2bl w:val="nil"/>
                  </w:tcBorders>
                  <w:noWrap w:val="0"/>
                  <w:vAlign w:val="center"/>
                </w:tcPr>
                <w:p>
                  <w:pPr>
                    <w:pStyle w:val="66"/>
                    <w:bidi w:val="0"/>
                    <w:rPr>
                      <w:rFonts w:hint="eastAsia"/>
                    </w:rPr>
                  </w:pPr>
                  <w:r>
                    <w:rPr>
                      <w:rFonts w:hint="eastAsia"/>
                      <w:lang w:eastAsia="zh-CN"/>
                    </w:rPr>
                    <w:t>不达标</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本项目所在区域PM</w:t>
            </w:r>
            <w:r>
              <w:rPr>
                <w:rFonts w:hint="default" w:ascii="Times New Roman" w:hAnsi="Times New Roman" w:eastAsia="宋体" w:cs="Times New Roman"/>
                <w:sz w:val="24"/>
                <w:szCs w:val="24"/>
                <w:vertAlign w:val="subscript"/>
                <w:lang w:val="en-US" w:eastAsia="zh-CN"/>
              </w:rPr>
              <w:t>2.5</w:t>
            </w:r>
            <w:r>
              <w:rPr>
                <w:rFonts w:hint="default" w:ascii="Times New Roman" w:hAnsi="Times New Roman" w:eastAsia="宋体" w:cs="Times New Roman"/>
                <w:sz w:val="24"/>
                <w:szCs w:val="24"/>
                <w:lang w:val="en-US" w:eastAsia="zh-CN"/>
              </w:rPr>
              <w:t>、PM</w:t>
            </w:r>
            <w:r>
              <w:rPr>
                <w:rFonts w:hint="default" w:ascii="Times New Roman" w:hAnsi="Times New Roman" w:eastAsia="宋体" w:cs="Times New Roman"/>
                <w:sz w:val="24"/>
                <w:szCs w:val="24"/>
                <w:vertAlign w:val="subscript"/>
                <w:lang w:val="en-US" w:eastAsia="zh-CN"/>
              </w:rPr>
              <w:t>10</w:t>
            </w:r>
            <w:r>
              <w:rPr>
                <w:rFonts w:hint="default" w:ascii="Times New Roman" w:hAnsi="Times New Roman" w:eastAsia="宋体" w:cs="Times New Roman"/>
                <w:sz w:val="24"/>
                <w:szCs w:val="24"/>
                <w:lang w:val="en-US" w:eastAsia="zh-CN"/>
              </w:rPr>
              <w:t>年平均和24h平均第95百分位数浓度超过《环境空气质量标准》(GB3095-2012)的二级标准要求，SO₂、NO₂、CO、O</w:t>
            </w:r>
            <w:r>
              <w:rPr>
                <w:rFonts w:hint="default" w:ascii="Times New Roman" w:hAnsi="Times New Roman" w:eastAsia="宋体" w:cs="Times New Roman"/>
                <w:sz w:val="24"/>
                <w:szCs w:val="24"/>
                <w:vertAlign w:val="subscript"/>
                <w:lang w:val="en-US" w:eastAsia="zh-CN"/>
              </w:rPr>
              <w:t>3</w:t>
            </w:r>
            <w:r>
              <w:rPr>
                <w:rFonts w:hint="default" w:ascii="Times New Roman" w:hAnsi="Times New Roman" w:eastAsia="宋体" w:cs="Times New Roman"/>
                <w:sz w:val="24"/>
                <w:szCs w:val="24"/>
                <w:lang w:val="en-US" w:eastAsia="zh-CN"/>
              </w:rPr>
              <w:t>等其他监测指标均满足二级标准。PM</w:t>
            </w:r>
            <w:r>
              <w:rPr>
                <w:rFonts w:hint="default" w:ascii="Times New Roman" w:hAnsi="Times New Roman" w:cs="Times New Roman"/>
                <w:sz w:val="24"/>
                <w:szCs w:val="24"/>
                <w:vertAlign w:val="subscript"/>
                <w:lang w:val="en-US" w:eastAsia="zh-CN"/>
              </w:rPr>
              <w:t>10</w:t>
            </w:r>
            <w:r>
              <w:rPr>
                <w:rFonts w:hint="default" w:ascii="Times New Roman" w:hAnsi="Times New Roman" w:eastAsia="宋体" w:cs="Times New Roman"/>
                <w:sz w:val="24"/>
                <w:szCs w:val="24"/>
                <w:lang w:val="en-US" w:eastAsia="zh-CN"/>
              </w:rPr>
              <w:t>、PM</w:t>
            </w:r>
            <w:r>
              <w:rPr>
                <w:rFonts w:hint="default" w:ascii="Times New Roman" w:hAnsi="Times New Roman" w:cs="Times New Roman"/>
                <w:sz w:val="24"/>
                <w:szCs w:val="24"/>
                <w:vertAlign w:val="subscript"/>
                <w:lang w:val="en-US" w:eastAsia="zh-CN"/>
              </w:rPr>
              <w:t>2.5</w:t>
            </w:r>
            <w:r>
              <w:rPr>
                <w:rFonts w:hint="default" w:ascii="Times New Roman" w:hAnsi="Times New Roman" w:eastAsia="宋体" w:cs="Times New Roman"/>
                <w:sz w:val="24"/>
                <w:szCs w:val="24"/>
                <w:lang w:val="en-US" w:eastAsia="zh-CN"/>
              </w:rPr>
              <w:t>超标主要是与当地气候条件和地理位置有关，评价区大气由于受到当地干旱气候的影响，空气中PM</w:t>
            </w:r>
            <w:r>
              <w:rPr>
                <w:rFonts w:hint="default" w:ascii="Times New Roman" w:hAnsi="Times New Roman" w:cs="Times New Roman"/>
                <w:sz w:val="24"/>
                <w:szCs w:val="24"/>
                <w:vertAlign w:val="subscript"/>
                <w:lang w:val="en-US" w:eastAsia="zh-CN"/>
              </w:rPr>
              <w:t>10</w:t>
            </w:r>
            <w:r>
              <w:rPr>
                <w:rFonts w:hint="default" w:ascii="Times New Roman" w:hAnsi="Times New Roman" w:eastAsia="宋体" w:cs="Times New Roman"/>
                <w:sz w:val="24"/>
                <w:szCs w:val="24"/>
                <w:lang w:val="en-US" w:eastAsia="zh-CN"/>
              </w:rPr>
              <w:t>、PM</w:t>
            </w:r>
            <w:r>
              <w:rPr>
                <w:rFonts w:hint="default" w:ascii="Times New Roman" w:hAnsi="Times New Roman" w:cs="Times New Roman"/>
                <w:sz w:val="24"/>
                <w:szCs w:val="24"/>
                <w:vertAlign w:val="subscript"/>
                <w:lang w:val="en-US" w:eastAsia="zh-CN"/>
              </w:rPr>
              <w:t>2.5</w:t>
            </w:r>
            <w:r>
              <w:rPr>
                <w:rFonts w:hint="default" w:ascii="Times New Roman" w:hAnsi="Times New Roman" w:eastAsia="宋体" w:cs="Times New Roman"/>
                <w:sz w:val="24"/>
                <w:szCs w:val="24"/>
                <w:lang w:val="en-US" w:eastAsia="zh-CN"/>
              </w:rPr>
              <w:t>的本底值偏高，尤其在沙尘暴和浮尘天气，会出现严重超标。因此，项目所在区域为不达标区。</w:t>
            </w:r>
          </w:p>
          <w:p>
            <w:pPr>
              <w:pStyle w:val="67"/>
              <w:bidi w:val="0"/>
              <w:rPr>
                <w:rFonts w:hint="default"/>
                <w:lang w:val="en-US" w:eastAsia="zh-CN"/>
              </w:rPr>
            </w:pPr>
            <w:r>
              <w:rPr>
                <w:rFonts w:hint="default"/>
                <w:lang w:val="en-US" w:eastAsia="zh-CN"/>
              </w:rPr>
              <w:t>1.2其他污染物质量现状</w:t>
            </w:r>
          </w:p>
          <w:p>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由《建设项目环境影响报告表编制技术指南(污染影响类)(试行)》可知，排放国家、地方环境空气质量标准中有标准限值要求的特征污染物时，可引用建设项目周边5千米范围内近3年的现有监测数据，结合《环境空气质量标准》(GB3095-2012)表2可知，本项目特征污染物为总悬浮颗粒物(TSP)。监测数据引用新疆</w:t>
            </w:r>
            <w:r>
              <w:rPr>
                <w:rFonts w:hint="default" w:ascii="Times New Roman" w:hAnsi="Times New Roman" w:cs="Times New Roman"/>
                <w:sz w:val="24"/>
                <w:szCs w:val="24"/>
                <w:lang w:val="en-US" w:eastAsia="zh-CN"/>
              </w:rPr>
              <w:t>广宇众联环境</w:t>
            </w:r>
            <w:r>
              <w:rPr>
                <w:rFonts w:hint="default" w:ascii="Times New Roman" w:hAnsi="Times New Roman" w:eastAsia="宋体" w:cs="Times New Roman"/>
                <w:sz w:val="24"/>
                <w:szCs w:val="24"/>
                <w:lang w:val="en-US" w:eastAsia="zh-CN"/>
              </w:rPr>
              <w:t>检测技术有限公司202</w:t>
            </w:r>
            <w:r>
              <w:rPr>
                <w:rFonts w:hint="default" w:ascii="Times New Roman" w:hAnsi="Times New Roman" w:cs="Times New Roman"/>
                <w:sz w:val="24"/>
                <w:szCs w:val="24"/>
                <w:lang w:val="en-US" w:eastAsia="zh-CN"/>
              </w:rPr>
              <w:t>3</w:t>
            </w:r>
            <w:r>
              <w:rPr>
                <w:rFonts w:hint="default" w:ascii="Times New Roman" w:hAnsi="Times New Roman" w:eastAsia="宋体" w:cs="Times New Roman"/>
                <w:sz w:val="24"/>
                <w:szCs w:val="24"/>
                <w:lang w:val="en-US" w:eastAsia="zh-CN"/>
              </w:rPr>
              <w:t>年</w:t>
            </w:r>
            <w:r>
              <w:rPr>
                <w:rFonts w:hint="eastAsia" w:cs="Times New Roman"/>
                <w:sz w:val="24"/>
                <w:szCs w:val="24"/>
                <w:lang w:val="en-US" w:eastAsia="zh-CN"/>
              </w:rPr>
              <w:t>4</w:t>
            </w:r>
            <w:r>
              <w:rPr>
                <w:rFonts w:hint="default" w:ascii="Times New Roman" w:hAnsi="Times New Roman" w:eastAsia="宋体" w:cs="Times New Roman"/>
                <w:sz w:val="24"/>
                <w:szCs w:val="24"/>
                <w:lang w:val="en-US" w:eastAsia="zh-CN"/>
              </w:rPr>
              <w:t>月</w:t>
            </w:r>
            <w:r>
              <w:rPr>
                <w:rFonts w:hint="default" w:ascii="Times New Roman" w:hAnsi="Times New Roman" w:cs="Times New Roman"/>
                <w:sz w:val="24"/>
                <w:szCs w:val="24"/>
                <w:lang w:val="en-US" w:eastAsia="zh-CN"/>
              </w:rPr>
              <w:t>19</w:t>
            </w:r>
            <w:r>
              <w:rPr>
                <w:rFonts w:hint="default" w:ascii="Times New Roman" w:hAnsi="Times New Roman" w:eastAsia="宋体" w:cs="Times New Roman"/>
                <w:sz w:val="24"/>
                <w:szCs w:val="24"/>
                <w:lang w:val="en-US" w:eastAsia="zh-CN"/>
              </w:rPr>
              <w:t>日—202</w:t>
            </w:r>
            <w:r>
              <w:rPr>
                <w:rFonts w:hint="default" w:ascii="Times New Roman" w:hAnsi="Times New Roman" w:cs="Times New Roman"/>
                <w:sz w:val="24"/>
                <w:szCs w:val="24"/>
                <w:lang w:val="en-US" w:eastAsia="zh-CN"/>
              </w:rPr>
              <w:t>3</w:t>
            </w:r>
            <w:r>
              <w:rPr>
                <w:rFonts w:hint="default" w:ascii="Times New Roman" w:hAnsi="Times New Roman" w:eastAsia="宋体" w:cs="Times New Roman"/>
                <w:sz w:val="24"/>
                <w:szCs w:val="24"/>
                <w:lang w:val="en-US" w:eastAsia="zh-CN"/>
              </w:rPr>
              <w:t>年4月2</w:t>
            </w:r>
            <w:r>
              <w:rPr>
                <w:rFonts w:hint="default" w:ascii="Times New Roman" w:hAnsi="Times New Roman" w:cs="Times New Roman"/>
                <w:sz w:val="24"/>
                <w:szCs w:val="24"/>
                <w:lang w:val="en-US" w:eastAsia="zh-CN"/>
              </w:rPr>
              <w:t>1</w:t>
            </w:r>
            <w:r>
              <w:rPr>
                <w:rFonts w:hint="default" w:ascii="Times New Roman" w:hAnsi="Times New Roman" w:eastAsia="宋体" w:cs="Times New Roman"/>
                <w:sz w:val="24"/>
                <w:szCs w:val="24"/>
                <w:lang w:val="en-US" w:eastAsia="zh-CN"/>
              </w:rPr>
              <w:t>日对新疆宏源新材料有限公司30万米玻璃钢管道生产项目</w:t>
            </w:r>
            <w:r>
              <w:rPr>
                <w:rFonts w:hint="default" w:ascii="Times New Roman" w:hAnsi="Times New Roman" w:cs="Times New Roman"/>
                <w:sz w:val="24"/>
                <w:szCs w:val="24"/>
                <w:lang w:val="en-US" w:eastAsia="zh-CN"/>
              </w:rPr>
              <w:t>的</w:t>
            </w:r>
            <w:r>
              <w:rPr>
                <w:rFonts w:hint="default" w:ascii="Times New Roman" w:hAnsi="Times New Roman" w:eastAsia="宋体" w:cs="Times New Roman"/>
                <w:sz w:val="24"/>
                <w:szCs w:val="24"/>
                <w:lang w:val="en-US" w:eastAsia="zh-CN"/>
              </w:rPr>
              <w:t>环境空气现状</w:t>
            </w:r>
            <w:r>
              <w:rPr>
                <w:rFonts w:hint="default" w:ascii="Times New Roman" w:hAnsi="Times New Roman" w:cs="Times New Roman"/>
                <w:sz w:val="24"/>
                <w:szCs w:val="24"/>
                <w:lang w:val="en-US" w:eastAsia="zh-CN"/>
              </w:rPr>
              <w:t>监测</w:t>
            </w:r>
            <w:r>
              <w:rPr>
                <w:rFonts w:hint="eastAsia" w:cs="Times New Roman"/>
                <w:sz w:val="24"/>
                <w:szCs w:val="24"/>
                <w:lang w:val="en-US" w:eastAsia="zh-CN"/>
              </w:rPr>
              <w:t>报告，目前</w:t>
            </w:r>
            <w:r>
              <w:rPr>
                <w:rFonts w:hint="default" w:ascii="Times New Roman" w:hAnsi="Times New Roman" w:eastAsia="宋体" w:cs="Times New Roman"/>
                <w:sz w:val="24"/>
                <w:szCs w:val="24"/>
                <w:lang w:val="en-US" w:eastAsia="zh-CN"/>
              </w:rPr>
              <w:t>新疆宏源新材料有限公司</w:t>
            </w:r>
            <w:r>
              <w:rPr>
                <w:rFonts w:hint="eastAsia" w:cs="Times New Roman"/>
                <w:sz w:val="24"/>
                <w:szCs w:val="24"/>
                <w:lang w:val="en-US" w:eastAsia="zh-CN"/>
              </w:rPr>
              <w:t>已投入运行，此项目与本项目距离为300m，距离较近，具有代表性</w:t>
            </w:r>
            <w:r>
              <w:rPr>
                <w:rFonts w:hint="default" w:ascii="Times New Roman" w:hAnsi="Times New Roman" w:cs="Times New Roman"/>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本项目位于新疆宏源新材料有限公司</w:t>
            </w:r>
            <w:r>
              <w:rPr>
                <w:rFonts w:hint="eastAsia" w:cs="Times New Roman"/>
                <w:sz w:val="24"/>
                <w:szCs w:val="24"/>
                <w:lang w:val="en-US" w:eastAsia="zh-CN"/>
              </w:rPr>
              <w:t>东北侧</w:t>
            </w:r>
            <w:r>
              <w:rPr>
                <w:rFonts w:hint="default" w:ascii="Times New Roman" w:hAnsi="Times New Roman" w:eastAsia="宋体" w:cs="Times New Roman"/>
                <w:sz w:val="24"/>
                <w:szCs w:val="24"/>
                <w:lang w:val="en-US" w:eastAsia="zh-CN"/>
              </w:rPr>
              <w:t>，与监测点距离约为</w:t>
            </w:r>
            <w:r>
              <w:rPr>
                <w:rFonts w:hint="eastAsia" w:cs="Times New Roman"/>
                <w:sz w:val="24"/>
                <w:szCs w:val="24"/>
                <w:lang w:val="en-US" w:eastAsia="zh-CN"/>
              </w:rPr>
              <w:t>300</w:t>
            </w:r>
            <w:r>
              <w:rPr>
                <w:rFonts w:hint="default" w:ascii="Times New Roman" w:hAnsi="Times New Roman" w:eastAsia="宋体" w:cs="Times New Roman"/>
                <w:sz w:val="24"/>
                <w:szCs w:val="24"/>
                <w:lang w:val="en-US" w:eastAsia="zh-CN"/>
              </w:rPr>
              <w:t>m</w:t>
            </w:r>
            <w:r>
              <w:rPr>
                <w:rFonts w:hint="eastAsia" w:cs="Times New Roman"/>
                <w:sz w:val="24"/>
                <w:szCs w:val="24"/>
                <w:lang w:val="en-US" w:eastAsia="zh-CN"/>
              </w:rPr>
              <w:t>，</w:t>
            </w:r>
            <w:r>
              <w:rPr>
                <w:rFonts w:hint="default" w:ascii="Times New Roman" w:hAnsi="Times New Roman" w:eastAsia="宋体" w:cs="Times New Roman"/>
                <w:sz w:val="24"/>
                <w:szCs w:val="24"/>
                <w:lang w:val="en-US" w:eastAsia="zh-CN"/>
              </w:rPr>
              <w:t>在同一园区内，符合《建设项目环境影响报告表编制技术指南(污染影响类)》中数据引用的要求，监测数据见表3-2</w:t>
            </w:r>
            <w:r>
              <w:rPr>
                <w:rFonts w:hint="eastAsia" w:cs="Times New Roman"/>
                <w:sz w:val="24"/>
                <w:szCs w:val="24"/>
                <w:lang w:val="en-US" w:eastAsia="zh-CN"/>
              </w:rPr>
              <w:t>，监</w:t>
            </w:r>
            <w:r>
              <w:rPr>
                <w:rFonts w:hint="default" w:ascii="Times New Roman" w:hAnsi="Times New Roman" w:eastAsia="宋体" w:cs="Times New Roman"/>
                <w:sz w:val="24"/>
                <w:szCs w:val="24"/>
                <w:lang w:val="en-US" w:eastAsia="zh-CN"/>
              </w:rPr>
              <w:t>测点位图见附图。</w:t>
            </w:r>
          </w:p>
          <w:p>
            <w:pPr>
              <w:pStyle w:val="65"/>
              <w:bidi w:val="0"/>
              <w:rPr>
                <w:rFonts w:hint="default"/>
                <w:lang w:val="en-US" w:eastAsia="zh-CN"/>
              </w:rPr>
            </w:pPr>
            <w:r>
              <w:rPr>
                <w:rFonts w:hint="default"/>
                <w:lang w:val="en-US" w:eastAsia="zh-CN"/>
              </w:rPr>
              <w:t xml:space="preserve">表3-2 </w:t>
            </w:r>
            <w:r>
              <w:rPr>
                <w:rFonts w:hint="eastAsia"/>
                <w:lang w:val="en-US" w:eastAsia="zh-CN"/>
              </w:rPr>
              <w:t xml:space="preserve">  </w:t>
            </w:r>
            <w:r>
              <w:rPr>
                <w:rFonts w:hint="default"/>
                <w:lang w:val="en-US" w:eastAsia="zh-CN"/>
              </w:rPr>
              <w:t xml:space="preserve"> 特征污染物质量现状评价</w:t>
            </w:r>
          </w:p>
          <w:tbl>
            <w:tblPr>
              <w:tblStyle w:val="23"/>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0"/>
              <w:gridCol w:w="1412"/>
              <w:gridCol w:w="1312"/>
              <w:gridCol w:w="1723"/>
              <w:gridCol w:w="1137"/>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66" w:type="pct"/>
                  <w:vMerge w:val="restart"/>
                  <w:tcBorders>
                    <w:top w:val="single" w:color="000000" w:sz="4" w:space="0"/>
                    <w:left w:val="single" w:color="000000" w:sz="4" w:space="0"/>
                    <w:right w:val="single" w:color="000000" w:sz="4" w:space="0"/>
                  </w:tcBorders>
                  <w:shd w:val="clear" w:color="auto" w:fill="CFE8CC"/>
                  <w:vAlign w:val="center"/>
                </w:tcPr>
                <w:p>
                  <w:pPr>
                    <w:pStyle w:val="66"/>
                    <w:bidi w:val="0"/>
                    <w:rPr>
                      <w:rFonts w:hint="default"/>
                      <w:lang w:val="en-US" w:eastAsia="zh-CN"/>
                    </w:rPr>
                  </w:pPr>
                  <w:r>
                    <w:rPr>
                      <w:rFonts w:hint="default"/>
                      <w:lang w:val="en-US" w:eastAsia="zh-CN"/>
                    </w:rPr>
                    <w:t>监测点位</w:t>
                  </w:r>
                </w:p>
              </w:tc>
              <w:tc>
                <w:tcPr>
                  <w:tcW w:w="867" w:type="pct"/>
                  <w:vMerge w:val="restart"/>
                  <w:tcBorders>
                    <w:top w:val="single" w:color="000000" w:sz="4" w:space="0"/>
                    <w:left w:val="single" w:color="000000" w:sz="4" w:space="0"/>
                    <w:bottom w:val="single" w:color="000000" w:sz="4" w:space="0"/>
                    <w:right w:val="single" w:color="000000" w:sz="4" w:space="0"/>
                  </w:tcBorders>
                  <w:shd w:val="clear" w:color="auto" w:fill="CFE8CC"/>
                  <w:vAlign w:val="center"/>
                </w:tcPr>
                <w:p>
                  <w:pPr>
                    <w:pStyle w:val="66"/>
                    <w:bidi w:val="0"/>
                    <w:rPr>
                      <w:rFonts w:hint="default"/>
                    </w:rPr>
                  </w:pPr>
                  <w:r>
                    <w:rPr>
                      <w:rFonts w:hint="default"/>
                      <w:lang w:val="en-US" w:eastAsia="zh-CN"/>
                    </w:rPr>
                    <w:t>监测时间</w:t>
                  </w:r>
                </w:p>
              </w:tc>
              <w:tc>
                <w:tcPr>
                  <w:tcW w:w="806" w:type="pct"/>
                  <w:tcBorders>
                    <w:top w:val="single" w:color="000000" w:sz="4" w:space="0"/>
                    <w:left w:val="single" w:color="000000" w:sz="4" w:space="0"/>
                    <w:bottom w:val="single" w:color="000000" w:sz="4" w:space="0"/>
                    <w:right w:val="single" w:color="000000" w:sz="4" w:space="0"/>
                  </w:tcBorders>
                  <w:shd w:val="clear" w:color="auto" w:fill="CFE8CB"/>
                  <w:vAlign w:val="center"/>
                </w:tcPr>
                <w:p>
                  <w:pPr>
                    <w:pStyle w:val="66"/>
                    <w:bidi w:val="0"/>
                    <w:rPr>
                      <w:rFonts w:hint="default"/>
                      <w:lang w:val="en-US" w:eastAsia="zh-CN"/>
                    </w:rPr>
                  </w:pPr>
                  <w:r>
                    <w:rPr>
                      <w:rFonts w:hint="default"/>
                      <w:lang w:val="en-US" w:eastAsia="zh-CN"/>
                    </w:rPr>
                    <w:t>监测结果(ug/m³)</w:t>
                  </w:r>
                </w:p>
              </w:tc>
              <w:tc>
                <w:tcPr>
                  <w:tcW w:w="1058" w:type="pct"/>
                  <w:tcBorders>
                    <w:top w:val="single" w:color="000000" w:sz="4" w:space="0"/>
                    <w:left w:val="single" w:color="000000" w:sz="4" w:space="0"/>
                    <w:bottom w:val="single" w:color="000000" w:sz="4" w:space="0"/>
                    <w:right w:val="single" w:color="000000" w:sz="4" w:space="0"/>
                  </w:tcBorders>
                  <w:shd w:val="clear" w:color="auto" w:fill="CFE8CB"/>
                  <w:vAlign w:val="center"/>
                </w:tcPr>
                <w:p>
                  <w:pPr>
                    <w:pStyle w:val="66"/>
                    <w:bidi w:val="0"/>
                    <w:rPr>
                      <w:rFonts w:hint="default"/>
                      <w:lang w:val="en-US" w:eastAsia="zh-CN"/>
                    </w:rPr>
                  </w:pPr>
                  <w:r>
                    <w:rPr>
                      <w:rFonts w:hint="default"/>
                      <w:lang w:val="en-US" w:eastAsia="zh-CN"/>
                    </w:rPr>
                    <w:t>标准值(ug/m³)</w:t>
                  </w:r>
                </w:p>
              </w:tc>
              <w:tc>
                <w:tcPr>
                  <w:tcW w:w="698" w:type="pct"/>
                  <w:tcBorders>
                    <w:top w:val="single" w:color="000000" w:sz="4" w:space="0"/>
                    <w:left w:val="single" w:color="000000" w:sz="4" w:space="0"/>
                    <w:bottom w:val="single" w:color="000000" w:sz="4" w:space="0"/>
                    <w:right w:val="single" w:color="000000" w:sz="4" w:space="0"/>
                  </w:tcBorders>
                  <w:shd w:val="clear" w:color="auto" w:fill="CFE8CC"/>
                  <w:vAlign w:val="center"/>
                </w:tcPr>
                <w:p>
                  <w:pPr>
                    <w:pStyle w:val="66"/>
                    <w:bidi w:val="0"/>
                    <w:rPr>
                      <w:rFonts w:hint="default"/>
                      <w:lang w:val="en-US" w:eastAsia="zh-CN"/>
                    </w:rPr>
                  </w:pPr>
                  <w:r>
                    <w:rPr>
                      <w:rFonts w:hint="default"/>
                      <w:lang w:val="en-US" w:eastAsia="zh-CN"/>
                    </w:rPr>
                    <w:t>浓度占标率(%)</w:t>
                  </w:r>
                </w:p>
              </w:tc>
              <w:tc>
                <w:tcPr>
                  <w:tcW w:w="702" w:type="pct"/>
                  <w:tcBorders>
                    <w:top w:val="single" w:color="000000" w:sz="4" w:space="0"/>
                    <w:left w:val="single" w:color="000000" w:sz="4" w:space="0"/>
                    <w:bottom w:val="single" w:color="000000" w:sz="4" w:space="0"/>
                    <w:right w:val="single" w:color="000000" w:sz="4" w:space="0"/>
                  </w:tcBorders>
                  <w:shd w:val="clear" w:color="auto" w:fill="CFE8CC"/>
                  <w:vAlign w:val="center"/>
                </w:tcPr>
                <w:p>
                  <w:pPr>
                    <w:pStyle w:val="66"/>
                    <w:bidi w:val="0"/>
                    <w:rPr>
                      <w:rFonts w:hint="default"/>
                      <w:lang w:val="en-US" w:eastAsia="zh-CN"/>
                    </w:rPr>
                  </w:pPr>
                  <w:r>
                    <w:rPr>
                      <w:rFonts w:hint="default"/>
                      <w:lang w:val="en-US" w:eastAsia="zh-CN"/>
                    </w:rPr>
                    <w:t>达标</w:t>
                  </w:r>
                  <w:r>
                    <w:rPr>
                      <w:rFonts w:hint="default"/>
                      <w:lang w:val="en-US" w:eastAsia="zh-CN"/>
                    </w:rPr>
                    <w:br w:type="textWrapping"/>
                  </w:r>
                  <w:r>
                    <w:rPr>
                      <w:rFonts w:hint="default"/>
                      <w:lang w:val="en-US" w:eastAsia="zh-CN"/>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6" w:type="pct"/>
                  <w:vMerge w:val="continue"/>
                  <w:tcBorders>
                    <w:left w:val="single" w:color="000000" w:sz="4" w:space="0"/>
                    <w:bottom w:val="single" w:color="000000" w:sz="4" w:space="0"/>
                    <w:right w:val="single" w:color="000000" w:sz="4" w:space="0"/>
                  </w:tcBorders>
                  <w:shd w:val="clear" w:color="auto" w:fill="CFE8CC"/>
                  <w:vAlign w:val="center"/>
                </w:tcPr>
                <w:p>
                  <w:pPr>
                    <w:pStyle w:val="66"/>
                    <w:bidi w:val="0"/>
                    <w:rPr>
                      <w:rFonts w:hint="default"/>
                    </w:rPr>
                  </w:pP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CFE8CC"/>
                  <w:vAlign w:val="center"/>
                </w:tcPr>
                <w:p>
                  <w:pPr>
                    <w:pStyle w:val="66"/>
                    <w:bidi w:val="0"/>
                    <w:rPr>
                      <w:rFonts w:hint="default"/>
                    </w:rPr>
                  </w:pPr>
                </w:p>
              </w:tc>
              <w:tc>
                <w:tcPr>
                  <w:tcW w:w="806" w:type="pct"/>
                  <w:tcBorders>
                    <w:top w:val="single" w:color="000000" w:sz="4" w:space="0"/>
                    <w:left w:val="single" w:color="000000" w:sz="4" w:space="0"/>
                    <w:bottom w:val="single" w:color="000000" w:sz="4" w:space="0"/>
                    <w:right w:val="single" w:color="000000" w:sz="4" w:space="0"/>
                  </w:tcBorders>
                  <w:shd w:val="clear" w:color="auto" w:fill="CFE8CB"/>
                  <w:vAlign w:val="center"/>
                </w:tcPr>
                <w:p>
                  <w:pPr>
                    <w:pStyle w:val="66"/>
                    <w:bidi w:val="0"/>
                    <w:rPr>
                      <w:rFonts w:hint="default"/>
                      <w:lang w:val="en-US" w:eastAsia="zh-CN"/>
                    </w:rPr>
                  </w:pPr>
                  <w:r>
                    <w:rPr>
                      <w:rFonts w:hint="default"/>
                      <w:lang w:val="en-US" w:eastAsia="zh-CN"/>
                    </w:rPr>
                    <w:t>TSP</w:t>
                  </w:r>
                </w:p>
              </w:tc>
              <w:tc>
                <w:tcPr>
                  <w:tcW w:w="1058" w:type="pct"/>
                  <w:vMerge w:val="restart"/>
                  <w:tcBorders>
                    <w:top w:val="single" w:color="000000" w:sz="4" w:space="0"/>
                    <w:left w:val="single" w:color="000000" w:sz="4" w:space="0"/>
                    <w:right w:val="single" w:color="000000" w:sz="4" w:space="0"/>
                  </w:tcBorders>
                  <w:shd w:val="clear" w:color="auto" w:fill="CFE8CB"/>
                  <w:vAlign w:val="center"/>
                </w:tcPr>
                <w:p>
                  <w:pPr>
                    <w:pStyle w:val="66"/>
                    <w:bidi w:val="0"/>
                    <w:rPr>
                      <w:rFonts w:hint="default"/>
                      <w:lang w:val="en-US" w:eastAsia="zh-CN"/>
                    </w:rPr>
                  </w:pPr>
                  <w:r>
                    <w:rPr>
                      <w:rFonts w:hint="default"/>
                      <w:lang w:val="en-US" w:eastAsia="zh-CN"/>
                    </w:rPr>
                    <w:t>300</w:t>
                  </w:r>
                </w:p>
              </w:tc>
              <w:tc>
                <w:tcPr>
                  <w:tcW w:w="698" w:type="pct"/>
                  <w:tcBorders>
                    <w:top w:val="single" w:color="000000" w:sz="4" w:space="0"/>
                    <w:left w:val="single" w:color="000000" w:sz="4" w:space="0"/>
                    <w:bottom w:val="single" w:color="000000" w:sz="4" w:space="0"/>
                    <w:right w:val="single" w:color="000000" w:sz="4" w:space="0"/>
                  </w:tcBorders>
                  <w:shd w:val="clear" w:color="auto" w:fill="CFE8CB"/>
                  <w:vAlign w:val="center"/>
                </w:tcPr>
                <w:p>
                  <w:pPr>
                    <w:pStyle w:val="66"/>
                    <w:bidi w:val="0"/>
                    <w:rPr>
                      <w:rFonts w:hint="default"/>
                      <w:lang w:val="en-US" w:eastAsia="zh-CN"/>
                    </w:rPr>
                  </w:pPr>
                  <w:r>
                    <w:rPr>
                      <w:rFonts w:hint="default"/>
                      <w:lang w:val="en-US" w:eastAsia="zh-CN"/>
                    </w:rPr>
                    <w:t>TSP</w:t>
                  </w:r>
                </w:p>
              </w:tc>
              <w:tc>
                <w:tcPr>
                  <w:tcW w:w="702" w:type="pct"/>
                  <w:tcBorders>
                    <w:top w:val="single" w:color="000000" w:sz="4" w:space="0"/>
                    <w:left w:val="single" w:color="000000" w:sz="4" w:space="0"/>
                    <w:bottom w:val="single" w:color="000000" w:sz="4" w:space="0"/>
                    <w:right w:val="single" w:color="000000" w:sz="4" w:space="0"/>
                  </w:tcBorders>
                  <w:shd w:val="clear" w:color="auto" w:fill="CFE8CC"/>
                  <w:vAlign w:val="center"/>
                </w:tcPr>
                <w:p>
                  <w:pPr>
                    <w:pStyle w:val="66"/>
                    <w:bidi w:val="0"/>
                    <w:rPr>
                      <w:rFonts w:hint="default"/>
                      <w:lang w:val="en-US" w:eastAsia="zh-CN"/>
                    </w:rPr>
                  </w:pPr>
                  <w:r>
                    <w:rPr>
                      <w:rFonts w:hint="eastAsia"/>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6" w:type="pct"/>
                  <w:vMerge w:val="restart"/>
                  <w:tcBorders>
                    <w:top w:val="single" w:color="000000" w:sz="4" w:space="0"/>
                    <w:left w:val="single" w:color="000000" w:sz="4" w:space="0"/>
                    <w:right w:val="single" w:color="000000" w:sz="4" w:space="0"/>
                  </w:tcBorders>
                  <w:shd w:val="clear" w:color="auto" w:fill="CFE8CB"/>
                  <w:vAlign w:val="center"/>
                </w:tcPr>
                <w:p>
                  <w:pPr>
                    <w:pStyle w:val="66"/>
                    <w:bidi w:val="0"/>
                    <w:rPr>
                      <w:rFonts w:hint="default"/>
                      <w:lang w:val="en-US" w:eastAsia="zh-CN"/>
                    </w:rPr>
                  </w:pPr>
                  <w:r>
                    <w:rPr>
                      <w:rFonts w:hint="default"/>
                      <w:lang w:val="en-US" w:eastAsia="zh-CN"/>
                    </w:rPr>
                    <w:t>项目区当季主导下风向#1</w:t>
                  </w:r>
                </w:p>
              </w:tc>
              <w:tc>
                <w:tcPr>
                  <w:tcW w:w="867" w:type="pct"/>
                  <w:tcBorders>
                    <w:top w:val="single" w:color="000000" w:sz="4" w:space="0"/>
                    <w:left w:val="single" w:color="000000" w:sz="4" w:space="0"/>
                    <w:bottom w:val="single" w:color="000000" w:sz="4" w:space="0"/>
                    <w:right w:val="single" w:color="000000" w:sz="4" w:space="0"/>
                  </w:tcBorders>
                  <w:shd w:val="clear" w:color="auto" w:fill="CFE8CB"/>
                  <w:vAlign w:val="center"/>
                </w:tcPr>
                <w:p>
                  <w:pPr>
                    <w:pStyle w:val="66"/>
                    <w:bidi w:val="0"/>
                    <w:rPr>
                      <w:rFonts w:hint="default"/>
                      <w:lang w:val="en-US"/>
                    </w:rPr>
                  </w:pPr>
                  <w:r>
                    <w:rPr>
                      <w:rFonts w:hint="default"/>
                      <w:lang w:val="en-US" w:eastAsia="zh-CN"/>
                    </w:rPr>
                    <w:t>2023.4.19</w:t>
                  </w:r>
                </w:p>
              </w:tc>
              <w:tc>
                <w:tcPr>
                  <w:tcW w:w="806" w:type="pct"/>
                  <w:tcBorders>
                    <w:top w:val="single" w:color="000000" w:sz="4" w:space="0"/>
                    <w:left w:val="single" w:color="000000" w:sz="4" w:space="0"/>
                    <w:bottom w:val="single" w:color="000000" w:sz="4" w:space="0"/>
                    <w:right w:val="single" w:color="000000" w:sz="4" w:space="0"/>
                  </w:tcBorders>
                  <w:shd w:val="clear" w:color="auto" w:fill="CFE8CB"/>
                  <w:vAlign w:val="center"/>
                </w:tcPr>
                <w:p>
                  <w:pPr>
                    <w:pStyle w:val="66"/>
                    <w:bidi w:val="0"/>
                    <w:rPr>
                      <w:rFonts w:hint="default"/>
                      <w:lang w:val="en-US" w:eastAsia="zh-CN"/>
                    </w:rPr>
                  </w:pPr>
                  <w:r>
                    <w:rPr>
                      <w:rFonts w:hint="eastAsia"/>
                      <w:lang w:val="en-US" w:eastAsia="zh-CN"/>
                    </w:rPr>
                    <w:t>543</w:t>
                  </w:r>
                </w:p>
              </w:tc>
              <w:tc>
                <w:tcPr>
                  <w:tcW w:w="1058" w:type="pct"/>
                  <w:vMerge w:val="continue"/>
                  <w:tcBorders>
                    <w:left w:val="single" w:color="000000" w:sz="4" w:space="0"/>
                    <w:right w:val="single" w:color="000000" w:sz="4" w:space="0"/>
                  </w:tcBorders>
                  <w:shd w:val="clear" w:color="auto" w:fill="CFE8CB"/>
                  <w:vAlign w:val="center"/>
                </w:tcPr>
                <w:p>
                  <w:pPr>
                    <w:pStyle w:val="66"/>
                    <w:bidi w:val="0"/>
                    <w:rPr>
                      <w:rFonts w:hint="default"/>
                    </w:rPr>
                  </w:pPr>
                </w:p>
              </w:tc>
              <w:tc>
                <w:tcPr>
                  <w:tcW w:w="698" w:type="pct"/>
                  <w:tcBorders>
                    <w:top w:val="single" w:color="000000" w:sz="4" w:space="0"/>
                    <w:left w:val="single" w:color="000000" w:sz="4" w:space="0"/>
                    <w:bottom w:val="single" w:color="000000" w:sz="4" w:space="0"/>
                    <w:right w:val="single" w:color="000000" w:sz="4" w:space="0"/>
                  </w:tcBorders>
                  <w:shd w:val="clear" w:color="auto" w:fill="CFE8CB"/>
                  <w:vAlign w:val="center"/>
                </w:tcPr>
                <w:p>
                  <w:pPr>
                    <w:pStyle w:val="66"/>
                    <w:bidi w:val="0"/>
                    <w:rPr>
                      <w:rFonts w:hint="default"/>
                      <w:lang w:val="en-US" w:eastAsia="zh-CN"/>
                    </w:rPr>
                  </w:pPr>
                  <w:r>
                    <w:rPr>
                      <w:rFonts w:hint="eastAsia"/>
                      <w:lang w:val="en-US" w:eastAsia="zh-CN"/>
                    </w:rPr>
                    <w:t>181</w:t>
                  </w:r>
                </w:p>
              </w:tc>
              <w:tc>
                <w:tcPr>
                  <w:tcW w:w="702" w:type="pct"/>
                  <w:tcBorders>
                    <w:top w:val="single" w:color="000000" w:sz="4" w:space="0"/>
                    <w:left w:val="single" w:color="000000" w:sz="4" w:space="0"/>
                    <w:bottom w:val="single" w:color="000000" w:sz="4" w:space="0"/>
                    <w:right w:val="single" w:color="000000" w:sz="4" w:space="0"/>
                  </w:tcBorders>
                  <w:shd w:val="clear" w:color="auto" w:fill="CFE8CC"/>
                  <w:vAlign w:val="center"/>
                </w:tcPr>
                <w:p>
                  <w:pPr>
                    <w:pStyle w:val="66"/>
                    <w:bidi w:val="0"/>
                    <w:rPr>
                      <w:rFonts w:hint="default"/>
                      <w:lang w:val="en-US" w:eastAsia="zh-CN"/>
                    </w:rPr>
                  </w:pPr>
                  <w:r>
                    <w:rPr>
                      <w:rFonts w:hint="default"/>
                      <w:lang w:val="en-US" w:eastAsia="zh-CN"/>
                    </w:rPr>
                    <w:t>不达标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866" w:type="pct"/>
                  <w:vMerge w:val="continue"/>
                  <w:tcBorders>
                    <w:left w:val="single" w:color="000000" w:sz="4" w:space="0"/>
                    <w:right w:val="single" w:color="000000" w:sz="4" w:space="0"/>
                  </w:tcBorders>
                  <w:shd w:val="clear" w:color="auto" w:fill="CFE8CB"/>
                  <w:vAlign w:val="center"/>
                </w:tcPr>
                <w:p>
                  <w:pPr>
                    <w:pStyle w:val="66"/>
                    <w:bidi w:val="0"/>
                    <w:rPr>
                      <w:rFonts w:hint="default"/>
                      <w:lang w:val="en-US" w:eastAsia="zh-CN"/>
                    </w:rPr>
                  </w:pPr>
                </w:p>
              </w:tc>
              <w:tc>
                <w:tcPr>
                  <w:tcW w:w="867" w:type="pct"/>
                  <w:tcBorders>
                    <w:top w:val="single" w:color="000000" w:sz="4" w:space="0"/>
                    <w:left w:val="single" w:color="000000" w:sz="4" w:space="0"/>
                    <w:bottom w:val="single" w:color="000000" w:sz="4" w:space="0"/>
                    <w:right w:val="single" w:color="000000" w:sz="4" w:space="0"/>
                  </w:tcBorders>
                  <w:shd w:val="clear" w:color="auto" w:fill="CFE8CB"/>
                  <w:vAlign w:val="center"/>
                </w:tcPr>
                <w:p>
                  <w:pPr>
                    <w:pStyle w:val="66"/>
                    <w:bidi w:val="0"/>
                    <w:rPr>
                      <w:rFonts w:hint="default"/>
                    </w:rPr>
                  </w:pPr>
                  <w:r>
                    <w:rPr>
                      <w:rFonts w:hint="default"/>
                      <w:lang w:val="en-US" w:eastAsia="zh-CN"/>
                    </w:rPr>
                    <w:t>2023.4.20</w:t>
                  </w:r>
                </w:p>
              </w:tc>
              <w:tc>
                <w:tcPr>
                  <w:tcW w:w="806" w:type="pct"/>
                  <w:tcBorders>
                    <w:top w:val="single" w:color="000000" w:sz="4" w:space="0"/>
                    <w:left w:val="single" w:color="000000" w:sz="4" w:space="0"/>
                    <w:bottom w:val="single" w:color="000000" w:sz="4" w:space="0"/>
                    <w:right w:val="single" w:color="000000" w:sz="4" w:space="0"/>
                  </w:tcBorders>
                  <w:shd w:val="clear" w:color="auto" w:fill="CFE8CB"/>
                  <w:vAlign w:val="center"/>
                </w:tcPr>
                <w:p>
                  <w:pPr>
                    <w:pStyle w:val="66"/>
                    <w:bidi w:val="0"/>
                    <w:rPr>
                      <w:rFonts w:hint="default"/>
                      <w:lang w:val="en-US" w:eastAsia="zh-CN"/>
                    </w:rPr>
                  </w:pPr>
                  <w:r>
                    <w:rPr>
                      <w:rFonts w:hint="eastAsia"/>
                      <w:lang w:val="en-US" w:eastAsia="zh-CN"/>
                    </w:rPr>
                    <w:t>278</w:t>
                  </w:r>
                </w:p>
              </w:tc>
              <w:tc>
                <w:tcPr>
                  <w:tcW w:w="1058" w:type="pct"/>
                  <w:vMerge w:val="continue"/>
                  <w:tcBorders>
                    <w:left w:val="single" w:color="000000" w:sz="4" w:space="0"/>
                    <w:right w:val="single" w:color="000000" w:sz="4" w:space="0"/>
                  </w:tcBorders>
                  <w:shd w:val="clear" w:color="auto" w:fill="CFE8CB"/>
                  <w:vAlign w:val="center"/>
                </w:tcPr>
                <w:p>
                  <w:pPr>
                    <w:pStyle w:val="66"/>
                    <w:bidi w:val="0"/>
                    <w:rPr>
                      <w:rFonts w:hint="default"/>
                    </w:rPr>
                  </w:pPr>
                </w:p>
              </w:tc>
              <w:tc>
                <w:tcPr>
                  <w:tcW w:w="698" w:type="pct"/>
                  <w:tcBorders>
                    <w:top w:val="single" w:color="000000" w:sz="4" w:space="0"/>
                    <w:left w:val="single" w:color="000000" w:sz="4" w:space="0"/>
                    <w:bottom w:val="single" w:color="000000" w:sz="4" w:space="0"/>
                    <w:right w:val="single" w:color="000000" w:sz="4" w:space="0"/>
                  </w:tcBorders>
                  <w:shd w:val="clear" w:color="auto" w:fill="CFE8CB"/>
                  <w:vAlign w:val="center"/>
                </w:tcPr>
                <w:p>
                  <w:pPr>
                    <w:pStyle w:val="66"/>
                    <w:bidi w:val="0"/>
                    <w:rPr>
                      <w:rFonts w:hint="default"/>
                      <w:lang w:val="en-US" w:eastAsia="zh-CN"/>
                    </w:rPr>
                  </w:pPr>
                  <w:r>
                    <w:rPr>
                      <w:rFonts w:hint="eastAsia"/>
                      <w:lang w:val="en-US" w:eastAsia="zh-CN"/>
                    </w:rPr>
                    <w:t>93</w:t>
                  </w:r>
                </w:p>
              </w:tc>
              <w:tc>
                <w:tcPr>
                  <w:tcW w:w="702" w:type="pct"/>
                  <w:tcBorders>
                    <w:top w:val="single" w:color="000000" w:sz="4" w:space="0"/>
                    <w:left w:val="single" w:color="000000" w:sz="4" w:space="0"/>
                    <w:bottom w:val="single" w:color="000000" w:sz="4" w:space="0"/>
                    <w:right w:val="single" w:color="000000" w:sz="4" w:space="0"/>
                  </w:tcBorders>
                  <w:shd w:val="clear" w:color="auto" w:fill="CFE8CC"/>
                  <w:vAlign w:val="center"/>
                </w:tcPr>
                <w:p>
                  <w:pPr>
                    <w:pStyle w:val="66"/>
                    <w:bidi w:val="0"/>
                    <w:rPr>
                      <w:rFonts w:hint="default"/>
                      <w:lang w:val="en-US" w:eastAsia="zh-CN"/>
                    </w:rPr>
                  </w:pPr>
                  <w:r>
                    <w:rPr>
                      <w:rFonts w:hint="default"/>
                      <w:lang w:val="en-US" w:eastAsia="zh-CN"/>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866" w:type="pct"/>
                  <w:vMerge w:val="continue"/>
                  <w:tcBorders>
                    <w:left w:val="single" w:color="000000" w:sz="4" w:space="0"/>
                    <w:bottom w:val="single" w:color="000000" w:sz="4" w:space="0"/>
                    <w:right w:val="single" w:color="000000" w:sz="4" w:space="0"/>
                  </w:tcBorders>
                  <w:shd w:val="clear" w:color="auto" w:fill="CFE8CB"/>
                  <w:vAlign w:val="center"/>
                </w:tcPr>
                <w:p>
                  <w:pPr>
                    <w:pStyle w:val="66"/>
                    <w:bidi w:val="0"/>
                    <w:rPr>
                      <w:rFonts w:hint="default"/>
                      <w:lang w:val="en-US" w:eastAsia="zh-CN"/>
                    </w:rPr>
                  </w:pPr>
                </w:p>
              </w:tc>
              <w:tc>
                <w:tcPr>
                  <w:tcW w:w="867" w:type="pct"/>
                  <w:tcBorders>
                    <w:top w:val="single" w:color="000000" w:sz="4" w:space="0"/>
                    <w:left w:val="single" w:color="000000" w:sz="4" w:space="0"/>
                    <w:bottom w:val="single" w:color="000000" w:sz="4" w:space="0"/>
                    <w:right w:val="single" w:color="000000" w:sz="4" w:space="0"/>
                  </w:tcBorders>
                  <w:shd w:val="clear" w:color="auto" w:fill="CFE8CB"/>
                  <w:vAlign w:val="center"/>
                </w:tcPr>
                <w:p>
                  <w:pPr>
                    <w:pStyle w:val="66"/>
                    <w:bidi w:val="0"/>
                    <w:rPr>
                      <w:rFonts w:hint="default"/>
                    </w:rPr>
                  </w:pPr>
                  <w:r>
                    <w:rPr>
                      <w:rFonts w:hint="default"/>
                      <w:lang w:val="en-US" w:eastAsia="zh-CN"/>
                    </w:rPr>
                    <w:t>2023.4.21</w:t>
                  </w:r>
                </w:p>
              </w:tc>
              <w:tc>
                <w:tcPr>
                  <w:tcW w:w="806" w:type="pct"/>
                  <w:tcBorders>
                    <w:top w:val="single" w:color="000000" w:sz="4" w:space="0"/>
                    <w:left w:val="single" w:color="000000" w:sz="4" w:space="0"/>
                    <w:bottom w:val="single" w:color="000000" w:sz="4" w:space="0"/>
                    <w:right w:val="single" w:color="000000" w:sz="4" w:space="0"/>
                  </w:tcBorders>
                  <w:shd w:val="clear" w:color="auto" w:fill="CFE8CB"/>
                  <w:vAlign w:val="center"/>
                </w:tcPr>
                <w:p>
                  <w:pPr>
                    <w:pStyle w:val="66"/>
                    <w:bidi w:val="0"/>
                    <w:rPr>
                      <w:rFonts w:hint="default"/>
                      <w:lang w:val="en-US" w:eastAsia="zh-CN"/>
                    </w:rPr>
                  </w:pPr>
                  <w:r>
                    <w:rPr>
                      <w:rFonts w:hint="eastAsia"/>
                      <w:lang w:val="en-US" w:eastAsia="zh-CN"/>
                    </w:rPr>
                    <w:t>290</w:t>
                  </w:r>
                </w:p>
              </w:tc>
              <w:tc>
                <w:tcPr>
                  <w:tcW w:w="1058" w:type="pct"/>
                  <w:vMerge w:val="continue"/>
                  <w:tcBorders>
                    <w:left w:val="single" w:color="000000" w:sz="4" w:space="0"/>
                    <w:bottom w:val="single" w:color="000000" w:sz="4" w:space="0"/>
                    <w:right w:val="single" w:color="000000" w:sz="4" w:space="0"/>
                  </w:tcBorders>
                  <w:shd w:val="clear" w:color="auto" w:fill="CFE8CB"/>
                  <w:vAlign w:val="center"/>
                </w:tcPr>
                <w:p>
                  <w:pPr>
                    <w:pStyle w:val="66"/>
                    <w:bidi w:val="0"/>
                    <w:rPr>
                      <w:rFonts w:hint="default"/>
                    </w:rPr>
                  </w:pPr>
                </w:p>
              </w:tc>
              <w:tc>
                <w:tcPr>
                  <w:tcW w:w="698" w:type="pct"/>
                  <w:tcBorders>
                    <w:top w:val="single" w:color="000000" w:sz="4" w:space="0"/>
                    <w:left w:val="single" w:color="000000" w:sz="4" w:space="0"/>
                    <w:bottom w:val="single" w:color="000000" w:sz="4" w:space="0"/>
                    <w:right w:val="single" w:color="000000" w:sz="4" w:space="0"/>
                  </w:tcBorders>
                  <w:shd w:val="clear" w:color="auto" w:fill="CFE8CB"/>
                  <w:vAlign w:val="center"/>
                </w:tcPr>
                <w:p>
                  <w:pPr>
                    <w:pStyle w:val="66"/>
                    <w:bidi w:val="0"/>
                    <w:rPr>
                      <w:rFonts w:hint="default"/>
                      <w:lang w:val="en-US" w:eastAsia="zh-CN"/>
                    </w:rPr>
                  </w:pPr>
                  <w:r>
                    <w:rPr>
                      <w:rFonts w:hint="eastAsia"/>
                      <w:lang w:val="en-US" w:eastAsia="zh-CN"/>
                    </w:rPr>
                    <w:t>97</w:t>
                  </w:r>
                </w:p>
              </w:tc>
              <w:tc>
                <w:tcPr>
                  <w:tcW w:w="702" w:type="pct"/>
                  <w:tcBorders>
                    <w:top w:val="single" w:color="000000" w:sz="4" w:space="0"/>
                    <w:left w:val="single" w:color="000000" w:sz="4" w:space="0"/>
                    <w:bottom w:val="single" w:color="000000" w:sz="4" w:space="0"/>
                    <w:right w:val="single" w:color="000000" w:sz="4" w:space="0"/>
                  </w:tcBorders>
                  <w:shd w:val="clear" w:color="auto" w:fill="CFE8CC"/>
                  <w:vAlign w:val="center"/>
                </w:tcPr>
                <w:p>
                  <w:pPr>
                    <w:pStyle w:val="66"/>
                    <w:bidi w:val="0"/>
                    <w:rPr>
                      <w:rFonts w:hint="default"/>
                      <w:lang w:val="en-US" w:eastAsia="zh-CN"/>
                    </w:rPr>
                  </w:pPr>
                  <w:r>
                    <w:rPr>
                      <w:rFonts w:hint="default"/>
                      <w:lang w:val="en-US" w:eastAsia="zh-CN"/>
                    </w:rPr>
                    <w:t>达标</w:t>
                  </w:r>
                </w:p>
              </w:tc>
            </w:tr>
          </w:tbl>
          <w:p>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根据特征污染物补充监测数据结果，项目所在区域TSP最大浓度占标率范围</w:t>
            </w:r>
            <w:r>
              <w:rPr>
                <w:rFonts w:hint="eastAsia" w:cs="Times New Roman"/>
                <w:sz w:val="24"/>
                <w:szCs w:val="24"/>
                <w:lang w:val="en-US" w:eastAsia="zh-CN"/>
              </w:rPr>
              <w:t>为93%-181</w:t>
            </w:r>
            <w:r>
              <w:rPr>
                <w:rFonts w:hint="default" w:ascii="Times New Roman" w:hAnsi="Times New Roman" w:eastAsia="宋体" w:cs="Times New Roman"/>
                <w:sz w:val="24"/>
                <w:szCs w:val="24"/>
                <w:lang w:val="en-US" w:eastAsia="zh-CN"/>
              </w:rPr>
              <w:t>%。</w:t>
            </w:r>
            <w:bookmarkStart w:id="3" w:name="OLE_LINK2"/>
            <w:r>
              <w:rPr>
                <w:rFonts w:hint="eastAsia" w:cs="Times New Roman"/>
                <w:sz w:val="24"/>
                <w:szCs w:val="24"/>
                <w:lang w:val="en-US" w:eastAsia="zh-CN"/>
              </w:rPr>
              <w:t>因此</w:t>
            </w:r>
            <w:r>
              <w:rPr>
                <w:rFonts w:hint="default" w:ascii="Times New Roman" w:hAnsi="Times New Roman" w:eastAsia="宋体" w:cs="Times New Roman"/>
                <w:sz w:val="24"/>
                <w:szCs w:val="24"/>
                <w:lang w:val="en-US" w:eastAsia="zh-CN"/>
              </w:rPr>
              <w:t>本项目所在区域为环境空气质量不达标区，且受当地风沙天气影响，</w:t>
            </w:r>
            <w:r>
              <w:rPr>
                <w:rFonts w:hint="default" w:ascii="Times New Roman" w:hAnsi="Times New Roman" w:cs="Times New Roman"/>
                <w:sz w:val="24"/>
                <w:szCs w:val="24"/>
                <w:lang w:val="en-US" w:eastAsia="zh-CN"/>
              </w:rPr>
              <w:t>风沙范围和持续时间较长，</w:t>
            </w:r>
            <w:r>
              <w:rPr>
                <w:rFonts w:hint="default" w:ascii="Times New Roman" w:hAnsi="Times New Roman" w:eastAsia="宋体" w:cs="Times New Roman"/>
                <w:sz w:val="24"/>
                <w:szCs w:val="24"/>
                <w:lang w:val="en-US" w:eastAsia="zh-CN"/>
              </w:rPr>
              <w:t>导致空气中总悬浮颗粒物浓度偏高</w:t>
            </w:r>
            <w:r>
              <w:rPr>
                <w:rFonts w:hint="default" w:ascii="Times New Roman" w:hAnsi="Times New Roman" w:cs="Times New Roman"/>
                <w:sz w:val="24"/>
                <w:szCs w:val="24"/>
                <w:lang w:val="en-US" w:eastAsia="zh-CN"/>
              </w:rPr>
              <w:t>，所以不</w:t>
            </w:r>
            <w:r>
              <w:rPr>
                <w:rFonts w:hint="default" w:ascii="Times New Roman" w:hAnsi="Times New Roman" w:eastAsia="宋体" w:cs="Times New Roman"/>
                <w:sz w:val="24"/>
                <w:szCs w:val="24"/>
                <w:lang w:val="en-US" w:eastAsia="zh-CN"/>
              </w:rPr>
              <w:t>满足《环境空气质量标准》(GB3095-2012)及其修改单二级标准限值要求。</w:t>
            </w:r>
            <w:bookmarkEnd w:id="3"/>
          </w:p>
          <w:p>
            <w:pPr>
              <w:pStyle w:val="67"/>
              <w:bidi w:val="0"/>
              <w:rPr>
                <w:rFonts w:hint="default"/>
              </w:rPr>
            </w:pPr>
            <w:r>
              <w:rPr>
                <w:rFonts w:hint="default"/>
                <w:lang w:val="en-US" w:eastAsia="zh-CN"/>
              </w:rPr>
              <w:t>2.</w:t>
            </w:r>
            <w:r>
              <w:rPr>
                <w:rFonts w:hint="default"/>
              </w:rPr>
              <w:t>地表水环境质量现状调查与评价</w:t>
            </w:r>
            <w:bookmarkStart w:id="4" w:name="_Toc396385923"/>
            <w:bookmarkStart w:id="5" w:name="_Toc329596219"/>
          </w:p>
          <w:bookmarkEnd w:id="4"/>
          <w:bookmarkEnd w:id="5"/>
          <w:p>
            <w:pPr>
              <w:pStyle w:val="68"/>
              <w:bidi w:val="0"/>
              <w:rPr>
                <w:rFonts w:hint="default"/>
                <w:lang w:val="en-US" w:eastAsia="zh-CN"/>
              </w:rPr>
            </w:pPr>
            <w:r>
              <w:rPr>
                <w:rFonts w:hint="eastAsia"/>
                <w:lang w:val="en-US" w:eastAsia="zh-CN"/>
              </w:rPr>
              <w:t>根据《巴音郭楞蒙古自治州2024年生态环境状况公报》可知：2024年，全州地表水监测的31个考核断面（点位）中，</w:t>
            </w:r>
            <w:r>
              <w:rPr>
                <w:rFonts w:hint="default" w:ascii="Times New Roman" w:hAnsi="Times New Roman" w:cs="Times New Roman"/>
                <w:lang w:val="en-US" w:eastAsia="zh-CN"/>
              </w:rPr>
              <w:t>Ⅰ~Ⅲ</w:t>
            </w:r>
            <w:r>
              <w:rPr>
                <w:rFonts w:hint="eastAsia"/>
                <w:lang w:val="en-US" w:eastAsia="zh-CN"/>
              </w:rPr>
              <w:t>类优良水质断面（点位）占比90.3%，无</w:t>
            </w:r>
            <w:r>
              <w:rPr>
                <w:rFonts w:hint="default" w:ascii="Times New Roman" w:hAnsi="Times New Roman" w:cs="Times New Roman"/>
                <w:lang w:val="en-US" w:eastAsia="zh-CN"/>
              </w:rPr>
              <w:t>Ⅳ</w:t>
            </w:r>
            <w:r>
              <w:rPr>
                <w:rFonts w:hint="eastAsia"/>
                <w:lang w:val="en-US" w:eastAsia="zh-CN"/>
              </w:rPr>
              <w:t>类水质。6条主要河流19个监测断面中</w:t>
            </w:r>
            <w:r>
              <w:rPr>
                <w:rFonts w:hint="default" w:ascii="Times New Roman" w:hAnsi="Times New Roman" w:cs="Times New Roman"/>
                <w:lang w:val="en-US" w:eastAsia="zh-CN"/>
              </w:rPr>
              <w:t>Ⅰ~Ⅲ</w:t>
            </w:r>
            <w:r>
              <w:rPr>
                <w:rFonts w:hint="eastAsia"/>
                <w:lang w:val="en-US" w:eastAsia="zh-CN"/>
              </w:rPr>
              <w:t>类优良水质断面占100%，3个重要湖泊（水库）12个监测点位中</w:t>
            </w:r>
            <w:r>
              <w:rPr>
                <w:rFonts w:hint="default" w:ascii="Times New Roman" w:hAnsi="Times New Roman" w:cs="Times New Roman"/>
                <w:lang w:val="en-US" w:eastAsia="zh-CN"/>
              </w:rPr>
              <w:t>Ⅰ~Ⅲ</w:t>
            </w:r>
            <w:r>
              <w:rPr>
                <w:rFonts w:hint="eastAsia"/>
                <w:lang w:val="en-US" w:eastAsia="zh-CN"/>
              </w:rPr>
              <w:t>类优良水质断面占75%，无劣</w:t>
            </w:r>
            <w:r>
              <w:rPr>
                <w:rFonts w:hint="default" w:ascii="Times New Roman" w:hAnsi="Times New Roman" w:cs="Times New Roman"/>
                <w:lang w:val="en-US" w:eastAsia="zh-CN"/>
              </w:rPr>
              <w:t>Ⅴ</w:t>
            </w:r>
            <w:r>
              <w:rPr>
                <w:rFonts w:hint="eastAsia"/>
                <w:lang w:val="en-US" w:eastAsia="zh-CN"/>
              </w:rPr>
              <w:t>类水体，湖泊水质影响因子为化学需氧量。本项目5公里范围内不存在地表水。</w:t>
            </w:r>
          </w:p>
          <w:p>
            <w:pPr>
              <w:pStyle w:val="67"/>
              <w:bidi w:val="0"/>
              <w:rPr>
                <w:rFonts w:hint="default"/>
              </w:rPr>
            </w:pPr>
            <w:r>
              <w:rPr>
                <w:rFonts w:hint="default"/>
                <w:lang w:val="en-US" w:eastAsia="zh-CN"/>
              </w:rPr>
              <w:t>3.</w:t>
            </w:r>
            <w:r>
              <w:rPr>
                <w:rFonts w:hint="default"/>
              </w:rPr>
              <w:t>声环境质量现状</w:t>
            </w:r>
          </w:p>
          <w:p>
            <w:pPr>
              <w:pStyle w:val="68"/>
              <w:bidi w:val="0"/>
              <w:rPr>
                <w:rFonts w:hint="default"/>
              </w:rPr>
            </w:pPr>
            <w:r>
              <w:rPr>
                <w:rFonts w:hint="default"/>
              </w:rPr>
              <w:t>根据《建设项目环境影响报告表编制技术指南（污染影响类）（试行）》，厂界外周边50</w:t>
            </w:r>
            <w:r>
              <w:rPr>
                <w:rFonts w:hint="default"/>
                <w:lang w:val="en-US" w:eastAsia="zh-CN"/>
              </w:rPr>
              <w:t>m</w:t>
            </w:r>
            <w:r>
              <w:rPr>
                <w:rFonts w:hint="default"/>
              </w:rPr>
              <w:t>范围内不存在声环境保护目标的建设项目，因此不进行监测。</w:t>
            </w:r>
          </w:p>
          <w:p>
            <w:pPr>
              <w:pStyle w:val="67"/>
              <w:bidi w:val="0"/>
              <w:rPr>
                <w:rFonts w:hint="default"/>
              </w:rPr>
            </w:pPr>
            <w:r>
              <w:rPr>
                <w:rFonts w:hint="default"/>
                <w:lang w:val="en-US" w:eastAsia="zh-CN"/>
              </w:rPr>
              <w:t>4.</w:t>
            </w:r>
            <w:r>
              <w:rPr>
                <w:rFonts w:hint="default"/>
              </w:rPr>
              <w:t>生态环境质量现状</w:t>
            </w:r>
          </w:p>
          <w:p>
            <w:pPr>
              <w:pStyle w:val="68"/>
              <w:bidi w:val="0"/>
              <w:rPr>
                <w:rFonts w:hint="default" w:ascii="Times New Roman" w:hAnsi="Times New Roman" w:eastAsia="宋体" w:cs="Times New Roman"/>
                <w:sz w:val="24"/>
                <w:szCs w:val="24"/>
              </w:rPr>
            </w:pPr>
            <w:r>
              <w:rPr>
                <w:rFonts w:hint="default"/>
                <w:lang w:val="en-US" w:eastAsia="zh-CN"/>
              </w:rPr>
              <w:t>本项目位于新疆维吾尔自治区</w:t>
            </w:r>
            <w:r>
              <w:rPr>
                <w:rFonts w:hint="eastAsia"/>
                <w:lang w:val="en-US" w:eastAsia="zh-CN"/>
              </w:rPr>
              <w:t>新疆巴音郭楞蒙古自治州若羌县塔东物流商贸综合园区</w:t>
            </w:r>
            <w:r>
              <w:rPr>
                <w:rFonts w:hint="default"/>
                <w:lang w:val="en-US" w:eastAsia="zh-CN"/>
              </w:rPr>
              <w:t>，</w:t>
            </w:r>
            <w:r>
              <w:rPr>
                <w:rFonts w:hint="default"/>
              </w:rPr>
              <w:t>根据《建设项目环境影响报告表编制技术指南（污染影响类）（试行）》</w:t>
            </w:r>
            <w:r>
              <w:rPr>
                <w:rFonts w:hint="eastAsia"/>
                <w:lang w:val="en-US" w:eastAsia="zh-CN"/>
              </w:rPr>
              <w:t>的要求</w:t>
            </w:r>
            <w:r>
              <w:rPr>
                <w:rFonts w:hint="default"/>
              </w:rPr>
              <w:t>，</w:t>
            </w:r>
            <w:r>
              <w:rPr>
                <w:rFonts w:hint="default"/>
                <w:lang w:val="en-US" w:eastAsia="zh-CN"/>
              </w:rPr>
              <w:t>本项目土地用途为工业用地，用地范围内无生态环境保护目标，可不进行生态现状调查。</w:t>
            </w:r>
          </w:p>
          <w:p>
            <w:pPr>
              <w:pStyle w:val="67"/>
              <w:bidi w:val="0"/>
              <w:rPr>
                <w:rFonts w:hint="default"/>
                <w:lang w:val="en-US" w:eastAsia="zh-CN"/>
              </w:rPr>
            </w:pPr>
            <w:r>
              <w:rPr>
                <w:rFonts w:hint="default"/>
                <w:lang w:val="en-US" w:eastAsia="zh-CN"/>
              </w:rPr>
              <w:t>5.地下水、土壤环境</w:t>
            </w:r>
          </w:p>
          <w:p>
            <w:pPr>
              <w:pStyle w:val="68"/>
              <w:bidi w:val="0"/>
              <w:rPr>
                <w:rFonts w:hint="default"/>
                <w:lang w:val="en-US" w:eastAsia="zh-CN"/>
              </w:rPr>
            </w:pPr>
            <w:r>
              <w:rPr>
                <w:rFonts w:hint="default"/>
                <w:lang w:val="en-US" w:eastAsia="zh-CN"/>
              </w:rPr>
              <w:t>根据《建设项目环境影响报告表编制技术指南（污染影响类）（试行）》的要求，原则上不开展环境质量现状调查。建设项目存在土壤、地下水环境污染途径的，应结合污染源、保护目标分布情况开展现状调查以留作背景值。</w:t>
            </w:r>
          </w:p>
          <w:p>
            <w:pPr>
              <w:pStyle w:val="68"/>
              <w:bidi w:val="0"/>
              <w:rPr>
                <w:rFonts w:hint="default" w:ascii="Times New Roman" w:hAnsi="Times New Roman" w:eastAsia="宋体" w:cs="Times New Roman"/>
                <w:color w:val="auto"/>
                <w:kern w:val="0"/>
                <w:szCs w:val="21"/>
              </w:rPr>
            </w:pPr>
            <w:r>
              <w:rPr>
                <w:rFonts w:hint="default"/>
                <w:lang w:val="en-US" w:eastAsia="zh-CN"/>
              </w:rPr>
              <w:t>本项目不存在土壤、地下水环境污染途径，故无需开展地下水、土壤环境质量现状调查。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72" w:hRule="atLeast"/>
          <w:jc w:val="center"/>
        </w:trPr>
        <w:tc>
          <w:tcPr>
            <w:tcW w:w="3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1"/>
                <w:szCs w:val="21"/>
              </w:rPr>
              <w:t>环境保护目标</w:t>
            </w:r>
          </w:p>
        </w:tc>
        <w:tc>
          <w:tcPr>
            <w:tcW w:w="4610" w:type="pct"/>
            <w:noWrap w:val="0"/>
            <w:vAlign w:val="top"/>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20" w:lineRule="exact"/>
              <w:ind w:right="0"/>
              <w:jc w:val="both"/>
              <w:textAlignment w:val="auto"/>
              <w:rPr>
                <w:rFonts w:hint="default" w:ascii="Times New Roman" w:hAnsi="Times New Roman" w:eastAsia="宋体" w:cs="Times New Roman"/>
                <w:b/>
                <w:bCs w:val="0"/>
                <w:color w:val="auto"/>
                <w:kern w:val="2"/>
                <w:sz w:val="24"/>
                <w:szCs w:val="24"/>
              </w:rPr>
            </w:pPr>
            <w:r>
              <w:rPr>
                <w:rFonts w:hint="default" w:ascii="Times New Roman" w:hAnsi="Times New Roman" w:eastAsia="宋体" w:cs="Times New Roman"/>
                <w:b/>
                <w:bCs w:val="0"/>
                <w:color w:val="auto"/>
                <w:kern w:val="2"/>
                <w:sz w:val="24"/>
                <w:szCs w:val="24"/>
                <w:lang w:val="en-US" w:eastAsia="zh-CN" w:bidi="ar"/>
              </w:rPr>
              <w:t>1</w:t>
            </w:r>
            <w:r>
              <w:rPr>
                <w:rFonts w:hint="default" w:ascii="Times New Roman" w:hAnsi="Times New Roman" w:cs="Times New Roman"/>
                <w:b/>
                <w:bCs w:val="0"/>
                <w:color w:val="auto"/>
                <w:kern w:val="2"/>
                <w:sz w:val="24"/>
                <w:szCs w:val="24"/>
                <w:lang w:val="en-US" w:eastAsia="zh-CN" w:bidi="ar"/>
              </w:rPr>
              <w:t>.</w:t>
            </w:r>
            <w:r>
              <w:rPr>
                <w:rFonts w:hint="eastAsia" w:cs="Times New Roman"/>
                <w:b/>
                <w:bCs w:val="0"/>
                <w:color w:val="auto"/>
                <w:kern w:val="2"/>
                <w:sz w:val="24"/>
                <w:szCs w:val="24"/>
                <w:lang w:val="en-US" w:eastAsia="zh-CN" w:bidi="ar"/>
              </w:rPr>
              <w:t>大气环境</w:t>
            </w:r>
            <w:r>
              <w:rPr>
                <w:rFonts w:hint="default" w:ascii="Times New Roman" w:hAnsi="Times New Roman" w:eastAsia="宋体" w:cs="Times New Roman"/>
                <w:b/>
                <w:bCs w:val="0"/>
                <w:color w:val="auto"/>
                <w:kern w:val="2"/>
                <w:sz w:val="24"/>
                <w:szCs w:val="24"/>
                <w:lang w:val="en-US" w:eastAsia="zh-CN" w:bidi="ar"/>
              </w:rPr>
              <w:t>保护目标</w:t>
            </w:r>
          </w:p>
          <w:p>
            <w:pPr>
              <w:pStyle w:val="68"/>
              <w:bidi w:val="0"/>
              <w:rPr>
                <w:rFonts w:hint="default"/>
                <w:lang w:val="en-US" w:eastAsia="zh-CN"/>
              </w:rPr>
            </w:pPr>
            <w:r>
              <w:rPr>
                <w:rFonts w:hint="default"/>
              </w:rPr>
              <w:t>根据《建设项目环境影响报告表编制技术指南（污染影响型）（试行）》指南要求，本项目厂界外500m范围内无自然保护区、风景名胜区、居住区、文化区</w:t>
            </w:r>
            <w:r>
              <w:rPr>
                <w:rFonts w:hint="default"/>
                <w:lang w:val="en-US" w:eastAsia="zh-CN"/>
              </w:rPr>
              <w:t>和</w:t>
            </w:r>
            <w:r>
              <w:rPr>
                <w:rFonts w:hint="default"/>
              </w:rPr>
              <w:t>农村地区中人群较集中的区域等保护目标</w:t>
            </w:r>
            <w:r>
              <w:rPr>
                <w:rFonts w:hint="default"/>
                <w:lang w:val="en-US" w:eastAsia="zh-CN"/>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20" w:lineRule="exact"/>
              <w:ind w:right="0"/>
              <w:jc w:val="both"/>
              <w:textAlignment w:val="auto"/>
              <w:rPr>
                <w:rFonts w:hint="default" w:ascii="Times New Roman" w:hAnsi="Times New Roman" w:eastAsia="宋体" w:cs="Times New Roman"/>
                <w:b/>
                <w:bCs w:val="0"/>
                <w:color w:val="auto"/>
                <w:kern w:val="2"/>
                <w:sz w:val="24"/>
                <w:szCs w:val="24"/>
              </w:rPr>
            </w:pPr>
            <w:r>
              <w:rPr>
                <w:rFonts w:hint="default" w:ascii="Times New Roman" w:hAnsi="Times New Roman" w:eastAsia="宋体" w:cs="Times New Roman"/>
                <w:b/>
                <w:bCs w:val="0"/>
                <w:color w:val="auto"/>
                <w:kern w:val="2"/>
                <w:sz w:val="24"/>
                <w:szCs w:val="24"/>
                <w:lang w:val="en-US" w:eastAsia="zh-CN" w:bidi="ar"/>
              </w:rPr>
              <w:t>2</w:t>
            </w:r>
            <w:r>
              <w:rPr>
                <w:rFonts w:hint="default" w:ascii="Times New Roman" w:hAnsi="Times New Roman" w:cs="Times New Roman"/>
                <w:b/>
                <w:bCs w:val="0"/>
                <w:color w:val="auto"/>
                <w:kern w:val="2"/>
                <w:sz w:val="24"/>
                <w:szCs w:val="24"/>
                <w:lang w:val="en-US" w:eastAsia="zh-CN" w:bidi="ar"/>
              </w:rPr>
              <w:t>.</w:t>
            </w:r>
            <w:r>
              <w:rPr>
                <w:rFonts w:hint="default" w:ascii="Times New Roman" w:hAnsi="Times New Roman" w:eastAsia="宋体" w:cs="Times New Roman"/>
                <w:b/>
                <w:bCs w:val="0"/>
                <w:color w:val="auto"/>
                <w:kern w:val="2"/>
                <w:sz w:val="24"/>
                <w:szCs w:val="24"/>
                <w:lang w:val="en-US" w:eastAsia="zh-CN" w:bidi="ar"/>
              </w:rPr>
              <w:t>声环境保护目标</w:t>
            </w:r>
          </w:p>
          <w:p>
            <w:pPr>
              <w:pStyle w:val="72"/>
              <w:bidi w:val="0"/>
              <w:rPr>
                <w:rFonts w:hint="eastAsia"/>
                <w:lang w:val="en-US" w:eastAsia="zh-CN"/>
              </w:rPr>
            </w:pPr>
            <w:r>
              <w:rPr>
                <w:rFonts w:hint="eastAsia"/>
                <w:lang w:val="en-US" w:eastAsia="zh-CN"/>
              </w:rPr>
              <w:t>根据《声环境质量标准》（GB3096-2008）可知项目区位于3类声功能区。根据《建设项目环境影响报告表编制技术指南（污染影响型）（试行）》指南要求，调查到本项目厂界外50m范围内无声环境保护目标。</w:t>
            </w:r>
          </w:p>
          <w:p>
            <w:pPr>
              <w:pStyle w:val="67"/>
              <w:bidi w:val="0"/>
              <w:rPr>
                <w:rFonts w:hint="default"/>
              </w:rPr>
            </w:pPr>
            <w:r>
              <w:rPr>
                <w:rFonts w:hint="default"/>
                <w:lang w:val="en-US" w:eastAsia="zh-CN"/>
              </w:rPr>
              <w:t>3.地下水环境保护目标</w:t>
            </w:r>
          </w:p>
          <w:p>
            <w:pPr>
              <w:pStyle w:val="68"/>
              <w:bidi w:val="0"/>
              <w:rPr>
                <w:rFonts w:hint="default"/>
              </w:rPr>
            </w:pPr>
            <w:r>
              <w:rPr>
                <w:rFonts w:hint="default"/>
                <w:lang w:val="en-US" w:eastAsia="zh-CN"/>
              </w:rPr>
              <w:t>本项目厂界外500米范围内无地下水集中式饮用水水源和热水、矿泉水、温泉等特殊地下水资源。</w:t>
            </w:r>
          </w:p>
          <w:p>
            <w:pPr>
              <w:pStyle w:val="67"/>
              <w:bidi w:val="0"/>
              <w:rPr>
                <w:rFonts w:hint="default"/>
              </w:rPr>
            </w:pPr>
            <w:r>
              <w:rPr>
                <w:rFonts w:hint="default"/>
                <w:lang w:val="en-US" w:eastAsia="zh-CN"/>
              </w:rPr>
              <w:t>4.生态环境保护目标</w:t>
            </w:r>
          </w:p>
          <w:p>
            <w:pPr>
              <w:pStyle w:val="11"/>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sz w:val="24"/>
                <w:szCs w:val="24"/>
                <w:highlight w:val="none"/>
                <w:lang w:val="en-US" w:eastAsia="zh-CN"/>
              </w:rPr>
              <w:t>根据《建设项目环境影响报告表编制技术指南（污染影响类）（试行）》的要求，本项目位于新疆巴音郭楞蒙古自治州若羌县塔东物流商贸综合园区，土地性质为工业用地，</w:t>
            </w:r>
            <w:r>
              <w:rPr>
                <w:rFonts w:hint="default" w:ascii="Times New Roman" w:hAnsi="Times New Roman" w:cs="Times New Roman"/>
                <w:sz w:val="24"/>
                <w:szCs w:val="24"/>
                <w:lang w:val="en-US" w:eastAsia="zh-CN"/>
              </w:rPr>
              <w:t>用地范围内</w:t>
            </w:r>
            <w:r>
              <w:rPr>
                <w:rFonts w:hint="eastAsia" w:cs="Times New Roman"/>
                <w:sz w:val="24"/>
                <w:szCs w:val="24"/>
                <w:lang w:val="en-US" w:eastAsia="zh-CN"/>
              </w:rPr>
              <w:t>无</w:t>
            </w:r>
            <w:r>
              <w:rPr>
                <w:rFonts w:hint="default" w:ascii="Times New Roman" w:hAnsi="Times New Roman" w:cs="Times New Roman"/>
                <w:sz w:val="24"/>
                <w:szCs w:val="24"/>
                <w:lang w:val="en-US" w:eastAsia="zh-CN"/>
              </w:rPr>
              <w:t>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3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1"/>
                <w:szCs w:val="21"/>
                <w:lang w:val="en-US" w:eastAsia="zh-CN"/>
              </w:rPr>
              <w:t>污染物排放控制标准</w:t>
            </w:r>
          </w:p>
        </w:tc>
        <w:tc>
          <w:tcPr>
            <w:tcW w:w="4610" w:type="pct"/>
            <w:noWrap w:val="0"/>
            <w:vAlign w:val="center"/>
          </w:tcPr>
          <w:p>
            <w:pPr>
              <w:keepNext w:val="0"/>
              <w:keepLines w:val="0"/>
              <w:pageBreakBefore w:val="0"/>
              <w:widowControl/>
              <w:numPr>
                <w:ilvl w:val="0"/>
                <w:numId w:val="0"/>
              </w:numPr>
              <w:kinsoku/>
              <w:wordWrap/>
              <w:overflowPunct/>
              <w:topLinePunct w:val="0"/>
              <w:autoSpaceDE/>
              <w:autoSpaceDN/>
              <w:bidi w:val="0"/>
              <w:spacing w:line="520" w:lineRule="exact"/>
              <w:jc w:val="left"/>
              <w:textAlignment w:val="auto"/>
              <w:rPr>
                <w:rFonts w:hint="default" w:ascii="Times New Roman" w:hAnsi="Times New Roman" w:cs="Times New Roman"/>
              </w:rPr>
            </w:pPr>
            <w:r>
              <w:rPr>
                <w:rFonts w:hint="default" w:ascii="Times New Roman" w:hAnsi="Times New Roman" w:cs="Times New Roman"/>
                <w:b/>
                <w:bCs/>
                <w:sz w:val="24"/>
                <w:lang w:val="en-US" w:eastAsia="zh-CN"/>
              </w:rPr>
              <w:t>1.施工期</w:t>
            </w:r>
            <w:r>
              <w:rPr>
                <w:rFonts w:hint="default" w:ascii="Times New Roman" w:hAnsi="Times New Roman" w:eastAsia="宋体" w:cs="Times New Roman"/>
                <w:b/>
                <w:bCs/>
                <w:sz w:val="24"/>
              </w:rPr>
              <w:t>污染物排放</w:t>
            </w:r>
            <w:r>
              <w:rPr>
                <w:rFonts w:hint="default" w:ascii="Times New Roman" w:hAnsi="Times New Roman" w:cs="Times New Roman"/>
                <w:b/>
                <w:bCs/>
                <w:sz w:val="24"/>
                <w:lang w:val="en-US" w:eastAsia="zh-CN"/>
              </w:rPr>
              <w:t>控制</w:t>
            </w:r>
            <w:r>
              <w:rPr>
                <w:rFonts w:hint="default" w:ascii="Times New Roman" w:hAnsi="Times New Roman" w:eastAsia="宋体" w:cs="Times New Roman"/>
                <w:b/>
                <w:bCs/>
                <w:sz w:val="24"/>
              </w:rPr>
              <w:t>标准</w:t>
            </w:r>
          </w:p>
          <w:p>
            <w:pPr>
              <w:keepNext w:val="0"/>
              <w:keepLines w:val="0"/>
              <w:pageBreakBefore w:val="0"/>
              <w:widowControl/>
              <w:numPr>
                <w:ilvl w:val="0"/>
                <w:numId w:val="0"/>
              </w:numPr>
              <w:kinsoku/>
              <w:wordWrap/>
              <w:overflowPunct/>
              <w:topLinePunct w:val="0"/>
              <w:autoSpaceDE/>
              <w:autoSpaceDN/>
              <w:bidi w:val="0"/>
              <w:spacing w:line="520" w:lineRule="exact"/>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1.1废气</w:t>
            </w:r>
          </w:p>
          <w:p>
            <w:pPr>
              <w:pStyle w:val="68"/>
              <w:bidi w:val="0"/>
              <w:rPr>
                <w:rFonts w:hint="eastAsia"/>
                <w:lang w:val="en-US" w:eastAsia="zh-CN"/>
              </w:rPr>
            </w:pPr>
            <w:r>
              <w:rPr>
                <w:rFonts w:hint="default"/>
                <w:lang w:val="en-US" w:eastAsia="zh-CN"/>
              </w:rPr>
              <w:t>施工期扬尘执行《大气污染物综合排放标准》（GB16297—1996）颗粒物厂区周边浓度限值</w:t>
            </w:r>
            <w:r>
              <w:rPr>
                <w:rFonts w:hint="eastAsia"/>
                <w:lang w:val="en-US" w:eastAsia="zh-CN"/>
              </w:rPr>
              <w:t>，排放标准详见下表。</w:t>
            </w:r>
          </w:p>
          <w:p>
            <w:pPr>
              <w:pStyle w:val="65"/>
              <w:bidi w:val="0"/>
              <w:rPr>
                <w:rFonts w:hint="eastAsia"/>
                <w:lang w:val="en-US" w:eastAsia="zh-CN"/>
              </w:rPr>
            </w:pPr>
            <w:r>
              <w:rPr>
                <w:rFonts w:hint="eastAsia"/>
                <w:lang w:val="en-US" w:eastAsia="zh-CN"/>
              </w:rPr>
              <w:t>表3-4    施工期无组织废气执行标准</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117"/>
              <w:gridCol w:w="5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60" w:type="pct"/>
                  <w:noWrap w:val="0"/>
                  <w:vAlign w:val="center"/>
                </w:tcPr>
                <w:p>
                  <w:pPr>
                    <w:pStyle w:val="66"/>
                    <w:bidi w:val="0"/>
                    <w:rPr>
                      <w:rFonts w:hint="eastAsia"/>
                      <w:lang w:val="en-US" w:eastAsia="zh-CN"/>
                    </w:rPr>
                  </w:pPr>
                  <w:r>
                    <w:rPr>
                      <w:rFonts w:hint="eastAsia"/>
                      <w:lang w:val="en-US" w:eastAsia="zh-CN"/>
                    </w:rPr>
                    <w:t>污染物</w:t>
                  </w:r>
                </w:p>
              </w:tc>
              <w:tc>
                <w:tcPr>
                  <w:tcW w:w="687" w:type="pct"/>
                  <w:noWrap w:val="0"/>
                  <w:vAlign w:val="center"/>
                </w:tcPr>
                <w:p>
                  <w:pPr>
                    <w:pStyle w:val="66"/>
                    <w:bidi w:val="0"/>
                    <w:rPr>
                      <w:rFonts w:hint="eastAsia"/>
                      <w:lang w:val="en-US" w:eastAsia="zh-CN"/>
                    </w:rPr>
                  </w:pPr>
                  <w:r>
                    <w:rPr>
                      <w:rFonts w:hint="default"/>
                      <w:lang w:val="en-US" w:eastAsia="zh-CN"/>
                    </w:rPr>
                    <w:t>限值</w:t>
                  </w:r>
                </w:p>
              </w:tc>
              <w:tc>
                <w:tcPr>
                  <w:tcW w:w="3651" w:type="pct"/>
                  <w:noWrap w:val="0"/>
                  <w:vAlign w:val="center"/>
                </w:tcPr>
                <w:p>
                  <w:pPr>
                    <w:pStyle w:val="66"/>
                    <w:bidi w:val="0"/>
                    <w:rPr>
                      <w:rFonts w:hint="eastAsia"/>
                      <w:lang w:val="en-US" w:eastAsia="zh-CN"/>
                    </w:rPr>
                  </w:pPr>
                  <w:r>
                    <w:rPr>
                      <w:rFonts w:hint="default"/>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noWrap w:val="0"/>
                  <w:vAlign w:val="center"/>
                </w:tcPr>
                <w:p>
                  <w:pPr>
                    <w:pStyle w:val="66"/>
                    <w:bidi w:val="0"/>
                    <w:rPr>
                      <w:rFonts w:hint="eastAsia"/>
                      <w:lang w:val="en-US" w:eastAsia="zh-CN"/>
                    </w:rPr>
                  </w:pPr>
                  <w:r>
                    <w:rPr>
                      <w:rFonts w:hint="default"/>
                      <w:lang w:val="en-US" w:eastAsia="zh-CN"/>
                    </w:rPr>
                    <w:t>颗粒物</w:t>
                  </w:r>
                </w:p>
              </w:tc>
              <w:tc>
                <w:tcPr>
                  <w:tcW w:w="687" w:type="pct"/>
                  <w:noWrap w:val="0"/>
                  <w:vAlign w:val="center"/>
                </w:tcPr>
                <w:p>
                  <w:pPr>
                    <w:pStyle w:val="66"/>
                    <w:bidi w:val="0"/>
                    <w:rPr>
                      <w:rFonts w:hint="eastAsia"/>
                      <w:lang w:val="en-US" w:eastAsia="zh-CN"/>
                    </w:rPr>
                  </w:pPr>
                  <w:r>
                    <w:rPr>
                      <w:rFonts w:hint="default"/>
                      <w:lang w:val="en-US" w:eastAsia="zh-CN"/>
                    </w:rPr>
                    <w:t>1mg/m</w:t>
                  </w:r>
                  <w:r>
                    <w:rPr>
                      <w:rFonts w:hint="default"/>
                      <w:vertAlign w:val="superscript"/>
                      <w:lang w:val="en-US" w:eastAsia="zh-CN"/>
                    </w:rPr>
                    <w:t>3</w:t>
                  </w:r>
                </w:p>
              </w:tc>
              <w:tc>
                <w:tcPr>
                  <w:tcW w:w="3651" w:type="pct"/>
                  <w:noWrap w:val="0"/>
                  <w:vAlign w:val="center"/>
                </w:tcPr>
                <w:p>
                  <w:pPr>
                    <w:pStyle w:val="66"/>
                    <w:bidi w:val="0"/>
                    <w:rPr>
                      <w:rFonts w:hint="eastAsia"/>
                      <w:lang w:val="en-US" w:eastAsia="zh-CN"/>
                    </w:rPr>
                  </w:pPr>
                  <w:r>
                    <w:rPr>
                      <w:rFonts w:hint="default"/>
                      <w:lang w:val="en-US" w:eastAsia="zh-CN"/>
                    </w:rPr>
                    <w:t>《大气污染物综合排放标准》（GB16297-1996）</w:t>
                  </w:r>
                </w:p>
              </w:tc>
            </w:tr>
          </w:tbl>
          <w:p>
            <w:pPr>
              <w:pStyle w:val="74"/>
              <w:bidi w:val="0"/>
              <w:rPr>
                <w:rFonts w:hint="default"/>
                <w:lang w:val="en-US" w:eastAsia="zh-CN"/>
              </w:rPr>
            </w:pPr>
            <w:r>
              <w:rPr>
                <w:rFonts w:hint="eastAsia"/>
                <w:lang w:val="en-US" w:eastAsia="zh-CN"/>
              </w:rPr>
              <w:t>1.2噪声</w:t>
            </w:r>
          </w:p>
          <w:p>
            <w:pPr>
              <w:pStyle w:val="68"/>
              <w:bidi w:val="0"/>
              <w:rPr>
                <w:rFonts w:hint="eastAsia"/>
                <w:lang w:val="en-US" w:eastAsia="zh-CN"/>
              </w:rPr>
            </w:pPr>
            <w:r>
              <w:rPr>
                <w:rFonts w:hint="eastAsia"/>
                <w:lang w:val="en-US" w:eastAsia="zh-CN"/>
              </w:rPr>
              <w:t>施工噪声执行《建筑施工场界环境噪声排放标准》（GB12523—2011）昼间：70dB（A）；夜间：55dB（A）。</w:t>
            </w:r>
          </w:p>
          <w:p>
            <w:pPr>
              <w:pStyle w:val="75"/>
              <w:bidi w:val="0"/>
              <w:rPr>
                <w:rFonts w:hint="default"/>
                <w:lang w:val="en-US" w:eastAsia="zh-CN"/>
              </w:rPr>
            </w:pPr>
            <w:r>
              <w:rPr>
                <w:rFonts w:hint="eastAsia"/>
                <w:lang w:val="en-US" w:eastAsia="zh-CN"/>
              </w:rPr>
              <w:t>1.3固废</w:t>
            </w:r>
          </w:p>
          <w:p>
            <w:pPr>
              <w:pStyle w:val="68"/>
              <w:bidi w:val="0"/>
              <w:rPr>
                <w:rFonts w:hint="eastAsia"/>
                <w:lang w:val="en-US" w:eastAsia="zh-CN"/>
              </w:rPr>
            </w:pPr>
            <w:r>
              <w:rPr>
                <w:rFonts w:hint="default"/>
                <w:lang w:val="en-US" w:eastAsia="zh-CN"/>
              </w:rPr>
              <w:t>本项目</w:t>
            </w:r>
            <w:r>
              <w:rPr>
                <w:rFonts w:hint="eastAsia"/>
                <w:lang w:val="en-US" w:eastAsia="zh-CN"/>
              </w:rPr>
              <w:t>施工期</w:t>
            </w:r>
            <w:r>
              <w:rPr>
                <w:rFonts w:hint="default"/>
                <w:lang w:val="en-US" w:eastAsia="zh-CN"/>
              </w:rPr>
              <w:t>固废执行</w:t>
            </w:r>
            <w:r>
              <w:rPr>
                <w:rFonts w:hint="eastAsia"/>
                <w:lang w:val="en-US" w:eastAsia="zh-CN"/>
              </w:rPr>
              <w:t>《中华人民共和国固体废物污染环境防治法》（2020年9月1日起施行）。</w:t>
            </w:r>
          </w:p>
          <w:p>
            <w:pPr>
              <w:keepNext w:val="0"/>
              <w:keepLines w:val="0"/>
              <w:pageBreakBefore w:val="0"/>
              <w:widowControl/>
              <w:numPr>
                <w:ilvl w:val="0"/>
                <w:numId w:val="0"/>
              </w:numPr>
              <w:kinsoku/>
              <w:wordWrap w:val="0"/>
              <w:overflowPunct/>
              <w:topLinePunct w:val="0"/>
              <w:autoSpaceDE/>
              <w:autoSpaceDN/>
              <w:bidi w:val="0"/>
              <w:adjustRightInd/>
              <w:snapToGrid/>
              <w:spacing w:line="520" w:lineRule="exact"/>
              <w:jc w:val="left"/>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szCs w:val="24"/>
                <w:lang w:val="en-US" w:eastAsia="zh-CN"/>
              </w:rPr>
              <w:t>2.运营期</w:t>
            </w:r>
            <w:r>
              <w:rPr>
                <w:rFonts w:hint="default" w:ascii="Times New Roman" w:hAnsi="Times New Roman" w:eastAsia="宋体" w:cs="Times New Roman"/>
                <w:b/>
                <w:bCs/>
                <w:sz w:val="24"/>
              </w:rPr>
              <w:t>污染物排放</w:t>
            </w:r>
            <w:r>
              <w:rPr>
                <w:rFonts w:hint="default" w:ascii="Times New Roman" w:hAnsi="Times New Roman" w:eastAsia="宋体" w:cs="Times New Roman"/>
                <w:b/>
                <w:bCs/>
                <w:sz w:val="24"/>
                <w:lang w:val="en-US" w:eastAsia="zh-CN"/>
              </w:rPr>
              <w:t>控制</w:t>
            </w:r>
            <w:r>
              <w:rPr>
                <w:rFonts w:hint="default" w:ascii="Times New Roman" w:hAnsi="Times New Roman" w:eastAsia="宋体" w:cs="Times New Roman"/>
                <w:b/>
                <w:bCs/>
                <w:sz w:val="24"/>
              </w:rPr>
              <w:t>标准</w:t>
            </w:r>
          </w:p>
          <w:p>
            <w:pPr>
              <w:keepNext w:val="0"/>
              <w:keepLines w:val="0"/>
              <w:pageBreakBefore w:val="0"/>
              <w:widowControl/>
              <w:numPr>
                <w:ilvl w:val="0"/>
                <w:numId w:val="0"/>
              </w:numPr>
              <w:kinsoku/>
              <w:wordWrap w:val="0"/>
              <w:overflowPunct/>
              <w:topLinePunct w:val="0"/>
              <w:autoSpaceDE/>
              <w:autoSpaceDN/>
              <w:bidi w:val="0"/>
              <w:adjustRightInd/>
              <w:snapToGrid/>
              <w:spacing w:line="520" w:lineRule="exact"/>
              <w:jc w:val="left"/>
              <w:textAlignment w:val="auto"/>
              <w:rPr>
                <w:rFonts w:hint="default" w:ascii="Times New Roman" w:hAnsi="Times New Roman" w:eastAsia="宋体" w:cs="Times New Roman"/>
                <w:b/>
                <w:bCs/>
                <w:sz w:val="24"/>
                <w:lang w:val="en-US" w:eastAsia="zh-CN"/>
              </w:rPr>
            </w:pPr>
            <w:r>
              <w:rPr>
                <w:rFonts w:hint="default" w:ascii="Times New Roman" w:hAnsi="Times New Roman" w:cs="Times New Roman"/>
                <w:b/>
                <w:bCs/>
                <w:sz w:val="24"/>
                <w:szCs w:val="24"/>
                <w:lang w:val="en-US" w:eastAsia="zh-CN"/>
              </w:rPr>
              <w:t>2</w:t>
            </w:r>
            <w:r>
              <w:rPr>
                <w:rFonts w:hint="default" w:ascii="Times New Roman" w:hAnsi="Times New Roman" w:eastAsia="宋体" w:cs="Times New Roman"/>
                <w:b/>
                <w:bCs/>
                <w:sz w:val="24"/>
                <w:szCs w:val="24"/>
                <w:lang w:val="en-US" w:eastAsia="zh-CN"/>
              </w:rPr>
              <w:t>.1废气</w:t>
            </w:r>
          </w:p>
          <w:p>
            <w:pPr>
              <w:pStyle w:val="68"/>
              <w:bidi w:val="0"/>
              <w:rPr>
                <w:rFonts w:hint="default"/>
              </w:rPr>
            </w:pPr>
            <w:r>
              <w:rPr>
                <w:rFonts w:hint="eastAsia"/>
                <w:lang w:val="en-US" w:eastAsia="zh-CN"/>
              </w:rPr>
              <w:t>颗</w:t>
            </w:r>
            <w:r>
              <w:rPr>
                <w:rFonts w:hint="default"/>
                <w:lang w:val="en-US" w:eastAsia="zh-CN"/>
              </w:rPr>
              <w:t>粒物执行《</w:t>
            </w:r>
            <w:r>
              <w:rPr>
                <w:rFonts w:hint="eastAsia"/>
                <w:lang w:val="en-US" w:eastAsia="zh-CN"/>
              </w:rPr>
              <w:t>大气污染物综合</w:t>
            </w:r>
            <w:r>
              <w:rPr>
                <w:rFonts w:hint="default"/>
                <w:lang w:val="en-US" w:eastAsia="zh-CN"/>
              </w:rPr>
              <w:t>排放标准》（</w:t>
            </w:r>
            <w:r>
              <w:rPr>
                <w:rFonts w:hint="eastAsia"/>
                <w:lang w:val="en-US" w:eastAsia="zh-CN"/>
              </w:rPr>
              <w:t>GB16297-1996</w:t>
            </w:r>
            <w:r>
              <w:rPr>
                <w:rFonts w:hint="default"/>
                <w:lang w:val="en-US" w:eastAsia="zh-CN"/>
              </w:rPr>
              <w:t>）</w:t>
            </w:r>
            <w:r>
              <w:rPr>
                <w:rFonts w:hint="eastAsia"/>
                <w:lang w:val="en-US" w:eastAsia="zh-CN"/>
              </w:rPr>
              <w:t>表2新污染源大气污染物</w:t>
            </w:r>
            <w:r>
              <w:rPr>
                <w:rFonts w:hint="default"/>
                <w:lang w:val="en-US" w:eastAsia="zh-CN"/>
              </w:rPr>
              <w:t>排放限值。</w:t>
            </w:r>
          </w:p>
          <w:p>
            <w:pPr>
              <w:pStyle w:val="65"/>
              <w:bidi w:val="0"/>
              <w:rPr>
                <w:rFonts w:hint="eastAsia"/>
                <w:lang w:val="en-US" w:eastAsia="zh-CN"/>
              </w:rPr>
            </w:pPr>
            <w:r>
              <w:rPr>
                <w:rFonts w:hint="eastAsia"/>
                <w:lang w:val="en-US" w:eastAsia="zh-CN"/>
              </w:rPr>
              <w:t>表3-5    运营期大气污染执行标准</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809"/>
              <w:gridCol w:w="1091"/>
              <w:gridCol w:w="1425"/>
              <w:gridCol w:w="1186"/>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vAlign w:val="center"/>
                </w:tcPr>
                <w:p>
                  <w:pPr>
                    <w:pStyle w:val="66"/>
                    <w:bidi w:val="0"/>
                    <w:jc w:val="center"/>
                    <w:rPr>
                      <w:rFonts w:hint="default"/>
                      <w:lang w:val="en-US" w:eastAsia="zh-CN"/>
                    </w:rPr>
                  </w:pPr>
                  <w:r>
                    <w:rPr>
                      <w:rFonts w:hint="eastAsia"/>
                      <w:lang w:val="en-US" w:eastAsia="zh-CN"/>
                    </w:rPr>
                    <w:t>排放形式</w:t>
                  </w:r>
                </w:p>
              </w:tc>
              <w:tc>
                <w:tcPr>
                  <w:tcW w:w="1112" w:type="pct"/>
                  <w:vAlign w:val="center"/>
                </w:tcPr>
                <w:p>
                  <w:pPr>
                    <w:pStyle w:val="66"/>
                    <w:bidi w:val="0"/>
                    <w:jc w:val="center"/>
                    <w:rPr>
                      <w:rFonts w:hint="eastAsia"/>
                      <w:lang w:val="en-US" w:eastAsia="zh-CN"/>
                    </w:rPr>
                  </w:pPr>
                  <w:r>
                    <w:rPr>
                      <w:rFonts w:hint="eastAsia"/>
                      <w:lang w:val="en-US" w:eastAsia="zh-CN"/>
                    </w:rPr>
                    <w:t>污染源</w:t>
                  </w:r>
                </w:p>
              </w:tc>
              <w:tc>
                <w:tcPr>
                  <w:tcW w:w="671" w:type="pct"/>
                  <w:vAlign w:val="center"/>
                </w:tcPr>
                <w:p>
                  <w:pPr>
                    <w:pStyle w:val="66"/>
                    <w:bidi w:val="0"/>
                    <w:jc w:val="center"/>
                    <w:rPr>
                      <w:rFonts w:hint="default"/>
                      <w:lang w:val="en-US" w:eastAsia="zh-CN"/>
                    </w:rPr>
                  </w:pPr>
                  <w:r>
                    <w:rPr>
                      <w:rFonts w:hint="eastAsia"/>
                      <w:lang w:val="en-US" w:eastAsia="zh-CN"/>
                    </w:rPr>
                    <w:t>污染物项目</w:t>
                  </w:r>
                </w:p>
              </w:tc>
              <w:tc>
                <w:tcPr>
                  <w:tcW w:w="876" w:type="pct"/>
                  <w:vAlign w:val="center"/>
                </w:tcPr>
                <w:p>
                  <w:pPr>
                    <w:pStyle w:val="66"/>
                    <w:bidi w:val="0"/>
                    <w:jc w:val="center"/>
                    <w:rPr>
                      <w:rFonts w:hint="default"/>
                      <w:lang w:val="en-US" w:eastAsia="zh-CN"/>
                    </w:rPr>
                  </w:pPr>
                  <w:r>
                    <w:rPr>
                      <w:rFonts w:hint="eastAsia"/>
                      <w:lang w:val="en-US" w:eastAsia="zh-CN"/>
                    </w:rPr>
                    <w:t>排放限值（mg/m</w:t>
                  </w:r>
                  <w:r>
                    <w:rPr>
                      <w:rFonts w:hint="eastAsia"/>
                      <w:vertAlign w:val="superscript"/>
                      <w:lang w:val="en-US" w:eastAsia="zh-CN"/>
                    </w:rPr>
                    <w:t>3</w:t>
                  </w:r>
                  <w:r>
                    <w:rPr>
                      <w:rFonts w:hint="eastAsia"/>
                      <w:lang w:val="en-US" w:eastAsia="zh-CN"/>
                    </w:rPr>
                    <w:t>）</w:t>
                  </w:r>
                </w:p>
              </w:tc>
              <w:tc>
                <w:tcPr>
                  <w:tcW w:w="729" w:type="pct"/>
                  <w:vAlign w:val="center"/>
                </w:tcPr>
                <w:p>
                  <w:pPr>
                    <w:pStyle w:val="66"/>
                    <w:bidi w:val="0"/>
                    <w:jc w:val="center"/>
                    <w:rPr>
                      <w:rFonts w:hint="default"/>
                      <w:lang w:val="en-US" w:eastAsia="zh-CN"/>
                    </w:rPr>
                  </w:pPr>
                  <w:r>
                    <w:rPr>
                      <w:rFonts w:hint="eastAsia"/>
                      <w:lang w:val="en-US" w:eastAsia="zh-CN"/>
                    </w:rPr>
                    <w:t>排放速率（kg/h）</w:t>
                  </w:r>
                </w:p>
              </w:tc>
              <w:tc>
                <w:tcPr>
                  <w:tcW w:w="1072" w:type="pct"/>
                  <w:vAlign w:val="center"/>
                </w:tcPr>
                <w:p>
                  <w:pPr>
                    <w:pStyle w:val="66"/>
                    <w:bidi w:val="0"/>
                    <w:jc w:val="center"/>
                    <w:rPr>
                      <w:rFonts w:hint="default"/>
                      <w:lang w:val="en-US" w:eastAsia="zh-CN"/>
                    </w:rPr>
                  </w:pPr>
                  <w:r>
                    <w:rPr>
                      <w:rFonts w:hint="eastAsia"/>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37" w:type="pct"/>
                  <w:vAlign w:val="center"/>
                </w:tcPr>
                <w:p>
                  <w:pPr>
                    <w:pStyle w:val="66"/>
                    <w:bidi w:val="0"/>
                    <w:jc w:val="center"/>
                    <w:rPr>
                      <w:rFonts w:hint="eastAsia" w:ascii="Times New Roman" w:hAnsi="Times New Roman" w:eastAsia="宋体" w:cs="宋体"/>
                      <w:kern w:val="0"/>
                      <w:sz w:val="21"/>
                      <w:szCs w:val="21"/>
                      <w:lang w:val="en-US" w:eastAsia="zh-CN" w:bidi="ar-SA"/>
                    </w:rPr>
                  </w:pPr>
                  <w:r>
                    <w:rPr>
                      <w:rFonts w:hint="eastAsia"/>
                      <w:lang w:val="en-US" w:eastAsia="zh-CN"/>
                    </w:rPr>
                    <w:t>有组织</w:t>
                  </w:r>
                </w:p>
              </w:tc>
              <w:tc>
                <w:tcPr>
                  <w:tcW w:w="1112" w:type="pct"/>
                  <w:vAlign w:val="center"/>
                </w:tcPr>
                <w:p>
                  <w:pPr>
                    <w:pStyle w:val="66"/>
                    <w:bidi w:val="0"/>
                    <w:jc w:val="center"/>
                    <w:rPr>
                      <w:rFonts w:hint="default"/>
                      <w:lang w:val="en-US" w:eastAsia="zh-CN"/>
                    </w:rPr>
                  </w:pPr>
                  <w:r>
                    <w:rPr>
                      <w:rFonts w:hint="eastAsia"/>
                      <w:lang w:val="en-US" w:eastAsia="zh-CN"/>
                    </w:rPr>
                    <w:t>一级破碎、二级破碎、筛分、三级破碎工序</w:t>
                  </w:r>
                </w:p>
              </w:tc>
              <w:tc>
                <w:tcPr>
                  <w:tcW w:w="671" w:type="pct"/>
                  <w:vAlign w:val="center"/>
                </w:tcPr>
                <w:p>
                  <w:pPr>
                    <w:pStyle w:val="66"/>
                    <w:bidi w:val="0"/>
                    <w:jc w:val="center"/>
                    <w:rPr>
                      <w:rFonts w:hint="default"/>
                      <w:lang w:val="en-US" w:eastAsia="zh-CN"/>
                    </w:rPr>
                  </w:pPr>
                  <w:r>
                    <w:rPr>
                      <w:rFonts w:hint="eastAsia"/>
                      <w:lang w:val="en-US" w:eastAsia="zh-CN"/>
                    </w:rPr>
                    <w:t>颗粒物</w:t>
                  </w:r>
                </w:p>
              </w:tc>
              <w:tc>
                <w:tcPr>
                  <w:tcW w:w="876" w:type="pct"/>
                  <w:vAlign w:val="center"/>
                </w:tcPr>
                <w:p>
                  <w:pPr>
                    <w:pStyle w:val="66"/>
                    <w:bidi w:val="0"/>
                    <w:jc w:val="center"/>
                    <w:rPr>
                      <w:rFonts w:hint="default"/>
                      <w:lang w:val="en-US" w:eastAsia="zh-CN"/>
                    </w:rPr>
                  </w:pPr>
                  <w:r>
                    <w:rPr>
                      <w:rFonts w:hint="eastAsia"/>
                      <w:lang w:val="en-US" w:eastAsia="zh-CN"/>
                    </w:rPr>
                    <w:t>120</w:t>
                  </w:r>
                </w:p>
              </w:tc>
              <w:tc>
                <w:tcPr>
                  <w:tcW w:w="729" w:type="pct"/>
                  <w:vAlign w:val="center"/>
                </w:tcPr>
                <w:p>
                  <w:pPr>
                    <w:pStyle w:val="66"/>
                    <w:bidi w:val="0"/>
                    <w:jc w:val="center"/>
                    <w:rPr>
                      <w:rFonts w:hint="default"/>
                      <w:lang w:val="en-US" w:eastAsia="zh-CN"/>
                    </w:rPr>
                  </w:pPr>
                  <w:r>
                    <w:rPr>
                      <w:rFonts w:hint="eastAsia"/>
                      <w:lang w:val="en-US" w:eastAsia="zh-CN"/>
                    </w:rPr>
                    <w:t>3.5</w:t>
                  </w:r>
                </w:p>
              </w:tc>
              <w:tc>
                <w:tcPr>
                  <w:tcW w:w="1072" w:type="pct"/>
                  <w:vMerge w:val="restart"/>
                  <w:vAlign w:val="center"/>
                </w:tcPr>
                <w:p>
                  <w:pPr>
                    <w:pStyle w:val="66"/>
                    <w:keepNext w:val="0"/>
                    <w:keepLines w:val="0"/>
                    <w:pageBreakBefore w:val="0"/>
                    <w:widowControl w:val="0"/>
                    <w:kinsoku/>
                    <w:wordWrap w:val="0"/>
                    <w:overflowPunct/>
                    <w:topLinePunct w:val="0"/>
                    <w:autoSpaceDE/>
                    <w:autoSpaceDN/>
                    <w:bidi w:val="0"/>
                    <w:adjustRightInd/>
                    <w:snapToGrid/>
                    <w:jc w:val="center"/>
                    <w:textAlignment w:val="auto"/>
                    <w:rPr>
                      <w:rFonts w:hint="eastAsia"/>
                      <w:lang w:val="en-US" w:eastAsia="zh-CN"/>
                    </w:rPr>
                  </w:pPr>
                  <w:r>
                    <w:rPr>
                      <w:rFonts w:hint="default"/>
                      <w:lang w:val="en-US" w:eastAsia="zh-CN"/>
                    </w:rPr>
                    <w:t>《</w:t>
                  </w:r>
                  <w:r>
                    <w:rPr>
                      <w:rFonts w:hint="eastAsia"/>
                      <w:lang w:val="en-US" w:eastAsia="zh-CN"/>
                    </w:rPr>
                    <w:t>大气污染物综合</w:t>
                  </w:r>
                  <w:r>
                    <w:rPr>
                      <w:rFonts w:hint="default"/>
                      <w:lang w:val="en-US" w:eastAsia="zh-CN"/>
                    </w:rPr>
                    <w:t>排放标准》（</w:t>
                  </w:r>
                  <w:r>
                    <w:rPr>
                      <w:rFonts w:hint="eastAsia"/>
                      <w:lang w:val="en-US" w:eastAsia="zh-CN"/>
                    </w:rPr>
                    <w:t>GB16297-1996</w:t>
                  </w:r>
                  <w:r>
                    <w:rPr>
                      <w:rFonts w:hint="default"/>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shd w:val="clear" w:color="auto" w:fill="auto"/>
                  <w:vAlign w:val="center"/>
                </w:tcPr>
                <w:p>
                  <w:pPr>
                    <w:pStyle w:val="66"/>
                    <w:bidi w:val="0"/>
                    <w:jc w:val="center"/>
                    <w:rPr>
                      <w:rFonts w:hint="eastAsia" w:ascii="Times New Roman" w:hAnsi="Times New Roman" w:eastAsia="宋体" w:cs="宋体"/>
                      <w:kern w:val="0"/>
                      <w:sz w:val="21"/>
                      <w:szCs w:val="21"/>
                      <w:lang w:val="en-US" w:eastAsia="zh-CN" w:bidi="ar-SA"/>
                    </w:rPr>
                  </w:pPr>
                  <w:r>
                    <w:rPr>
                      <w:rFonts w:hint="eastAsia"/>
                      <w:lang w:val="en-US" w:eastAsia="zh-CN"/>
                    </w:rPr>
                    <w:t>无组织</w:t>
                  </w:r>
                </w:p>
              </w:tc>
              <w:tc>
                <w:tcPr>
                  <w:tcW w:w="1112" w:type="pct"/>
                  <w:shd w:val="clear" w:color="auto" w:fill="auto"/>
                  <w:vAlign w:val="center"/>
                </w:tcPr>
                <w:p>
                  <w:pPr>
                    <w:pStyle w:val="66"/>
                    <w:bidi w:val="0"/>
                    <w:jc w:val="center"/>
                    <w:rPr>
                      <w:rFonts w:hint="eastAsia" w:ascii="Times New Roman" w:hAnsi="Times New Roman" w:eastAsia="宋体" w:cs="宋体"/>
                      <w:kern w:val="0"/>
                      <w:sz w:val="21"/>
                      <w:szCs w:val="21"/>
                      <w:lang w:val="en-US" w:eastAsia="zh-CN" w:bidi="ar-SA"/>
                    </w:rPr>
                  </w:pPr>
                  <w:r>
                    <w:rPr>
                      <w:rFonts w:hint="eastAsia"/>
                      <w:lang w:val="en-US" w:eastAsia="zh-CN"/>
                    </w:rPr>
                    <w:t>厂界</w:t>
                  </w:r>
                </w:p>
              </w:tc>
              <w:tc>
                <w:tcPr>
                  <w:tcW w:w="671" w:type="pct"/>
                  <w:shd w:val="clear" w:color="auto" w:fill="auto"/>
                  <w:vAlign w:val="center"/>
                </w:tcPr>
                <w:p>
                  <w:pPr>
                    <w:pStyle w:val="66"/>
                    <w:bidi w:val="0"/>
                    <w:jc w:val="center"/>
                    <w:rPr>
                      <w:rFonts w:hint="eastAsia" w:ascii="Times New Roman" w:hAnsi="Times New Roman" w:eastAsia="宋体" w:cs="宋体"/>
                      <w:kern w:val="0"/>
                      <w:sz w:val="21"/>
                      <w:szCs w:val="21"/>
                      <w:lang w:val="en-US" w:eastAsia="zh-CN" w:bidi="ar-SA"/>
                    </w:rPr>
                  </w:pPr>
                  <w:r>
                    <w:rPr>
                      <w:rFonts w:hint="eastAsia"/>
                      <w:lang w:val="en-US" w:eastAsia="zh-CN"/>
                    </w:rPr>
                    <w:t>颗粒物</w:t>
                  </w:r>
                </w:p>
              </w:tc>
              <w:tc>
                <w:tcPr>
                  <w:tcW w:w="876" w:type="pct"/>
                  <w:vAlign w:val="center"/>
                </w:tcPr>
                <w:p>
                  <w:pPr>
                    <w:pStyle w:val="66"/>
                    <w:bidi w:val="0"/>
                    <w:jc w:val="center"/>
                    <w:rPr>
                      <w:rFonts w:hint="default"/>
                      <w:lang w:val="en-US" w:eastAsia="zh-CN"/>
                    </w:rPr>
                  </w:pPr>
                  <w:r>
                    <w:rPr>
                      <w:rFonts w:hint="eastAsia"/>
                      <w:lang w:val="en-US" w:eastAsia="zh-CN"/>
                    </w:rPr>
                    <w:t>1</w:t>
                  </w:r>
                </w:p>
              </w:tc>
              <w:tc>
                <w:tcPr>
                  <w:tcW w:w="729" w:type="pct"/>
                  <w:vAlign w:val="center"/>
                </w:tcPr>
                <w:p>
                  <w:pPr>
                    <w:pStyle w:val="66"/>
                    <w:bidi w:val="0"/>
                    <w:jc w:val="center"/>
                    <w:rPr>
                      <w:rFonts w:hint="default"/>
                      <w:lang w:val="en-US" w:eastAsia="zh-CN"/>
                    </w:rPr>
                  </w:pPr>
                  <w:r>
                    <w:rPr>
                      <w:rFonts w:hint="eastAsia"/>
                      <w:lang w:val="en-US" w:eastAsia="zh-CN"/>
                    </w:rPr>
                    <w:t>/</w:t>
                  </w:r>
                </w:p>
              </w:tc>
              <w:tc>
                <w:tcPr>
                  <w:tcW w:w="1072" w:type="pct"/>
                  <w:vMerge w:val="continue"/>
                  <w:vAlign w:val="center"/>
                </w:tcPr>
                <w:p>
                  <w:pPr>
                    <w:pStyle w:val="66"/>
                    <w:keepNext w:val="0"/>
                    <w:keepLines w:val="0"/>
                    <w:pageBreakBefore w:val="0"/>
                    <w:widowControl w:val="0"/>
                    <w:kinsoku/>
                    <w:wordWrap w:val="0"/>
                    <w:overflowPunct/>
                    <w:topLinePunct w:val="0"/>
                    <w:autoSpaceDE/>
                    <w:autoSpaceDN/>
                    <w:bidi w:val="0"/>
                    <w:adjustRightInd/>
                    <w:snapToGrid/>
                    <w:jc w:val="center"/>
                    <w:textAlignment w:val="auto"/>
                    <w:rPr>
                      <w:rFonts w:hint="eastAsia"/>
                      <w:lang w:val="en-US" w:eastAsia="zh-CN"/>
                    </w:rPr>
                  </w:pPr>
                </w:p>
              </w:tc>
            </w:tr>
          </w:tbl>
          <w:p>
            <w:pPr>
              <w:pStyle w:val="67"/>
              <w:bidi w:val="0"/>
              <w:rPr>
                <w:rFonts w:hint="default"/>
                <w:lang w:val="en-US" w:eastAsia="zh-CN"/>
              </w:rPr>
            </w:pPr>
            <w:r>
              <w:rPr>
                <w:rFonts w:hint="default"/>
                <w:lang w:val="en-US" w:eastAsia="zh-CN"/>
              </w:rPr>
              <w:t>2.</w:t>
            </w:r>
            <w:r>
              <w:rPr>
                <w:rFonts w:hint="eastAsia"/>
                <w:lang w:val="en-US" w:eastAsia="zh-CN"/>
              </w:rPr>
              <w:t>2噪声</w:t>
            </w:r>
          </w:p>
          <w:p>
            <w:pPr>
              <w:pStyle w:val="68"/>
              <w:bidi w:val="0"/>
              <w:rPr>
                <w:rFonts w:hint="default"/>
                <w:lang w:val="en-US" w:eastAsia="zh-CN"/>
              </w:rPr>
            </w:pPr>
            <w:r>
              <w:rPr>
                <w:rFonts w:hint="default"/>
              </w:rPr>
              <w:t>运营期项目区厂界噪声执行满足《工业企业厂界环境噪声排放标准》（GB12348-2008）中3类标准</w:t>
            </w:r>
            <w:r>
              <w:rPr>
                <w:rFonts w:hint="eastAsia"/>
                <w:lang w:eastAsia="zh-CN"/>
              </w:rPr>
              <w:t>，</w:t>
            </w:r>
            <w:r>
              <w:rPr>
                <w:rFonts w:hint="default"/>
                <w:lang w:val="en-US" w:eastAsia="zh-CN"/>
              </w:rPr>
              <w:t>详见</w:t>
            </w:r>
            <w:r>
              <w:rPr>
                <w:rFonts w:hint="eastAsia"/>
                <w:lang w:val="en-US" w:eastAsia="zh-CN"/>
              </w:rPr>
              <w:t>下</w:t>
            </w:r>
            <w:r>
              <w:rPr>
                <w:rFonts w:hint="default"/>
                <w:lang w:val="en-US" w:eastAsia="zh-CN"/>
              </w:rPr>
              <w:t>表。</w:t>
            </w:r>
          </w:p>
          <w:p>
            <w:pPr>
              <w:pStyle w:val="73"/>
              <w:bidi w:val="0"/>
              <w:rPr>
                <w:rFonts w:hint="default"/>
              </w:rPr>
            </w:pPr>
            <w:r>
              <w:rPr>
                <w:rFonts w:hint="default"/>
              </w:rPr>
              <w:t>表</w:t>
            </w:r>
            <w:r>
              <w:rPr>
                <w:rFonts w:hint="default"/>
                <w:lang w:val="en-US" w:eastAsia="zh-CN"/>
              </w:rPr>
              <w:t>3-</w:t>
            </w:r>
            <w:r>
              <w:rPr>
                <w:rFonts w:hint="eastAsia"/>
                <w:lang w:val="en-US" w:eastAsia="zh-CN"/>
              </w:rPr>
              <w:t>6</w:t>
            </w:r>
            <w:r>
              <w:rPr>
                <w:rFonts w:hint="default"/>
                <w:lang w:val="en-US" w:eastAsia="zh-CN"/>
              </w:rPr>
              <w:t xml:space="preserve">  </w:t>
            </w:r>
            <w:r>
              <w:rPr>
                <w:rFonts w:hint="eastAsia"/>
                <w:lang w:val="en-US" w:eastAsia="zh-CN"/>
              </w:rPr>
              <w:t xml:space="preserve">  </w:t>
            </w:r>
            <w:r>
              <w:rPr>
                <w:rFonts w:hint="default"/>
              </w:rPr>
              <w:t>工业企业厂界环境噪声排放标准</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2854"/>
              <w:gridCol w:w="1758"/>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1" w:type="pct"/>
                  <w:noWrap w:val="0"/>
                  <w:vAlign w:val="center"/>
                </w:tcPr>
                <w:p>
                  <w:pPr>
                    <w:pStyle w:val="66"/>
                    <w:bidi w:val="0"/>
                    <w:rPr>
                      <w:rFonts w:hint="default"/>
                    </w:rPr>
                  </w:pPr>
                  <w:r>
                    <w:rPr>
                      <w:rFonts w:hint="default"/>
                    </w:rPr>
                    <w:t>类别</w:t>
                  </w:r>
                </w:p>
              </w:tc>
              <w:tc>
                <w:tcPr>
                  <w:tcW w:w="1755" w:type="pct"/>
                  <w:noWrap w:val="0"/>
                  <w:vAlign w:val="center"/>
                </w:tcPr>
                <w:p>
                  <w:pPr>
                    <w:pStyle w:val="66"/>
                    <w:bidi w:val="0"/>
                    <w:rPr>
                      <w:rFonts w:hint="default"/>
                    </w:rPr>
                  </w:pPr>
                  <w:r>
                    <w:rPr>
                      <w:rFonts w:hint="default"/>
                    </w:rPr>
                    <w:t>单位</w:t>
                  </w:r>
                </w:p>
              </w:tc>
              <w:tc>
                <w:tcPr>
                  <w:tcW w:w="1081" w:type="pct"/>
                  <w:noWrap w:val="0"/>
                  <w:vAlign w:val="center"/>
                </w:tcPr>
                <w:p>
                  <w:pPr>
                    <w:pStyle w:val="66"/>
                    <w:bidi w:val="0"/>
                    <w:rPr>
                      <w:rFonts w:hint="default"/>
                    </w:rPr>
                  </w:pPr>
                  <w:r>
                    <w:rPr>
                      <w:rFonts w:hint="default"/>
                    </w:rPr>
                    <w:t>昼间</w:t>
                  </w:r>
                </w:p>
              </w:tc>
              <w:tc>
                <w:tcPr>
                  <w:tcW w:w="1081" w:type="pct"/>
                  <w:noWrap w:val="0"/>
                  <w:vAlign w:val="center"/>
                </w:tcPr>
                <w:p>
                  <w:pPr>
                    <w:pStyle w:val="66"/>
                    <w:bidi w:val="0"/>
                    <w:rPr>
                      <w:rFonts w:hint="default"/>
                    </w:rPr>
                  </w:pPr>
                  <w:r>
                    <w:rPr>
                      <w:rFonts w:hint="default"/>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1" w:type="pct"/>
                  <w:noWrap w:val="0"/>
                  <w:vAlign w:val="center"/>
                </w:tcPr>
                <w:p>
                  <w:pPr>
                    <w:pStyle w:val="66"/>
                    <w:bidi w:val="0"/>
                    <w:rPr>
                      <w:rFonts w:hint="default"/>
                    </w:rPr>
                  </w:pPr>
                  <w:r>
                    <w:rPr>
                      <w:rFonts w:hint="default"/>
                    </w:rPr>
                    <w:t>3类</w:t>
                  </w:r>
                </w:p>
              </w:tc>
              <w:tc>
                <w:tcPr>
                  <w:tcW w:w="1755" w:type="pct"/>
                  <w:noWrap w:val="0"/>
                  <w:vAlign w:val="center"/>
                </w:tcPr>
                <w:p>
                  <w:pPr>
                    <w:pStyle w:val="66"/>
                    <w:bidi w:val="0"/>
                    <w:rPr>
                      <w:rFonts w:hint="default"/>
                    </w:rPr>
                  </w:pPr>
                  <w:r>
                    <w:rPr>
                      <w:rFonts w:hint="default"/>
                    </w:rPr>
                    <w:t>dB（A）</w:t>
                  </w:r>
                </w:p>
              </w:tc>
              <w:tc>
                <w:tcPr>
                  <w:tcW w:w="1081" w:type="pct"/>
                  <w:noWrap w:val="0"/>
                  <w:vAlign w:val="center"/>
                </w:tcPr>
                <w:p>
                  <w:pPr>
                    <w:pStyle w:val="66"/>
                    <w:bidi w:val="0"/>
                    <w:rPr>
                      <w:rFonts w:hint="default"/>
                    </w:rPr>
                  </w:pPr>
                  <w:r>
                    <w:rPr>
                      <w:rFonts w:hint="default"/>
                    </w:rPr>
                    <w:t>65</w:t>
                  </w:r>
                </w:p>
              </w:tc>
              <w:tc>
                <w:tcPr>
                  <w:tcW w:w="1081" w:type="pct"/>
                  <w:noWrap w:val="0"/>
                  <w:vAlign w:val="center"/>
                </w:tcPr>
                <w:p>
                  <w:pPr>
                    <w:pStyle w:val="66"/>
                    <w:bidi w:val="0"/>
                    <w:rPr>
                      <w:rFonts w:hint="default"/>
                    </w:rPr>
                  </w:pPr>
                  <w:r>
                    <w:rPr>
                      <w:rFonts w:hint="default"/>
                    </w:rPr>
                    <w:t>55</w:t>
                  </w:r>
                </w:p>
              </w:tc>
            </w:tr>
          </w:tbl>
          <w:p>
            <w:pPr>
              <w:pStyle w:val="81"/>
              <w:bidi w:val="0"/>
              <w:rPr>
                <w:rFonts w:hint="default"/>
                <w:lang w:val="en-US" w:eastAsia="zh-CN"/>
              </w:rPr>
            </w:pPr>
            <w:r>
              <w:rPr>
                <w:rFonts w:hint="eastAsia"/>
                <w:lang w:val="en-US" w:eastAsia="zh-CN"/>
              </w:rPr>
              <w:t>2.3废水</w:t>
            </w:r>
          </w:p>
          <w:p>
            <w:pPr>
              <w:pStyle w:val="68"/>
              <w:bidi w:val="0"/>
              <w:rPr>
                <w:rFonts w:hint="eastAsia"/>
                <w:lang w:val="en-US" w:eastAsia="zh-CN"/>
              </w:rPr>
            </w:pPr>
            <w:r>
              <w:rPr>
                <w:rFonts w:hint="eastAsia"/>
                <w:lang w:val="en-US" w:eastAsia="zh-CN"/>
              </w:rPr>
              <w:t>本项目生活污水排入园区管网，园区管网的接管标准为《污水综合排放标准》（GB8978-1996）表4中的三级排放标准，具体如下表。</w:t>
            </w:r>
          </w:p>
          <w:p>
            <w:pPr>
              <w:pStyle w:val="73"/>
              <w:bidi w:val="0"/>
              <w:rPr>
                <w:rFonts w:hint="default"/>
                <w:lang w:val="en-US" w:eastAsia="zh-CN"/>
              </w:rPr>
            </w:pPr>
            <w:r>
              <w:rPr>
                <w:rFonts w:hint="eastAsia"/>
                <w:lang w:val="en-US" w:eastAsia="zh-CN"/>
              </w:rPr>
              <w:t>表3-7     营运期废水执行标准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241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82"/>
                    <w:bidi w:val="0"/>
                    <w:rPr>
                      <w:rFonts w:hint="default"/>
                      <w:lang w:val="en-US" w:eastAsia="zh-CN"/>
                    </w:rPr>
                  </w:pPr>
                  <w:r>
                    <w:rPr>
                      <w:rFonts w:hint="eastAsia"/>
                      <w:lang w:val="en-US" w:eastAsia="zh-CN"/>
                    </w:rPr>
                    <w:t>污染物</w:t>
                  </w:r>
                </w:p>
              </w:tc>
              <w:tc>
                <w:tcPr>
                  <w:tcW w:w="2415" w:type="dxa"/>
                  <w:vAlign w:val="center"/>
                </w:tcPr>
                <w:p>
                  <w:pPr>
                    <w:pStyle w:val="82"/>
                    <w:bidi w:val="0"/>
                    <w:rPr>
                      <w:rFonts w:hint="default"/>
                      <w:lang w:val="en-US" w:eastAsia="zh-CN"/>
                    </w:rPr>
                  </w:pPr>
                  <w:r>
                    <w:rPr>
                      <w:rFonts w:hint="eastAsia"/>
                      <w:lang w:val="en-US" w:eastAsia="zh-CN"/>
                    </w:rPr>
                    <w:t>标准值（mg/L）</w:t>
                  </w:r>
                </w:p>
              </w:tc>
              <w:tc>
                <w:tcPr>
                  <w:tcW w:w="2369" w:type="dxa"/>
                  <w:vAlign w:val="center"/>
                </w:tcPr>
                <w:p>
                  <w:pPr>
                    <w:pStyle w:val="82"/>
                    <w:bidi w:val="0"/>
                    <w:rPr>
                      <w:rFonts w:hint="eastAsia"/>
                      <w:lang w:val="en-US" w:eastAsia="zh-CN"/>
                    </w:rPr>
                  </w:pPr>
                  <w:r>
                    <w:rPr>
                      <w:rFonts w:hint="eastAsia"/>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82"/>
                    <w:bidi w:val="0"/>
                    <w:rPr>
                      <w:rFonts w:hint="default"/>
                      <w:lang w:val="en-US" w:eastAsia="zh-CN"/>
                    </w:rPr>
                  </w:pPr>
                  <w:r>
                    <w:rPr>
                      <w:rFonts w:hint="eastAsia"/>
                      <w:lang w:val="en-US" w:eastAsia="zh-CN"/>
                    </w:rPr>
                    <w:t>pH值</w:t>
                  </w:r>
                </w:p>
              </w:tc>
              <w:tc>
                <w:tcPr>
                  <w:tcW w:w="2415" w:type="dxa"/>
                  <w:vAlign w:val="center"/>
                </w:tcPr>
                <w:p>
                  <w:pPr>
                    <w:pStyle w:val="82"/>
                    <w:bidi w:val="0"/>
                    <w:rPr>
                      <w:rFonts w:hint="default"/>
                      <w:lang w:val="en-US" w:eastAsia="zh-CN"/>
                    </w:rPr>
                  </w:pPr>
                  <w:r>
                    <w:rPr>
                      <w:rFonts w:hint="eastAsia"/>
                      <w:lang w:val="en-US" w:eastAsia="zh-CN"/>
                    </w:rPr>
                    <w:t>6-9</w:t>
                  </w:r>
                </w:p>
              </w:tc>
              <w:tc>
                <w:tcPr>
                  <w:tcW w:w="2369" w:type="dxa"/>
                  <w:vMerge w:val="restart"/>
                  <w:vAlign w:val="center"/>
                </w:tcPr>
                <w:p>
                  <w:pPr>
                    <w:pStyle w:val="82"/>
                    <w:bidi w:val="0"/>
                    <w:rPr>
                      <w:rFonts w:hint="eastAsia"/>
                      <w:lang w:val="en-US" w:eastAsia="zh-CN"/>
                    </w:rPr>
                  </w:pPr>
                  <w:r>
                    <w:rPr>
                      <w:rFonts w:hint="eastAsia"/>
                      <w:lang w:val="en-US" w:eastAsia="zh-CN"/>
                    </w:rPr>
                    <w:t>《污水综合排放标准》（GB8978-1996）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82"/>
                    <w:bidi w:val="0"/>
                    <w:rPr>
                      <w:rFonts w:hint="default"/>
                      <w:lang w:val="en-US" w:eastAsia="zh-CN"/>
                    </w:rPr>
                  </w:pPr>
                  <w:r>
                    <w:rPr>
                      <w:rFonts w:hint="eastAsia"/>
                      <w:lang w:val="en-US" w:eastAsia="zh-CN"/>
                    </w:rPr>
                    <w:t>悬浮物（SS）</w:t>
                  </w:r>
                </w:p>
              </w:tc>
              <w:tc>
                <w:tcPr>
                  <w:tcW w:w="2415" w:type="dxa"/>
                  <w:vAlign w:val="center"/>
                </w:tcPr>
                <w:p>
                  <w:pPr>
                    <w:pStyle w:val="82"/>
                    <w:bidi w:val="0"/>
                    <w:rPr>
                      <w:rFonts w:hint="default"/>
                      <w:lang w:val="en-US" w:eastAsia="zh-CN"/>
                    </w:rPr>
                  </w:pPr>
                  <w:r>
                    <w:rPr>
                      <w:rFonts w:hint="eastAsia"/>
                      <w:lang w:val="en-US" w:eastAsia="zh-CN"/>
                    </w:rPr>
                    <w:t>400</w:t>
                  </w:r>
                </w:p>
              </w:tc>
              <w:tc>
                <w:tcPr>
                  <w:tcW w:w="2369" w:type="dxa"/>
                  <w:vMerge w:val="continue"/>
                  <w:vAlign w:val="center"/>
                </w:tcPr>
                <w:p>
                  <w:pPr>
                    <w:pStyle w:val="82"/>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82"/>
                    <w:bidi w:val="0"/>
                    <w:rPr>
                      <w:rFonts w:hint="default"/>
                      <w:lang w:val="en-US" w:eastAsia="zh-CN"/>
                    </w:rPr>
                  </w:pPr>
                  <w:r>
                    <w:rPr>
                      <w:rFonts w:hint="eastAsia"/>
                      <w:lang w:val="en-US" w:eastAsia="zh-CN"/>
                    </w:rPr>
                    <w:t>五日生化需氧量（BOD</w:t>
                  </w:r>
                  <w:r>
                    <w:rPr>
                      <w:rFonts w:hint="eastAsia"/>
                      <w:vertAlign w:val="subscript"/>
                      <w:lang w:val="en-US" w:eastAsia="zh-CN"/>
                    </w:rPr>
                    <w:t>5</w:t>
                  </w:r>
                  <w:r>
                    <w:rPr>
                      <w:rFonts w:hint="eastAsia"/>
                      <w:lang w:val="en-US" w:eastAsia="zh-CN"/>
                    </w:rPr>
                    <w:t>）</w:t>
                  </w:r>
                </w:p>
              </w:tc>
              <w:tc>
                <w:tcPr>
                  <w:tcW w:w="2415" w:type="dxa"/>
                  <w:vAlign w:val="center"/>
                </w:tcPr>
                <w:p>
                  <w:pPr>
                    <w:pStyle w:val="82"/>
                    <w:bidi w:val="0"/>
                    <w:rPr>
                      <w:rFonts w:hint="default"/>
                      <w:lang w:val="en-US" w:eastAsia="zh-CN"/>
                    </w:rPr>
                  </w:pPr>
                  <w:r>
                    <w:rPr>
                      <w:rFonts w:hint="eastAsia"/>
                      <w:lang w:val="en-US" w:eastAsia="zh-CN"/>
                    </w:rPr>
                    <w:t>300</w:t>
                  </w:r>
                </w:p>
              </w:tc>
              <w:tc>
                <w:tcPr>
                  <w:tcW w:w="2369" w:type="dxa"/>
                  <w:vMerge w:val="continue"/>
                  <w:vAlign w:val="center"/>
                </w:tcPr>
                <w:p>
                  <w:pPr>
                    <w:pStyle w:val="82"/>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82"/>
                    <w:bidi w:val="0"/>
                    <w:rPr>
                      <w:rFonts w:hint="default"/>
                      <w:lang w:val="en-US" w:eastAsia="zh-CN"/>
                    </w:rPr>
                  </w:pPr>
                  <w:r>
                    <w:rPr>
                      <w:rFonts w:hint="eastAsia"/>
                      <w:lang w:val="en-US" w:eastAsia="zh-CN"/>
                    </w:rPr>
                    <w:t>化学需氧量（COD）</w:t>
                  </w:r>
                </w:p>
              </w:tc>
              <w:tc>
                <w:tcPr>
                  <w:tcW w:w="2415" w:type="dxa"/>
                  <w:vAlign w:val="center"/>
                </w:tcPr>
                <w:p>
                  <w:pPr>
                    <w:pStyle w:val="82"/>
                    <w:bidi w:val="0"/>
                    <w:rPr>
                      <w:rFonts w:hint="default"/>
                      <w:lang w:val="en-US" w:eastAsia="zh-CN"/>
                    </w:rPr>
                  </w:pPr>
                  <w:r>
                    <w:rPr>
                      <w:rFonts w:hint="eastAsia"/>
                      <w:lang w:val="en-US" w:eastAsia="zh-CN"/>
                    </w:rPr>
                    <w:t>500</w:t>
                  </w:r>
                </w:p>
              </w:tc>
              <w:tc>
                <w:tcPr>
                  <w:tcW w:w="2369" w:type="dxa"/>
                  <w:vMerge w:val="continue"/>
                  <w:vAlign w:val="center"/>
                </w:tcPr>
                <w:p>
                  <w:pPr>
                    <w:pStyle w:val="82"/>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82"/>
                    <w:bidi w:val="0"/>
                    <w:rPr>
                      <w:rFonts w:hint="default"/>
                      <w:lang w:val="en-US" w:eastAsia="zh-CN"/>
                    </w:rPr>
                  </w:pPr>
                  <w:r>
                    <w:rPr>
                      <w:rFonts w:hint="default"/>
                      <w:lang w:val="en-US" w:eastAsia="zh-CN"/>
                    </w:rPr>
                    <w:t>氨氮</w:t>
                  </w:r>
                </w:p>
              </w:tc>
              <w:tc>
                <w:tcPr>
                  <w:tcW w:w="2415" w:type="dxa"/>
                  <w:vAlign w:val="center"/>
                </w:tcPr>
                <w:p>
                  <w:pPr>
                    <w:pStyle w:val="82"/>
                    <w:bidi w:val="0"/>
                    <w:rPr>
                      <w:rFonts w:hint="default"/>
                      <w:lang w:val="en-US" w:eastAsia="zh-CN"/>
                    </w:rPr>
                  </w:pPr>
                  <w:r>
                    <w:rPr>
                      <w:rFonts w:hint="eastAsia"/>
                      <w:lang w:val="en-US" w:eastAsia="zh-CN"/>
                    </w:rPr>
                    <w:t>/</w:t>
                  </w:r>
                </w:p>
              </w:tc>
              <w:tc>
                <w:tcPr>
                  <w:tcW w:w="2369" w:type="dxa"/>
                  <w:vMerge w:val="continue"/>
                  <w:vAlign w:val="center"/>
                </w:tcPr>
                <w:p>
                  <w:pPr>
                    <w:pStyle w:val="82"/>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82"/>
                    <w:bidi w:val="0"/>
                    <w:rPr>
                      <w:rFonts w:hint="eastAsia"/>
                      <w:lang w:val="en-US" w:eastAsia="zh-CN"/>
                    </w:rPr>
                  </w:pPr>
                  <w:r>
                    <w:rPr>
                      <w:rFonts w:hint="eastAsia"/>
                      <w:lang w:val="en-US" w:eastAsia="zh-CN"/>
                    </w:rPr>
                    <w:t>石油类</w:t>
                  </w:r>
                </w:p>
              </w:tc>
              <w:tc>
                <w:tcPr>
                  <w:tcW w:w="2415" w:type="dxa"/>
                  <w:vAlign w:val="center"/>
                </w:tcPr>
                <w:p>
                  <w:pPr>
                    <w:pStyle w:val="82"/>
                    <w:bidi w:val="0"/>
                    <w:rPr>
                      <w:rFonts w:hint="default"/>
                      <w:lang w:val="en-US" w:eastAsia="zh-CN"/>
                    </w:rPr>
                  </w:pPr>
                  <w:r>
                    <w:rPr>
                      <w:rFonts w:hint="eastAsia"/>
                      <w:lang w:val="en-US" w:eastAsia="zh-CN"/>
                    </w:rPr>
                    <w:t>30</w:t>
                  </w:r>
                </w:p>
              </w:tc>
              <w:tc>
                <w:tcPr>
                  <w:tcW w:w="2369" w:type="dxa"/>
                  <w:vMerge w:val="continue"/>
                  <w:vAlign w:val="center"/>
                </w:tcPr>
                <w:p>
                  <w:pPr>
                    <w:pStyle w:val="82"/>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82"/>
                    <w:bidi w:val="0"/>
                    <w:rPr>
                      <w:rFonts w:hint="default"/>
                      <w:lang w:val="en-US" w:eastAsia="zh-CN"/>
                    </w:rPr>
                  </w:pPr>
                  <w:r>
                    <w:rPr>
                      <w:rFonts w:hint="eastAsia"/>
                      <w:lang w:val="en-US" w:eastAsia="zh-CN"/>
                    </w:rPr>
                    <w:t>动植物油</w:t>
                  </w:r>
                </w:p>
              </w:tc>
              <w:tc>
                <w:tcPr>
                  <w:tcW w:w="2415" w:type="dxa"/>
                  <w:vAlign w:val="center"/>
                </w:tcPr>
                <w:p>
                  <w:pPr>
                    <w:pStyle w:val="82"/>
                    <w:bidi w:val="0"/>
                    <w:rPr>
                      <w:rFonts w:hint="default"/>
                      <w:lang w:val="en-US" w:eastAsia="zh-CN"/>
                    </w:rPr>
                  </w:pPr>
                  <w:r>
                    <w:rPr>
                      <w:rFonts w:hint="eastAsia"/>
                      <w:lang w:val="en-US" w:eastAsia="zh-CN"/>
                    </w:rPr>
                    <w:t>100</w:t>
                  </w:r>
                </w:p>
              </w:tc>
              <w:tc>
                <w:tcPr>
                  <w:tcW w:w="2369" w:type="dxa"/>
                  <w:vMerge w:val="continue"/>
                  <w:vAlign w:val="center"/>
                </w:tcPr>
                <w:p>
                  <w:pPr>
                    <w:pStyle w:val="82"/>
                    <w:bidi w:val="0"/>
                    <w:rPr>
                      <w:rFonts w:hint="eastAsia"/>
                      <w:lang w:val="en-US" w:eastAsia="zh-CN"/>
                    </w:rPr>
                  </w:pPr>
                </w:p>
              </w:tc>
            </w:tr>
          </w:tbl>
          <w:p>
            <w:pPr>
              <w:pStyle w:val="66"/>
              <w:bidi w:val="0"/>
              <w:rPr>
                <w:rFonts w:hint="eastAsia"/>
                <w:lang w:val="en-US" w:eastAsia="zh-CN"/>
              </w:rPr>
            </w:pPr>
          </w:p>
          <w:p>
            <w:pPr>
              <w:pStyle w:val="66"/>
              <w:bidi w:val="0"/>
              <w:rPr>
                <w:rFonts w:hint="eastAsia"/>
                <w:lang w:val="en-US" w:eastAsia="zh-CN"/>
              </w:rPr>
            </w:pPr>
          </w:p>
          <w:p>
            <w:pPr>
              <w:pStyle w:val="66"/>
              <w:bidi w:val="0"/>
              <w:rPr>
                <w:rFonts w:hint="eastAsia"/>
                <w:lang w:val="en-US" w:eastAsia="zh-CN"/>
              </w:rPr>
            </w:pPr>
          </w:p>
          <w:p>
            <w:pPr>
              <w:pStyle w:val="67"/>
              <w:bidi w:val="0"/>
              <w:rPr>
                <w:rFonts w:hint="default"/>
                <w:lang w:val="en-US" w:eastAsia="zh-CN"/>
              </w:rPr>
            </w:pPr>
            <w:r>
              <w:rPr>
                <w:rFonts w:hint="eastAsia"/>
                <w:lang w:val="en-US" w:eastAsia="zh-CN"/>
              </w:rPr>
              <w:t>2.4</w:t>
            </w:r>
            <w:r>
              <w:rPr>
                <w:rFonts w:hint="default"/>
                <w:lang w:val="en-US" w:eastAsia="zh-CN"/>
              </w:rPr>
              <w:t>固废</w:t>
            </w:r>
          </w:p>
          <w:p>
            <w:pPr>
              <w:pStyle w:val="68"/>
              <w:bidi w:val="0"/>
              <w:rPr>
                <w:rFonts w:hint="default" w:ascii="Times New Roman" w:hAnsi="Times New Roman" w:eastAsia="宋体" w:cs="Times New Roman"/>
                <w:color w:val="auto"/>
                <w:kern w:val="0"/>
                <w:szCs w:val="21"/>
              </w:rPr>
            </w:pPr>
            <w:r>
              <w:rPr>
                <w:rFonts w:hint="default"/>
                <w:lang w:val="en-US" w:eastAsia="zh-CN"/>
              </w:rPr>
              <w:t>运营期一般工业固体废物执行《中华人民共和国固体废物污染环境防治法》中的有关规定；废润滑油等危废执行危险废物贮存执行《危险废物贮存污染控制标准》GB18597-2023）。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488" w:hRule="atLeast"/>
          <w:jc w:val="center"/>
        </w:trPr>
        <w:tc>
          <w:tcPr>
            <w:tcW w:w="389" w:type="pct"/>
            <w:noWrap w:val="0"/>
            <w:vAlign w:val="center"/>
          </w:tcPr>
          <w:p>
            <w:pPr>
              <w:adjustRightInd w:val="0"/>
              <w:snapToGrid w:val="0"/>
              <w:spacing w:line="240" w:lineRule="auto"/>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总量控制指标</w:t>
            </w:r>
          </w:p>
        </w:tc>
        <w:tc>
          <w:tcPr>
            <w:tcW w:w="4610" w:type="pct"/>
            <w:noWrap w:val="0"/>
            <w:vAlign w:val="center"/>
          </w:tcPr>
          <w:p>
            <w:pPr>
              <w:pStyle w:val="68"/>
              <w:bidi w:val="0"/>
              <w:ind w:left="0" w:leftChars="0" w:firstLine="0" w:firstLineChars="0"/>
              <w:jc w:val="center"/>
              <w:rPr>
                <w:rFonts w:hint="default"/>
                <w:lang w:val="en-US" w:eastAsia="zh-CN"/>
              </w:rPr>
            </w:pPr>
            <w:r>
              <w:rPr>
                <w:rFonts w:hint="eastAsia"/>
                <w:lang w:val="en-US" w:eastAsia="zh-CN"/>
              </w:rPr>
              <w:t>无</w:t>
            </w:r>
          </w:p>
        </w:tc>
      </w:tr>
    </w:tbl>
    <w:p>
      <w:pPr>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br w:type="page"/>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四、主要环境影响和保护措施</w:t>
      </w:r>
    </w:p>
    <w:tbl>
      <w:tblPr>
        <w:tblStyle w:val="23"/>
        <w:tblW w:w="547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7"/>
        <w:gridCol w:w="91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61" w:hRule="atLeast"/>
          <w:jc w:val="center"/>
        </w:trPr>
        <w:tc>
          <w:tcPr>
            <w:tcW w:w="339" w:type="pct"/>
            <w:noWrap w:val="0"/>
            <w:tcMar>
              <w:left w:w="28" w:type="dxa"/>
              <w:right w:w="28" w:type="dxa"/>
            </w:tcMar>
            <w:vAlign w:val="center"/>
          </w:tcPr>
          <w:p>
            <w:pPr>
              <w:pStyle w:val="20"/>
              <w:adjustRightInd w:val="0"/>
              <w:snapToGrid w:val="0"/>
              <w:spacing w:before="0" w:beforeAutospacing="0" w:after="0" w:afterAutospacing="0"/>
              <w:jc w:val="center"/>
              <w:rPr>
                <w:rFonts w:hint="default" w:ascii="Times New Roman" w:hAnsi="Times New Roman" w:eastAsia="宋体" w:cs="Times New Roman"/>
                <w:bCs/>
                <w:color w:val="auto"/>
                <w:kern w:val="2"/>
                <w:sz w:val="21"/>
                <w:szCs w:val="21"/>
                <w:lang w:val="en-US" w:eastAsia="zh-CN"/>
              </w:rPr>
            </w:pPr>
            <w:r>
              <w:rPr>
                <w:rFonts w:hint="default" w:ascii="Times New Roman" w:hAnsi="Times New Roman" w:cs="Times New Roman"/>
                <w:bCs/>
                <w:color w:val="auto"/>
                <w:kern w:val="2"/>
                <w:sz w:val="21"/>
                <w:szCs w:val="21"/>
                <w:lang w:val="en-US" w:eastAsia="zh-CN"/>
              </w:rPr>
              <w:t>施工期环境保护措施</w:t>
            </w:r>
          </w:p>
        </w:tc>
        <w:tc>
          <w:tcPr>
            <w:tcW w:w="4660" w:type="pct"/>
            <w:noWrap w:val="0"/>
            <w:vAlign w:val="center"/>
          </w:tcPr>
          <w:p>
            <w:pPr>
              <w:pStyle w:val="68"/>
              <w:bidi w:val="0"/>
              <w:rPr>
                <w:rFonts w:hint="eastAsia"/>
                <w:lang w:val="en-US" w:eastAsia="zh-CN"/>
              </w:rPr>
            </w:pPr>
            <w:bookmarkStart w:id="6" w:name="_Toc168312904"/>
            <w:bookmarkStart w:id="7" w:name="_Toc168121379"/>
            <w:bookmarkStart w:id="8" w:name="_Toc167859200"/>
            <w:bookmarkStart w:id="9" w:name="_Toc156819103"/>
            <w:bookmarkStart w:id="10" w:name="_Toc168121571"/>
            <w:r>
              <w:rPr>
                <w:rFonts w:hint="eastAsia"/>
                <w:lang w:val="en-US" w:eastAsia="zh-CN"/>
              </w:rPr>
              <w:t>本项目租用现有标准厂房，利用已建成标准厂房安置设备，新建生产线，不涉及新增用地和土建施工（建设单位将采购样板房作为危险废物贮存点，并在其基础上进行重点防渗处理），项目施工期主要为生产设备的安装和调试，产生污染很少且时间短，基本上不存在对周围环境的影响问题，故本次环评不予重点评价。</w:t>
            </w:r>
          </w:p>
          <w:p>
            <w:pPr>
              <w:widowControl w:val="0"/>
              <w:bidi w:val="0"/>
              <w:adjustRightInd w:val="0"/>
              <w:snapToGrid w:val="0"/>
              <w:spacing w:line="520" w:lineRule="exact"/>
              <w:jc w:val="left"/>
              <w:rPr>
                <w:rFonts w:hint="default" w:ascii="Times New Roman" w:hAnsi="Times New Roman" w:eastAsia="宋体" w:cs="宋体"/>
                <w:b/>
                <w:kern w:val="0"/>
                <w:sz w:val="24"/>
                <w:szCs w:val="24"/>
                <w:lang w:val="en-US" w:eastAsia="zh-CN" w:bidi="ar-SA"/>
              </w:rPr>
            </w:pPr>
            <w:r>
              <w:rPr>
                <w:rFonts w:hint="eastAsia" w:ascii="Times New Roman" w:hAnsi="Times New Roman" w:eastAsia="宋体" w:cs="宋体"/>
                <w:b/>
                <w:kern w:val="0"/>
                <w:sz w:val="24"/>
                <w:szCs w:val="24"/>
                <w:lang w:val="en-US" w:eastAsia="zh-CN" w:bidi="ar-SA"/>
              </w:rPr>
              <w:t>1.</w:t>
            </w:r>
            <w:r>
              <w:rPr>
                <w:rFonts w:hint="default" w:ascii="Times New Roman" w:hAnsi="Times New Roman" w:eastAsia="宋体" w:cs="宋体"/>
                <w:b/>
                <w:kern w:val="0"/>
                <w:sz w:val="24"/>
                <w:szCs w:val="24"/>
                <w:lang w:val="en-US" w:eastAsia="zh-CN" w:bidi="ar-SA"/>
              </w:rPr>
              <w:t>施工期大气</w:t>
            </w:r>
            <w:bookmarkEnd w:id="6"/>
            <w:bookmarkEnd w:id="7"/>
            <w:bookmarkEnd w:id="8"/>
            <w:bookmarkEnd w:id="9"/>
            <w:bookmarkEnd w:id="10"/>
            <w:r>
              <w:rPr>
                <w:rFonts w:hint="default" w:ascii="Times New Roman" w:hAnsi="Times New Roman" w:eastAsia="宋体" w:cs="宋体"/>
                <w:b/>
                <w:kern w:val="0"/>
                <w:sz w:val="24"/>
                <w:szCs w:val="24"/>
                <w:lang w:val="en-US" w:eastAsia="zh-CN" w:bidi="ar-SA"/>
              </w:rPr>
              <w:t>污染控制措施</w:t>
            </w:r>
          </w:p>
          <w:p>
            <w:pPr>
              <w:widowControl w:val="0"/>
              <w:bidi w:val="0"/>
              <w:spacing w:line="520" w:lineRule="exact"/>
              <w:ind w:firstLine="480" w:firstLineChars="200"/>
              <w:jc w:val="both"/>
              <w:rPr>
                <w:rFonts w:hint="default" w:ascii="Times New Roman" w:hAnsi="Times New Roman" w:eastAsia="宋体" w:cs="宋体"/>
                <w:kern w:val="2"/>
                <w:sz w:val="24"/>
                <w:szCs w:val="24"/>
                <w:lang w:val="en-US" w:eastAsia="zh-CN" w:bidi="ar-SA"/>
              </w:rPr>
            </w:pPr>
            <w:r>
              <w:rPr>
                <w:rFonts w:hint="default" w:ascii="Times New Roman" w:hAnsi="Times New Roman" w:eastAsia="宋体" w:cs="宋体"/>
                <w:kern w:val="2"/>
                <w:sz w:val="24"/>
                <w:szCs w:val="24"/>
                <w:lang w:val="en-US" w:eastAsia="zh-CN" w:bidi="ar-SA"/>
              </w:rPr>
              <w:t>本项目的施工废气主要为设备安装及运输过程中产生的扬尘。针对这一情况，项目拟采取洒水抑尘、合理布局施工现场、及时清运施工弃料等措施进行控制。经上述措施处理后，施工扬尘对周边环境的影响可降至较低水平。</w:t>
            </w:r>
          </w:p>
          <w:p>
            <w:pPr>
              <w:keepNext/>
              <w:widowControl w:val="0"/>
              <w:overflowPunct w:val="0"/>
              <w:bidi w:val="0"/>
              <w:snapToGrid w:val="0"/>
              <w:spacing w:line="520" w:lineRule="exact"/>
              <w:ind w:left="0" w:firstLine="0"/>
              <w:jc w:val="both"/>
              <w:outlineLvl w:val="0"/>
              <w:rPr>
                <w:rFonts w:hint="default" w:ascii="Times New Roman" w:hAnsi="Times New Roman" w:eastAsia="宋体" w:cs="Times New Roman"/>
                <w:b/>
                <w:bCs/>
                <w:color w:val="000000"/>
                <w:kern w:val="44"/>
                <w:sz w:val="24"/>
                <w:szCs w:val="30"/>
                <w:lang w:val="en-US" w:eastAsia="zh-CN" w:bidi="ar-SA"/>
              </w:rPr>
            </w:pPr>
            <w:r>
              <w:rPr>
                <w:rFonts w:hint="eastAsia" w:ascii="Times New Roman" w:hAnsi="Times New Roman" w:eastAsia="宋体" w:cs="Times New Roman"/>
                <w:b/>
                <w:bCs/>
                <w:color w:val="000000"/>
                <w:kern w:val="44"/>
                <w:sz w:val="24"/>
                <w:szCs w:val="30"/>
                <w:lang w:val="en-US" w:eastAsia="zh-CN" w:bidi="ar-SA"/>
              </w:rPr>
              <w:t>2.</w:t>
            </w:r>
            <w:r>
              <w:rPr>
                <w:rFonts w:hint="default" w:ascii="Times New Roman" w:hAnsi="Times New Roman" w:eastAsia="宋体" w:cs="Times New Roman"/>
                <w:b/>
                <w:bCs/>
                <w:color w:val="000000"/>
                <w:kern w:val="44"/>
                <w:sz w:val="24"/>
                <w:szCs w:val="30"/>
                <w:lang w:val="en-US" w:eastAsia="zh-CN" w:bidi="ar-SA"/>
              </w:rPr>
              <w:t>施工期水污染控制措施</w:t>
            </w:r>
          </w:p>
          <w:p>
            <w:pPr>
              <w:widowControl w:val="0"/>
              <w:wordWrap w:val="0"/>
              <w:bidi w:val="0"/>
              <w:adjustRightInd w:val="0"/>
              <w:snapToGrid w:val="0"/>
              <w:spacing w:line="520" w:lineRule="exact"/>
              <w:ind w:firstLine="480" w:firstLineChars="200"/>
              <w:jc w:val="left"/>
              <w:rPr>
                <w:rFonts w:hint="default" w:ascii="Times New Roman" w:hAnsi="Times New Roman" w:eastAsia="宋体" w:cs="宋体"/>
                <w:kern w:val="0"/>
                <w:sz w:val="24"/>
                <w:szCs w:val="24"/>
                <w:lang w:val="en-US" w:eastAsia="zh-CN" w:bidi="ar-SA"/>
              </w:rPr>
            </w:pPr>
            <w:r>
              <w:rPr>
                <w:rFonts w:hint="default" w:ascii="Times New Roman" w:hAnsi="Times New Roman" w:eastAsia="宋体" w:cs="宋体"/>
                <w:kern w:val="0"/>
                <w:sz w:val="24"/>
                <w:szCs w:val="24"/>
                <w:lang w:val="en-US" w:eastAsia="zh-CN" w:bidi="ar-SA"/>
              </w:rPr>
              <w:t>本项目</w:t>
            </w:r>
            <w:r>
              <w:rPr>
                <w:rFonts w:hint="eastAsia" w:ascii="Times New Roman" w:hAnsi="Times New Roman" w:eastAsia="宋体" w:cs="宋体"/>
                <w:kern w:val="0"/>
                <w:sz w:val="24"/>
                <w:szCs w:val="24"/>
                <w:lang w:val="en-US" w:eastAsia="zh-CN" w:bidi="ar-SA"/>
              </w:rPr>
              <w:t>租用现有办公楼，施工人员产生的生活污水</w:t>
            </w:r>
            <w:r>
              <w:rPr>
                <w:rFonts w:hint="eastAsia" w:cs="宋体"/>
                <w:kern w:val="0"/>
                <w:sz w:val="24"/>
                <w:szCs w:val="24"/>
                <w:lang w:val="en-US" w:eastAsia="zh-CN" w:bidi="ar-SA"/>
              </w:rPr>
              <w:t>先</w:t>
            </w:r>
            <w:r>
              <w:rPr>
                <w:rFonts w:hint="eastAsia" w:ascii="Times New Roman" w:hAnsi="Times New Roman" w:eastAsia="宋体" w:cs="宋体"/>
                <w:kern w:val="0"/>
                <w:sz w:val="24"/>
                <w:szCs w:val="24"/>
                <w:lang w:val="en-US" w:eastAsia="zh-CN" w:bidi="ar-SA"/>
              </w:rPr>
              <w:t>经化粪池</w:t>
            </w:r>
            <w:r>
              <w:rPr>
                <w:rFonts w:hint="eastAsia" w:cs="宋体"/>
                <w:kern w:val="0"/>
                <w:sz w:val="24"/>
                <w:szCs w:val="24"/>
                <w:lang w:val="en-US" w:eastAsia="zh-CN" w:bidi="ar-SA"/>
              </w:rPr>
              <w:t>预处理，再</w:t>
            </w:r>
            <w:r>
              <w:rPr>
                <w:rFonts w:hint="eastAsia" w:ascii="Times New Roman" w:hAnsi="Times New Roman" w:eastAsia="宋体" w:cs="宋体"/>
                <w:kern w:val="0"/>
                <w:sz w:val="24"/>
                <w:szCs w:val="24"/>
                <w:lang w:val="en-US" w:eastAsia="zh-CN" w:bidi="ar-SA"/>
              </w:rPr>
              <w:t>通过园区排水管网</w:t>
            </w:r>
            <w:r>
              <w:rPr>
                <w:rFonts w:hint="eastAsia" w:cs="宋体"/>
                <w:kern w:val="0"/>
                <w:sz w:val="24"/>
                <w:szCs w:val="24"/>
                <w:lang w:val="en-US" w:eastAsia="zh-CN" w:bidi="ar-SA"/>
              </w:rPr>
              <w:t>排入</w:t>
            </w:r>
            <w:r>
              <w:rPr>
                <w:rFonts w:hint="eastAsia" w:ascii="Times New Roman" w:hAnsi="Times New Roman" w:eastAsia="宋体" w:cs="宋体"/>
                <w:kern w:val="0"/>
                <w:sz w:val="24"/>
                <w:szCs w:val="24"/>
                <w:lang w:val="en-US" w:eastAsia="zh-CN" w:bidi="ar-SA"/>
              </w:rPr>
              <w:t>若羌县城乡污水处理厂进行处理。</w:t>
            </w:r>
          </w:p>
          <w:p>
            <w:pPr>
              <w:keepNext/>
              <w:widowControl w:val="0"/>
              <w:overflowPunct w:val="0"/>
              <w:bidi w:val="0"/>
              <w:snapToGrid w:val="0"/>
              <w:spacing w:line="520" w:lineRule="exact"/>
              <w:ind w:left="0" w:firstLine="0"/>
              <w:jc w:val="both"/>
              <w:outlineLvl w:val="0"/>
              <w:rPr>
                <w:rFonts w:hint="default" w:ascii="Times New Roman" w:hAnsi="Times New Roman" w:eastAsia="宋体" w:cs="Times New Roman"/>
                <w:b/>
                <w:bCs/>
                <w:color w:val="000000"/>
                <w:kern w:val="44"/>
                <w:sz w:val="24"/>
                <w:szCs w:val="30"/>
                <w:lang w:val="en-US" w:eastAsia="zh-CN" w:bidi="ar-SA"/>
              </w:rPr>
            </w:pPr>
            <w:r>
              <w:rPr>
                <w:rFonts w:hint="eastAsia" w:ascii="Times New Roman" w:hAnsi="Times New Roman" w:eastAsia="宋体" w:cs="Times New Roman"/>
                <w:b/>
                <w:bCs/>
                <w:color w:val="000000"/>
                <w:kern w:val="44"/>
                <w:sz w:val="24"/>
                <w:szCs w:val="30"/>
                <w:lang w:val="en-US" w:eastAsia="zh-CN" w:bidi="ar-SA"/>
              </w:rPr>
              <w:t>3.</w:t>
            </w:r>
            <w:r>
              <w:rPr>
                <w:rFonts w:hint="default" w:ascii="Times New Roman" w:hAnsi="Times New Roman" w:eastAsia="宋体" w:cs="Times New Roman"/>
                <w:b/>
                <w:bCs/>
                <w:color w:val="000000"/>
                <w:kern w:val="44"/>
                <w:sz w:val="24"/>
                <w:szCs w:val="30"/>
                <w:lang w:val="en-US" w:eastAsia="zh-CN" w:bidi="ar-SA"/>
              </w:rPr>
              <w:t>施工期噪声控制措施</w:t>
            </w:r>
          </w:p>
          <w:p>
            <w:pPr>
              <w:widowControl w:val="0"/>
              <w:bidi w:val="0"/>
              <w:spacing w:line="520" w:lineRule="exact"/>
              <w:ind w:firstLine="480" w:firstLineChars="200"/>
              <w:jc w:val="both"/>
              <w:rPr>
                <w:rFonts w:hint="default" w:ascii="Times New Roman" w:hAnsi="Times New Roman" w:eastAsia="宋体" w:cs="宋体"/>
                <w:kern w:val="2"/>
                <w:sz w:val="24"/>
                <w:szCs w:val="24"/>
                <w:lang w:val="en-US" w:eastAsia="zh-CN" w:bidi="ar-SA"/>
              </w:rPr>
            </w:pPr>
            <w:r>
              <w:rPr>
                <w:rFonts w:hint="default" w:ascii="Times New Roman" w:hAnsi="Times New Roman" w:eastAsia="宋体" w:cs="宋体"/>
                <w:kern w:val="2"/>
                <w:sz w:val="24"/>
                <w:szCs w:val="24"/>
                <w:lang w:val="en-US" w:eastAsia="zh-CN" w:bidi="ar-SA"/>
              </w:rPr>
              <w:t>项目施工期设备安装产生的施工噪声主要来自于电钻、电锤、电焊机、手工钻等。根据类比调查，工程施工期主要噪声源声压级为90~110dB（A）。</w:t>
            </w:r>
          </w:p>
          <w:p>
            <w:pPr>
              <w:widowControl w:val="0"/>
              <w:bidi w:val="0"/>
              <w:spacing w:line="520" w:lineRule="exact"/>
              <w:ind w:firstLine="480" w:firstLineChars="200"/>
              <w:jc w:val="both"/>
              <w:rPr>
                <w:rFonts w:hint="default" w:ascii="Times New Roman" w:hAnsi="Times New Roman" w:eastAsia="宋体" w:cs="宋体"/>
                <w:kern w:val="2"/>
                <w:sz w:val="24"/>
                <w:szCs w:val="24"/>
                <w:lang w:val="en-US" w:eastAsia="zh-CN" w:bidi="ar-SA"/>
              </w:rPr>
            </w:pPr>
            <w:r>
              <w:rPr>
                <w:rFonts w:hint="default" w:ascii="Times New Roman" w:hAnsi="Times New Roman" w:eastAsia="宋体" w:cs="宋体"/>
                <w:kern w:val="2"/>
                <w:sz w:val="24"/>
                <w:szCs w:val="24"/>
                <w:lang w:val="en-US" w:eastAsia="zh-CN" w:bidi="ar-SA"/>
              </w:rPr>
              <w:t>项目施工期拟采取以下控制措施：</w:t>
            </w:r>
          </w:p>
          <w:p>
            <w:pPr>
              <w:widowControl w:val="0"/>
              <w:bidi w:val="0"/>
              <w:spacing w:line="520" w:lineRule="exact"/>
              <w:ind w:firstLine="480" w:firstLineChars="200"/>
              <w:jc w:val="both"/>
              <w:rPr>
                <w:rFonts w:hint="default" w:ascii="Times New Roman" w:hAnsi="Times New Roman" w:eastAsia="宋体" w:cs="宋体"/>
                <w:kern w:val="2"/>
                <w:sz w:val="24"/>
                <w:szCs w:val="24"/>
                <w:lang w:val="en-US" w:eastAsia="zh-CN" w:bidi="ar-SA"/>
              </w:rPr>
            </w:pPr>
            <w:r>
              <w:rPr>
                <w:rFonts w:hint="default" w:ascii="Times New Roman" w:hAnsi="Times New Roman" w:eastAsia="宋体" w:cs="宋体"/>
                <w:kern w:val="2"/>
                <w:sz w:val="24"/>
                <w:szCs w:val="24"/>
                <w:lang w:val="en-US" w:eastAsia="zh-CN" w:bidi="ar-SA"/>
              </w:rPr>
              <w:t>①合理安排施工时间，夜间禁止使用高噪声机械设备，杜绝夜间施工噪声扰民</w:t>
            </w:r>
            <w:r>
              <w:rPr>
                <w:rFonts w:hint="eastAsia" w:ascii="Times New Roman" w:hAnsi="Times New Roman" w:eastAsia="宋体" w:cs="宋体"/>
                <w:kern w:val="2"/>
                <w:sz w:val="24"/>
                <w:szCs w:val="24"/>
                <w:lang w:val="en-US" w:eastAsia="zh-CN" w:bidi="ar-SA"/>
              </w:rPr>
              <w:t>。</w:t>
            </w:r>
          </w:p>
          <w:p>
            <w:pPr>
              <w:widowControl w:val="0"/>
              <w:bidi w:val="0"/>
              <w:spacing w:line="520" w:lineRule="exact"/>
              <w:ind w:firstLine="480" w:firstLineChars="200"/>
              <w:jc w:val="both"/>
              <w:rPr>
                <w:rFonts w:hint="eastAsia" w:ascii="Times New Roman" w:hAnsi="Times New Roman" w:eastAsia="宋体" w:cs="宋体"/>
                <w:kern w:val="2"/>
                <w:sz w:val="24"/>
                <w:szCs w:val="24"/>
                <w:lang w:val="en-US" w:eastAsia="zh-CN" w:bidi="ar-SA"/>
              </w:rPr>
            </w:pPr>
            <w:r>
              <w:rPr>
                <w:rFonts w:hint="default" w:ascii="Times New Roman" w:hAnsi="Times New Roman" w:eastAsia="宋体" w:cs="宋体"/>
                <w:kern w:val="2"/>
                <w:sz w:val="24"/>
                <w:szCs w:val="24"/>
                <w:lang w:val="en-US" w:eastAsia="zh-CN" w:bidi="ar-SA"/>
              </w:rPr>
              <w:t>②对设备、构件装卸、搬运应该轻拿轻放，严禁抛掷</w:t>
            </w:r>
            <w:r>
              <w:rPr>
                <w:rFonts w:hint="eastAsia" w:ascii="Times New Roman" w:hAnsi="Times New Roman" w:eastAsia="宋体" w:cs="宋体"/>
                <w:kern w:val="2"/>
                <w:sz w:val="24"/>
                <w:szCs w:val="24"/>
                <w:lang w:val="en-US" w:eastAsia="zh-CN" w:bidi="ar-SA"/>
              </w:rPr>
              <w:t>。</w:t>
            </w:r>
          </w:p>
          <w:p>
            <w:pPr>
              <w:widowControl w:val="0"/>
              <w:bidi w:val="0"/>
              <w:spacing w:line="520" w:lineRule="exact"/>
              <w:ind w:firstLine="480" w:firstLineChars="200"/>
              <w:jc w:val="both"/>
              <w:rPr>
                <w:rFonts w:hint="default" w:ascii="Times New Roman" w:hAnsi="Times New Roman" w:eastAsia="宋体" w:cs="宋体"/>
                <w:kern w:val="2"/>
                <w:sz w:val="24"/>
                <w:szCs w:val="24"/>
                <w:lang w:val="en-US" w:eastAsia="zh-CN" w:bidi="ar-SA"/>
              </w:rPr>
            </w:pPr>
            <w:r>
              <w:rPr>
                <w:rFonts w:hint="default" w:ascii="Times New Roman" w:hAnsi="Times New Roman" w:eastAsia="宋体" w:cs="宋体"/>
                <w:kern w:val="2"/>
                <w:sz w:val="24"/>
                <w:szCs w:val="24"/>
                <w:lang w:val="en-US" w:eastAsia="zh-CN" w:bidi="ar-SA"/>
              </w:rPr>
              <w:t>③加强施工人员管理，文明施工，禁止</w:t>
            </w:r>
            <w:r>
              <w:rPr>
                <w:rFonts w:hint="eastAsia" w:ascii="Times New Roman" w:hAnsi="Times New Roman" w:eastAsia="宋体" w:cs="宋体"/>
                <w:kern w:val="2"/>
                <w:sz w:val="24"/>
                <w:szCs w:val="24"/>
                <w:lang w:val="en-US" w:eastAsia="zh-CN" w:bidi="ar-SA"/>
              </w:rPr>
              <w:t>大声</w:t>
            </w:r>
            <w:r>
              <w:rPr>
                <w:rFonts w:hint="default" w:ascii="Times New Roman" w:hAnsi="Times New Roman" w:eastAsia="宋体" w:cs="宋体"/>
                <w:kern w:val="2"/>
                <w:sz w:val="24"/>
                <w:szCs w:val="24"/>
                <w:lang w:val="en-US" w:eastAsia="zh-CN" w:bidi="ar-SA"/>
              </w:rPr>
              <w:t>喧哗；项目设备安装是在室内施工，通过采取上述措施以及墙体隔声后对周围环境影响很小。</w:t>
            </w:r>
          </w:p>
          <w:p>
            <w:pPr>
              <w:keepNext/>
              <w:widowControl w:val="0"/>
              <w:overflowPunct w:val="0"/>
              <w:bidi w:val="0"/>
              <w:snapToGrid w:val="0"/>
              <w:spacing w:line="520" w:lineRule="exact"/>
              <w:ind w:left="0" w:firstLine="0"/>
              <w:jc w:val="both"/>
              <w:outlineLvl w:val="0"/>
              <w:rPr>
                <w:rFonts w:hint="default" w:ascii="Times New Roman" w:hAnsi="Times New Roman" w:eastAsia="宋体" w:cs="Times New Roman"/>
                <w:b/>
                <w:bCs/>
                <w:color w:val="000000"/>
                <w:kern w:val="44"/>
                <w:sz w:val="24"/>
                <w:szCs w:val="30"/>
                <w:lang w:val="en-US" w:eastAsia="zh-CN" w:bidi="ar-SA"/>
              </w:rPr>
            </w:pPr>
            <w:bookmarkStart w:id="11" w:name="_Toc519840850"/>
            <w:bookmarkStart w:id="12" w:name="_Toc520705159"/>
            <w:bookmarkStart w:id="13" w:name="_Toc527339390"/>
            <w:bookmarkStart w:id="14" w:name="_Toc508028298"/>
            <w:bookmarkStart w:id="15" w:name="_Toc527339557"/>
            <w:bookmarkStart w:id="16" w:name="_Toc13105922"/>
            <w:bookmarkStart w:id="17" w:name="_Toc41270224"/>
            <w:r>
              <w:rPr>
                <w:rFonts w:hint="eastAsia" w:ascii="Times New Roman" w:hAnsi="Times New Roman" w:eastAsia="宋体" w:cs="Times New Roman"/>
                <w:b/>
                <w:bCs/>
                <w:color w:val="000000"/>
                <w:kern w:val="44"/>
                <w:sz w:val="24"/>
                <w:szCs w:val="30"/>
                <w:lang w:val="en-US" w:eastAsia="zh-CN" w:bidi="ar-SA"/>
              </w:rPr>
              <w:t>4.</w:t>
            </w:r>
            <w:r>
              <w:rPr>
                <w:rFonts w:hint="default" w:ascii="Times New Roman" w:hAnsi="Times New Roman" w:eastAsia="宋体" w:cs="Times New Roman"/>
                <w:b/>
                <w:bCs/>
                <w:color w:val="000000"/>
                <w:kern w:val="44"/>
                <w:sz w:val="24"/>
                <w:szCs w:val="30"/>
                <w:lang w:val="en-US" w:eastAsia="zh-CN" w:bidi="ar-SA"/>
              </w:rPr>
              <w:t>施工期</w:t>
            </w:r>
            <w:bookmarkEnd w:id="11"/>
            <w:bookmarkEnd w:id="12"/>
            <w:bookmarkEnd w:id="13"/>
            <w:bookmarkEnd w:id="14"/>
            <w:bookmarkEnd w:id="15"/>
            <w:bookmarkEnd w:id="16"/>
            <w:bookmarkEnd w:id="17"/>
            <w:r>
              <w:rPr>
                <w:rFonts w:hint="eastAsia" w:ascii="Times New Roman" w:hAnsi="Times New Roman" w:eastAsia="宋体" w:cs="Times New Roman"/>
                <w:b/>
                <w:bCs/>
                <w:color w:val="000000"/>
                <w:kern w:val="44"/>
                <w:sz w:val="24"/>
                <w:szCs w:val="30"/>
                <w:lang w:val="en-US" w:eastAsia="zh-CN" w:bidi="ar-SA"/>
              </w:rPr>
              <w:t>固体废物</w:t>
            </w:r>
            <w:r>
              <w:rPr>
                <w:rFonts w:hint="default" w:ascii="Times New Roman" w:hAnsi="Times New Roman" w:eastAsia="宋体" w:cs="Times New Roman"/>
                <w:b/>
                <w:bCs/>
                <w:color w:val="000000"/>
                <w:kern w:val="44"/>
                <w:sz w:val="24"/>
                <w:szCs w:val="30"/>
                <w:lang w:val="en-US" w:eastAsia="zh-CN" w:bidi="ar-SA"/>
              </w:rPr>
              <w:t>控制措施</w:t>
            </w:r>
          </w:p>
          <w:p>
            <w:pPr>
              <w:pStyle w:val="68"/>
              <w:bidi w:val="0"/>
              <w:rPr>
                <w:rFonts w:hint="default" w:ascii="Times New Roman" w:hAnsi="Times New Roman" w:eastAsia="宋体" w:cs="Times New Roman"/>
                <w:lang w:val="en-US" w:eastAsia="zh-CN"/>
              </w:rPr>
            </w:pPr>
            <w:r>
              <w:rPr>
                <w:rFonts w:hint="default"/>
                <w:lang w:val="en-US" w:eastAsia="zh-CN"/>
              </w:rPr>
              <w:t>施工期产生的固体废物主要为施工人员生活垃圾以及废包装材料，生活垃圾集中收集后由环卫部门定期清运处理；废包装材料集中收集后外售废品回收站。通过采取上述措施后，项目施工期固体废弃物均得到妥善处置，对周围的环境无明显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61" w:hRule="atLeast"/>
          <w:jc w:val="center"/>
        </w:trPr>
        <w:tc>
          <w:tcPr>
            <w:tcW w:w="339" w:type="pct"/>
            <w:noWrap w:val="0"/>
            <w:tcMar>
              <w:left w:w="28" w:type="dxa"/>
              <w:right w:w="28" w:type="dxa"/>
            </w:tcMar>
            <w:vAlign w:val="center"/>
          </w:tcPr>
          <w:p>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运营期环境影响和保护措施</w:t>
            </w:r>
          </w:p>
        </w:tc>
        <w:tc>
          <w:tcPr>
            <w:tcW w:w="4660" w:type="pct"/>
            <w:shd w:val="clear" w:color="auto" w:fill="auto"/>
            <w:noWrap w:val="0"/>
            <w:vAlign w:val="top"/>
          </w:tcPr>
          <w:p>
            <w:pPr>
              <w:pStyle w:val="67"/>
              <w:bidi w:val="0"/>
              <w:rPr>
                <w:rFonts w:hint="default"/>
                <w:lang w:val="en-US" w:eastAsia="zh-CN"/>
              </w:rPr>
            </w:pPr>
            <w:r>
              <w:rPr>
                <w:rFonts w:hint="eastAsia" w:cs="Times New Roman"/>
                <w:highlight w:val="none"/>
                <w:lang w:val="en-US" w:eastAsia="zh-CN"/>
              </w:rPr>
              <w:t>1</w:t>
            </w:r>
            <w:r>
              <w:rPr>
                <w:rFonts w:hint="eastAsia"/>
                <w:lang w:val="en-US" w:eastAsia="zh-CN"/>
              </w:rPr>
              <w:t>.</w:t>
            </w:r>
            <w:r>
              <w:rPr>
                <w:rFonts w:hint="eastAsia"/>
              </w:rPr>
              <w:t>大气环境影响和保护措施</w:t>
            </w:r>
          </w:p>
          <w:p>
            <w:pPr>
              <w:pStyle w:val="67"/>
              <w:bidi w:val="0"/>
              <w:rPr>
                <w:rFonts w:hint="default"/>
                <w:lang w:val="en-US" w:eastAsia="zh-CN"/>
              </w:rPr>
            </w:pPr>
            <w:r>
              <w:rPr>
                <w:rFonts w:hint="default"/>
                <w:lang w:val="en-US" w:eastAsia="zh-CN"/>
              </w:rPr>
              <w:t>1.</w:t>
            </w:r>
            <w:r>
              <w:rPr>
                <w:rFonts w:hint="eastAsia"/>
                <w:lang w:val="en-US" w:eastAsia="zh-CN"/>
              </w:rPr>
              <w:t>1</w:t>
            </w:r>
            <w:r>
              <w:rPr>
                <w:rFonts w:hint="default"/>
                <w:lang w:val="en-US" w:eastAsia="zh-CN"/>
              </w:rPr>
              <w:t>废气污染源强核算</w:t>
            </w:r>
          </w:p>
          <w:p>
            <w:pPr>
              <w:pStyle w:val="68"/>
              <w:bidi w:val="0"/>
              <w:rPr>
                <w:rFonts w:hint="eastAsia"/>
                <w:lang w:val="en-US" w:eastAsia="zh-CN"/>
              </w:rPr>
            </w:pPr>
            <w:r>
              <w:rPr>
                <w:rFonts w:hint="eastAsia"/>
                <w:lang w:val="en-US" w:eastAsia="zh-CN"/>
              </w:rPr>
              <w:t>根据设计资料，本项目各设备连接紧密。其中，破碎机和筛分机设施的上方设有排风口，该排风口直接与通风管道相连，通风管道再与布袋除尘器接通。系统通过风机产生的负压进行引风，尾气经布袋除尘器处理后，由风机引至15米高的排气筒排放。</w:t>
            </w:r>
          </w:p>
          <w:p>
            <w:pPr>
              <w:pStyle w:val="68"/>
              <w:bidi w:val="0"/>
              <w:rPr>
                <w:rFonts w:hint="default"/>
                <w:lang w:val="en-US" w:eastAsia="zh-CN"/>
              </w:rPr>
            </w:pPr>
            <w:r>
              <w:rPr>
                <w:rFonts w:hint="eastAsia"/>
                <w:lang w:val="en-US" w:eastAsia="zh-CN"/>
              </w:rPr>
              <w:t>本项目共有4条生产线，每条生产线产生的废气均经各自对应的布袋除尘器进行处理。</w:t>
            </w:r>
          </w:p>
          <w:p>
            <w:pPr>
              <w:pStyle w:val="67"/>
              <w:bidi w:val="0"/>
              <w:rPr>
                <w:rFonts w:hint="default"/>
                <w:lang w:val="en-US" w:eastAsia="zh-CN"/>
              </w:rPr>
            </w:pPr>
            <w:r>
              <w:rPr>
                <w:rFonts w:hint="eastAsia"/>
                <w:lang w:val="en-US" w:eastAsia="zh-CN"/>
              </w:rPr>
              <w:t>（1）有</w:t>
            </w:r>
            <w:r>
              <w:rPr>
                <w:rFonts w:hint="default"/>
                <w:lang w:val="en-US" w:eastAsia="zh-CN"/>
              </w:rPr>
              <w:t>组织</w:t>
            </w:r>
            <w:r>
              <w:rPr>
                <w:rFonts w:hint="eastAsia"/>
                <w:lang w:val="en-US" w:eastAsia="zh-CN"/>
              </w:rPr>
              <w:t>废气</w:t>
            </w:r>
          </w:p>
          <w:p>
            <w:pPr>
              <w:pStyle w:val="49"/>
              <w:shd w:val="clear"/>
              <w:bidi w:val="0"/>
              <w:rPr>
                <w:rFonts w:hint="eastAsia"/>
              </w:rPr>
            </w:pPr>
            <w:r>
              <w:rPr>
                <w:rFonts w:hint="eastAsia"/>
              </w:rPr>
              <w:t>本项目属于《建设项目环境影响评价分类管理名录》</w:t>
            </w:r>
            <w:r>
              <w:rPr>
                <w:rFonts w:hint="eastAsia"/>
                <w:lang w:eastAsia="zh-CN"/>
              </w:rPr>
              <w:t>“</w:t>
            </w:r>
            <w:r>
              <w:rPr>
                <w:rFonts w:hint="eastAsia"/>
              </w:rPr>
              <w:t>二十七、非金属矿物制品业60石墨及其他非金属矿物制品制造309</w:t>
            </w:r>
            <w:r>
              <w:rPr>
                <w:rFonts w:hint="eastAsia"/>
                <w:lang w:eastAsia="zh-CN"/>
              </w:rPr>
              <w:t>”</w:t>
            </w:r>
            <w:r>
              <w:rPr>
                <w:rFonts w:hint="eastAsia"/>
              </w:rPr>
              <w:t>类别。鉴于硅颗粒制造行业尚未制定专门的</w:t>
            </w:r>
            <w:r>
              <w:rPr>
                <w:rFonts w:hint="eastAsia"/>
                <w:lang w:val="en-US" w:eastAsia="zh-CN"/>
              </w:rPr>
              <w:t>产污</w:t>
            </w:r>
            <w:r>
              <w:rPr>
                <w:rFonts w:hint="eastAsia"/>
              </w:rPr>
              <w:t>系数，本项目拟参照《排放源统计调查产排污核算方法和系数手册》中《3099其他非金属矿物制品制造行业系数手册》的"3099其他非金属矿物制品制造行业系数表（续1）"进行产排污核算。具体选用产品名称为钙粉、原料为石灰石的破碎</w:t>
            </w:r>
            <w:r>
              <w:rPr>
                <w:rFonts w:hint="eastAsia"/>
                <w:lang w:eastAsia="zh-CN"/>
              </w:rPr>
              <w:t>、</w:t>
            </w:r>
            <w:r>
              <w:rPr>
                <w:rFonts w:hint="eastAsia"/>
              </w:rPr>
              <w:t>筛分工艺产污系数，该参考系数的适用性基于以下技术考量：</w:t>
            </w:r>
          </w:p>
          <w:p>
            <w:pPr>
              <w:pStyle w:val="49"/>
              <w:bidi w:val="0"/>
              <w:rPr>
                <w:rFonts w:hint="eastAsia"/>
              </w:rPr>
            </w:pPr>
            <w:r>
              <w:rPr>
                <w:rFonts w:hint="default"/>
              </w:rPr>
              <w:t>①</w:t>
            </w:r>
            <w:r>
              <w:rPr>
                <w:rFonts w:hint="eastAsia"/>
              </w:rPr>
              <w:t>原料物性相似性：硅粉与石灰石在物理特性（如硬度、密度等）和加工工艺相似性方面具有可比性；</w:t>
            </w:r>
          </w:p>
          <w:p>
            <w:pPr>
              <w:pStyle w:val="49"/>
              <w:bidi w:val="0"/>
              <w:rPr>
                <w:rFonts w:hint="eastAsia"/>
              </w:rPr>
            </w:pPr>
            <w:r>
              <w:rPr>
                <w:rFonts w:hint="default"/>
              </w:rPr>
              <w:t>②</w:t>
            </w:r>
            <w:r>
              <w:rPr>
                <w:rFonts w:hint="eastAsia"/>
              </w:rPr>
              <w:t>工艺匹配性：两者均涉及矿物原料的破碎、筛分等相同单元操作；</w:t>
            </w:r>
          </w:p>
          <w:p>
            <w:pPr>
              <w:pStyle w:val="49"/>
              <w:bidi w:val="0"/>
              <w:rPr>
                <w:rFonts w:hint="eastAsia"/>
              </w:rPr>
            </w:pPr>
            <w:r>
              <w:rPr>
                <w:rFonts w:hint="default"/>
              </w:rPr>
              <w:t>③</w:t>
            </w:r>
            <w:r>
              <w:rPr>
                <w:rFonts w:hint="eastAsia"/>
              </w:rPr>
              <w:t>行业相关性：同属非金属矿物制品制造领域，且加工工艺特征相符。</w:t>
            </w:r>
          </w:p>
          <w:p>
            <w:pPr>
              <w:pStyle w:val="49"/>
              <w:shd w:val="clear"/>
              <w:bidi w:val="0"/>
              <w:rPr>
                <w:rFonts w:hint="default"/>
                <w:highlight w:val="none"/>
                <w:lang w:val="en-US" w:eastAsia="zh-CN"/>
              </w:rPr>
            </w:pPr>
            <w:r>
              <w:rPr>
                <w:rFonts w:hint="eastAsia"/>
                <w:b/>
                <w:bCs/>
                <w:highlight w:val="none"/>
                <w:lang w:val="en-US" w:eastAsia="zh-CN"/>
              </w:rPr>
              <w:t>破碎废气：</w:t>
            </w:r>
            <w:r>
              <w:rPr>
                <w:rFonts w:hint="eastAsia"/>
                <w:highlight w:val="none"/>
                <w:lang w:val="en-US" w:eastAsia="zh-CN"/>
              </w:rPr>
              <w:t>参照《3099其他非金属矿物制品制造行业系数手册》，破碎废气产污系数取1.13kg/吨产品，本项目需经3次破碎（最不利条件），故合计产污系数为3.39kg/吨产品，结合项目产能为10万吨/年，本项目共设4条生产线，则单条生产线破碎工序颗粒物的产生量为84.75t/a，产生速率为17.66kg/h。</w:t>
            </w:r>
          </w:p>
          <w:p>
            <w:pPr>
              <w:pStyle w:val="49"/>
              <w:shd w:val="clear"/>
              <w:bidi w:val="0"/>
              <w:rPr>
                <w:rFonts w:hint="default"/>
                <w:highlight w:val="none"/>
                <w:lang w:val="en-US" w:eastAsia="zh-CN"/>
              </w:rPr>
            </w:pPr>
            <w:r>
              <w:rPr>
                <w:rFonts w:hint="eastAsia"/>
                <w:b/>
                <w:bCs/>
                <w:highlight w:val="none"/>
                <w:lang w:val="en-US" w:eastAsia="zh-CN"/>
              </w:rPr>
              <w:t>筛分废气</w:t>
            </w:r>
            <w:r>
              <w:rPr>
                <w:rFonts w:hint="eastAsia"/>
                <w:highlight w:val="none"/>
                <w:lang w:val="en-US" w:eastAsia="zh-CN"/>
              </w:rPr>
              <w:t>：本项目物料经分离后进入筛分工序，分离过程中产生的少量硅细粉将作为饼状硅产品的原料，其占比约为10%；剩余90%的物料</w:t>
            </w:r>
            <w:r>
              <w:rPr>
                <w:rFonts w:hint="default"/>
                <w:highlight w:val="none"/>
                <w:lang w:eastAsia="zh-CN"/>
              </w:rPr>
              <w:t>再</w:t>
            </w:r>
            <w:r>
              <w:rPr>
                <w:rFonts w:hint="eastAsia"/>
                <w:highlight w:val="none"/>
                <w:lang w:val="en-US" w:eastAsia="zh-CN"/>
              </w:rPr>
              <w:t>进入筛分工序，该部分物料按9万吨进行核算。参照《3099其他非金属矿物制品制造行业系数手册》，筛分废气的产污系数取1.13kg/吨产品。则单条生产线筛分工序颗粒物的产生量为25.43/a，产生速率为5.30g/h。</w:t>
            </w:r>
          </w:p>
          <w:p>
            <w:pPr>
              <w:pStyle w:val="49"/>
              <w:shd w:val="clear"/>
              <w:bidi w:val="0"/>
              <w:rPr>
                <w:rFonts w:hint="eastAsia"/>
                <w:highlight w:val="none"/>
                <w:vertAlign w:val="baseline"/>
                <w:lang w:val="en-US" w:eastAsia="zh-CN"/>
              </w:rPr>
            </w:pPr>
            <w:r>
              <w:rPr>
                <w:rFonts w:hint="eastAsia"/>
                <w:lang w:val="en-US" w:eastAsia="zh-CN"/>
              </w:rPr>
              <w:t>本项目每条生产线产生的废气（破碎和筛分工序）共计110.18t/a，产生速率为22.95kg/h，产生的废气经管道（收集效率取9</w:t>
            </w:r>
            <w:r>
              <w:rPr>
                <w:rFonts w:hint="default"/>
                <w:lang w:eastAsia="zh-CN"/>
              </w:rPr>
              <w:t>5</w:t>
            </w:r>
            <w:r>
              <w:rPr>
                <w:rFonts w:hint="eastAsia"/>
                <w:lang w:val="en-US" w:eastAsia="zh-CN"/>
              </w:rPr>
              <w:t>%）收集后进入布袋除尘器（治理效率99%，</w:t>
            </w:r>
            <w:r>
              <w:rPr>
                <w:rFonts w:hint="eastAsia"/>
                <w:highlight w:val="none"/>
                <w:lang w:val="en-US" w:eastAsia="zh-CN"/>
              </w:rPr>
              <w:t>风机风量3000m</w:t>
            </w:r>
            <w:r>
              <w:rPr>
                <w:rFonts w:hint="eastAsia"/>
                <w:highlight w:val="none"/>
                <w:vertAlign w:val="superscript"/>
                <w:lang w:val="en-US" w:eastAsia="zh-CN"/>
              </w:rPr>
              <w:t>3</w:t>
            </w:r>
            <w:r>
              <w:rPr>
                <w:rFonts w:hint="eastAsia"/>
                <w:highlight w:val="none"/>
                <w:lang w:val="en-US" w:eastAsia="zh-CN"/>
              </w:rPr>
              <w:t>/h</w:t>
            </w:r>
            <w:r>
              <w:rPr>
                <w:rFonts w:hint="eastAsia"/>
                <w:lang w:val="en-US" w:eastAsia="zh-CN"/>
              </w:rPr>
              <w:t>）进行处理，最终单条生产线有组织颗粒物产生量为104.67t/a，产生速率为21.81kg/h；有组织排放量为1.05t/a，排放速率为0.22kg/h，排放浓度为72.68</w:t>
            </w:r>
            <w:r>
              <w:rPr>
                <w:rFonts w:hint="eastAsia"/>
                <w:highlight w:val="none"/>
                <w:lang w:val="en-US" w:eastAsia="zh-CN"/>
              </w:rPr>
              <w:t>mg/m</w:t>
            </w:r>
            <w:r>
              <w:rPr>
                <w:rFonts w:hint="eastAsia"/>
                <w:highlight w:val="none"/>
                <w:vertAlign w:val="superscript"/>
                <w:lang w:val="en-US" w:eastAsia="zh-CN"/>
              </w:rPr>
              <w:t>3</w:t>
            </w:r>
            <w:r>
              <w:rPr>
                <w:rFonts w:hint="eastAsia"/>
                <w:highlight w:val="none"/>
                <w:vertAlign w:val="baseline"/>
                <w:lang w:val="en-US" w:eastAsia="zh-CN"/>
              </w:rPr>
              <w:t>。</w:t>
            </w:r>
          </w:p>
          <w:p>
            <w:pPr>
              <w:pStyle w:val="68"/>
              <w:keepNext w:val="0"/>
              <w:keepLines w:val="0"/>
              <w:pageBreakBefore w:val="0"/>
              <w:widowControl w:val="0"/>
              <w:kinsoku/>
              <w:wordWrap w:val="0"/>
              <w:overflowPunct/>
              <w:topLinePunct w:val="0"/>
              <w:autoSpaceDE/>
              <w:autoSpaceDN/>
              <w:bidi w:val="0"/>
              <w:adjustRightInd/>
              <w:snapToGrid/>
              <w:textAlignment w:val="auto"/>
              <w:rPr>
                <w:rFonts w:hint="default"/>
                <w:highlight w:val="none"/>
                <w:vertAlign w:val="baseline"/>
                <w:lang w:val="en-US" w:eastAsia="zh-CN"/>
              </w:rPr>
            </w:pPr>
            <w:r>
              <w:rPr>
                <w:rFonts w:hint="eastAsia"/>
                <w:lang w:val="en-US" w:eastAsia="zh-CN"/>
              </w:rPr>
              <w:t>未被集气系统收集的废气全部无组织排放，颗粒物无组织排放量为5.51t/a，排放速率为1.15kg/h。</w:t>
            </w:r>
          </w:p>
          <w:p>
            <w:pPr>
              <w:pStyle w:val="49"/>
              <w:shd w:val="clear"/>
              <w:bidi w:val="0"/>
              <w:rPr>
                <w:rFonts w:hint="default"/>
                <w:highlight w:val="none"/>
                <w:lang w:val="en-US" w:eastAsia="zh-CN"/>
              </w:rPr>
            </w:pPr>
            <w:r>
              <w:rPr>
                <w:rFonts w:hint="eastAsia"/>
                <w:highlight w:val="none"/>
                <w:lang w:val="en-US" w:eastAsia="zh-CN"/>
              </w:rPr>
              <w:t>综上所述，本项目有组织颗粒物排放速率、排放浓度满足《大气污染物综合排放标准》（GB16297-1996）表2最高允许排放</w:t>
            </w:r>
            <w:r>
              <w:rPr>
                <w:rFonts w:hint="eastAsia"/>
                <w:b w:val="0"/>
                <w:bCs/>
                <w:color w:val="000000"/>
                <w:sz w:val="24"/>
                <w:szCs w:val="24"/>
                <w:lang w:val="en-US" w:eastAsia="zh-CN"/>
              </w:rPr>
              <w:t>要求。</w:t>
            </w:r>
          </w:p>
          <w:p>
            <w:pPr>
              <w:pStyle w:val="67"/>
              <w:bidi w:val="0"/>
              <w:rPr>
                <w:rFonts w:hint="default" w:ascii="Times New Roman" w:hAnsi="Times New Roman" w:eastAsia="宋体" w:cs="宋体"/>
                <w:lang w:val="en-US" w:eastAsia="zh-CN"/>
              </w:rPr>
            </w:pPr>
            <w:r>
              <w:rPr>
                <w:rFonts w:hint="eastAsia" w:ascii="Times New Roman" w:hAnsi="Times New Roman" w:eastAsia="宋体" w:cs="宋体"/>
                <w:lang w:val="en-US" w:eastAsia="zh-CN"/>
              </w:rPr>
              <w:t>（2）无组织废气</w:t>
            </w:r>
          </w:p>
          <w:p>
            <w:pPr>
              <w:pStyle w:val="68"/>
              <w:bidi w:val="0"/>
              <w:rPr>
                <w:rFonts w:hint="default"/>
                <w:lang w:val="en-US" w:eastAsia="zh-CN"/>
              </w:rPr>
            </w:pPr>
            <w:r>
              <w:rPr>
                <w:rFonts w:hint="default"/>
                <w:lang w:val="en-US" w:eastAsia="zh-CN"/>
              </w:rPr>
              <w:t>①</w:t>
            </w:r>
            <w:r>
              <w:rPr>
                <w:rFonts w:hint="eastAsia"/>
                <w:lang w:val="en-US" w:eastAsia="zh-CN"/>
              </w:rPr>
              <w:t>输送粉尘：本项目物料输送过程中会伴随一定量粉尘的产生。为有效控制粉尘扩散，输送带采用全封闭设计，通过物理隔离显著降低了粉尘的逸散量。鉴于其产生量处于较低水平，且现有封闭措施可有效抑制粉尘外排，本次评价不对其进行定量分析。综合判断，该环节产生的粉尘对周边环境造成的影响较小。</w:t>
            </w:r>
          </w:p>
          <w:p>
            <w:pPr>
              <w:pStyle w:val="68"/>
              <w:bidi w:val="0"/>
              <w:rPr>
                <w:rFonts w:hint="eastAsia"/>
                <w:lang w:val="en-US" w:eastAsia="zh-CN"/>
              </w:rPr>
            </w:pPr>
            <w:r>
              <w:rPr>
                <w:rFonts w:hint="default"/>
                <w:lang w:val="en-US" w:eastAsia="zh-CN"/>
              </w:rPr>
              <w:t>②</w:t>
            </w:r>
            <w:r>
              <w:rPr>
                <w:rFonts w:hint="eastAsia"/>
                <w:lang w:val="en-US" w:eastAsia="zh-CN"/>
              </w:rPr>
              <w:t>投料工序产生的粉尘</w:t>
            </w:r>
          </w:p>
          <w:p>
            <w:pPr>
              <w:pStyle w:val="68"/>
              <w:bidi w:val="0"/>
              <w:rPr>
                <w:rFonts w:hint="eastAsia"/>
                <w:lang w:val="en-US" w:eastAsia="zh-CN"/>
              </w:rPr>
            </w:pPr>
            <w:r>
              <w:rPr>
                <w:rFonts w:hint="eastAsia"/>
                <w:lang w:val="en-US" w:eastAsia="zh-CN"/>
              </w:rPr>
              <w:t>本项目投料工序所使用的原料为块体硅，因其物理形态为块状，在投料过程中受外力作用产生的粉尘量相对较少，且粉尘以无组织形式排放。针对这一情况，项目通过实施厂房密闭与洒水降尘相结合的措施，以有效降低粉尘的排放量。</w:t>
            </w:r>
          </w:p>
          <w:p>
            <w:pPr>
              <w:pStyle w:val="68"/>
              <w:bidi w:val="0"/>
              <w:rPr>
                <w:rFonts w:hint="eastAsia"/>
                <w:lang w:val="en-US" w:eastAsia="zh-CN"/>
              </w:rPr>
            </w:pPr>
            <w:r>
              <w:rPr>
                <w:rFonts w:hint="default"/>
                <w:lang w:val="en-US" w:eastAsia="zh-CN"/>
              </w:rPr>
              <w:t>③</w:t>
            </w:r>
            <w:r>
              <w:rPr>
                <w:rFonts w:hint="eastAsia"/>
                <w:lang w:val="en-US" w:eastAsia="zh-CN"/>
              </w:rPr>
              <w:t>堆场工序产生的粉尘</w:t>
            </w:r>
          </w:p>
          <w:p>
            <w:pPr>
              <w:pStyle w:val="68"/>
              <w:bidi w:val="0"/>
              <w:rPr>
                <w:rFonts w:hint="default"/>
                <w:lang w:val="en-US" w:eastAsia="zh-CN"/>
              </w:rPr>
            </w:pPr>
            <w:r>
              <w:rPr>
                <w:rFonts w:hint="eastAsia"/>
                <w:lang w:val="en-US" w:eastAsia="zh-CN"/>
              </w:rPr>
              <w:t>原料硅块存放至吨包袋中，并且堆放至原料堆放处（位于标准厂房的东侧，厂房密闭）。产品饼状硅存放至中转箱中，并且堆放至成品堆放处（位于标准厂房的东侧，厂房密闭），硅颗粒和硅细粉分别存放至吨包袋中，并且堆放至成品堆放处。原料和产品储存处于密闭包装状态并且存放至密闭的标准厂房内，能最大程度减少物料与空气的直接接触，故本项目堆场产生的扬尘较少。</w:t>
            </w:r>
          </w:p>
          <w:p>
            <w:pPr>
              <w:pStyle w:val="68"/>
              <w:bidi w:val="0"/>
              <w:rPr>
                <w:rFonts w:hint="eastAsia"/>
                <w:lang w:val="en-US" w:eastAsia="zh-CN"/>
              </w:rPr>
            </w:pPr>
            <w:r>
              <w:rPr>
                <w:rFonts w:hint="eastAsia"/>
                <w:lang w:val="en-US" w:eastAsia="zh-CN"/>
              </w:rPr>
              <w:t>本项目原料和产品的堆场面积共为800平方米，所在区域风速为2-4m/s，原料和产品都是包装后存放的，以吨包袋或中转箱为单位，其粒度＞13mm。根据《工业料场堆场扬尘整治规范》(DB65/T4061-2017)表1的规定，可判别本项目堆场为</w:t>
            </w:r>
            <w:r>
              <w:rPr>
                <w:rFonts w:hint="default" w:ascii="Times New Roman" w:hAnsi="Times New Roman" w:cs="Times New Roman"/>
                <w:lang w:val="en-US" w:eastAsia="zh-CN"/>
              </w:rPr>
              <w:t>Ⅲ</w:t>
            </w:r>
            <w:r>
              <w:rPr>
                <w:rFonts w:hint="eastAsia"/>
                <w:lang w:val="en-US" w:eastAsia="zh-CN"/>
              </w:rPr>
              <w:t>类堆场。依据该规范表2，</w:t>
            </w:r>
            <w:r>
              <w:rPr>
                <w:rFonts w:hint="default" w:ascii="Times New Roman" w:hAnsi="Times New Roman" w:cs="Times New Roman"/>
                <w:lang w:val="en-US" w:eastAsia="zh-CN"/>
              </w:rPr>
              <w:t>Ⅲ</w:t>
            </w:r>
            <w:r>
              <w:rPr>
                <w:rFonts w:hint="eastAsia"/>
                <w:lang w:val="en-US" w:eastAsia="zh-CN"/>
              </w:rPr>
              <w:t>类堆场的防治方案为：可采用</w:t>
            </w:r>
            <w:r>
              <w:rPr>
                <w:rFonts w:hint="default" w:ascii="Times New Roman" w:hAnsi="Times New Roman" w:cs="Times New Roman"/>
                <w:lang w:val="en-US" w:eastAsia="zh-CN"/>
              </w:rPr>
              <w:t>Ⅰ</w:t>
            </w:r>
            <w:r>
              <w:rPr>
                <w:rFonts w:hint="eastAsia"/>
                <w:lang w:val="en-US" w:eastAsia="zh-CN"/>
              </w:rPr>
              <w:t>类和</w:t>
            </w:r>
            <w:r>
              <w:rPr>
                <w:rFonts w:hint="default" w:ascii="Times New Roman" w:hAnsi="Times New Roman" w:cs="Times New Roman"/>
                <w:lang w:val="en-US" w:eastAsia="zh-CN"/>
              </w:rPr>
              <w:t>Ⅱ</w:t>
            </w:r>
            <w:r>
              <w:rPr>
                <w:rFonts w:hint="eastAsia"/>
                <w:lang w:val="en-US" w:eastAsia="zh-CN"/>
              </w:rPr>
              <w:t>类料堆场的防治方案，以及“覆盖+喷洒水（或喷洒抑尘剂）”的措施。鉴于本项目堆场为全密闭形式，已采取</w:t>
            </w:r>
            <w:r>
              <w:rPr>
                <w:rFonts w:hint="default" w:ascii="Times New Roman" w:hAnsi="Times New Roman" w:cs="Times New Roman"/>
                <w:lang w:val="en-US" w:eastAsia="zh-CN"/>
              </w:rPr>
              <w:t>Ⅰ</w:t>
            </w:r>
            <w:r>
              <w:rPr>
                <w:rFonts w:hint="eastAsia"/>
                <w:lang w:val="en-US" w:eastAsia="zh-CN"/>
              </w:rPr>
              <w:t>类堆场的防治措施，因此本项目堆场的防治措施符合《工业料场堆场扬尘整治规范》(DB65/T4061-2017)的相关要求。</w:t>
            </w:r>
          </w:p>
          <w:p>
            <w:pPr>
              <w:pStyle w:val="68"/>
              <w:rPr>
                <w:rFonts w:hint="eastAsia"/>
                <w:lang w:val="en-US" w:eastAsia="zh-CN"/>
              </w:rPr>
            </w:pPr>
            <w:r>
              <w:rPr>
                <w:rFonts w:hint="eastAsia"/>
                <w:lang w:val="en-US" w:eastAsia="zh-CN"/>
              </w:rPr>
              <w:t>本项目污染物产生情况详见下表。</w:t>
            </w:r>
          </w:p>
          <w:p>
            <w:pPr>
              <w:pStyle w:val="65"/>
              <w:bidi w:val="0"/>
              <w:rPr>
                <w:rFonts w:hint="default"/>
              </w:rPr>
            </w:pPr>
            <w:r>
              <w:rPr>
                <w:rFonts w:hint="default"/>
              </w:rPr>
              <w:t>表4-</w:t>
            </w:r>
            <w:r>
              <w:rPr>
                <w:rFonts w:hint="eastAsia"/>
                <w:lang w:val="en-US" w:eastAsia="zh-CN"/>
              </w:rPr>
              <w:t>1</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default"/>
              </w:rPr>
              <w:t>大气污染物排放基本情况一览表</w:t>
            </w:r>
          </w:p>
          <w:tbl>
            <w:tblPr>
              <w:tblStyle w:val="62"/>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4"/>
              <w:gridCol w:w="1096"/>
              <w:gridCol w:w="615"/>
              <w:gridCol w:w="719"/>
              <w:gridCol w:w="869"/>
              <w:gridCol w:w="724"/>
              <w:gridCol w:w="612"/>
              <w:gridCol w:w="810"/>
              <w:gridCol w:w="540"/>
              <w:gridCol w:w="524"/>
              <w:gridCol w:w="481"/>
              <w:gridCol w:w="477"/>
              <w:gridCol w:w="465"/>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6" w:hRule="atLeast"/>
                <w:jc w:val="center"/>
              </w:trPr>
              <w:tc>
                <w:tcPr>
                  <w:tcW w:w="226" w:type="pct"/>
                  <w:vMerge w:val="restart"/>
                  <w:vAlign w:val="center"/>
                </w:tcPr>
                <w:p>
                  <w:pPr>
                    <w:pStyle w:val="66"/>
                    <w:bidi w:val="0"/>
                    <w:rPr>
                      <w:rFonts w:hint="default"/>
                      <w:lang w:val="en-US" w:eastAsia="zh-CN"/>
                    </w:rPr>
                  </w:pPr>
                  <w:r>
                    <w:rPr>
                      <w:rFonts w:hint="eastAsia"/>
                      <w:lang w:val="en-US" w:eastAsia="zh-CN"/>
                    </w:rPr>
                    <w:t>排放形式</w:t>
                  </w:r>
                </w:p>
              </w:tc>
              <w:tc>
                <w:tcPr>
                  <w:tcW w:w="613" w:type="pct"/>
                  <w:vMerge w:val="restart"/>
                  <w:vAlign w:val="center"/>
                </w:tcPr>
                <w:p>
                  <w:pPr>
                    <w:pStyle w:val="66"/>
                    <w:bidi w:val="0"/>
                    <w:rPr>
                      <w:rFonts w:hint="default"/>
                      <w:lang w:val="en-US" w:eastAsia="zh-CN"/>
                    </w:rPr>
                  </w:pPr>
                  <w:r>
                    <w:rPr>
                      <w:rFonts w:hint="eastAsia"/>
                      <w:lang w:val="en-US" w:eastAsia="zh-CN"/>
                    </w:rPr>
                    <w:t>产污环节</w:t>
                  </w:r>
                </w:p>
              </w:tc>
              <w:tc>
                <w:tcPr>
                  <w:tcW w:w="344" w:type="pct"/>
                  <w:vMerge w:val="restart"/>
                  <w:vAlign w:val="center"/>
                </w:tcPr>
                <w:p>
                  <w:pPr>
                    <w:pStyle w:val="66"/>
                    <w:bidi w:val="0"/>
                    <w:rPr>
                      <w:rFonts w:hint="default"/>
                      <w:lang w:val="en-US" w:eastAsia="zh-CN"/>
                    </w:rPr>
                  </w:pPr>
                  <w:r>
                    <w:rPr>
                      <w:rFonts w:hint="eastAsia"/>
                      <w:lang w:val="en-US" w:eastAsia="zh-CN"/>
                    </w:rPr>
                    <w:t>排放口编号</w:t>
                  </w:r>
                </w:p>
              </w:tc>
              <w:tc>
                <w:tcPr>
                  <w:tcW w:w="402" w:type="pct"/>
                  <w:vMerge w:val="restart"/>
                  <w:vAlign w:val="center"/>
                </w:tcPr>
                <w:p>
                  <w:pPr>
                    <w:pStyle w:val="66"/>
                    <w:bidi w:val="0"/>
                    <w:rPr>
                      <w:rFonts w:hint="eastAsia"/>
                      <w:lang w:val="en-US" w:eastAsia="zh-CN"/>
                    </w:rPr>
                  </w:pPr>
                  <w:r>
                    <w:rPr>
                      <w:rFonts w:hint="default"/>
                    </w:rPr>
                    <w:t>污染物</w:t>
                  </w:r>
                  <w:r>
                    <w:rPr>
                      <w:rFonts w:hint="eastAsia"/>
                      <w:lang w:val="en-US" w:eastAsia="zh-CN"/>
                    </w:rPr>
                    <w:t>种类</w:t>
                  </w:r>
                </w:p>
              </w:tc>
              <w:tc>
                <w:tcPr>
                  <w:tcW w:w="1233" w:type="pct"/>
                  <w:gridSpan w:val="3"/>
                  <w:vAlign w:val="center"/>
                </w:tcPr>
                <w:p>
                  <w:pPr>
                    <w:pStyle w:val="66"/>
                    <w:bidi w:val="0"/>
                    <w:rPr>
                      <w:rFonts w:hint="eastAsia"/>
                      <w:lang w:val="en-US" w:eastAsia="zh-CN"/>
                    </w:rPr>
                  </w:pPr>
                  <w:r>
                    <w:rPr>
                      <w:rFonts w:hint="eastAsia"/>
                      <w:lang w:val="en-US" w:eastAsia="zh-CN"/>
                    </w:rPr>
                    <w:t>污染物产生情况</w:t>
                  </w:r>
                </w:p>
              </w:tc>
              <w:tc>
                <w:tcPr>
                  <w:tcW w:w="1317" w:type="pct"/>
                  <w:gridSpan w:val="4"/>
                  <w:vAlign w:val="center"/>
                </w:tcPr>
                <w:p>
                  <w:pPr>
                    <w:pStyle w:val="66"/>
                    <w:bidi w:val="0"/>
                    <w:rPr>
                      <w:rFonts w:hint="default"/>
                    </w:rPr>
                  </w:pPr>
                  <w:r>
                    <w:rPr>
                      <w:rFonts w:hint="eastAsia"/>
                      <w:lang w:val="en-US" w:eastAsia="zh-CN"/>
                    </w:rPr>
                    <w:t>污染物治理设施情况</w:t>
                  </w:r>
                </w:p>
              </w:tc>
              <w:tc>
                <w:tcPr>
                  <w:tcW w:w="862" w:type="pct"/>
                  <w:gridSpan w:val="3"/>
                  <w:vAlign w:val="center"/>
                </w:tcPr>
                <w:p>
                  <w:pPr>
                    <w:pStyle w:val="66"/>
                    <w:bidi w:val="0"/>
                    <w:rPr>
                      <w:rFonts w:hint="eastAsia"/>
                      <w:lang w:val="en-US" w:eastAsia="zh-CN"/>
                    </w:rPr>
                  </w:pPr>
                  <w:r>
                    <w:rPr>
                      <w:rFonts w:hint="eastAsia"/>
                      <w:lang w:val="en-US" w:eastAsia="zh-CN"/>
                    </w:rPr>
                    <w:t>污染物排放情况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226" w:type="pct"/>
                  <w:vMerge w:val="continue"/>
                  <w:vAlign w:val="center"/>
                </w:tcPr>
                <w:p>
                  <w:pPr>
                    <w:pStyle w:val="66"/>
                    <w:bidi w:val="0"/>
                    <w:rPr>
                      <w:rFonts w:hint="default"/>
                      <w:lang w:val="en-US" w:eastAsia="zh-CN"/>
                    </w:rPr>
                  </w:pPr>
                </w:p>
              </w:tc>
              <w:tc>
                <w:tcPr>
                  <w:tcW w:w="613" w:type="pct"/>
                  <w:vMerge w:val="continue"/>
                  <w:vAlign w:val="center"/>
                </w:tcPr>
                <w:p>
                  <w:pPr>
                    <w:pStyle w:val="66"/>
                    <w:bidi w:val="0"/>
                    <w:rPr>
                      <w:rFonts w:hint="default"/>
                      <w:lang w:val="en-US" w:eastAsia="zh-CN"/>
                    </w:rPr>
                  </w:pPr>
                </w:p>
              </w:tc>
              <w:tc>
                <w:tcPr>
                  <w:tcW w:w="344" w:type="pct"/>
                  <w:vMerge w:val="continue"/>
                  <w:vAlign w:val="center"/>
                </w:tcPr>
                <w:p>
                  <w:pPr>
                    <w:pStyle w:val="66"/>
                    <w:bidi w:val="0"/>
                    <w:rPr>
                      <w:rFonts w:hint="default"/>
                      <w:lang w:val="en-US" w:eastAsia="zh-CN"/>
                    </w:rPr>
                  </w:pPr>
                </w:p>
              </w:tc>
              <w:tc>
                <w:tcPr>
                  <w:tcW w:w="402" w:type="pct"/>
                  <w:vMerge w:val="continue"/>
                  <w:vAlign w:val="center"/>
                </w:tcPr>
                <w:p>
                  <w:pPr>
                    <w:pStyle w:val="66"/>
                    <w:bidi w:val="0"/>
                    <w:rPr>
                      <w:rFonts w:hint="eastAsia"/>
                      <w:lang w:val="en-US" w:eastAsia="zh-CN"/>
                    </w:rPr>
                  </w:pPr>
                </w:p>
              </w:tc>
              <w:tc>
                <w:tcPr>
                  <w:tcW w:w="486" w:type="pct"/>
                  <w:vAlign w:val="center"/>
                </w:tcPr>
                <w:p>
                  <w:pPr>
                    <w:pStyle w:val="66"/>
                    <w:bidi w:val="0"/>
                    <w:rPr>
                      <w:rFonts w:hint="default"/>
                      <w:lang w:val="en-US" w:eastAsia="zh-CN"/>
                    </w:rPr>
                  </w:pPr>
                  <w:r>
                    <w:rPr>
                      <w:rFonts w:hint="eastAsia"/>
                      <w:lang w:val="en-US" w:eastAsia="zh-CN"/>
                    </w:rPr>
                    <w:t>产生量t/a</w:t>
                  </w:r>
                </w:p>
              </w:tc>
              <w:tc>
                <w:tcPr>
                  <w:tcW w:w="405" w:type="pct"/>
                  <w:vAlign w:val="center"/>
                </w:tcPr>
                <w:p>
                  <w:pPr>
                    <w:pStyle w:val="66"/>
                    <w:bidi w:val="0"/>
                    <w:rPr>
                      <w:rFonts w:hint="eastAsia"/>
                      <w:lang w:val="en-US" w:eastAsia="zh-CN"/>
                    </w:rPr>
                  </w:pPr>
                  <w:r>
                    <w:rPr>
                      <w:rFonts w:hint="eastAsia"/>
                      <w:lang w:val="en-US" w:eastAsia="zh-CN"/>
                    </w:rPr>
                    <w:t>产生速率kg/h</w:t>
                  </w:r>
                </w:p>
              </w:tc>
              <w:tc>
                <w:tcPr>
                  <w:tcW w:w="341" w:type="pct"/>
                  <w:vAlign w:val="center"/>
                </w:tcPr>
                <w:p>
                  <w:pPr>
                    <w:pStyle w:val="66"/>
                    <w:bidi w:val="0"/>
                    <w:rPr>
                      <w:rFonts w:hint="default"/>
                      <w:lang w:val="en-US" w:eastAsia="zh-CN"/>
                    </w:rPr>
                  </w:pPr>
                  <w:r>
                    <w:rPr>
                      <w:rFonts w:hint="eastAsia"/>
                      <w:lang w:val="en-US" w:eastAsia="zh-CN"/>
                    </w:rPr>
                    <w:t>产生浓度mg/m</w:t>
                  </w:r>
                  <w:r>
                    <w:rPr>
                      <w:rFonts w:hint="eastAsia"/>
                      <w:vertAlign w:val="superscript"/>
                      <w:lang w:val="en-US" w:eastAsia="zh-CN"/>
                    </w:rPr>
                    <w:t>3</w:t>
                  </w:r>
                </w:p>
              </w:tc>
              <w:tc>
                <w:tcPr>
                  <w:tcW w:w="453" w:type="pct"/>
                  <w:vAlign w:val="center"/>
                </w:tcPr>
                <w:p>
                  <w:pPr>
                    <w:pStyle w:val="66"/>
                    <w:bidi w:val="0"/>
                    <w:rPr>
                      <w:rFonts w:hint="default"/>
                    </w:rPr>
                  </w:pPr>
                  <w:r>
                    <w:rPr>
                      <w:rFonts w:hint="eastAsia"/>
                      <w:lang w:val="en-US" w:eastAsia="zh-CN"/>
                    </w:rPr>
                    <w:t>污染治理设施工艺</w:t>
                  </w:r>
                </w:p>
              </w:tc>
              <w:tc>
                <w:tcPr>
                  <w:tcW w:w="302" w:type="pct"/>
                  <w:vAlign w:val="center"/>
                </w:tcPr>
                <w:p>
                  <w:pPr>
                    <w:pStyle w:val="66"/>
                    <w:bidi w:val="0"/>
                    <w:rPr>
                      <w:rFonts w:hint="default"/>
                    </w:rPr>
                  </w:pPr>
                  <w:r>
                    <w:rPr>
                      <w:rFonts w:hint="eastAsia"/>
                      <w:lang w:val="en-US" w:eastAsia="zh-CN"/>
                    </w:rPr>
                    <w:t>风机风量m</w:t>
                  </w:r>
                  <w:r>
                    <w:rPr>
                      <w:rFonts w:hint="eastAsia"/>
                      <w:vertAlign w:val="superscript"/>
                      <w:lang w:val="en-US" w:eastAsia="zh-CN"/>
                    </w:rPr>
                    <w:t>3</w:t>
                  </w:r>
                  <w:r>
                    <w:rPr>
                      <w:rFonts w:hint="eastAsia"/>
                      <w:lang w:val="en-US" w:eastAsia="zh-CN"/>
                    </w:rPr>
                    <w:t>/h</w:t>
                  </w:r>
                </w:p>
              </w:tc>
              <w:tc>
                <w:tcPr>
                  <w:tcW w:w="293" w:type="pct"/>
                  <w:vAlign w:val="center"/>
                </w:tcPr>
                <w:p>
                  <w:pPr>
                    <w:pStyle w:val="66"/>
                    <w:bidi w:val="0"/>
                    <w:rPr>
                      <w:rFonts w:hint="default"/>
                    </w:rPr>
                  </w:pPr>
                  <w:r>
                    <w:rPr>
                      <w:rFonts w:hint="default"/>
                    </w:rPr>
                    <w:t>收集效率%</w:t>
                  </w:r>
                </w:p>
              </w:tc>
              <w:tc>
                <w:tcPr>
                  <w:tcW w:w="268" w:type="pct"/>
                  <w:vAlign w:val="center"/>
                </w:tcPr>
                <w:p>
                  <w:pPr>
                    <w:pStyle w:val="66"/>
                    <w:bidi w:val="0"/>
                    <w:rPr>
                      <w:rFonts w:hint="default"/>
                    </w:rPr>
                  </w:pPr>
                  <w:r>
                    <w:rPr>
                      <w:rFonts w:hint="default"/>
                    </w:rPr>
                    <w:t>去除效率%</w:t>
                  </w:r>
                </w:p>
              </w:tc>
              <w:tc>
                <w:tcPr>
                  <w:tcW w:w="267" w:type="pct"/>
                  <w:shd w:val="clear" w:color="auto" w:fill="auto"/>
                  <w:vAlign w:val="center"/>
                </w:tcPr>
                <w:p>
                  <w:pPr>
                    <w:pStyle w:val="66"/>
                    <w:bidi w:val="0"/>
                    <w:rPr>
                      <w:rFonts w:hint="default"/>
                      <w:lang w:val="en-US" w:eastAsia="zh-CN"/>
                    </w:rPr>
                  </w:pPr>
                  <w:r>
                    <w:rPr>
                      <w:rFonts w:hint="eastAsia"/>
                      <w:lang w:val="en-US" w:eastAsia="zh-CN"/>
                    </w:rPr>
                    <w:t>排放量t/a</w:t>
                  </w:r>
                </w:p>
              </w:tc>
              <w:tc>
                <w:tcPr>
                  <w:tcW w:w="260" w:type="pct"/>
                  <w:shd w:val="clear" w:color="auto" w:fill="auto"/>
                  <w:vAlign w:val="center"/>
                </w:tcPr>
                <w:p>
                  <w:pPr>
                    <w:pStyle w:val="66"/>
                    <w:bidi w:val="0"/>
                    <w:rPr>
                      <w:rFonts w:hint="default"/>
                      <w:lang w:val="en-US" w:eastAsia="zh-CN"/>
                    </w:rPr>
                  </w:pPr>
                  <w:r>
                    <w:rPr>
                      <w:rFonts w:hint="eastAsia"/>
                      <w:lang w:val="en-US" w:eastAsia="zh-CN"/>
                    </w:rPr>
                    <w:t>排放速率kg/h</w:t>
                  </w:r>
                </w:p>
              </w:tc>
              <w:tc>
                <w:tcPr>
                  <w:tcW w:w="335" w:type="pct"/>
                  <w:shd w:val="clear" w:color="auto" w:fill="auto"/>
                  <w:vAlign w:val="center"/>
                </w:tcPr>
                <w:p>
                  <w:pPr>
                    <w:pStyle w:val="66"/>
                    <w:keepNext w:val="0"/>
                    <w:keepLines w:val="0"/>
                    <w:pageBreakBefore w:val="0"/>
                    <w:widowControl w:val="0"/>
                    <w:kinsoku/>
                    <w:wordWrap w:val="0"/>
                    <w:overflowPunct/>
                    <w:topLinePunct w:val="0"/>
                    <w:autoSpaceDE/>
                    <w:autoSpaceDN/>
                    <w:bidi w:val="0"/>
                    <w:adjustRightInd/>
                    <w:snapToGrid/>
                    <w:textAlignment w:val="auto"/>
                    <w:rPr>
                      <w:rFonts w:hint="default"/>
                      <w:lang w:val="en-US" w:eastAsia="zh-CN"/>
                    </w:rPr>
                  </w:pPr>
                  <w:r>
                    <w:rPr>
                      <w:rFonts w:hint="eastAsia"/>
                      <w:lang w:val="en-US" w:eastAsia="zh-CN"/>
                    </w:rPr>
                    <w:t>排放浓度mg/m</w:t>
                  </w:r>
                  <w:r>
                    <w:rPr>
                      <w:rFonts w:hint="eastAsia"/>
                      <w:vertAlign w:val="superscript"/>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6" w:type="pct"/>
                  <w:vAlign w:val="center"/>
                </w:tcPr>
                <w:p>
                  <w:pPr>
                    <w:pStyle w:val="66"/>
                    <w:bidi w:val="0"/>
                    <w:rPr>
                      <w:rFonts w:hint="default"/>
                      <w:lang w:val="en-US" w:eastAsia="zh-CN"/>
                    </w:rPr>
                  </w:pPr>
                  <w:r>
                    <w:rPr>
                      <w:rFonts w:hint="eastAsia"/>
                      <w:lang w:val="en-US" w:eastAsia="zh-CN"/>
                    </w:rPr>
                    <w:t>有组织</w:t>
                  </w:r>
                </w:p>
              </w:tc>
              <w:tc>
                <w:tcPr>
                  <w:tcW w:w="613" w:type="pct"/>
                  <w:vMerge w:val="restart"/>
                  <w:vAlign w:val="center"/>
                </w:tcPr>
                <w:p>
                  <w:pPr>
                    <w:pStyle w:val="66"/>
                    <w:bidi w:val="0"/>
                    <w:rPr>
                      <w:rFonts w:hint="default"/>
                      <w:lang w:val="en-US" w:eastAsia="zh-CN"/>
                    </w:rPr>
                  </w:pPr>
                  <w:r>
                    <w:rPr>
                      <w:rFonts w:hint="eastAsia"/>
                      <w:lang w:val="en-US" w:eastAsia="zh-CN"/>
                    </w:rPr>
                    <w:t>1#生产线一级破碎、二级破碎、筛分、三级破碎工序</w:t>
                  </w:r>
                </w:p>
              </w:tc>
              <w:tc>
                <w:tcPr>
                  <w:tcW w:w="344" w:type="pct"/>
                  <w:vAlign w:val="center"/>
                </w:tcPr>
                <w:p>
                  <w:pPr>
                    <w:pStyle w:val="66"/>
                    <w:bidi w:val="0"/>
                    <w:rPr>
                      <w:rFonts w:hint="default"/>
                      <w:lang w:val="en-US" w:eastAsia="zh-CN"/>
                    </w:rPr>
                  </w:pPr>
                  <w:r>
                    <w:rPr>
                      <w:rFonts w:hint="eastAsia"/>
                      <w:lang w:val="en-US" w:eastAsia="zh-CN"/>
                    </w:rPr>
                    <w:t>DA001</w:t>
                  </w:r>
                </w:p>
              </w:tc>
              <w:tc>
                <w:tcPr>
                  <w:tcW w:w="402" w:type="pct"/>
                  <w:vAlign w:val="center"/>
                </w:tcPr>
                <w:p>
                  <w:pPr>
                    <w:pStyle w:val="66"/>
                    <w:bidi w:val="0"/>
                    <w:rPr>
                      <w:rFonts w:hint="eastAsia"/>
                      <w:lang w:val="en-US" w:eastAsia="zh-CN"/>
                    </w:rPr>
                  </w:pPr>
                  <w:r>
                    <w:rPr>
                      <w:rFonts w:hint="eastAsia"/>
                      <w:lang w:val="en-US" w:eastAsia="zh-CN"/>
                    </w:rPr>
                    <w:t>颗粒物</w:t>
                  </w:r>
                </w:p>
              </w:tc>
              <w:tc>
                <w:tcPr>
                  <w:tcW w:w="486" w:type="pct"/>
                  <w:vAlign w:val="center"/>
                </w:tcPr>
                <w:p>
                  <w:pPr>
                    <w:pStyle w:val="66"/>
                    <w:bidi w:val="0"/>
                    <w:rPr>
                      <w:rFonts w:hint="default"/>
                      <w:lang w:val="en-US" w:eastAsia="zh-CN"/>
                    </w:rPr>
                  </w:pPr>
                  <w:r>
                    <w:rPr>
                      <w:rFonts w:hint="eastAsia"/>
                      <w:lang w:val="en-US" w:eastAsia="zh-CN"/>
                    </w:rPr>
                    <w:t>104.67</w:t>
                  </w:r>
                </w:p>
              </w:tc>
              <w:tc>
                <w:tcPr>
                  <w:tcW w:w="405" w:type="pct"/>
                  <w:vAlign w:val="center"/>
                </w:tcPr>
                <w:p>
                  <w:pPr>
                    <w:pStyle w:val="66"/>
                    <w:bidi w:val="0"/>
                    <w:rPr>
                      <w:rFonts w:hint="default"/>
                      <w:lang w:val="en-US" w:eastAsia="zh-CN"/>
                    </w:rPr>
                  </w:pPr>
                  <w:r>
                    <w:rPr>
                      <w:rFonts w:hint="eastAsia"/>
                      <w:highlight w:val="none"/>
                      <w:lang w:val="en-US" w:eastAsia="zh-CN"/>
                    </w:rPr>
                    <w:t>21.81</w:t>
                  </w:r>
                </w:p>
              </w:tc>
              <w:tc>
                <w:tcPr>
                  <w:tcW w:w="341" w:type="pct"/>
                  <w:vAlign w:val="center"/>
                </w:tcPr>
                <w:p>
                  <w:pPr>
                    <w:pStyle w:val="66"/>
                    <w:bidi w:val="0"/>
                    <w:rPr>
                      <w:rFonts w:hint="default"/>
                      <w:highlight w:val="none"/>
                      <w:lang w:val="en-US" w:eastAsia="zh-CN"/>
                    </w:rPr>
                  </w:pPr>
                  <w:r>
                    <w:rPr>
                      <w:rFonts w:hint="eastAsia"/>
                      <w:highlight w:val="none"/>
                      <w:lang w:val="en-US" w:eastAsia="zh-CN"/>
                    </w:rPr>
                    <w:t>7268</w:t>
                  </w:r>
                </w:p>
              </w:tc>
              <w:tc>
                <w:tcPr>
                  <w:tcW w:w="453" w:type="pct"/>
                  <w:vAlign w:val="center"/>
                </w:tcPr>
                <w:p>
                  <w:pPr>
                    <w:pStyle w:val="66"/>
                    <w:bidi w:val="0"/>
                    <w:rPr>
                      <w:rFonts w:hint="default"/>
                      <w:lang w:val="en-US" w:eastAsia="zh-CN"/>
                    </w:rPr>
                  </w:pPr>
                  <w:r>
                    <w:rPr>
                      <w:rFonts w:hint="eastAsia"/>
                      <w:lang w:val="en-US" w:eastAsia="zh-CN"/>
                    </w:rPr>
                    <w:t>布袋除尘器</w:t>
                  </w:r>
                </w:p>
              </w:tc>
              <w:tc>
                <w:tcPr>
                  <w:tcW w:w="302" w:type="pct"/>
                  <w:vAlign w:val="center"/>
                </w:tcPr>
                <w:p>
                  <w:pPr>
                    <w:pStyle w:val="66"/>
                    <w:bidi w:val="0"/>
                    <w:rPr>
                      <w:rFonts w:hint="default"/>
                      <w:lang w:val="en-US" w:eastAsia="zh-CN"/>
                    </w:rPr>
                  </w:pPr>
                  <w:r>
                    <w:rPr>
                      <w:rFonts w:hint="eastAsia"/>
                      <w:lang w:val="en-US" w:eastAsia="zh-CN"/>
                    </w:rPr>
                    <w:t>3000</w:t>
                  </w:r>
                </w:p>
              </w:tc>
              <w:tc>
                <w:tcPr>
                  <w:tcW w:w="293" w:type="pct"/>
                  <w:vAlign w:val="center"/>
                </w:tcPr>
                <w:p>
                  <w:pPr>
                    <w:pStyle w:val="66"/>
                    <w:bidi w:val="0"/>
                    <w:rPr>
                      <w:rFonts w:hint="default"/>
                      <w:lang w:val="en-US" w:eastAsia="zh-CN"/>
                    </w:rPr>
                  </w:pPr>
                  <w:r>
                    <w:rPr>
                      <w:rFonts w:hint="eastAsia"/>
                      <w:lang w:val="en-US" w:eastAsia="zh-CN"/>
                    </w:rPr>
                    <w:t>95</w:t>
                  </w:r>
                </w:p>
              </w:tc>
              <w:tc>
                <w:tcPr>
                  <w:tcW w:w="268" w:type="pct"/>
                  <w:vAlign w:val="center"/>
                </w:tcPr>
                <w:p>
                  <w:pPr>
                    <w:pStyle w:val="66"/>
                    <w:bidi w:val="0"/>
                    <w:rPr>
                      <w:rFonts w:hint="default"/>
                      <w:lang w:val="en-US" w:eastAsia="zh-CN"/>
                    </w:rPr>
                  </w:pPr>
                  <w:r>
                    <w:rPr>
                      <w:rFonts w:hint="eastAsia"/>
                      <w:lang w:val="en-US" w:eastAsia="zh-CN"/>
                    </w:rPr>
                    <w:t>99</w:t>
                  </w:r>
                </w:p>
              </w:tc>
              <w:tc>
                <w:tcPr>
                  <w:tcW w:w="267" w:type="pct"/>
                  <w:vAlign w:val="center"/>
                </w:tcPr>
                <w:p>
                  <w:pPr>
                    <w:pStyle w:val="66"/>
                    <w:bidi w:val="0"/>
                    <w:rPr>
                      <w:rFonts w:hint="default"/>
                      <w:lang w:val="en-US" w:eastAsia="zh-CN"/>
                    </w:rPr>
                  </w:pPr>
                  <w:r>
                    <w:rPr>
                      <w:rFonts w:hint="eastAsia"/>
                      <w:highlight w:val="none"/>
                      <w:lang w:val="en-US" w:eastAsia="zh-CN"/>
                    </w:rPr>
                    <w:t>1.05</w:t>
                  </w:r>
                </w:p>
              </w:tc>
              <w:tc>
                <w:tcPr>
                  <w:tcW w:w="260" w:type="pct"/>
                  <w:vAlign w:val="center"/>
                </w:tcPr>
                <w:p>
                  <w:pPr>
                    <w:pStyle w:val="66"/>
                    <w:bidi w:val="0"/>
                    <w:rPr>
                      <w:rFonts w:hint="default"/>
                      <w:lang w:val="en-US" w:eastAsia="zh-CN"/>
                    </w:rPr>
                  </w:pPr>
                  <w:r>
                    <w:rPr>
                      <w:rFonts w:hint="eastAsia"/>
                      <w:highlight w:val="none"/>
                      <w:lang w:val="en-US" w:eastAsia="zh-CN"/>
                    </w:rPr>
                    <w:t>0.22</w:t>
                  </w:r>
                </w:p>
              </w:tc>
              <w:tc>
                <w:tcPr>
                  <w:tcW w:w="335" w:type="pct"/>
                  <w:vAlign w:val="center"/>
                </w:tcPr>
                <w:p>
                  <w:pPr>
                    <w:pStyle w:val="66"/>
                    <w:bidi w:val="0"/>
                    <w:rPr>
                      <w:rFonts w:hint="default"/>
                      <w:lang w:val="en-US" w:eastAsia="zh-CN"/>
                    </w:rPr>
                  </w:pPr>
                  <w:r>
                    <w:rPr>
                      <w:rFonts w:hint="eastAsia"/>
                      <w:highlight w:val="none"/>
                      <w:lang w:val="en-US" w:eastAsia="zh-CN"/>
                    </w:rPr>
                    <w:t>72.68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6" w:type="pct"/>
                  <w:vAlign w:val="center"/>
                </w:tcPr>
                <w:p>
                  <w:pPr>
                    <w:pStyle w:val="66"/>
                    <w:bidi w:val="0"/>
                    <w:rPr>
                      <w:rFonts w:hint="default"/>
                      <w:lang w:val="en-US" w:eastAsia="zh-CN"/>
                    </w:rPr>
                  </w:pPr>
                  <w:r>
                    <w:rPr>
                      <w:rFonts w:hint="eastAsia"/>
                      <w:lang w:val="en-US" w:eastAsia="zh-CN"/>
                    </w:rPr>
                    <w:t>无组织</w:t>
                  </w:r>
                </w:p>
              </w:tc>
              <w:tc>
                <w:tcPr>
                  <w:tcW w:w="613" w:type="pct"/>
                  <w:vMerge w:val="continue"/>
                  <w:vAlign w:val="center"/>
                </w:tcPr>
                <w:p>
                  <w:pPr>
                    <w:pStyle w:val="66"/>
                    <w:bidi w:val="0"/>
                    <w:rPr>
                      <w:rFonts w:hint="eastAsia"/>
                      <w:lang w:val="en-US" w:eastAsia="zh-CN"/>
                    </w:rPr>
                  </w:pPr>
                </w:p>
              </w:tc>
              <w:tc>
                <w:tcPr>
                  <w:tcW w:w="344" w:type="pct"/>
                  <w:vAlign w:val="center"/>
                </w:tcPr>
                <w:p>
                  <w:pPr>
                    <w:pStyle w:val="66"/>
                    <w:bidi w:val="0"/>
                    <w:rPr>
                      <w:rFonts w:hint="default"/>
                      <w:lang w:val="en-US" w:eastAsia="zh-CN"/>
                    </w:rPr>
                  </w:pPr>
                  <w:r>
                    <w:rPr>
                      <w:rFonts w:hint="eastAsia"/>
                      <w:lang w:val="en-US" w:eastAsia="zh-CN"/>
                    </w:rPr>
                    <w:t>/</w:t>
                  </w:r>
                </w:p>
              </w:tc>
              <w:tc>
                <w:tcPr>
                  <w:tcW w:w="402" w:type="pct"/>
                  <w:vAlign w:val="center"/>
                </w:tcPr>
                <w:p>
                  <w:pPr>
                    <w:pStyle w:val="66"/>
                    <w:bidi w:val="0"/>
                    <w:rPr>
                      <w:rFonts w:hint="eastAsia"/>
                      <w:lang w:val="en-US" w:eastAsia="zh-CN"/>
                    </w:rPr>
                  </w:pPr>
                  <w:r>
                    <w:rPr>
                      <w:rFonts w:hint="eastAsia"/>
                      <w:lang w:val="en-US" w:eastAsia="zh-CN"/>
                    </w:rPr>
                    <w:t>颗粒物</w:t>
                  </w:r>
                </w:p>
              </w:tc>
              <w:tc>
                <w:tcPr>
                  <w:tcW w:w="486" w:type="pct"/>
                  <w:vAlign w:val="center"/>
                </w:tcPr>
                <w:p>
                  <w:pPr>
                    <w:pStyle w:val="66"/>
                    <w:bidi w:val="0"/>
                    <w:rPr>
                      <w:rFonts w:hint="default"/>
                      <w:lang w:val="en-US" w:eastAsia="zh-CN"/>
                    </w:rPr>
                  </w:pPr>
                  <w:r>
                    <w:rPr>
                      <w:rFonts w:hint="eastAsia"/>
                      <w:lang w:val="en-US" w:eastAsia="zh-CN"/>
                    </w:rPr>
                    <w:t>5.51</w:t>
                  </w:r>
                </w:p>
              </w:tc>
              <w:tc>
                <w:tcPr>
                  <w:tcW w:w="405" w:type="pct"/>
                  <w:vAlign w:val="center"/>
                </w:tcPr>
                <w:p>
                  <w:pPr>
                    <w:pStyle w:val="66"/>
                    <w:bidi w:val="0"/>
                    <w:rPr>
                      <w:rFonts w:hint="default"/>
                      <w:highlight w:val="none"/>
                      <w:lang w:val="en-US" w:eastAsia="zh-CN"/>
                    </w:rPr>
                  </w:pPr>
                  <w:r>
                    <w:rPr>
                      <w:rFonts w:hint="eastAsia"/>
                      <w:highlight w:val="none"/>
                      <w:lang w:val="en-US" w:eastAsia="zh-CN"/>
                    </w:rPr>
                    <w:t>1.15</w:t>
                  </w:r>
                </w:p>
              </w:tc>
              <w:tc>
                <w:tcPr>
                  <w:tcW w:w="341" w:type="pct"/>
                  <w:vAlign w:val="center"/>
                </w:tcPr>
                <w:p>
                  <w:pPr>
                    <w:pStyle w:val="66"/>
                    <w:bidi w:val="0"/>
                    <w:rPr>
                      <w:rFonts w:hint="default"/>
                      <w:highlight w:val="none"/>
                      <w:lang w:val="en-US" w:eastAsia="zh-CN"/>
                    </w:rPr>
                  </w:pPr>
                  <w:r>
                    <w:rPr>
                      <w:rFonts w:hint="eastAsia"/>
                      <w:highlight w:val="none"/>
                      <w:lang w:val="en-US" w:eastAsia="zh-CN"/>
                    </w:rPr>
                    <w:t>/</w:t>
                  </w:r>
                </w:p>
              </w:tc>
              <w:tc>
                <w:tcPr>
                  <w:tcW w:w="453" w:type="pct"/>
                  <w:vAlign w:val="center"/>
                </w:tcPr>
                <w:p>
                  <w:pPr>
                    <w:pStyle w:val="66"/>
                    <w:bidi w:val="0"/>
                    <w:rPr>
                      <w:rFonts w:hint="default"/>
                      <w:lang w:val="en-US" w:eastAsia="zh-CN"/>
                    </w:rPr>
                  </w:pPr>
                  <w:r>
                    <w:rPr>
                      <w:rFonts w:hint="eastAsia"/>
                      <w:lang w:val="en-US" w:eastAsia="zh-CN"/>
                    </w:rPr>
                    <w:t>厂房密闭</w:t>
                  </w:r>
                </w:p>
              </w:tc>
              <w:tc>
                <w:tcPr>
                  <w:tcW w:w="302" w:type="pct"/>
                  <w:vAlign w:val="center"/>
                </w:tcPr>
                <w:p>
                  <w:pPr>
                    <w:pStyle w:val="66"/>
                    <w:bidi w:val="0"/>
                    <w:rPr>
                      <w:rFonts w:hint="default"/>
                      <w:lang w:val="en-US" w:eastAsia="zh-CN"/>
                    </w:rPr>
                  </w:pPr>
                  <w:r>
                    <w:rPr>
                      <w:rFonts w:hint="eastAsia"/>
                      <w:lang w:val="en-US" w:eastAsia="zh-CN"/>
                    </w:rPr>
                    <w:t>/</w:t>
                  </w:r>
                </w:p>
              </w:tc>
              <w:tc>
                <w:tcPr>
                  <w:tcW w:w="293" w:type="pct"/>
                  <w:vAlign w:val="center"/>
                </w:tcPr>
                <w:p>
                  <w:pPr>
                    <w:pStyle w:val="66"/>
                    <w:bidi w:val="0"/>
                    <w:rPr>
                      <w:rFonts w:hint="eastAsia"/>
                      <w:lang w:val="en-US" w:eastAsia="zh-CN"/>
                    </w:rPr>
                  </w:pPr>
                  <w:r>
                    <w:rPr>
                      <w:rFonts w:hint="eastAsia"/>
                      <w:lang w:val="en-US" w:eastAsia="zh-CN"/>
                    </w:rPr>
                    <w:t>/</w:t>
                  </w:r>
                </w:p>
              </w:tc>
              <w:tc>
                <w:tcPr>
                  <w:tcW w:w="268" w:type="pct"/>
                  <w:vAlign w:val="center"/>
                </w:tcPr>
                <w:p>
                  <w:pPr>
                    <w:pStyle w:val="66"/>
                    <w:bidi w:val="0"/>
                    <w:rPr>
                      <w:rFonts w:hint="eastAsia"/>
                      <w:lang w:val="en-US" w:eastAsia="zh-CN"/>
                    </w:rPr>
                  </w:pPr>
                  <w:r>
                    <w:rPr>
                      <w:rFonts w:hint="eastAsia"/>
                      <w:lang w:val="en-US" w:eastAsia="zh-CN"/>
                    </w:rPr>
                    <w:t>/</w:t>
                  </w:r>
                </w:p>
              </w:tc>
              <w:tc>
                <w:tcPr>
                  <w:tcW w:w="267" w:type="pct"/>
                  <w:vAlign w:val="center"/>
                </w:tcPr>
                <w:p>
                  <w:pPr>
                    <w:pStyle w:val="66"/>
                    <w:bidi w:val="0"/>
                    <w:rPr>
                      <w:rFonts w:hint="default"/>
                      <w:highlight w:val="none"/>
                      <w:lang w:val="en-US" w:eastAsia="zh-CN"/>
                    </w:rPr>
                  </w:pPr>
                  <w:r>
                    <w:rPr>
                      <w:rFonts w:hint="eastAsia"/>
                      <w:lang w:val="en-US" w:eastAsia="zh-CN"/>
                    </w:rPr>
                    <w:t>5.51</w:t>
                  </w:r>
                </w:p>
              </w:tc>
              <w:tc>
                <w:tcPr>
                  <w:tcW w:w="260" w:type="pct"/>
                  <w:vAlign w:val="center"/>
                </w:tcPr>
                <w:p>
                  <w:pPr>
                    <w:pStyle w:val="66"/>
                    <w:bidi w:val="0"/>
                    <w:rPr>
                      <w:rFonts w:hint="default"/>
                      <w:highlight w:val="none"/>
                      <w:lang w:val="en-US" w:eastAsia="zh-CN"/>
                    </w:rPr>
                  </w:pPr>
                  <w:r>
                    <w:rPr>
                      <w:rFonts w:hint="eastAsia"/>
                      <w:highlight w:val="none"/>
                      <w:lang w:val="en-US" w:eastAsia="zh-CN"/>
                    </w:rPr>
                    <w:t>1.15</w:t>
                  </w:r>
                </w:p>
              </w:tc>
              <w:tc>
                <w:tcPr>
                  <w:tcW w:w="335" w:type="pct"/>
                  <w:vAlign w:val="center"/>
                </w:tcPr>
                <w:p>
                  <w:pPr>
                    <w:pStyle w:val="66"/>
                    <w:bidi w:val="0"/>
                    <w:rPr>
                      <w:rFonts w:hint="default"/>
                      <w:highlight w:val="none"/>
                      <w:lang w:val="en-US" w:eastAsia="zh-CN"/>
                    </w:rPr>
                  </w:pPr>
                  <w:r>
                    <w:rPr>
                      <w:rFonts w:hint="eastAsia"/>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6"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有组织</w:t>
                  </w:r>
                </w:p>
              </w:tc>
              <w:tc>
                <w:tcPr>
                  <w:tcW w:w="613" w:type="pct"/>
                  <w:vMerge w:val="restart"/>
                  <w:vAlign w:val="center"/>
                </w:tcPr>
                <w:p>
                  <w:pPr>
                    <w:pStyle w:val="66"/>
                    <w:bidi w:val="0"/>
                    <w:rPr>
                      <w:rFonts w:hint="eastAsia"/>
                      <w:lang w:val="en-US" w:eastAsia="zh-CN"/>
                    </w:rPr>
                  </w:pPr>
                  <w:r>
                    <w:rPr>
                      <w:rFonts w:hint="eastAsia"/>
                      <w:lang w:val="en-US" w:eastAsia="zh-CN"/>
                    </w:rPr>
                    <w:t>2#生产线一级破碎、二级破碎、筛分、三级破碎工序</w:t>
                  </w:r>
                </w:p>
              </w:tc>
              <w:tc>
                <w:tcPr>
                  <w:tcW w:w="344" w:type="pct"/>
                  <w:shd w:val="clear" w:color="auto" w:fill="auto"/>
                  <w:vAlign w:val="center"/>
                </w:tcPr>
                <w:p>
                  <w:pPr>
                    <w:pStyle w:val="66"/>
                    <w:bidi w:val="0"/>
                    <w:rPr>
                      <w:rFonts w:hint="default" w:ascii="Times New Roman" w:hAnsi="Times New Roman" w:eastAsia="宋体" w:cs="宋体"/>
                      <w:kern w:val="0"/>
                      <w:sz w:val="21"/>
                      <w:szCs w:val="21"/>
                      <w:lang w:val="en-US" w:eastAsia="zh-CN" w:bidi="ar-SA"/>
                    </w:rPr>
                  </w:pPr>
                  <w:r>
                    <w:rPr>
                      <w:rFonts w:hint="eastAsia"/>
                      <w:lang w:val="en-US" w:eastAsia="zh-CN"/>
                    </w:rPr>
                    <w:t>DA002</w:t>
                  </w:r>
                </w:p>
              </w:tc>
              <w:tc>
                <w:tcPr>
                  <w:tcW w:w="402"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颗粒物</w:t>
                  </w:r>
                </w:p>
              </w:tc>
              <w:tc>
                <w:tcPr>
                  <w:tcW w:w="486"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104.67</w:t>
                  </w:r>
                </w:p>
              </w:tc>
              <w:tc>
                <w:tcPr>
                  <w:tcW w:w="405"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highlight w:val="none"/>
                      <w:lang w:val="en-US" w:eastAsia="zh-CN"/>
                    </w:rPr>
                    <w:t>21.81</w:t>
                  </w:r>
                </w:p>
              </w:tc>
              <w:tc>
                <w:tcPr>
                  <w:tcW w:w="341" w:type="pct"/>
                  <w:shd w:val="clear" w:color="auto" w:fill="auto"/>
                  <w:vAlign w:val="center"/>
                </w:tcPr>
                <w:p>
                  <w:pPr>
                    <w:pStyle w:val="66"/>
                    <w:bidi w:val="0"/>
                    <w:rPr>
                      <w:rFonts w:hint="eastAsia" w:ascii="Times New Roman" w:hAnsi="Times New Roman" w:eastAsia="宋体" w:cs="宋体"/>
                      <w:kern w:val="0"/>
                      <w:sz w:val="21"/>
                      <w:szCs w:val="21"/>
                      <w:highlight w:val="none"/>
                      <w:lang w:val="en-US" w:eastAsia="zh-CN" w:bidi="ar-SA"/>
                    </w:rPr>
                  </w:pPr>
                  <w:r>
                    <w:rPr>
                      <w:rFonts w:hint="eastAsia"/>
                      <w:highlight w:val="none"/>
                      <w:lang w:val="en-US" w:eastAsia="zh-CN"/>
                    </w:rPr>
                    <w:t>7268</w:t>
                  </w:r>
                </w:p>
              </w:tc>
              <w:tc>
                <w:tcPr>
                  <w:tcW w:w="453"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布袋除尘器</w:t>
                  </w:r>
                </w:p>
              </w:tc>
              <w:tc>
                <w:tcPr>
                  <w:tcW w:w="302"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3000</w:t>
                  </w:r>
                </w:p>
              </w:tc>
              <w:tc>
                <w:tcPr>
                  <w:tcW w:w="293"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95</w:t>
                  </w:r>
                </w:p>
              </w:tc>
              <w:tc>
                <w:tcPr>
                  <w:tcW w:w="268"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99</w:t>
                  </w:r>
                </w:p>
              </w:tc>
              <w:tc>
                <w:tcPr>
                  <w:tcW w:w="267"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highlight w:val="none"/>
                      <w:lang w:val="en-US" w:eastAsia="zh-CN"/>
                    </w:rPr>
                    <w:t>1.05</w:t>
                  </w:r>
                </w:p>
              </w:tc>
              <w:tc>
                <w:tcPr>
                  <w:tcW w:w="260"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highlight w:val="none"/>
                      <w:lang w:val="en-US" w:eastAsia="zh-CN"/>
                    </w:rPr>
                    <w:t>0.22</w:t>
                  </w:r>
                </w:p>
              </w:tc>
              <w:tc>
                <w:tcPr>
                  <w:tcW w:w="335"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highlight w:val="none"/>
                      <w:lang w:val="en-US" w:eastAsia="zh-CN"/>
                    </w:rPr>
                    <w:t>72.68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226"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无组织</w:t>
                  </w:r>
                </w:p>
              </w:tc>
              <w:tc>
                <w:tcPr>
                  <w:tcW w:w="613" w:type="pct"/>
                  <w:vMerge w:val="continue"/>
                  <w:vAlign w:val="center"/>
                </w:tcPr>
                <w:p>
                  <w:pPr>
                    <w:pStyle w:val="66"/>
                    <w:bidi w:val="0"/>
                    <w:rPr>
                      <w:rFonts w:hint="eastAsia"/>
                      <w:lang w:val="en-US" w:eastAsia="zh-CN"/>
                    </w:rPr>
                  </w:pPr>
                </w:p>
              </w:tc>
              <w:tc>
                <w:tcPr>
                  <w:tcW w:w="344"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w:t>
                  </w:r>
                </w:p>
              </w:tc>
              <w:tc>
                <w:tcPr>
                  <w:tcW w:w="402"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颗粒物</w:t>
                  </w:r>
                </w:p>
              </w:tc>
              <w:tc>
                <w:tcPr>
                  <w:tcW w:w="486"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5.51</w:t>
                  </w:r>
                </w:p>
              </w:tc>
              <w:tc>
                <w:tcPr>
                  <w:tcW w:w="405" w:type="pct"/>
                  <w:shd w:val="clear" w:color="auto" w:fill="auto"/>
                  <w:vAlign w:val="center"/>
                </w:tcPr>
                <w:p>
                  <w:pPr>
                    <w:pStyle w:val="66"/>
                    <w:bidi w:val="0"/>
                    <w:rPr>
                      <w:rFonts w:hint="eastAsia" w:ascii="Times New Roman" w:hAnsi="Times New Roman" w:eastAsia="宋体" w:cs="宋体"/>
                      <w:kern w:val="0"/>
                      <w:sz w:val="21"/>
                      <w:szCs w:val="21"/>
                      <w:highlight w:val="none"/>
                      <w:lang w:val="en-US" w:eastAsia="zh-CN" w:bidi="ar-SA"/>
                    </w:rPr>
                  </w:pPr>
                  <w:r>
                    <w:rPr>
                      <w:rFonts w:hint="eastAsia"/>
                      <w:highlight w:val="none"/>
                      <w:lang w:val="en-US" w:eastAsia="zh-CN"/>
                    </w:rPr>
                    <w:t>1.15</w:t>
                  </w:r>
                </w:p>
              </w:tc>
              <w:tc>
                <w:tcPr>
                  <w:tcW w:w="341" w:type="pct"/>
                  <w:shd w:val="clear" w:color="auto" w:fill="auto"/>
                  <w:vAlign w:val="center"/>
                </w:tcPr>
                <w:p>
                  <w:pPr>
                    <w:pStyle w:val="66"/>
                    <w:bidi w:val="0"/>
                    <w:rPr>
                      <w:rFonts w:hint="eastAsia" w:ascii="Times New Roman" w:hAnsi="Times New Roman" w:eastAsia="宋体" w:cs="宋体"/>
                      <w:kern w:val="0"/>
                      <w:sz w:val="21"/>
                      <w:szCs w:val="21"/>
                      <w:highlight w:val="none"/>
                      <w:lang w:val="en-US" w:eastAsia="zh-CN" w:bidi="ar-SA"/>
                    </w:rPr>
                  </w:pPr>
                  <w:r>
                    <w:rPr>
                      <w:rFonts w:hint="eastAsia"/>
                      <w:highlight w:val="none"/>
                      <w:lang w:val="en-US" w:eastAsia="zh-CN"/>
                    </w:rPr>
                    <w:t>/</w:t>
                  </w:r>
                </w:p>
              </w:tc>
              <w:tc>
                <w:tcPr>
                  <w:tcW w:w="453"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厂房密闭</w:t>
                  </w:r>
                </w:p>
              </w:tc>
              <w:tc>
                <w:tcPr>
                  <w:tcW w:w="302"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w:t>
                  </w:r>
                </w:p>
              </w:tc>
              <w:tc>
                <w:tcPr>
                  <w:tcW w:w="293"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w:t>
                  </w:r>
                </w:p>
              </w:tc>
              <w:tc>
                <w:tcPr>
                  <w:tcW w:w="268"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w:t>
                  </w:r>
                </w:p>
              </w:tc>
              <w:tc>
                <w:tcPr>
                  <w:tcW w:w="267" w:type="pct"/>
                  <w:shd w:val="clear" w:color="auto" w:fill="auto"/>
                  <w:vAlign w:val="center"/>
                </w:tcPr>
                <w:p>
                  <w:pPr>
                    <w:pStyle w:val="66"/>
                    <w:bidi w:val="0"/>
                    <w:rPr>
                      <w:rFonts w:hint="eastAsia" w:ascii="Times New Roman" w:hAnsi="Times New Roman" w:eastAsia="宋体" w:cs="宋体"/>
                      <w:kern w:val="0"/>
                      <w:sz w:val="21"/>
                      <w:szCs w:val="21"/>
                      <w:highlight w:val="none"/>
                      <w:lang w:val="en-US" w:eastAsia="zh-CN" w:bidi="ar-SA"/>
                    </w:rPr>
                  </w:pPr>
                  <w:r>
                    <w:rPr>
                      <w:rFonts w:hint="eastAsia"/>
                      <w:lang w:val="en-US" w:eastAsia="zh-CN"/>
                    </w:rPr>
                    <w:t>5.51</w:t>
                  </w:r>
                </w:p>
              </w:tc>
              <w:tc>
                <w:tcPr>
                  <w:tcW w:w="260" w:type="pct"/>
                  <w:shd w:val="clear" w:color="auto" w:fill="auto"/>
                  <w:vAlign w:val="center"/>
                </w:tcPr>
                <w:p>
                  <w:pPr>
                    <w:pStyle w:val="66"/>
                    <w:bidi w:val="0"/>
                    <w:rPr>
                      <w:rFonts w:hint="eastAsia" w:ascii="Times New Roman" w:hAnsi="Times New Roman" w:eastAsia="宋体" w:cs="宋体"/>
                      <w:kern w:val="0"/>
                      <w:sz w:val="21"/>
                      <w:szCs w:val="21"/>
                      <w:highlight w:val="none"/>
                      <w:lang w:val="en-US" w:eastAsia="zh-CN" w:bidi="ar-SA"/>
                    </w:rPr>
                  </w:pPr>
                  <w:r>
                    <w:rPr>
                      <w:rFonts w:hint="eastAsia"/>
                      <w:highlight w:val="none"/>
                      <w:lang w:val="en-US" w:eastAsia="zh-CN"/>
                    </w:rPr>
                    <w:t>1.15</w:t>
                  </w:r>
                </w:p>
              </w:tc>
              <w:tc>
                <w:tcPr>
                  <w:tcW w:w="335" w:type="pct"/>
                  <w:shd w:val="clear" w:color="auto" w:fill="auto"/>
                  <w:vAlign w:val="center"/>
                </w:tcPr>
                <w:p>
                  <w:pPr>
                    <w:pStyle w:val="66"/>
                    <w:bidi w:val="0"/>
                    <w:rPr>
                      <w:rFonts w:hint="eastAsia" w:ascii="Times New Roman" w:hAnsi="Times New Roman" w:eastAsia="宋体" w:cs="宋体"/>
                      <w:kern w:val="0"/>
                      <w:sz w:val="21"/>
                      <w:szCs w:val="21"/>
                      <w:highlight w:val="none"/>
                      <w:lang w:val="en-US" w:eastAsia="zh-CN" w:bidi="ar-SA"/>
                    </w:rPr>
                  </w:pPr>
                  <w:r>
                    <w:rPr>
                      <w:rFonts w:hint="eastAsia"/>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6"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有组织</w:t>
                  </w:r>
                </w:p>
              </w:tc>
              <w:tc>
                <w:tcPr>
                  <w:tcW w:w="613" w:type="pct"/>
                  <w:vMerge w:val="restar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3#生产线一级破碎、二级破碎、筛分、三级破碎工序</w:t>
                  </w:r>
                </w:p>
              </w:tc>
              <w:tc>
                <w:tcPr>
                  <w:tcW w:w="344"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DA003</w:t>
                  </w:r>
                </w:p>
              </w:tc>
              <w:tc>
                <w:tcPr>
                  <w:tcW w:w="402"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颗粒物</w:t>
                  </w:r>
                </w:p>
              </w:tc>
              <w:tc>
                <w:tcPr>
                  <w:tcW w:w="486"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104.67</w:t>
                  </w:r>
                </w:p>
              </w:tc>
              <w:tc>
                <w:tcPr>
                  <w:tcW w:w="405"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highlight w:val="none"/>
                      <w:lang w:val="en-US" w:eastAsia="zh-CN"/>
                    </w:rPr>
                    <w:t>21.81</w:t>
                  </w:r>
                </w:p>
              </w:tc>
              <w:tc>
                <w:tcPr>
                  <w:tcW w:w="341" w:type="pct"/>
                  <w:shd w:val="clear" w:color="auto" w:fill="auto"/>
                  <w:vAlign w:val="center"/>
                </w:tcPr>
                <w:p>
                  <w:pPr>
                    <w:pStyle w:val="66"/>
                    <w:bidi w:val="0"/>
                    <w:rPr>
                      <w:rFonts w:hint="eastAsia" w:ascii="Times New Roman" w:hAnsi="Times New Roman" w:eastAsia="宋体" w:cs="宋体"/>
                      <w:kern w:val="0"/>
                      <w:sz w:val="21"/>
                      <w:szCs w:val="21"/>
                      <w:highlight w:val="none"/>
                      <w:lang w:val="en-US" w:eastAsia="zh-CN" w:bidi="ar-SA"/>
                    </w:rPr>
                  </w:pPr>
                  <w:r>
                    <w:rPr>
                      <w:rFonts w:hint="eastAsia"/>
                      <w:highlight w:val="none"/>
                      <w:lang w:val="en-US" w:eastAsia="zh-CN"/>
                    </w:rPr>
                    <w:t>7268</w:t>
                  </w:r>
                </w:p>
              </w:tc>
              <w:tc>
                <w:tcPr>
                  <w:tcW w:w="453"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布袋除尘器</w:t>
                  </w:r>
                </w:p>
              </w:tc>
              <w:tc>
                <w:tcPr>
                  <w:tcW w:w="302"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3000</w:t>
                  </w:r>
                </w:p>
              </w:tc>
              <w:tc>
                <w:tcPr>
                  <w:tcW w:w="293"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95</w:t>
                  </w:r>
                </w:p>
              </w:tc>
              <w:tc>
                <w:tcPr>
                  <w:tcW w:w="268"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99</w:t>
                  </w:r>
                </w:p>
              </w:tc>
              <w:tc>
                <w:tcPr>
                  <w:tcW w:w="267"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highlight w:val="none"/>
                      <w:lang w:val="en-US" w:eastAsia="zh-CN"/>
                    </w:rPr>
                    <w:t>1.05</w:t>
                  </w:r>
                </w:p>
              </w:tc>
              <w:tc>
                <w:tcPr>
                  <w:tcW w:w="260"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highlight w:val="none"/>
                      <w:lang w:val="en-US" w:eastAsia="zh-CN"/>
                    </w:rPr>
                    <w:t>0.22</w:t>
                  </w:r>
                </w:p>
              </w:tc>
              <w:tc>
                <w:tcPr>
                  <w:tcW w:w="335"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highlight w:val="none"/>
                      <w:lang w:val="en-US" w:eastAsia="zh-CN"/>
                    </w:rPr>
                    <w:t>72.68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226"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无组织</w:t>
                  </w:r>
                </w:p>
              </w:tc>
              <w:tc>
                <w:tcPr>
                  <w:tcW w:w="613" w:type="pct"/>
                  <w:vMerge w:val="continue"/>
                  <w:vAlign w:val="center"/>
                </w:tcPr>
                <w:p>
                  <w:pPr>
                    <w:pStyle w:val="66"/>
                    <w:bidi w:val="0"/>
                    <w:rPr>
                      <w:rFonts w:hint="eastAsia"/>
                      <w:lang w:val="en-US" w:eastAsia="zh-CN"/>
                    </w:rPr>
                  </w:pPr>
                </w:p>
              </w:tc>
              <w:tc>
                <w:tcPr>
                  <w:tcW w:w="344"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w:t>
                  </w:r>
                </w:p>
              </w:tc>
              <w:tc>
                <w:tcPr>
                  <w:tcW w:w="402"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颗粒物</w:t>
                  </w:r>
                </w:p>
              </w:tc>
              <w:tc>
                <w:tcPr>
                  <w:tcW w:w="486"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5.51</w:t>
                  </w:r>
                </w:p>
              </w:tc>
              <w:tc>
                <w:tcPr>
                  <w:tcW w:w="405" w:type="pct"/>
                  <w:shd w:val="clear" w:color="auto" w:fill="auto"/>
                  <w:vAlign w:val="center"/>
                </w:tcPr>
                <w:p>
                  <w:pPr>
                    <w:pStyle w:val="66"/>
                    <w:bidi w:val="0"/>
                    <w:rPr>
                      <w:rFonts w:hint="eastAsia" w:ascii="Times New Roman" w:hAnsi="Times New Roman" w:eastAsia="宋体" w:cs="宋体"/>
                      <w:kern w:val="0"/>
                      <w:sz w:val="21"/>
                      <w:szCs w:val="21"/>
                      <w:highlight w:val="none"/>
                      <w:lang w:val="en-US" w:eastAsia="zh-CN" w:bidi="ar-SA"/>
                    </w:rPr>
                  </w:pPr>
                  <w:r>
                    <w:rPr>
                      <w:rFonts w:hint="eastAsia"/>
                      <w:highlight w:val="none"/>
                      <w:lang w:val="en-US" w:eastAsia="zh-CN"/>
                    </w:rPr>
                    <w:t>1.15</w:t>
                  </w:r>
                </w:p>
              </w:tc>
              <w:tc>
                <w:tcPr>
                  <w:tcW w:w="341" w:type="pct"/>
                  <w:shd w:val="clear" w:color="auto" w:fill="auto"/>
                  <w:vAlign w:val="center"/>
                </w:tcPr>
                <w:p>
                  <w:pPr>
                    <w:pStyle w:val="66"/>
                    <w:bidi w:val="0"/>
                    <w:rPr>
                      <w:rFonts w:hint="eastAsia" w:ascii="Times New Roman" w:hAnsi="Times New Roman" w:eastAsia="宋体" w:cs="宋体"/>
                      <w:kern w:val="0"/>
                      <w:sz w:val="21"/>
                      <w:szCs w:val="21"/>
                      <w:highlight w:val="none"/>
                      <w:lang w:val="en-US" w:eastAsia="zh-CN" w:bidi="ar-SA"/>
                    </w:rPr>
                  </w:pPr>
                  <w:r>
                    <w:rPr>
                      <w:rFonts w:hint="eastAsia"/>
                      <w:highlight w:val="none"/>
                      <w:lang w:val="en-US" w:eastAsia="zh-CN"/>
                    </w:rPr>
                    <w:t>/</w:t>
                  </w:r>
                </w:p>
              </w:tc>
              <w:tc>
                <w:tcPr>
                  <w:tcW w:w="453"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厂房密闭</w:t>
                  </w:r>
                </w:p>
              </w:tc>
              <w:tc>
                <w:tcPr>
                  <w:tcW w:w="302"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w:t>
                  </w:r>
                </w:p>
              </w:tc>
              <w:tc>
                <w:tcPr>
                  <w:tcW w:w="293"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w:t>
                  </w:r>
                </w:p>
              </w:tc>
              <w:tc>
                <w:tcPr>
                  <w:tcW w:w="268"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w:t>
                  </w:r>
                </w:p>
              </w:tc>
              <w:tc>
                <w:tcPr>
                  <w:tcW w:w="267" w:type="pct"/>
                  <w:shd w:val="clear" w:color="auto" w:fill="auto"/>
                  <w:vAlign w:val="center"/>
                </w:tcPr>
                <w:p>
                  <w:pPr>
                    <w:pStyle w:val="66"/>
                    <w:bidi w:val="0"/>
                    <w:rPr>
                      <w:rFonts w:hint="eastAsia" w:ascii="Times New Roman" w:hAnsi="Times New Roman" w:eastAsia="宋体" w:cs="宋体"/>
                      <w:kern w:val="0"/>
                      <w:sz w:val="21"/>
                      <w:szCs w:val="21"/>
                      <w:highlight w:val="none"/>
                      <w:lang w:val="en-US" w:eastAsia="zh-CN" w:bidi="ar-SA"/>
                    </w:rPr>
                  </w:pPr>
                  <w:r>
                    <w:rPr>
                      <w:rFonts w:hint="eastAsia"/>
                      <w:lang w:val="en-US" w:eastAsia="zh-CN"/>
                    </w:rPr>
                    <w:t>5.51</w:t>
                  </w:r>
                </w:p>
              </w:tc>
              <w:tc>
                <w:tcPr>
                  <w:tcW w:w="260" w:type="pct"/>
                  <w:shd w:val="clear" w:color="auto" w:fill="auto"/>
                  <w:vAlign w:val="center"/>
                </w:tcPr>
                <w:p>
                  <w:pPr>
                    <w:pStyle w:val="66"/>
                    <w:bidi w:val="0"/>
                    <w:rPr>
                      <w:rFonts w:hint="eastAsia" w:ascii="Times New Roman" w:hAnsi="Times New Roman" w:eastAsia="宋体" w:cs="宋体"/>
                      <w:kern w:val="0"/>
                      <w:sz w:val="21"/>
                      <w:szCs w:val="21"/>
                      <w:highlight w:val="none"/>
                      <w:lang w:val="en-US" w:eastAsia="zh-CN" w:bidi="ar-SA"/>
                    </w:rPr>
                  </w:pPr>
                  <w:r>
                    <w:rPr>
                      <w:rFonts w:hint="eastAsia"/>
                      <w:highlight w:val="none"/>
                      <w:lang w:val="en-US" w:eastAsia="zh-CN"/>
                    </w:rPr>
                    <w:t>1.15</w:t>
                  </w:r>
                </w:p>
              </w:tc>
              <w:tc>
                <w:tcPr>
                  <w:tcW w:w="335" w:type="pct"/>
                  <w:shd w:val="clear" w:color="auto" w:fill="auto"/>
                  <w:vAlign w:val="center"/>
                </w:tcPr>
                <w:p>
                  <w:pPr>
                    <w:pStyle w:val="66"/>
                    <w:bidi w:val="0"/>
                    <w:rPr>
                      <w:rFonts w:hint="eastAsia" w:ascii="Times New Roman" w:hAnsi="Times New Roman" w:eastAsia="宋体" w:cs="宋体"/>
                      <w:kern w:val="0"/>
                      <w:sz w:val="21"/>
                      <w:szCs w:val="21"/>
                      <w:highlight w:val="none"/>
                      <w:lang w:val="en-US" w:eastAsia="zh-CN" w:bidi="ar-SA"/>
                    </w:rPr>
                  </w:pPr>
                  <w:r>
                    <w:rPr>
                      <w:rFonts w:hint="eastAsia"/>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6"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有组织</w:t>
                  </w:r>
                </w:p>
              </w:tc>
              <w:tc>
                <w:tcPr>
                  <w:tcW w:w="613" w:type="pct"/>
                  <w:vMerge w:val="restar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4#生产线一级破碎、二级破碎、筛分、三级破碎工序</w:t>
                  </w:r>
                </w:p>
              </w:tc>
              <w:tc>
                <w:tcPr>
                  <w:tcW w:w="344"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DA004</w:t>
                  </w:r>
                </w:p>
              </w:tc>
              <w:tc>
                <w:tcPr>
                  <w:tcW w:w="402"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颗粒物</w:t>
                  </w:r>
                </w:p>
              </w:tc>
              <w:tc>
                <w:tcPr>
                  <w:tcW w:w="486"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104.67</w:t>
                  </w:r>
                </w:p>
              </w:tc>
              <w:tc>
                <w:tcPr>
                  <w:tcW w:w="405"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highlight w:val="none"/>
                      <w:lang w:val="en-US" w:eastAsia="zh-CN"/>
                    </w:rPr>
                    <w:t>21.81</w:t>
                  </w:r>
                </w:p>
              </w:tc>
              <w:tc>
                <w:tcPr>
                  <w:tcW w:w="341" w:type="pct"/>
                  <w:shd w:val="clear" w:color="auto" w:fill="auto"/>
                  <w:vAlign w:val="center"/>
                </w:tcPr>
                <w:p>
                  <w:pPr>
                    <w:pStyle w:val="66"/>
                    <w:bidi w:val="0"/>
                    <w:rPr>
                      <w:rFonts w:hint="eastAsia" w:ascii="Times New Roman" w:hAnsi="Times New Roman" w:eastAsia="宋体" w:cs="宋体"/>
                      <w:kern w:val="0"/>
                      <w:sz w:val="21"/>
                      <w:szCs w:val="21"/>
                      <w:highlight w:val="none"/>
                      <w:lang w:val="en-US" w:eastAsia="zh-CN" w:bidi="ar-SA"/>
                    </w:rPr>
                  </w:pPr>
                  <w:r>
                    <w:rPr>
                      <w:rFonts w:hint="eastAsia"/>
                      <w:highlight w:val="none"/>
                      <w:lang w:val="en-US" w:eastAsia="zh-CN"/>
                    </w:rPr>
                    <w:t>7268</w:t>
                  </w:r>
                </w:p>
              </w:tc>
              <w:tc>
                <w:tcPr>
                  <w:tcW w:w="453"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布袋除尘器</w:t>
                  </w:r>
                </w:p>
              </w:tc>
              <w:tc>
                <w:tcPr>
                  <w:tcW w:w="302"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3000</w:t>
                  </w:r>
                </w:p>
              </w:tc>
              <w:tc>
                <w:tcPr>
                  <w:tcW w:w="293"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95</w:t>
                  </w:r>
                </w:p>
              </w:tc>
              <w:tc>
                <w:tcPr>
                  <w:tcW w:w="268"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99</w:t>
                  </w:r>
                </w:p>
              </w:tc>
              <w:tc>
                <w:tcPr>
                  <w:tcW w:w="267"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highlight w:val="none"/>
                      <w:lang w:val="en-US" w:eastAsia="zh-CN"/>
                    </w:rPr>
                    <w:t>1.05</w:t>
                  </w:r>
                </w:p>
              </w:tc>
              <w:tc>
                <w:tcPr>
                  <w:tcW w:w="260"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highlight w:val="none"/>
                      <w:lang w:val="en-US" w:eastAsia="zh-CN"/>
                    </w:rPr>
                    <w:t>0.22</w:t>
                  </w:r>
                </w:p>
              </w:tc>
              <w:tc>
                <w:tcPr>
                  <w:tcW w:w="335"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highlight w:val="none"/>
                      <w:lang w:val="en-US" w:eastAsia="zh-CN"/>
                    </w:rPr>
                    <w:t>72.68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226"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无组织</w:t>
                  </w:r>
                </w:p>
              </w:tc>
              <w:tc>
                <w:tcPr>
                  <w:tcW w:w="613" w:type="pct"/>
                  <w:vMerge w:val="continue"/>
                  <w:vAlign w:val="center"/>
                </w:tcPr>
                <w:p>
                  <w:pPr>
                    <w:pStyle w:val="66"/>
                    <w:bidi w:val="0"/>
                    <w:rPr>
                      <w:rFonts w:hint="eastAsia"/>
                      <w:lang w:val="en-US" w:eastAsia="zh-CN"/>
                    </w:rPr>
                  </w:pPr>
                </w:p>
              </w:tc>
              <w:tc>
                <w:tcPr>
                  <w:tcW w:w="344"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w:t>
                  </w:r>
                </w:p>
              </w:tc>
              <w:tc>
                <w:tcPr>
                  <w:tcW w:w="402"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颗粒物</w:t>
                  </w:r>
                </w:p>
              </w:tc>
              <w:tc>
                <w:tcPr>
                  <w:tcW w:w="486"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5.51</w:t>
                  </w:r>
                </w:p>
              </w:tc>
              <w:tc>
                <w:tcPr>
                  <w:tcW w:w="405" w:type="pct"/>
                  <w:shd w:val="clear" w:color="auto" w:fill="auto"/>
                  <w:vAlign w:val="center"/>
                </w:tcPr>
                <w:p>
                  <w:pPr>
                    <w:pStyle w:val="66"/>
                    <w:bidi w:val="0"/>
                    <w:rPr>
                      <w:rFonts w:hint="eastAsia" w:ascii="Times New Roman" w:hAnsi="Times New Roman" w:eastAsia="宋体" w:cs="宋体"/>
                      <w:kern w:val="0"/>
                      <w:sz w:val="21"/>
                      <w:szCs w:val="21"/>
                      <w:highlight w:val="none"/>
                      <w:lang w:val="en-US" w:eastAsia="zh-CN" w:bidi="ar-SA"/>
                    </w:rPr>
                  </w:pPr>
                  <w:r>
                    <w:rPr>
                      <w:rFonts w:hint="eastAsia"/>
                      <w:highlight w:val="none"/>
                      <w:lang w:val="en-US" w:eastAsia="zh-CN"/>
                    </w:rPr>
                    <w:t>1.15</w:t>
                  </w:r>
                </w:p>
              </w:tc>
              <w:tc>
                <w:tcPr>
                  <w:tcW w:w="341" w:type="pct"/>
                  <w:shd w:val="clear" w:color="auto" w:fill="auto"/>
                  <w:vAlign w:val="center"/>
                </w:tcPr>
                <w:p>
                  <w:pPr>
                    <w:pStyle w:val="66"/>
                    <w:bidi w:val="0"/>
                    <w:rPr>
                      <w:rFonts w:hint="eastAsia" w:ascii="Times New Roman" w:hAnsi="Times New Roman" w:eastAsia="宋体" w:cs="宋体"/>
                      <w:kern w:val="0"/>
                      <w:sz w:val="21"/>
                      <w:szCs w:val="21"/>
                      <w:highlight w:val="none"/>
                      <w:lang w:val="en-US" w:eastAsia="zh-CN" w:bidi="ar-SA"/>
                    </w:rPr>
                  </w:pPr>
                  <w:r>
                    <w:rPr>
                      <w:rFonts w:hint="eastAsia"/>
                      <w:highlight w:val="none"/>
                      <w:lang w:val="en-US" w:eastAsia="zh-CN"/>
                    </w:rPr>
                    <w:t>/</w:t>
                  </w:r>
                </w:p>
              </w:tc>
              <w:tc>
                <w:tcPr>
                  <w:tcW w:w="453"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厂房密闭</w:t>
                  </w:r>
                </w:p>
              </w:tc>
              <w:tc>
                <w:tcPr>
                  <w:tcW w:w="302"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w:t>
                  </w:r>
                </w:p>
              </w:tc>
              <w:tc>
                <w:tcPr>
                  <w:tcW w:w="293"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w:t>
                  </w:r>
                </w:p>
              </w:tc>
              <w:tc>
                <w:tcPr>
                  <w:tcW w:w="268"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w:t>
                  </w:r>
                </w:p>
              </w:tc>
              <w:tc>
                <w:tcPr>
                  <w:tcW w:w="267" w:type="pct"/>
                  <w:shd w:val="clear" w:color="auto" w:fill="auto"/>
                  <w:vAlign w:val="center"/>
                </w:tcPr>
                <w:p>
                  <w:pPr>
                    <w:pStyle w:val="66"/>
                    <w:bidi w:val="0"/>
                    <w:rPr>
                      <w:rFonts w:hint="eastAsia" w:ascii="Times New Roman" w:hAnsi="Times New Roman" w:eastAsia="宋体" w:cs="宋体"/>
                      <w:kern w:val="0"/>
                      <w:sz w:val="21"/>
                      <w:szCs w:val="21"/>
                      <w:highlight w:val="none"/>
                      <w:lang w:val="en-US" w:eastAsia="zh-CN" w:bidi="ar-SA"/>
                    </w:rPr>
                  </w:pPr>
                  <w:r>
                    <w:rPr>
                      <w:rFonts w:hint="eastAsia"/>
                      <w:lang w:val="en-US" w:eastAsia="zh-CN"/>
                    </w:rPr>
                    <w:t>5.51</w:t>
                  </w:r>
                </w:p>
              </w:tc>
              <w:tc>
                <w:tcPr>
                  <w:tcW w:w="260" w:type="pct"/>
                  <w:shd w:val="clear" w:color="auto" w:fill="auto"/>
                  <w:vAlign w:val="center"/>
                </w:tcPr>
                <w:p>
                  <w:pPr>
                    <w:pStyle w:val="66"/>
                    <w:bidi w:val="0"/>
                    <w:rPr>
                      <w:rFonts w:hint="eastAsia" w:ascii="Times New Roman" w:hAnsi="Times New Roman" w:eastAsia="宋体" w:cs="宋体"/>
                      <w:kern w:val="0"/>
                      <w:sz w:val="21"/>
                      <w:szCs w:val="21"/>
                      <w:highlight w:val="none"/>
                      <w:lang w:val="en-US" w:eastAsia="zh-CN" w:bidi="ar-SA"/>
                    </w:rPr>
                  </w:pPr>
                  <w:r>
                    <w:rPr>
                      <w:rFonts w:hint="eastAsia"/>
                      <w:highlight w:val="none"/>
                      <w:lang w:val="en-US" w:eastAsia="zh-CN"/>
                    </w:rPr>
                    <w:t>1.15</w:t>
                  </w:r>
                </w:p>
              </w:tc>
              <w:tc>
                <w:tcPr>
                  <w:tcW w:w="335" w:type="pct"/>
                  <w:shd w:val="clear" w:color="auto" w:fill="auto"/>
                  <w:vAlign w:val="center"/>
                </w:tcPr>
                <w:p>
                  <w:pPr>
                    <w:pStyle w:val="66"/>
                    <w:bidi w:val="0"/>
                    <w:rPr>
                      <w:rFonts w:hint="eastAsia" w:ascii="Times New Roman" w:hAnsi="Times New Roman" w:eastAsia="宋体" w:cs="宋体"/>
                      <w:kern w:val="0"/>
                      <w:sz w:val="21"/>
                      <w:szCs w:val="21"/>
                      <w:highlight w:val="none"/>
                      <w:lang w:val="en-US" w:eastAsia="zh-CN" w:bidi="ar-SA"/>
                    </w:rPr>
                  </w:pPr>
                  <w:r>
                    <w:rPr>
                      <w:rFonts w:hint="eastAsia"/>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6" w:type="pct"/>
                  <w:vMerge w:val="restart"/>
                  <w:vAlign w:val="center"/>
                </w:tcPr>
                <w:p>
                  <w:pPr>
                    <w:pStyle w:val="66"/>
                    <w:bidi w:val="0"/>
                    <w:rPr>
                      <w:rFonts w:hint="default"/>
                      <w:lang w:val="en-US" w:eastAsia="zh-CN"/>
                    </w:rPr>
                  </w:pPr>
                  <w:r>
                    <w:rPr>
                      <w:rFonts w:hint="eastAsia"/>
                      <w:lang w:val="en-US" w:eastAsia="zh-CN"/>
                    </w:rPr>
                    <w:t>无组织</w:t>
                  </w:r>
                </w:p>
              </w:tc>
              <w:tc>
                <w:tcPr>
                  <w:tcW w:w="613" w:type="pct"/>
                  <w:shd w:val="clear" w:color="auto" w:fill="auto"/>
                  <w:vAlign w:val="center"/>
                </w:tcPr>
                <w:p>
                  <w:pPr>
                    <w:pStyle w:val="66"/>
                    <w:bidi w:val="0"/>
                    <w:rPr>
                      <w:rFonts w:hint="default"/>
                      <w:lang w:val="en-US" w:eastAsia="zh-CN"/>
                    </w:rPr>
                  </w:pPr>
                  <w:r>
                    <w:rPr>
                      <w:rFonts w:hint="eastAsia"/>
                      <w:lang w:val="en-US" w:eastAsia="zh-CN"/>
                    </w:rPr>
                    <w:t>输送粉尘</w:t>
                  </w:r>
                </w:p>
              </w:tc>
              <w:tc>
                <w:tcPr>
                  <w:tcW w:w="344" w:type="pct"/>
                  <w:shd w:val="clear" w:color="auto" w:fill="auto"/>
                  <w:vAlign w:val="center"/>
                </w:tcPr>
                <w:p>
                  <w:pPr>
                    <w:pStyle w:val="66"/>
                    <w:bidi w:val="0"/>
                    <w:rPr>
                      <w:rFonts w:hint="eastAsia"/>
                      <w:lang w:val="en-US" w:eastAsia="zh-CN"/>
                    </w:rPr>
                  </w:pPr>
                  <w:r>
                    <w:rPr>
                      <w:rFonts w:hint="eastAsia"/>
                      <w:lang w:val="en-US" w:eastAsia="zh-CN"/>
                    </w:rPr>
                    <w:t>/</w:t>
                  </w:r>
                </w:p>
              </w:tc>
              <w:tc>
                <w:tcPr>
                  <w:tcW w:w="402" w:type="pct"/>
                  <w:shd w:val="clear" w:color="auto" w:fill="auto"/>
                  <w:vAlign w:val="center"/>
                </w:tcPr>
                <w:p>
                  <w:pPr>
                    <w:pStyle w:val="66"/>
                    <w:bidi w:val="0"/>
                    <w:rPr>
                      <w:rFonts w:hint="eastAsia"/>
                      <w:lang w:val="en-US" w:eastAsia="zh-CN"/>
                    </w:rPr>
                  </w:pPr>
                  <w:r>
                    <w:rPr>
                      <w:rFonts w:hint="eastAsia"/>
                      <w:lang w:val="en-US" w:eastAsia="zh-CN"/>
                    </w:rPr>
                    <w:t>颗粒物</w:t>
                  </w:r>
                </w:p>
              </w:tc>
              <w:tc>
                <w:tcPr>
                  <w:tcW w:w="486" w:type="pct"/>
                  <w:shd w:val="clear" w:color="auto" w:fill="auto"/>
                  <w:vAlign w:val="center"/>
                </w:tcPr>
                <w:p>
                  <w:pPr>
                    <w:pStyle w:val="66"/>
                    <w:bidi w:val="0"/>
                    <w:rPr>
                      <w:rFonts w:hint="default"/>
                      <w:lang w:val="en-US" w:eastAsia="zh-CN"/>
                    </w:rPr>
                  </w:pPr>
                  <w:r>
                    <w:rPr>
                      <w:rFonts w:hint="eastAsia"/>
                      <w:lang w:val="en-US" w:eastAsia="zh-CN"/>
                    </w:rPr>
                    <w:t>少量</w:t>
                  </w:r>
                </w:p>
              </w:tc>
              <w:tc>
                <w:tcPr>
                  <w:tcW w:w="405" w:type="pct"/>
                  <w:shd w:val="clear" w:color="auto" w:fill="auto"/>
                  <w:vAlign w:val="center"/>
                </w:tcPr>
                <w:p>
                  <w:pPr>
                    <w:pStyle w:val="66"/>
                    <w:bidi w:val="0"/>
                    <w:rPr>
                      <w:rFonts w:hint="eastAsia"/>
                      <w:lang w:val="en-US" w:eastAsia="zh-CN"/>
                    </w:rPr>
                  </w:pPr>
                  <w:r>
                    <w:rPr>
                      <w:rFonts w:hint="eastAsia"/>
                      <w:lang w:val="en-US" w:eastAsia="zh-CN"/>
                    </w:rPr>
                    <w:t>/</w:t>
                  </w:r>
                </w:p>
              </w:tc>
              <w:tc>
                <w:tcPr>
                  <w:tcW w:w="341" w:type="pct"/>
                  <w:shd w:val="clear" w:color="auto" w:fill="auto"/>
                  <w:vAlign w:val="center"/>
                </w:tcPr>
                <w:p>
                  <w:pPr>
                    <w:pStyle w:val="66"/>
                    <w:bidi w:val="0"/>
                    <w:rPr>
                      <w:rFonts w:hint="eastAsia"/>
                      <w:lang w:val="en-US" w:eastAsia="zh-CN"/>
                    </w:rPr>
                  </w:pPr>
                  <w:r>
                    <w:rPr>
                      <w:rFonts w:hint="eastAsia"/>
                      <w:lang w:val="en-US" w:eastAsia="zh-CN"/>
                    </w:rPr>
                    <w:t>/</w:t>
                  </w:r>
                </w:p>
              </w:tc>
              <w:tc>
                <w:tcPr>
                  <w:tcW w:w="453" w:type="pct"/>
                  <w:shd w:val="clear" w:color="auto" w:fill="auto"/>
                  <w:vAlign w:val="center"/>
                </w:tcPr>
                <w:p>
                  <w:pPr>
                    <w:pStyle w:val="66"/>
                    <w:bidi w:val="0"/>
                    <w:rPr>
                      <w:rFonts w:hint="default"/>
                      <w:lang w:val="en-US" w:eastAsia="zh-CN"/>
                    </w:rPr>
                  </w:pPr>
                  <w:r>
                    <w:rPr>
                      <w:rFonts w:hint="eastAsia"/>
                      <w:lang w:val="en-US" w:eastAsia="zh-CN"/>
                    </w:rPr>
                    <w:t>场地硬化、洒水降尘</w:t>
                  </w:r>
                </w:p>
              </w:tc>
              <w:tc>
                <w:tcPr>
                  <w:tcW w:w="302" w:type="pct"/>
                  <w:shd w:val="clear" w:color="auto" w:fill="auto"/>
                  <w:vAlign w:val="center"/>
                </w:tcPr>
                <w:p>
                  <w:pPr>
                    <w:pStyle w:val="66"/>
                    <w:bidi w:val="0"/>
                    <w:rPr>
                      <w:rFonts w:hint="eastAsia"/>
                      <w:lang w:val="en-US" w:eastAsia="zh-CN"/>
                    </w:rPr>
                  </w:pPr>
                  <w:r>
                    <w:rPr>
                      <w:rFonts w:hint="eastAsia"/>
                      <w:lang w:val="en-US" w:eastAsia="zh-CN"/>
                    </w:rPr>
                    <w:t>/</w:t>
                  </w:r>
                </w:p>
              </w:tc>
              <w:tc>
                <w:tcPr>
                  <w:tcW w:w="293" w:type="pct"/>
                  <w:shd w:val="clear" w:color="auto" w:fill="auto"/>
                  <w:vAlign w:val="center"/>
                </w:tcPr>
                <w:p>
                  <w:pPr>
                    <w:pStyle w:val="66"/>
                    <w:bidi w:val="0"/>
                    <w:rPr>
                      <w:rFonts w:hint="default"/>
                      <w:lang w:val="en-US" w:eastAsia="zh-CN"/>
                    </w:rPr>
                  </w:pPr>
                  <w:r>
                    <w:rPr>
                      <w:rFonts w:hint="eastAsia"/>
                      <w:lang w:val="en-US" w:eastAsia="zh-CN"/>
                    </w:rPr>
                    <w:t>/</w:t>
                  </w:r>
                </w:p>
              </w:tc>
              <w:tc>
                <w:tcPr>
                  <w:tcW w:w="268" w:type="pct"/>
                  <w:shd w:val="clear" w:color="auto" w:fill="auto"/>
                  <w:vAlign w:val="center"/>
                </w:tcPr>
                <w:p>
                  <w:pPr>
                    <w:pStyle w:val="66"/>
                    <w:bidi w:val="0"/>
                    <w:rPr>
                      <w:rFonts w:hint="eastAsia"/>
                      <w:lang w:val="en-US" w:eastAsia="zh-CN"/>
                    </w:rPr>
                  </w:pPr>
                  <w:r>
                    <w:rPr>
                      <w:rFonts w:hint="eastAsia"/>
                      <w:lang w:val="en-US" w:eastAsia="zh-CN"/>
                    </w:rPr>
                    <w:t>/</w:t>
                  </w:r>
                </w:p>
              </w:tc>
              <w:tc>
                <w:tcPr>
                  <w:tcW w:w="267" w:type="pct"/>
                  <w:shd w:val="clear" w:color="auto" w:fill="auto"/>
                  <w:vAlign w:val="center"/>
                </w:tcPr>
                <w:p>
                  <w:pPr>
                    <w:pStyle w:val="66"/>
                    <w:bidi w:val="0"/>
                    <w:rPr>
                      <w:rFonts w:hint="eastAsia"/>
                      <w:lang w:val="en-US" w:eastAsia="zh-CN"/>
                    </w:rPr>
                  </w:pPr>
                  <w:r>
                    <w:rPr>
                      <w:rFonts w:hint="eastAsia"/>
                      <w:lang w:val="en-US" w:eastAsia="zh-CN"/>
                    </w:rPr>
                    <w:t>少量</w:t>
                  </w:r>
                </w:p>
              </w:tc>
              <w:tc>
                <w:tcPr>
                  <w:tcW w:w="260" w:type="pct"/>
                  <w:shd w:val="clear" w:color="auto" w:fill="auto"/>
                  <w:vAlign w:val="center"/>
                </w:tcPr>
                <w:p>
                  <w:pPr>
                    <w:pStyle w:val="66"/>
                    <w:bidi w:val="0"/>
                    <w:rPr>
                      <w:rFonts w:hint="eastAsia"/>
                      <w:lang w:val="en-US" w:eastAsia="zh-CN"/>
                    </w:rPr>
                  </w:pPr>
                  <w:r>
                    <w:rPr>
                      <w:rFonts w:hint="eastAsia"/>
                      <w:lang w:val="en-US" w:eastAsia="zh-CN"/>
                    </w:rPr>
                    <w:t>/</w:t>
                  </w:r>
                </w:p>
              </w:tc>
              <w:tc>
                <w:tcPr>
                  <w:tcW w:w="335" w:type="pct"/>
                  <w:shd w:val="clear" w:color="auto" w:fill="auto"/>
                  <w:vAlign w:val="center"/>
                </w:tcPr>
                <w:p>
                  <w:pPr>
                    <w:pStyle w:val="66"/>
                    <w:bidi w:val="0"/>
                    <w:rPr>
                      <w:rFonts w:hint="eastAsia"/>
                      <w:lang w:val="en-US" w:eastAsia="zh-CN"/>
                    </w:rPr>
                  </w:pPr>
                  <w:r>
                    <w:rPr>
                      <w:rFonts w:hint="eastAsia"/>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26" w:type="pct"/>
                  <w:vMerge w:val="continue"/>
                  <w:vAlign w:val="center"/>
                </w:tcPr>
                <w:p>
                  <w:pPr>
                    <w:pStyle w:val="66"/>
                    <w:bidi w:val="0"/>
                    <w:rPr>
                      <w:rFonts w:hint="eastAsia"/>
                      <w:lang w:val="en-US" w:eastAsia="zh-CN"/>
                    </w:rPr>
                  </w:pPr>
                </w:p>
              </w:tc>
              <w:tc>
                <w:tcPr>
                  <w:tcW w:w="613" w:type="pct"/>
                  <w:shd w:val="clear" w:color="auto" w:fill="auto"/>
                  <w:vAlign w:val="center"/>
                </w:tcPr>
                <w:p>
                  <w:pPr>
                    <w:pStyle w:val="66"/>
                    <w:bidi w:val="0"/>
                    <w:rPr>
                      <w:rFonts w:hint="default"/>
                      <w:lang w:val="en-US" w:eastAsia="zh-CN"/>
                    </w:rPr>
                  </w:pPr>
                  <w:r>
                    <w:rPr>
                      <w:rFonts w:hint="eastAsia"/>
                      <w:lang w:val="en-US" w:eastAsia="zh-CN"/>
                    </w:rPr>
                    <w:t>上料粉尘</w:t>
                  </w:r>
                </w:p>
              </w:tc>
              <w:tc>
                <w:tcPr>
                  <w:tcW w:w="344" w:type="pct"/>
                  <w:shd w:val="clear" w:color="auto" w:fill="auto"/>
                  <w:vAlign w:val="center"/>
                </w:tcPr>
                <w:p>
                  <w:pPr>
                    <w:pStyle w:val="66"/>
                    <w:bidi w:val="0"/>
                    <w:rPr>
                      <w:rFonts w:hint="eastAsia"/>
                      <w:lang w:val="en-US" w:eastAsia="zh-CN"/>
                    </w:rPr>
                  </w:pPr>
                  <w:r>
                    <w:rPr>
                      <w:rFonts w:hint="eastAsia"/>
                      <w:lang w:val="en-US" w:eastAsia="zh-CN"/>
                    </w:rPr>
                    <w:t>/</w:t>
                  </w:r>
                </w:p>
              </w:tc>
              <w:tc>
                <w:tcPr>
                  <w:tcW w:w="402" w:type="pct"/>
                  <w:shd w:val="clear" w:color="auto" w:fill="auto"/>
                  <w:vAlign w:val="center"/>
                </w:tcPr>
                <w:p>
                  <w:pPr>
                    <w:pStyle w:val="66"/>
                    <w:bidi w:val="0"/>
                    <w:rPr>
                      <w:rFonts w:hint="default"/>
                      <w:lang w:val="en-US" w:eastAsia="zh-CN"/>
                    </w:rPr>
                  </w:pPr>
                  <w:r>
                    <w:rPr>
                      <w:rFonts w:hint="eastAsia"/>
                      <w:lang w:val="en-US" w:eastAsia="zh-CN"/>
                    </w:rPr>
                    <w:t>颗粒物</w:t>
                  </w:r>
                </w:p>
              </w:tc>
              <w:tc>
                <w:tcPr>
                  <w:tcW w:w="486" w:type="pct"/>
                  <w:shd w:val="clear" w:color="auto" w:fill="auto"/>
                  <w:vAlign w:val="center"/>
                </w:tcPr>
                <w:p>
                  <w:pPr>
                    <w:pStyle w:val="66"/>
                    <w:bidi w:val="0"/>
                    <w:rPr>
                      <w:rFonts w:hint="eastAsia"/>
                      <w:lang w:val="en-US" w:eastAsia="zh-CN"/>
                    </w:rPr>
                  </w:pPr>
                  <w:r>
                    <w:rPr>
                      <w:rFonts w:hint="eastAsia"/>
                      <w:lang w:val="en-US" w:eastAsia="zh-CN"/>
                    </w:rPr>
                    <w:t>少量</w:t>
                  </w:r>
                </w:p>
              </w:tc>
              <w:tc>
                <w:tcPr>
                  <w:tcW w:w="405" w:type="pct"/>
                  <w:shd w:val="clear" w:color="auto" w:fill="auto"/>
                  <w:vAlign w:val="center"/>
                </w:tcPr>
                <w:p>
                  <w:pPr>
                    <w:pStyle w:val="66"/>
                    <w:bidi w:val="0"/>
                    <w:rPr>
                      <w:rFonts w:hint="eastAsia"/>
                      <w:lang w:val="en-US" w:eastAsia="zh-CN"/>
                    </w:rPr>
                  </w:pPr>
                  <w:r>
                    <w:rPr>
                      <w:rFonts w:hint="eastAsia"/>
                      <w:lang w:val="en-US" w:eastAsia="zh-CN"/>
                    </w:rPr>
                    <w:t>/</w:t>
                  </w:r>
                </w:p>
              </w:tc>
              <w:tc>
                <w:tcPr>
                  <w:tcW w:w="341" w:type="pct"/>
                  <w:shd w:val="clear" w:color="auto" w:fill="auto"/>
                  <w:vAlign w:val="center"/>
                </w:tcPr>
                <w:p>
                  <w:pPr>
                    <w:pStyle w:val="66"/>
                    <w:bidi w:val="0"/>
                    <w:rPr>
                      <w:rFonts w:hint="eastAsia"/>
                      <w:lang w:val="en-US" w:eastAsia="zh-CN"/>
                    </w:rPr>
                  </w:pPr>
                  <w:r>
                    <w:rPr>
                      <w:rFonts w:hint="eastAsia"/>
                      <w:lang w:val="en-US" w:eastAsia="zh-CN"/>
                    </w:rPr>
                    <w:t>/</w:t>
                  </w:r>
                </w:p>
              </w:tc>
              <w:tc>
                <w:tcPr>
                  <w:tcW w:w="453" w:type="pct"/>
                  <w:shd w:val="clear" w:color="auto" w:fill="auto"/>
                  <w:vAlign w:val="center"/>
                </w:tcPr>
                <w:p>
                  <w:pPr>
                    <w:pStyle w:val="66"/>
                    <w:bidi w:val="0"/>
                    <w:rPr>
                      <w:rFonts w:hint="default"/>
                      <w:lang w:val="en-US" w:eastAsia="zh-CN"/>
                    </w:rPr>
                  </w:pPr>
                  <w:r>
                    <w:rPr>
                      <w:rFonts w:hint="eastAsia"/>
                      <w:lang w:val="en-US" w:eastAsia="zh-CN"/>
                    </w:rPr>
                    <w:t>输送皮带密闭</w:t>
                  </w:r>
                </w:p>
              </w:tc>
              <w:tc>
                <w:tcPr>
                  <w:tcW w:w="302" w:type="pct"/>
                  <w:shd w:val="clear" w:color="auto" w:fill="auto"/>
                  <w:vAlign w:val="center"/>
                </w:tcPr>
                <w:p>
                  <w:pPr>
                    <w:pStyle w:val="66"/>
                    <w:bidi w:val="0"/>
                    <w:rPr>
                      <w:rFonts w:hint="eastAsia"/>
                      <w:lang w:val="en-US" w:eastAsia="zh-CN"/>
                    </w:rPr>
                  </w:pPr>
                  <w:r>
                    <w:rPr>
                      <w:rFonts w:hint="eastAsia"/>
                      <w:lang w:val="en-US" w:eastAsia="zh-CN"/>
                    </w:rPr>
                    <w:t>/</w:t>
                  </w:r>
                </w:p>
              </w:tc>
              <w:tc>
                <w:tcPr>
                  <w:tcW w:w="293" w:type="pct"/>
                  <w:shd w:val="clear" w:color="auto" w:fill="auto"/>
                  <w:vAlign w:val="center"/>
                </w:tcPr>
                <w:p>
                  <w:pPr>
                    <w:pStyle w:val="66"/>
                    <w:bidi w:val="0"/>
                    <w:rPr>
                      <w:rFonts w:hint="eastAsia"/>
                      <w:lang w:val="en-US" w:eastAsia="zh-CN"/>
                    </w:rPr>
                  </w:pPr>
                  <w:r>
                    <w:rPr>
                      <w:rFonts w:hint="eastAsia"/>
                      <w:lang w:val="en-US" w:eastAsia="zh-CN"/>
                    </w:rPr>
                    <w:t>/</w:t>
                  </w:r>
                </w:p>
              </w:tc>
              <w:tc>
                <w:tcPr>
                  <w:tcW w:w="268" w:type="pct"/>
                  <w:shd w:val="clear" w:color="auto" w:fill="auto"/>
                  <w:vAlign w:val="center"/>
                </w:tcPr>
                <w:p>
                  <w:pPr>
                    <w:pStyle w:val="66"/>
                    <w:bidi w:val="0"/>
                    <w:rPr>
                      <w:rFonts w:hint="eastAsia"/>
                      <w:lang w:val="en-US" w:eastAsia="zh-CN"/>
                    </w:rPr>
                  </w:pPr>
                  <w:r>
                    <w:rPr>
                      <w:rFonts w:hint="eastAsia"/>
                      <w:lang w:val="en-US" w:eastAsia="zh-CN"/>
                    </w:rPr>
                    <w:t>/</w:t>
                  </w:r>
                </w:p>
              </w:tc>
              <w:tc>
                <w:tcPr>
                  <w:tcW w:w="267" w:type="pct"/>
                  <w:shd w:val="clear" w:color="auto" w:fill="auto"/>
                  <w:vAlign w:val="center"/>
                </w:tcPr>
                <w:p>
                  <w:pPr>
                    <w:pStyle w:val="66"/>
                    <w:bidi w:val="0"/>
                    <w:rPr>
                      <w:rFonts w:hint="eastAsia"/>
                      <w:lang w:val="en-US" w:eastAsia="zh-CN"/>
                    </w:rPr>
                  </w:pPr>
                  <w:r>
                    <w:rPr>
                      <w:rFonts w:hint="eastAsia"/>
                      <w:lang w:val="en-US" w:eastAsia="zh-CN"/>
                    </w:rPr>
                    <w:t>少量</w:t>
                  </w:r>
                </w:p>
              </w:tc>
              <w:tc>
                <w:tcPr>
                  <w:tcW w:w="260" w:type="pct"/>
                  <w:shd w:val="clear" w:color="auto" w:fill="auto"/>
                  <w:vAlign w:val="center"/>
                </w:tcPr>
                <w:p>
                  <w:pPr>
                    <w:pStyle w:val="66"/>
                    <w:bidi w:val="0"/>
                    <w:rPr>
                      <w:rFonts w:hint="eastAsia"/>
                      <w:lang w:val="en-US" w:eastAsia="zh-CN"/>
                    </w:rPr>
                  </w:pPr>
                  <w:r>
                    <w:rPr>
                      <w:rFonts w:hint="eastAsia"/>
                      <w:lang w:val="en-US" w:eastAsia="zh-CN"/>
                    </w:rPr>
                    <w:t>/</w:t>
                  </w:r>
                </w:p>
              </w:tc>
              <w:tc>
                <w:tcPr>
                  <w:tcW w:w="335" w:type="pct"/>
                  <w:shd w:val="clear" w:color="auto" w:fill="auto"/>
                  <w:vAlign w:val="center"/>
                </w:tcPr>
                <w:p>
                  <w:pPr>
                    <w:pStyle w:val="66"/>
                    <w:bidi w:val="0"/>
                    <w:rPr>
                      <w:rFonts w:hint="eastAsia"/>
                      <w:lang w:val="en-US" w:eastAsia="zh-CN"/>
                    </w:rPr>
                  </w:pPr>
                  <w:r>
                    <w:rPr>
                      <w:rFonts w:hint="eastAsia"/>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226" w:type="pct"/>
                  <w:vMerge w:val="continue"/>
                  <w:vAlign w:val="center"/>
                </w:tcPr>
                <w:p>
                  <w:pPr>
                    <w:pStyle w:val="66"/>
                    <w:bidi w:val="0"/>
                    <w:rPr>
                      <w:rFonts w:hint="eastAsia"/>
                      <w:lang w:val="en-US" w:eastAsia="zh-CN"/>
                    </w:rPr>
                  </w:pPr>
                </w:p>
              </w:tc>
              <w:tc>
                <w:tcPr>
                  <w:tcW w:w="613" w:type="pct"/>
                  <w:shd w:val="clear" w:color="auto" w:fill="auto"/>
                  <w:vAlign w:val="center"/>
                </w:tcPr>
                <w:p>
                  <w:pPr>
                    <w:pStyle w:val="66"/>
                    <w:bidi w:val="0"/>
                    <w:rPr>
                      <w:rFonts w:hint="default"/>
                      <w:lang w:val="en-US" w:eastAsia="zh-CN"/>
                    </w:rPr>
                  </w:pPr>
                  <w:r>
                    <w:rPr>
                      <w:rFonts w:hint="eastAsia"/>
                      <w:lang w:val="en-US" w:eastAsia="zh-CN"/>
                    </w:rPr>
                    <w:t>堆场粉尘</w:t>
                  </w:r>
                </w:p>
              </w:tc>
              <w:tc>
                <w:tcPr>
                  <w:tcW w:w="344" w:type="pct"/>
                  <w:shd w:val="clear" w:color="auto" w:fill="auto"/>
                  <w:vAlign w:val="center"/>
                </w:tcPr>
                <w:p>
                  <w:pPr>
                    <w:pStyle w:val="66"/>
                    <w:bidi w:val="0"/>
                    <w:rPr>
                      <w:rFonts w:hint="eastAsia"/>
                      <w:lang w:val="en-US" w:eastAsia="zh-CN"/>
                    </w:rPr>
                  </w:pPr>
                  <w:r>
                    <w:rPr>
                      <w:rFonts w:hint="eastAsia"/>
                      <w:lang w:val="en-US" w:eastAsia="zh-CN"/>
                    </w:rPr>
                    <w:t>/</w:t>
                  </w:r>
                </w:p>
              </w:tc>
              <w:tc>
                <w:tcPr>
                  <w:tcW w:w="402" w:type="pct"/>
                  <w:shd w:val="clear" w:color="auto" w:fill="auto"/>
                  <w:vAlign w:val="center"/>
                </w:tcPr>
                <w:p>
                  <w:pPr>
                    <w:pStyle w:val="66"/>
                    <w:bidi w:val="0"/>
                    <w:rPr>
                      <w:rFonts w:hint="eastAsia"/>
                      <w:lang w:val="en-US" w:eastAsia="zh-CN"/>
                    </w:rPr>
                  </w:pPr>
                  <w:r>
                    <w:rPr>
                      <w:rFonts w:hint="eastAsia"/>
                      <w:lang w:val="en-US" w:eastAsia="zh-CN"/>
                    </w:rPr>
                    <w:t>颗粒物</w:t>
                  </w:r>
                </w:p>
              </w:tc>
              <w:tc>
                <w:tcPr>
                  <w:tcW w:w="486" w:type="pct"/>
                  <w:shd w:val="clear" w:color="auto" w:fill="auto"/>
                  <w:vAlign w:val="center"/>
                </w:tcPr>
                <w:p>
                  <w:pPr>
                    <w:pStyle w:val="66"/>
                    <w:bidi w:val="0"/>
                    <w:rPr>
                      <w:rFonts w:hint="default"/>
                      <w:lang w:val="en-US" w:eastAsia="zh-CN"/>
                    </w:rPr>
                  </w:pPr>
                  <w:r>
                    <w:rPr>
                      <w:rFonts w:hint="eastAsia"/>
                      <w:lang w:val="en-US" w:eastAsia="zh-CN"/>
                    </w:rPr>
                    <w:t>少量</w:t>
                  </w:r>
                </w:p>
              </w:tc>
              <w:tc>
                <w:tcPr>
                  <w:tcW w:w="405"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w:t>
                  </w:r>
                </w:p>
              </w:tc>
              <w:tc>
                <w:tcPr>
                  <w:tcW w:w="341"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w:t>
                  </w:r>
                </w:p>
              </w:tc>
              <w:tc>
                <w:tcPr>
                  <w:tcW w:w="453" w:type="pct"/>
                  <w:shd w:val="clear" w:color="auto" w:fill="auto"/>
                  <w:vAlign w:val="center"/>
                </w:tcPr>
                <w:p>
                  <w:pPr>
                    <w:pStyle w:val="66"/>
                    <w:bidi w:val="0"/>
                    <w:rPr>
                      <w:rFonts w:hint="default"/>
                      <w:lang w:val="en-US" w:eastAsia="zh-CN"/>
                    </w:rPr>
                  </w:pPr>
                  <w:r>
                    <w:rPr>
                      <w:rFonts w:hint="eastAsia"/>
                      <w:lang w:val="en-US" w:eastAsia="zh-CN"/>
                    </w:rPr>
                    <w:t>厂房密闭</w:t>
                  </w:r>
                </w:p>
              </w:tc>
              <w:tc>
                <w:tcPr>
                  <w:tcW w:w="302"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w:t>
                  </w:r>
                </w:p>
              </w:tc>
              <w:tc>
                <w:tcPr>
                  <w:tcW w:w="293"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w:t>
                  </w:r>
                </w:p>
              </w:tc>
              <w:tc>
                <w:tcPr>
                  <w:tcW w:w="268"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w:t>
                  </w:r>
                </w:p>
              </w:tc>
              <w:tc>
                <w:tcPr>
                  <w:tcW w:w="267" w:type="pct"/>
                  <w:shd w:val="clear" w:color="auto" w:fill="auto"/>
                  <w:vAlign w:val="center"/>
                </w:tcPr>
                <w:p>
                  <w:pPr>
                    <w:pStyle w:val="66"/>
                    <w:bidi w:val="0"/>
                    <w:rPr>
                      <w:rFonts w:hint="eastAsia"/>
                      <w:lang w:val="en-US" w:eastAsia="zh-CN"/>
                    </w:rPr>
                  </w:pPr>
                  <w:r>
                    <w:rPr>
                      <w:rFonts w:hint="eastAsia"/>
                      <w:lang w:val="en-US" w:eastAsia="zh-CN"/>
                    </w:rPr>
                    <w:t>少量</w:t>
                  </w:r>
                </w:p>
              </w:tc>
              <w:tc>
                <w:tcPr>
                  <w:tcW w:w="260"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w:t>
                  </w:r>
                </w:p>
              </w:tc>
              <w:tc>
                <w:tcPr>
                  <w:tcW w:w="335" w:type="pct"/>
                  <w:shd w:val="clear" w:color="auto" w:fill="auto"/>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w:t>
                  </w:r>
                </w:p>
              </w:tc>
            </w:tr>
          </w:tbl>
          <w:p>
            <w:pPr>
              <w:pStyle w:val="67"/>
              <w:shd w:val="clear"/>
              <w:bidi w:val="0"/>
              <w:rPr>
                <w:rFonts w:hint="eastAsia"/>
                <w:lang w:val="en-US" w:eastAsia="zh-CN"/>
              </w:rPr>
            </w:pPr>
            <w:r>
              <w:rPr>
                <w:rFonts w:hint="eastAsia"/>
                <w:lang w:val="en-US" w:eastAsia="zh-CN"/>
              </w:rPr>
              <w:t>1.2废气排放口基本情况</w:t>
            </w:r>
          </w:p>
          <w:p>
            <w:pPr>
              <w:pStyle w:val="65"/>
              <w:bidi w:val="0"/>
              <w:rPr>
                <w:rFonts w:hint="default"/>
                <w:lang w:val="en-US" w:eastAsia="zh-CN"/>
              </w:rPr>
            </w:pPr>
            <w:r>
              <w:rPr>
                <w:rFonts w:hint="default"/>
              </w:rPr>
              <w:t>表4-</w:t>
            </w:r>
            <w:r>
              <w:rPr>
                <w:rFonts w:hint="eastAsia"/>
                <w:lang w:val="en-US" w:eastAsia="zh-CN"/>
              </w:rPr>
              <w:t>2</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排放口基本情况一览表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134"/>
              <w:gridCol w:w="644"/>
              <w:gridCol w:w="975"/>
              <w:gridCol w:w="1712"/>
              <w:gridCol w:w="853"/>
              <w:gridCol w:w="839"/>
              <w:gridCol w:w="802"/>
              <w:gridCol w:w="834"/>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70"/>
                    <w:bidi w:val="0"/>
                    <w:rPr>
                      <w:rFonts w:hint="default"/>
                      <w:lang w:val="en-US" w:eastAsia="zh-CN"/>
                    </w:rPr>
                  </w:pPr>
                  <w:r>
                    <w:rPr>
                      <w:rFonts w:hint="eastAsia"/>
                      <w:lang w:val="en-US" w:eastAsia="zh-CN"/>
                    </w:rPr>
                    <w:t>序号</w:t>
                  </w:r>
                </w:p>
              </w:tc>
              <w:tc>
                <w:tcPr>
                  <w:tcW w:w="634" w:type="pct"/>
                  <w:noWrap w:val="0"/>
                  <w:vAlign w:val="center"/>
                </w:tcPr>
                <w:p>
                  <w:pPr>
                    <w:pStyle w:val="70"/>
                    <w:bidi w:val="0"/>
                    <w:rPr>
                      <w:rFonts w:hint="default"/>
                      <w:lang w:val="en-US" w:eastAsia="zh-CN"/>
                    </w:rPr>
                  </w:pPr>
                  <w:r>
                    <w:rPr>
                      <w:rFonts w:hint="eastAsia"/>
                      <w:lang w:val="en-US" w:eastAsia="zh-CN"/>
                    </w:rPr>
                    <w:t>排放口名称</w:t>
                  </w:r>
                </w:p>
              </w:tc>
              <w:tc>
                <w:tcPr>
                  <w:tcW w:w="360" w:type="pct"/>
                  <w:noWrap w:val="0"/>
                  <w:vAlign w:val="center"/>
                </w:tcPr>
                <w:p>
                  <w:pPr>
                    <w:pStyle w:val="70"/>
                    <w:bidi w:val="0"/>
                    <w:rPr>
                      <w:rFonts w:hint="default"/>
                      <w:lang w:val="en-US" w:eastAsia="zh-CN"/>
                    </w:rPr>
                  </w:pPr>
                  <w:r>
                    <w:rPr>
                      <w:rFonts w:hint="eastAsia"/>
                      <w:lang w:val="en-US" w:eastAsia="zh-CN"/>
                    </w:rPr>
                    <w:t>排放口编号</w:t>
                  </w:r>
                </w:p>
              </w:tc>
              <w:tc>
                <w:tcPr>
                  <w:tcW w:w="545" w:type="pct"/>
                  <w:noWrap w:val="0"/>
                  <w:vAlign w:val="center"/>
                </w:tcPr>
                <w:p>
                  <w:pPr>
                    <w:pStyle w:val="70"/>
                    <w:bidi w:val="0"/>
                    <w:rPr>
                      <w:rFonts w:hint="default"/>
                      <w:lang w:val="en-US" w:eastAsia="zh-CN"/>
                    </w:rPr>
                  </w:pPr>
                  <w:r>
                    <w:rPr>
                      <w:rFonts w:hint="eastAsia"/>
                      <w:lang w:val="en-US" w:eastAsia="zh-CN"/>
                    </w:rPr>
                    <w:t>污染物种类</w:t>
                  </w:r>
                </w:p>
              </w:tc>
              <w:tc>
                <w:tcPr>
                  <w:tcW w:w="957" w:type="pct"/>
                  <w:noWrap w:val="0"/>
                  <w:vAlign w:val="center"/>
                </w:tcPr>
                <w:p>
                  <w:pPr>
                    <w:pStyle w:val="70"/>
                    <w:bidi w:val="0"/>
                    <w:rPr>
                      <w:rFonts w:hint="default"/>
                      <w:lang w:val="en-US" w:eastAsia="zh-CN"/>
                    </w:rPr>
                  </w:pPr>
                  <w:r>
                    <w:rPr>
                      <w:rFonts w:hint="eastAsia"/>
                      <w:lang w:val="en-US" w:eastAsia="zh-CN"/>
                    </w:rPr>
                    <w:t>地理坐标</w:t>
                  </w:r>
                </w:p>
              </w:tc>
              <w:tc>
                <w:tcPr>
                  <w:tcW w:w="477" w:type="pct"/>
                  <w:noWrap w:val="0"/>
                  <w:vAlign w:val="center"/>
                </w:tcPr>
                <w:p>
                  <w:pPr>
                    <w:pStyle w:val="70"/>
                    <w:bidi w:val="0"/>
                    <w:rPr>
                      <w:rFonts w:hint="default"/>
                      <w:lang w:val="en-US" w:eastAsia="zh-CN"/>
                    </w:rPr>
                  </w:pPr>
                  <w:r>
                    <w:rPr>
                      <w:rFonts w:hint="eastAsia"/>
                      <w:lang w:val="en-US" w:eastAsia="zh-CN"/>
                    </w:rPr>
                    <w:t>排气筒高度（m）</w:t>
                  </w:r>
                </w:p>
              </w:tc>
              <w:tc>
                <w:tcPr>
                  <w:tcW w:w="469" w:type="pct"/>
                  <w:noWrap w:val="0"/>
                  <w:vAlign w:val="center"/>
                </w:tcPr>
                <w:p>
                  <w:pPr>
                    <w:pStyle w:val="70"/>
                    <w:bidi w:val="0"/>
                    <w:rPr>
                      <w:rFonts w:hint="default"/>
                      <w:lang w:val="en-US" w:eastAsia="zh-CN"/>
                    </w:rPr>
                  </w:pPr>
                  <w:r>
                    <w:rPr>
                      <w:rFonts w:hint="eastAsia"/>
                      <w:lang w:val="en-US" w:eastAsia="zh-CN"/>
                    </w:rPr>
                    <w:t>排气筒内径（m）</w:t>
                  </w:r>
                </w:p>
              </w:tc>
              <w:tc>
                <w:tcPr>
                  <w:tcW w:w="448" w:type="pct"/>
                  <w:noWrap w:val="0"/>
                  <w:vAlign w:val="center"/>
                </w:tcPr>
                <w:p>
                  <w:pPr>
                    <w:pStyle w:val="70"/>
                    <w:bidi w:val="0"/>
                    <w:rPr>
                      <w:rFonts w:hint="eastAsia"/>
                      <w:lang w:val="en-US" w:eastAsia="zh-CN"/>
                    </w:rPr>
                  </w:pPr>
                  <w:r>
                    <w:rPr>
                      <w:rFonts w:hint="eastAsia"/>
                      <w:lang w:val="en-US" w:eastAsia="zh-CN"/>
                    </w:rPr>
                    <w:t>烟气温度（</w:t>
                  </w:r>
                  <w:r>
                    <w:rPr>
                      <w:rFonts w:hint="default"/>
                      <w:lang w:val="en-US" w:eastAsia="zh-CN"/>
                    </w:rPr>
                    <w:t>℃</w:t>
                  </w:r>
                  <w:r>
                    <w:rPr>
                      <w:rFonts w:hint="eastAsia"/>
                      <w:lang w:val="en-US" w:eastAsia="zh-CN"/>
                    </w:rPr>
                    <w:t>）</w:t>
                  </w:r>
                </w:p>
              </w:tc>
              <w:tc>
                <w:tcPr>
                  <w:tcW w:w="466" w:type="pct"/>
                  <w:noWrap w:val="0"/>
                  <w:vAlign w:val="center"/>
                </w:tcPr>
                <w:p>
                  <w:pPr>
                    <w:pStyle w:val="70"/>
                    <w:bidi w:val="0"/>
                    <w:rPr>
                      <w:rFonts w:hint="default"/>
                      <w:lang w:val="en-US" w:eastAsia="zh-CN"/>
                    </w:rPr>
                  </w:pPr>
                  <w:r>
                    <w:rPr>
                      <w:rFonts w:hint="eastAsia"/>
                      <w:lang w:val="en-US" w:eastAsia="zh-CN"/>
                    </w:rPr>
                    <w:t>年排放小时数（h）</w:t>
                  </w:r>
                </w:p>
              </w:tc>
              <w:tc>
                <w:tcPr>
                  <w:tcW w:w="367" w:type="pct"/>
                  <w:noWrap w:val="0"/>
                  <w:vAlign w:val="center"/>
                </w:tcPr>
                <w:p>
                  <w:pPr>
                    <w:pStyle w:val="70"/>
                    <w:bidi w:val="0"/>
                    <w:rPr>
                      <w:rFonts w:hint="eastAsia"/>
                      <w:lang w:val="en-US" w:eastAsia="zh-CN"/>
                    </w:rPr>
                  </w:pPr>
                  <w:r>
                    <w:rPr>
                      <w:rFonts w:hint="eastAsia"/>
                      <w:lang w:val="en-US" w:eastAsia="zh-CN"/>
                    </w:rPr>
                    <w:t>排气筒类型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70"/>
                    <w:bidi w:val="0"/>
                    <w:rPr>
                      <w:rFonts w:hint="default"/>
                      <w:lang w:val="en-US" w:eastAsia="zh-CN"/>
                    </w:rPr>
                  </w:pPr>
                  <w:r>
                    <w:rPr>
                      <w:rFonts w:hint="eastAsia"/>
                      <w:lang w:val="en-US" w:eastAsia="zh-CN"/>
                    </w:rPr>
                    <w:t>1</w:t>
                  </w:r>
                </w:p>
              </w:tc>
              <w:tc>
                <w:tcPr>
                  <w:tcW w:w="634" w:type="pct"/>
                  <w:noWrap w:val="0"/>
                  <w:vAlign w:val="center"/>
                </w:tcPr>
                <w:p>
                  <w:pPr>
                    <w:pStyle w:val="70"/>
                    <w:bidi w:val="0"/>
                    <w:rPr>
                      <w:rFonts w:hint="default"/>
                      <w:lang w:val="en-US" w:eastAsia="zh-CN"/>
                    </w:rPr>
                  </w:pPr>
                  <w:r>
                    <w:rPr>
                      <w:rFonts w:hint="eastAsia"/>
                      <w:lang w:val="en-US" w:eastAsia="zh-CN"/>
                    </w:rPr>
                    <w:t>1#生产线一级破碎、二级破碎、筛分、三级破碎废气排放口</w:t>
                  </w:r>
                </w:p>
              </w:tc>
              <w:tc>
                <w:tcPr>
                  <w:tcW w:w="360" w:type="pct"/>
                  <w:noWrap w:val="0"/>
                  <w:vAlign w:val="center"/>
                </w:tcPr>
                <w:p>
                  <w:pPr>
                    <w:pStyle w:val="70"/>
                    <w:bidi w:val="0"/>
                    <w:rPr>
                      <w:rFonts w:hint="default"/>
                      <w:lang w:val="en-US" w:eastAsia="zh-CN"/>
                    </w:rPr>
                  </w:pPr>
                  <w:r>
                    <w:rPr>
                      <w:rFonts w:hint="eastAsia"/>
                      <w:lang w:val="en-US" w:eastAsia="zh-CN"/>
                    </w:rPr>
                    <w:t>DA001</w:t>
                  </w:r>
                </w:p>
              </w:tc>
              <w:tc>
                <w:tcPr>
                  <w:tcW w:w="545" w:type="pct"/>
                  <w:noWrap w:val="0"/>
                  <w:vAlign w:val="center"/>
                </w:tcPr>
                <w:p>
                  <w:pPr>
                    <w:pStyle w:val="70"/>
                    <w:bidi w:val="0"/>
                    <w:rPr>
                      <w:rFonts w:hint="default"/>
                      <w:lang w:val="en-US" w:eastAsia="zh-CN"/>
                    </w:rPr>
                  </w:pPr>
                  <w:r>
                    <w:rPr>
                      <w:rFonts w:hint="eastAsia"/>
                      <w:lang w:val="en-US" w:eastAsia="zh-CN"/>
                    </w:rPr>
                    <w:t>颗粒物</w:t>
                  </w:r>
                </w:p>
              </w:tc>
              <w:tc>
                <w:tcPr>
                  <w:tcW w:w="957" w:type="pct"/>
                  <w:noWrap w:val="0"/>
                  <w:vAlign w:val="center"/>
                </w:tcPr>
                <w:p>
                  <w:pPr>
                    <w:pStyle w:val="70"/>
                    <w:bidi w:val="0"/>
                    <w:rPr>
                      <w:rFonts w:hint="default"/>
                      <w:lang w:val="en-US" w:eastAsia="zh-CN"/>
                    </w:rPr>
                  </w:pPr>
                  <w:r>
                    <w:rPr>
                      <w:rFonts w:hint="default"/>
                      <w:lang w:val="en-US" w:eastAsia="zh-CN"/>
                    </w:rPr>
                    <w:t>E：88°15′16.560″</w:t>
                  </w:r>
                </w:p>
                <w:p>
                  <w:pPr>
                    <w:pStyle w:val="70"/>
                    <w:bidi w:val="0"/>
                    <w:rPr>
                      <w:rFonts w:hint="default"/>
                      <w:lang w:val="en-US" w:eastAsia="zh-CN"/>
                    </w:rPr>
                  </w:pPr>
                  <w:r>
                    <w:rPr>
                      <w:rFonts w:hint="default"/>
                      <w:lang w:val="en-US" w:eastAsia="zh-CN"/>
                    </w:rPr>
                    <w:t>N：39°0′59.101″</w:t>
                  </w:r>
                </w:p>
              </w:tc>
              <w:tc>
                <w:tcPr>
                  <w:tcW w:w="477" w:type="pct"/>
                  <w:noWrap w:val="0"/>
                  <w:vAlign w:val="center"/>
                </w:tcPr>
                <w:p>
                  <w:pPr>
                    <w:pStyle w:val="70"/>
                    <w:bidi w:val="0"/>
                    <w:rPr>
                      <w:rFonts w:hint="default"/>
                      <w:lang w:val="en-US" w:eastAsia="zh-CN"/>
                    </w:rPr>
                  </w:pPr>
                  <w:r>
                    <w:rPr>
                      <w:rFonts w:hint="eastAsia"/>
                      <w:lang w:val="en-US" w:eastAsia="zh-CN"/>
                    </w:rPr>
                    <w:t>15</w:t>
                  </w:r>
                </w:p>
              </w:tc>
              <w:tc>
                <w:tcPr>
                  <w:tcW w:w="469" w:type="pct"/>
                  <w:noWrap w:val="0"/>
                  <w:vAlign w:val="center"/>
                </w:tcPr>
                <w:p>
                  <w:pPr>
                    <w:pStyle w:val="70"/>
                    <w:bidi w:val="0"/>
                    <w:rPr>
                      <w:rFonts w:hint="default"/>
                      <w:lang w:val="en-US" w:eastAsia="zh-CN"/>
                    </w:rPr>
                  </w:pPr>
                  <w:r>
                    <w:rPr>
                      <w:rFonts w:hint="eastAsia"/>
                      <w:lang w:val="en-US" w:eastAsia="zh-CN"/>
                    </w:rPr>
                    <w:t>0.2</w:t>
                  </w:r>
                </w:p>
              </w:tc>
              <w:tc>
                <w:tcPr>
                  <w:tcW w:w="448" w:type="pct"/>
                  <w:noWrap w:val="0"/>
                  <w:vAlign w:val="center"/>
                </w:tcPr>
                <w:p>
                  <w:pPr>
                    <w:pStyle w:val="70"/>
                    <w:bidi w:val="0"/>
                    <w:rPr>
                      <w:rFonts w:hint="default"/>
                      <w:lang w:val="en-US" w:eastAsia="zh-CN"/>
                    </w:rPr>
                  </w:pPr>
                  <w:r>
                    <w:rPr>
                      <w:rFonts w:hint="eastAsia"/>
                      <w:lang w:val="en-US" w:eastAsia="zh-CN"/>
                    </w:rPr>
                    <w:t>25</w:t>
                  </w:r>
                </w:p>
              </w:tc>
              <w:tc>
                <w:tcPr>
                  <w:tcW w:w="466" w:type="pct"/>
                  <w:noWrap w:val="0"/>
                  <w:vAlign w:val="center"/>
                </w:tcPr>
                <w:p>
                  <w:pPr>
                    <w:pStyle w:val="70"/>
                    <w:bidi w:val="0"/>
                    <w:rPr>
                      <w:rFonts w:hint="default"/>
                      <w:lang w:val="en-US" w:eastAsia="zh-CN"/>
                    </w:rPr>
                  </w:pPr>
                  <w:r>
                    <w:rPr>
                      <w:rFonts w:hint="eastAsia"/>
                      <w:lang w:val="en-US" w:eastAsia="zh-CN"/>
                    </w:rPr>
                    <w:t>4800</w:t>
                  </w:r>
                </w:p>
              </w:tc>
              <w:tc>
                <w:tcPr>
                  <w:tcW w:w="367" w:type="pct"/>
                  <w:noWrap w:val="0"/>
                  <w:vAlign w:val="center"/>
                </w:tcPr>
                <w:p>
                  <w:pPr>
                    <w:pStyle w:val="70"/>
                    <w:bidi w:val="0"/>
                    <w:rPr>
                      <w:rFonts w:hint="eastAsia"/>
                      <w:lang w:val="en-US" w:eastAsia="zh-CN"/>
                    </w:rPr>
                  </w:pPr>
                  <w:r>
                    <w:rPr>
                      <w:rFonts w:hint="eastAsia"/>
                      <w:lang w:val="en-US" w:eastAsia="zh-CN"/>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70"/>
                    <w:bidi w:val="0"/>
                    <w:rPr>
                      <w:rFonts w:hint="default"/>
                      <w:lang w:val="en-US" w:eastAsia="zh-CN"/>
                    </w:rPr>
                  </w:pPr>
                  <w:r>
                    <w:rPr>
                      <w:rFonts w:hint="eastAsia"/>
                      <w:lang w:val="en-US" w:eastAsia="zh-CN"/>
                    </w:rPr>
                    <w:t>2</w:t>
                  </w:r>
                </w:p>
              </w:tc>
              <w:tc>
                <w:tcPr>
                  <w:tcW w:w="634" w:type="pct"/>
                  <w:shd w:val="clear" w:color="auto" w:fill="auto"/>
                  <w:noWrap w:val="0"/>
                  <w:vAlign w:val="center"/>
                </w:tcPr>
                <w:p>
                  <w:pPr>
                    <w:pStyle w:val="70"/>
                    <w:bidi w:val="0"/>
                    <w:rPr>
                      <w:rFonts w:hint="eastAsia" w:ascii="Times New Roman" w:hAnsi="Times New Roman" w:eastAsia="宋体" w:cs="Times New Roman"/>
                      <w:kern w:val="2"/>
                      <w:sz w:val="21"/>
                      <w:szCs w:val="21"/>
                      <w:lang w:val="en-US" w:eastAsia="zh-CN" w:bidi="ar-SA"/>
                    </w:rPr>
                  </w:pPr>
                  <w:r>
                    <w:rPr>
                      <w:rFonts w:hint="eastAsia"/>
                      <w:lang w:val="en-US" w:eastAsia="zh-CN"/>
                    </w:rPr>
                    <w:t>2#生产线一级破碎、二级破碎、筛分、三级破碎废气排放口</w:t>
                  </w:r>
                </w:p>
              </w:tc>
              <w:tc>
                <w:tcPr>
                  <w:tcW w:w="360" w:type="pct"/>
                  <w:shd w:val="clear" w:color="auto" w:fill="auto"/>
                  <w:noWrap w:val="0"/>
                  <w:vAlign w:val="center"/>
                </w:tcPr>
                <w:p>
                  <w:pPr>
                    <w:pStyle w:val="70"/>
                    <w:bidi w:val="0"/>
                    <w:rPr>
                      <w:rFonts w:hint="eastAsia" w:ascii="Times New Roman" w:hAnsi="Times New Roman" w:eastAsia="宋体" w:cs="Times New Roman"/>
                      <w:kern w:val="2"/>
                      <w:sz w:val="21"/>
                      <w:szCs w:val="21"/>
                      <w:lang w:val="en-US" w:eastAsia="zh-CN" w:bidi="ar-SA"/>
                    </w:rPr>
                  </w:pPr>
                  <w:r>
                    <w:rPr>
                      <w:rFonts w:hint="eastAsia"/>
                      <w:lang w:val="en-US" w:eastAsia="zh-CN"/>
                    </w:rPr>
                    <w:t>DA002</w:t>
                  </w:r>
                </w:p>
              </w:tc>
              <w:tc>
                <w:tcPr>
                  <w:tcW w:w="545" w:type="pct"/>
                  <w:shd w:val="clear" w:color="auto" w:fill="auto"/>
                  <w:noWrap w:val="0"/>
                  <w:vAlign w:val="center"/>
                </w:tcPr>
                <w:p>
                  <w:pPr>
                    <w:pStyle w:val="70"/>
                    <w:bidi w:val="0"/>
                    <w:rPr>
                      <w:rFonts w:hint="eastAsia" w:ascii="Times New Roman" w:hAnsi="Times New Roman" w:eastAsia="宋体" w:cs="Times New Roman"/>
                      <w:kern w:val="2"/>
                      <w:sz w:val="21"/>
                      <w:szCs w:val="21"/>
                      <w:lang w:val="en-US" w:eastAsia="zh-CN" w:bidi="ar-SA"/>
                    </w:rPr>
                  </w:pPr>
                  <w:r>
                    <w:rPr>
                      <w:rFonts w:hint="eastAsia"/>
                      <w:lang w:val="en-US" w:eastAsia="zh-CN"/>
                    </w:rPr>
                    <w:t>颗粒物</w:t>
                  </w:r>
                </w:p>
              </w:tc>
              <w:tc>
                <w:tcPr>
                  <w:tcW w:w="957" w:type="pct"/>
                  <w:shd w:val="clear" w:color="auto" w:fill="auto"/>
                  <w:noWrap w:val="0"/>
                  <w:vAlign w:val="center"/>
                </w:tcPr>
                <w:p>
                  <w:pPr>
                    <w:pStyle w:val="70"/>
                    <w:bidi w:val="0"/>
                    <w:rPr>
                      <w:rFonts w:hint="default"/>
                      <w:lang w:val="en-US" w:eastAsia="zh-CN"/>
                    </w:rPr>
                  </w:pPr>
                  <w:r>
                    <w:rPr>
                      <w:rFonts w:hint="default"/>
                      <w:lang w:val="en-US" w:eastAsia="zh-CN"/>
                    </w:rPr>
                    <w:t>E：88°15′1</w:t>
                  </w:r>
                  <w:r>
                    <w:rPr>
                      <w:rFonts w:hint="eastAsia"/>
                      <w:lang w:val="en-US" w:eastAsia="zh-CN"/>
                    </w:rPr>
                    <w:t>8.624</w:t>
                  </w:r>
                  <w:r>
                    <w:rPr>
                      <w:rFonts w:hint="default"/>
                      <w:lang w:val="en-US" w:eastAsia="zh-CN"/>
                    </w:rPr>
                    <w:t>″</w:t>
                  </w:r>
                </w:p>
                <w:p>
                  <w:pPr>
                    <w:pStyle w:val="70"/>
                    <w:bidi w:val="0"/>
                    <w:rPr>
                      <w:rFonts w:hint="default" w:ascii="Times New Roman" w:hAnsi="Times New Roman" w:eastAsia="宋体" w:cs="Times New Roman"/>
                      <w:kern w:val="2"/>
                      <w:sz w:val="21"/>
                      <w:szCs w:val="21"/>
                      <w:lang w:val="en-US" w:eastAsia="zh-CN" w:bidi="ar-SA"/>
                    </w:rPr>
                  </w:pPr>
                  <w:r>
                    <w:rPr>
                      <w:rFonts w:hint="default"/>
                      <w:lang w:val="en-US" w:eastAsia="zh-CN"/>
                    </w:rPr>
                    <w:t>N：39°0′59.</w:t>
                  </w:r>
                  <w:r>
                    <w:rPr>
                      <w:rFonts w:hint="eastAsia"/>
                      <w:lang w:val="en-US" w:eastAsia="zh-CN"/>
                    </w:rPr>
                    <w:t>963</w:t>
                  </w:r>
                  <w:r>
                    <w:rPr>
                      <w:rFonts w:hint="default"/>
                      <w:lang w:val="en-US" w:eastAsia="zh-CN"/>
                    </w:rPr>
                    <w:t>″</w:t>
                  </w:r>
                </w:p>
              </w:tc>
              <w:tc>
                <w:tcPr>
                  <w:tcW w:w="477" w:type="pct"/>
                  <w:shd w:val="clear" w:color="auto" w:fill="auto"/>
                  <w:noWrap w:val="0"/>
                  <w:vAlign w:val="center"/>
                </w:tcPr>
                <w:p>
                  <w:pPr>
                    <w:pStyle w:val="70"/>
                    <w:bidi w:val="0"/>
                    <w:rPr>
                      <w:rFonts w:hint="eastAsia" w:ascii="Times New Roman" w:hAnsi="Times New Roman" w:eastAsia="宋体" w:cs="Times New Roman"/>
                      <w:kern w:val="2"/>
                      <w:sz w:val="21"/>
                      <w:szCs w:val="21"/>
                      <w:lang w:val="en-US" w:eastAsia="zh-CN" w:bidi="ar-SA"/>
                    </w:rPr>
                  </w:pPr>
                  <w:r>
                    <w:rPr>
                      <w:rFonts w:hint="eastAsia"/>
                      <w:lang w:val="en-US" w:eastAsia="zh-CN"/>
                    </w:rPr>
                    <w:t>15</w:t>
                  </w:r>
                </w:p>
              </w:tc>
              <w:tc>
                <w:tcPr>
                  <w:tcW w:w="469" w:type="pct"/>
                  <w:shd w:val="clear" w:color="auto" w:fill="auto"/>
                  <w:noWrap w:val="0"/>
                  <w:vAlign w:val="center"/>
                </w:tcPr>
                <w:p>
                  <w:pPr>
                    <w:pStyle w:val="70"/>
                    <w:bidi w:val="0"/>
                    <w:rPr>
                      <w:rFonts w:hint="default" w:ascii="Times New Roman" w:hAnsi="Times New Roman" w:eastAsia="宋体" w:cs="Times New Roman"/>
                      <w:kern w:val="2"/>
                      <w:sz w:val="21"/>
                      <w:szCs w:val="21"/>
                      <w:lang w:val="en-US" w:eastAsia="zh-CN" w:bidi="ar-SA"/>
                    </w:rPr>
                  </w:pPr>
                  <w:r>
                    <w:rPr>
                      <w:rFonts w:hint="eastAsia"/>
                      <w:lang w:val="en-US" w:eastAsia="zh-CN"/>
                    </w:rPr>
                    <w:t>0.2</w:t>
                  </w:r>
                </w:p>
              </w:tc>
              <w:tc>
                <w:tcPr>
                  <w:tcW w:w="448" w:type="pct"/>
                  <w:shd w:val="clear" w:color="auto" w:fill="auto"/>
                  <w:noWrap w:val="0"/>
                  <w:vAlign w:val="center"/>
                </w:tcPr>
                <w:p>
                  <w:pPr>
                    <w:pStyle w:val="70"/>
                    <w:bidi w:val="0"/>
                    <w:rPr>
                      <w:rFonts w:hint="eastAsia" w:ascii="Times New Roman" w:hAnsi="Times New Roman" w:eastAsia="宋体" w:cs="Times New Roman"/>
                      <w:kern w:val="2"/>
                      <w:sz w:val="21"/>
                      <w:szCs w:val="21"/>
                      <w:lang w:val="en-US" w:eastAsia="zh-CN" w:bidi="ar-SA"/>
                    </w:rPr>
                  </w:pPr>
                  <w:r>
                    <w:rPr>
                      <w:rFonts w:hint="eastAsia"/>
                      <w:lang w:val="en-US" w:eastAsia="zh-CN"/>
                    </w:rPr>
                    <w:t>25</w:t>
                  </w:r>
                </w:p>
              </w:tc>
              <w:tc>
                <w:tcPr>
                  <w:tcW w:w="466" w:type="pct"/>
                  <w:shd w:val="clear" w:color="auto" w:fill="auto"/>
                  <w:noWrap w:val="0"/>
                  <w:vAlign w:val="center"/>
                </w:tcPr>
                <w:p>
                  <w:pPr>
                    <w:pStyle w:val="70"/>
                    <w:bidi w:val="0"/>
                    <w:rPr>
                      <w:rFonts w:hint="eastAsia" w:ascii="Times New Roman" w:hAnsi="Times New Roman" w:eastAsia="宋体" w:cs="Times New Roman"/>
                      <w:kern w:val="2"/>
                      <w:sz w:val="21"/>
                      <w:szCs w:val="21"/>
                      <w:lang w:val="en-US" w:eastAsia="zh-CN" w:bidi="ar-SA"/>
                    </w:rPr>
                  </w:pPr>
                  <w:r>
                    <w:rPr>
                      <w:rFonts w:hint="eastAsia"/>
                      <w:lang w:val="en-US" w:eastAsia="zh-CN"/>
                    </w:rPr>
                    <w:t>4800</w:t>
                  </w:r>
                </w:p>
              </w:tc>
              <w:tc>
                <w:tcPr>
                  <w:tcW w:w="367" w:type="pct"/>
                  <w:shd w:val="clear" w:color="auto" w:fill="auto"/>
                  <w:noWrap w:val="0"/>
                  <w:vAlign w:val="center"/>
                </w:tcPr>
                <w:p>
                  <w:pPr>
                    <w:pStyle w:val="70"/>
                    <w:bidi w:val="0"/>
                    <w:rPr>
                      <w:rFonts w:hint="eastAsia" w:ascii="Times New Roman" w:hAnsi="Times New Roman" w:eastAsia="宋体" w:cs="Times New Roman"/>
                      <w:kern w:val="2"/>
                      <w:sz w:val="21"/>
                      <w:szCs w:val="21"/>
                      <w:lang w:val="en-US" w:eastAsia="zh-CN" w:bidi="ar-SA"/>
                    </w:rPr>
                  </w:pPr>
                  <w:r>
                    <w:rPr>
                      <w:rFonts w:hint="eastAsia"/>
                      <w:lang w:val="en-US" w:eastAsia="zh-CN"/>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 w:type="pct"/>
                  <w:noWrap w:val="0"/>
                  <w:vAlign w:val="center"/>
                </w:tcPr>
                <w:p>
                  <w:pPr>
                    <w:pStyle w:val="70"/>
                    <w:bidi w:val="0"/>
                    <w:rPr>
                      <w:rFonts w:hint="default"/>
                      <w:lang w:val="en-US" w:eastAsia="zh-CN"/>
                    </w:rPr>
                  </w:pPr>
                  <w:r>
                    <w:rPr>
                      <w:rFonts w:hint="eastAsia"/>
                      <w:lang w:val="en-US" w:eastAsia="zh-CN"/>
                    </w:rPr>
                    <w:t>3</w:t>
                  </w:r>
                </w:p>
              </w:tc>
              <w:tc>
                <w:tcPr>
                  <w:tcW w:w="634" w:type="pct"/>
                  <w:shd w:val="clear" w:color="auto" w:fill="auto"/>
                  <w:noWrap w:val="0"/>
                  <w:vAlign w:val="center"/>
                </w:tcPr>
                <w:p>
                  <w:pPr>
                    <w:pStyle w:val="70"/>
                    <w:bidi w:val="0"/>
                    <w:rPr>
                      <w:rFonts w:hint="eastAsia" w:ascii="Times New Roman" w:hAnsi="Times New Roman" w:eastAsia="宋体" w:cs="Times New Roman"/>
                      <w:kern w:val="2"/>
                      <w:sz w:val="21"/>
                      <w:szCs w:val="21"/>
                      <w:lang w:val="en-US" w:eastAsia="zh-CN" w:bidi="ar-SA"/>
                    </w:rPr>
                  </w:pPr>
                  <w:r>
                    <w:rPr>
                      <w:rFonts w:hint="eastAsia"/>
                      <w:lang w:val="en-US" w:eastAsia="zh-CN"/>
                    </w:rPr>
                    <w:t>3#生产线一级破碎、二级破碎、筛分、三级破碎废气排放口</w:t>
                  </w:r>
                </w:p>
              </w:tc>
              <w:tc>
                <w:tcPr>
                  <w:tcW w:w="360" w:type="pct"/>
                  <w:shd w:val="clear" w:color="auto" w:fill="auto"/>
                  <w:noWrap w:val="0"/>
                  <w:vAlign w:val="center"/>
                </w:tcPr>
                <w:p>
                  <w:pPr>
                    <w:pStyle w:val="70"/>
                    <w:bidi w:val="0"/>
                    <w:rPr>
                      <w:rFonts w:hint="eastAsia" w:ascii="Times New Roman" w:hAnsi="Times New Roman" w:eastAsia="宋体" w:cs="Times New Roman"/>
                      <w:kern w:val="2"/>
                      <w:sz w:val="21"/>
                      <w:szCs w:val="21"/>
                      <w:lang w:val="en-US" w:eastAsia="zh-CN" w:bidi="ar-SA"/>
                    </w:rPr>
                  </w:pPr>
                  <w:r>
                    <w:rPr>
                      <w:rFonts w:hint="eastAsia"/>
                      <w:lang w:val="en-US" w:eastAsia="zh-CN"/>
                    </w:rPr>
                    <w:t>DA003</w:t>
                  </w:r>
                </w:p>
              </w:tc>
              <w:tc>
                <w:tcPr>
                  <w:tcW w:w="545" w:type="pct"/>
                  <w:shd w:val="clear" w:color="auto" w:fill="auto"/>
                  <w:noWrap w:val="0"/>
                  <w:vAlign w:val="center"/>
                </w:tcPr>
                <w:p>
                  <w:pPr>
                    <w:pStyle w:val="70"/>
                    <w:bidi w:val="0"/>
                    <w:rPr>
                      <w:rFonts w:hint="eastAsia" w:ascii="Times New Roman" w:hAnsi="Times New Roman" w:eastAsia="宋体" w:cs="Times New Roman"/>
                      <w:kern w:val="2"/>
                      <w:sz w:val="21"/>
                      <w:szCs w:val="21"/>
                      <w:lang w:val="en-US" w:eastAsia="zh-CN" w:bidi="ar-SA"/>
                    </w:rPr>
                  </w:pPr>
                  <w:r>
                    <w:rPr>
                      <w:rFonts w:hint="eastAsia"/>
                      <w:lang w:val="en-US" w:eastAsia="zh-CN"/>
                    </w:rPr>
                    <w:t>颗粒物</w:t>
                  </w:r>
                </w:p>
              </w:tc>
              <w:tc>
                <w:tcPr>
                  <w:tcW w:w="957" w:type="pct"/>
                  <w:shd w:val="clear" w:color="auto" w:fill="auto"/>
                  <w:noWrap w:val="0"/>
                  <w:vAlign w:val="center"/>
                </w:tcPr>
                <w:p>
                  <w:pPr>
                    <w:pStyle w:val="70"/>
                    <w:bidi w:val="0"/>
                    <w:rPr>
                      <w:rFonts w:hint="default"/>
                      <w:lang w:val="en-US" w:eastAsia="zh-CN"/>
                    </w:rPr>
                  </w:pPr>
                  <w:r>
                    <w:rPr>
                      <w:rFonts w:hint="default"/>
                      <w:lang w:val="en-US" w:eastAsia="zh-CN"/>
                    </w:rPr>
                    <w:t>E：88°1</w:t>
                  </w:r>
                  <w:r>
                    <w:rPr>
                      <w:rFonts w:hint="eastAsia"/>
                      <w:lang w:val="en-US" w:eastAsia="zh-CN"/>
                    </w:rPr>
                    <w:t>5</w:t>
                  </w:r>
                  <w:r>
                    <w:rPr>
                      <w:rFonts w:hint="default"/>
                      <w:lang w:val="en-US" w:eastAsia="zh-CN"/>
                    </w:rPr>
                    <w:t>′16.</w:t>
                  </w:r>
                  <w:r>
                    <w:rPr>
                      <w:rFonts w:hint="eastAsia"/>
                      <w:lang w:val="en-US" w:eastAsia="zh-CN"/>
                    </w:rPr>
                    <w:t>999</w:t>
                  </w:r>
                  <w:r>
                    <w:rPr>
                      <w:rFonts w:hint="default"/>
                      <w:lang w:val="en-US" w:eastAsia="zh-CN"/>
                    </w:rPr>
                    <w:t>″</w:t>
                  </w:r>
                </w:p>
                <w:p>
                  <w:pPr>
                    <w:pStyle w:val="70"/>
                    <w:bidi w:val="0"/>
                    <w:rPr>
                      <w:rFonts w:hint="default" w:ascii="Times New Roman" w:hAnsi="Times New Roman" w:eastAsia="宋体" w:cs="Times New Roman"/>
                      <w:kern w:val="2"/>
                      <w:sz w:val="21"/>
                      <w:szCs w:val="21"/>
                      <w:lang w:val="en-US" w:eastAsia="zh-CN" w:bidi="ar-SA"/>
                    </w:rPr>
                  </w:pPr>
                  <w:r>
                    <w:rPr>
                      <w:rFonts w:hint="default"/>
                      <w:lang w:val="en-US" w:eastAsia="zh-CN"/>
                    </w:rPr>
                    <w:t>N：39°</w:t>
                  </w:r>
                  <w:r>
                    <w:rPr>
                      <w:rFonts w:hint="eastAsia"/>
                      <w:lang w:val="en-US" w:eastAsia="zh-CN"/>
                    </w:rPr>
                    <w:t>1</w:t>
                  </w:r>
                  <w:r>
                    <w:rPr>
                      <w:rFonts w:hint="default"/>
                      <w:lang w:val="en-US" w:eastAsia="zh-CN"/>
                    </w:rPr>
                    <w:t>′</w:t>
                  </w:r>
                  <w:r>
                    <w:rPr>
                      <w:rFonts w:hint="eastAsia"/>
                      <w:lang w:val="en-US" w:eastAsia="zh-CN"/>
                    </w:rPr>
                    <w:t>0.166</w:t>
                  </w:r>
                  <w:r>
                    <w:rPr>
                      <w:rFonts w:hint="default"/>
                      <w:lang w:val="en-US" w:eastAsia="zh-CN"/>
                    </w:rPr>
                    <w:t>″</w:t>
                  </w:r>
                </w:p>
              </w:tc>
              <w:tc>
                <w:tcPr>
                  <w:tcW w:w="477" w:type="pct"/>
                  <w:shd w:val="clear" w:color="auto" w:fill="auto"/>
                  <w:noWrap w:val="0"/>
                  <w:vAlign w:val="center"/>
                </w:tcPr>
                <w:p>
                  <w:pPr>
                    <w:pStyle w:val="70"/>
                    <w:bidi w:val="0"/>
                    <w:rPr>
                      <w:rFonts w:hint="eastAsia" w:ascii="Times New Roman" w:hAnsi="Times New Roman" w:eastAsia="宋体" w:cs="Times New Roman"/>
                      <w:kern w:val="2"/>
                      <w:sz w:val="21"/>
                      <w:szCs w:val="21"/>
                      <w:lang w:val="en-US" w:eastAsia="zh-CN" w:bidi="ar-SA"/>
                    </w:rPr>
                  </w:pPr>
                  <w:r>
                    <w:rPr>
                      <w:rFonts w:hint="eastAsia"/>
                      <w:lang w:val="en-US" w:eastAsia="zh-CN"/>
                    </w:rPr>
                    <w:t>15</w:t>
                  </w:r>
                </w:p>
              </w:tc>
              <w:tc>
                <w:tcPr>
                  <w:tcW w:w="469" w:type="pct"/>
                  <w:shd w:val="clear" w:color="auto" w:fill="auto"/>
                  <w:noWrap w:val="0"/>
                  <w:vAlign w:val="center"/>
                </w:tcPr>
                <w:p>
                  <w:pPr>
                    <w:pStyle w:val="70"/>
                    <w:bidi w:val="0"/>
                    <w:rPr>
                      <w:rFonts w:hint="default" w:ascii="Times New Roman" w:hAnsi="Times New Roman" w:eastAsia="宋体" w:cs="Times New Roman"/>
                      <w:kern w:val="2"/>
                      <w:sz w:val="21"/>
                      <w:szCs w:val="21"/>
                      <w:lang w:val="en-US" w:eastAsia="zh-CN" w:bidi="ar-SA"/>
                    </w:rPr>
                  </w:pPr>
                  <w:r>
                    <w:rPr>
                      <w:rFonts w:hint="eastAsia"/>
                      <w:lang w:val="en-US" w:eastAsia="zh-CN"/>
                    </w:rPr>
                    <w:t>0.2</w:t>
                  </w:r>
                </w:p>
              </w:tc>
              <w:tc>
                <w:tcPr>
                  <w:tcW w:w="448" w:type="pct"/>
                  <w:shd w:val="clear" w:color="auto" w:fill="auto"/>
                  <w:noWrap w:val="0"/>
                  <w:vAlign w:val="center"/>
                </w:tcPr>
                <w:p>
                  <w:pPr>
                    <w:pStyle w:val="70"/>
                    <w:bidi w:val="0"/>
                    <w:rPr>
                      <w:rFonts w:hint="eastAsia" w:ascii="Times New Roman" w:hAnsi="Times New Roman" w:eastAsia="宋体" w:cs="Times New Roman"/>
                      <w:kern w:val="2"/>
                      <w:sz w:val="21"/>
                      <w:szCs w:val="21"/>
                      <w:lang w:val="en-US" w:eastAsia="zh-CN" w:bidi="ar-SA"/>
                    </w:rPr>
                  </w:pPr>
                  <w:r>
                    <w:rPr>
                      <w:rFonts w:hint="eastAsia"/>
                      <w:lang w:val="en-US" w:eastAsia="zh-CN"/>
                    </w:rPr>
                    <w:t>25</w:t>
                  </w:r>
                </w:p>
              </w:tc>
              <w:tc>
                <w:tcPr>
                  <w:tcW w:w="466" w:type="pct"/>
                  <w:shd w:val="clear" w:color="auto" w:fill="auto"/>
                  <w:noWrap w:val="0"/>
                  <w:vAlign w:val="center"/>
                </w:tcPr>
                <w:p>
                  <w:pPr>
                    <w:pStyle w:val="70"/>
                    <w:bidi w:val="0"/>
                    <w:rPr>
                      <w:rFonts w:hint="eastAsia" w:ascii="Times New Roman" w:hAnsi="Times New Roman" w:eastAsia="宋体" w:cs="Times New Roman"/>
                      <w:kern w:val="2"/>
                      <w:sz w:val="21"/>
                      <w:szCs w:val="21"/>
                      <w:lang w:val="en-US" w:eastAsia="zh-CN" w:bidi="ar-SA"/>
                    </w:rPr>
                  </w:pPr>
                  <w:r>
                    <w:rPr>
                      <w:rFonts w:hint="eastAsia"/>
                      <w:lang w:val="en-US" w:eastAsia="zh-CN"/>
                    </w:rPr>
                    <w:t>4800</w:t>
                  </w:r>
                </w:p>
              </w:tc>
              <w:tc>
                <w:tcPr>
                  <w:tcW w:w="367" w:type="pct"/>
                  <w:shd w:val="clear" w:color="auto" w:fill="auto"/>
                  <w:noWrap w:val="0"/>
                  <w:vAlign w:val="center"/>
                </w:tcPr>
                <w:p>
                  <w:pPr>
                    <w:pStyle w:val="70"/>
                    <w:bidi w:val="0"/>
                    <w:rPr>
                      <w:rFonts w:hint="eastAsia" w:ascii="Times New Roman" w:hAnsi="Times New Roman" w:eastAsia="宋体" w:cs="Times New Roman"/>
                      <w:kern w:val="2"/>
                      <w:sz w:val="21"/>
                      <w:szCs w:val="21"/>
                      <w:lang w:val="en-US" w:eastAsia="zh-CN" w:bidi="ar-SA"/>
                    </w:rPr>
                  </w:pPr>
                  <w:r>
                    <w:rPr>
                      <w:rFonts w:hint="eastAsia"/>
                      <w:lang w:val="en-US" w:eastAsia="zh-CN"/>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70"/>
                    <w:bidi w:val="0"/>
                    <w:rPr>
                      <w:rFonts w:hint="default"/>
                      <w:lang w:val="en-US" w:eastAsia="zh-CN"/>
                    </w:rPr>
                  </w:pPr>
                  <w:r>
                    <w:rPr>
                      <w:rFonts w:hint="eastAsia"/>
                      <w:lang w:val="en-US" w:eastAsia="zh-CN"/>
                    </w:rPr>
                    <w:t>4</w:t>
                  </w:r>
                </w:p>
              </w:tc>
              <w:tc>
                <w:tcPr>
                  <w:tcW w:w="634" w:type="pct"/>
                  <w:shd w:val="clear" w:color="auto" w:fill="auto"/>
                  <w:noWrap w:val="0"/>
                  <w:vAlign w:val="center"/>
                </w:tcPr>
                <w:p>
                  <w:pPr>
                    <w:pStyle w:val="70"/>
                    <w:bidi w:val="0"/>
                    <w:rPr>
                      <w:rFonts w:hint="eastAsia" w:ascii="Times New Roman" w:hAnsi="Times New Roman" w:eastAsia="宋体" w:cs="Times New Roman"/>
                      <w:kern w:val="2"/>
                      <w:sz w:val="21"/>
                      <w:szCs w:val="21"/>
                      <w:lang w:val="en-US" w:eastAsia="zh-CN" w:bidi="ar-SA"/>
                    </w:rPr>
                  </w:pPr>
                  <w:r>
                    <w:rPr>
                      <w:rFonts w:hint="eastAsia"/>
                      <w:lang w:val="en-US" w:eastAsia="zh-CN"/>
                    </w:rPr>
                    <w:t>4#生产线一级破碎、二级破碎、筛分、三级破碎废气排放口</w:t>
                  </w:r>
                </w:p>
              </w:tc>
              <w:tc>
                <w:tcPr>
                  <w:tcW w:w="360" w:type="pct"/>
                  <w:shd w:val="clear" w:color="auto" w:fill="auto"/>
                  <w:noWrap w:val="0"/>
                  <w:vAlign w:val="center"/>
                </w:tcPr>
                <w:p>
                  <w:pPr>
                    <w:pStyle w:val="70"/>
                    <w:bidi w:val="0"/>
                    <w:rPr>
                      <w:rFonts w:hint="eastAsia" w:ascii="Times New Roman" w:hAnsi="Times New Roman" w:eastAsia="宋体" w:cs="Times New Roman"/>
                      <w:kern w:val="2"/>
                      <w:sz w:val="21"/>
                      <w:szCs w:val="21"/>
                      <w:lang w:val="en-US" w:eastAsia="zh-CN" w:bidi="ar-SA"/>
                    </w:rPr>
                  </w:pPr>
                  <w:r>
                    <w:rPr>
                      <w:rFonts w:hint="eastAsia"/>
                      <w:lang w:val="en-US" w:eastAsia="zh-CN"/>
                    </w:rPr>
                    <w:t>DA004</w:t>
                  </w:r>
                </w:p>
              </w:tc>
              <w:tc>
                <w:tcPr>
                  <w:tcW w:w="545" w:type="pct"/>
                  <w:shd w:val="clear" w:color="auto" w:fill="auto"/>
                  <w:noWrap w:val="0"/>
                  <w:vAlign w:val="center"/>
                </w:tcPr>
                <w:p>
                  <w:pPr>
                    <w:pStyle w:val="70"/>
                    <w:bidi w:val="0"/>
                    <w:rPr>
                      <w:rFonts w:hint="eastAsia" w:ascii="Times New Roman" w:hAnsi="Times New Roman" w:eastAsia="宋体" w:cs="Times New Roman"/>
                      <w:kern w:val="2"/>
                      <w:sz w:val="21"/>
                      <w:szCs w:val="21"/>
                      <w:lang w:val="en-US" w:eastAsia="zh-CN" w:bidi="ar-SA"/>
                    </w:rPr>
                  </w:pPr>
                  <w:r>
                    <w:rPr>
                      <w:rFonts w:hint="eastAsia"/>
                      <w:lang w:val="en-US" w:eastAsia="zh-CN"/>
                    </w:rPr>
                    <w:t>颗粒物</w:t>
                  </w:r>
                </w:p>
              </w:tc>
              <w:tc>
                <w:tcPr>
                  <w:tcW w:w="957" w:type="pct"/>
                  <w:shd w:val="clear" w:color="auto" w:fill="auto"/>
                  <w:noWrap w:val="0"/>
                  <w:vAlign w:val="center"/>
                </w:tcPr>
                <w:p>
                  <w:pPr>
                    <w:pStyle w:val="70"/>
                    <w:bidi w:val="0"/>
                    <w:rPr>
                      <w:rFonts w:hint="default"/>
                      <w:lang w:val="en-US" w:eastAsia="zh-CN"/>
                    </w:rPr>
                  </w:pPr>
                  <w:r>
                    <w:rPr>
                      <w:rFonts w:hint="default"/>
                      <w:lang w:val="en-US" w:eastAsia="zh-CN"/>
                    </w:rPr>
                    <w:t>E：88°15′16.</w:t>
                  </w:r>
                  <w:r>
                    <w:rPr>
                      <w:rFonts w:hint="eastAsia"/>
                      <w:lang w:val="en-US" w:eastAsia="zh-CN"/>
                    </w:rPr>
                    <w:t>169</w:t>
                  </w:r>
                  <w:r>
                    <w:rPr>
                      <w:rFonts w:hint="default"/>
                      <w:lang w:val="en-US" w:eastAsia="zh-CN"/>
                    </w:rPr>
                    <w:t>″</w:t>
                  </w:r>
                </w:p>
                <w:p>
                  <w:pPr>
                    <w:pStyle w:val="70"/>
                    <w:bidi w:val="0"/>
                    <w:rPr>
                      <w:rFonts w:hint="default" w:ascii="Times New Roman" w:hAnsi="Times New Roman" w:eastAsia="宋体" w:cs="Times New Roman"/>
                      <w:kern w:val="2"/>
                      <w:sz w:val="21"/>
                      <w:szCs w:val="21"/>
                      <w:lang w:val="en-US" w:eastAsia="zh-CN" w:bidi="ar-SA"/>
                    </w:rPr>
                  </w:pPr>
                  <w:r>
                    <w:rPr>
                      <w:rFonts w:hint="default"/>
                      <w:lang w:val="en-US" w:eastAsia="zh-CN"/>
                    </w:rPr>
                    <w:t>N：39°</w:t>
                  </w:r>
                  <w:r>
                    <w:rPr>
                      <w:rFonts w:hint="eastAsia"/>
                      <w:lang w:val="en-US" w:eastAsia="zh-CN"/>
                    </w:rPr>
                    <w:t>1</w:t>
                  </w:r>
                  <w:r>
                    <w:rPr>
                      <w:rFonts w:hint="default"/>
                      <w:lang w:val="en-US" w:eastAsia="zh-CN"/>
                    </w:rPr>
                    <w:t>′</w:t>
                  </w:r>
                  <w:r>
                    <w:rPr>
                      <w:rFonts w:hint="eastAsia"/>
                      <w:lang w:val="en-US" w:eastAsia="zh-CN"/>
                    </w:rPr>
                    <w:t>0.271</w:t>
                  </w:r>
                  <w:r>
                    <w:rPr>
                      <w:rFonts w:hint="default"/>
                      <w:lang w:val="en-US" w:eastAsia="zh-CN"/>
                    </w:rPr>
                    <w:t>″</w:t>
                  </w:r>
                </w:p>
              </w:tc>
              <w:tc>
                <w:tcPr>
                  <w:tcW w:w="477" w:type="pct"/>
                  <w:shd w:val="clear" w:color="auto" w:fill="auto"/>
                  <w:noWrap w:val="0"/>
                  <w:vAlign w:val="center"/>
                </w:tcPr>
                <w:p>
                  <w:pPr>
                    <w:pStyle w:val="70"/>
                    <w:bidi w:val="0"/>
                    <w:rPr>
                      <w:rFonts w:hint="eastAsia" w:ascii="Times New Roman" w:hAnsi="Times New Roman" w:eastAsia="宋体" w:cs="Times New Roman"/>
                      <w:kern w:val="2"/>
                      <w:sz w:val="21"/>
                      <w:szCs w:val="21"/>
                      <w:lang w:val="en-US" w:eastAsia="zh-CN" w:bidi="ar-SA"/>
                    </w:rPr>
                  </w:pPr>
                  <w:r>
                    <w:rPr>
                      <w:rFonts w:hint="eastAsia"/>
                      <w:lang w:val="en-US" w:eastAsia="zh-CN"/>
                    </w:rPr>
                    <w:t>15</w:t>
                  </w:r>
                </w:p>
              </w:tc>
              <w:tc>
                <w:tcPr>
                  <w:tcW w:w="469" w:type="pct"/>
                  <w:shd w:val="clear" w:color="auto" w:fill="auto"/>
                  <w:noWrap w:val="0"/>
                  <w:vAlign w:val="center"/>
                </w:tcPr>
                <w:p>
                  <w:pPr>
                    <w:pStyle w:val="70"/>
                    <w:bidi w:val="0"/>
                    <w:rPr>
                      <w:rFonts w:hint="default" w:ascii="Times New Roman" w:hAnsi="Times New Roman" w:eastAsia="宋体" w:cs="Times New Roman"/>
                      <w:kern w:val="2"/>
                      <w:sz w:val="21"/>
                      <w:szCs w:val="21"/>
                      <w:lang w:val="en-US" w:eastAsia="zh-CN" w:bidi="ar-SA"/>
                    </w:rPr>
                  </w:pPr>
                  <w:r>
                    <w:rPr>
                      <w:rFonts w:hint="eastAsia"/>
                      <w:lang w:val="en-US" w:eastAsia="zh-CN"/>
                    </w:rPr>
                    <w:t>0.2</w:t>
                  </w:r>
                </w:p>
              </w:tc>
              <w:tc>
                <w:tcPr>
                  <w:tcW w:w="448" w:type="pct"/>
                  <w:shd w:val="clear" w:color="auto" w:fill="auto"/>
                  <w:noWrap w:val="0"/>
                  <w:vAlign w:val="center"/>
                </w:tcPr>
                <w:p>
                  <w:pPr>
                    <w:pStyle w:val="70"/>
                    <w:bidi w:val="0"/>
                    <w:rPr>
                      <w:rFonts w:hint="eastAsia" w:ascii="Times New Roman" w:hAnsi="Times New Roman" w:eastAsia="宋体" w:cs="Times New Roman"/>
                      <w:kern w:val="2"/>
                      <w:sz w:val="21"/>
                      <w:szCs w:val="21"/>
                      <w:lang w:val="en-US" w:eastAsia="zh-CN" w:bidi="ar-SA"/>
                    </w:rPr>
                  </w:pPr>
                  <w:r>
                    <w:rPr>
                      <w:rFonts w:hint="eastAsia"/>
                      <w:lang w:val="en-US" w:eastAsia="zh-CN"/>
                    </w:rPr>
                    <w:t>25</w:t>
                  </w:r>
                </w:p>
              </w:tc>
              <w:tc>
                <w:tcPr>
                  <w:tcW w:w="466" w:type="pct"/>
                  <w:shd w:val="clear" w:color="auto" w:fill="auto"/>
                  <w:noWrap w:val="0"/>
                  <w:vAlign w:val="center"/>
                </w:tcPr>
                <w:p>
                  <w:pPr>
                    <w:pStyle w:val="70"/>
                    <w:bidi w:val="0"/>
                    <w:rPr>
                      <w:rFonts w:hint="eastAsia" w:ascii="Times New Roman" w:hAnsi="Times New Roman" w:eastAsia="宋体" w:cs="Times New Roman"/>
                      <w:kern w:val="2"/>
                      <w:sz w:val="21"/>
                      <w:szCs w:val="21"/>
                      <w:lang w:val="en-US" w:eastAsia="zh-CN" w:bidi="ar-SA"/>
                    </w:rPr>
                  </w:pPr>
                  <w:r>
                    <w:rPr>
                      <w:rFonts w:hint="eastAsia"/>
                      <w:lang w:val="en-US" w:eastAsia="zh-CN"/>
                    </w:rPr>
                    <w:t>4800</w:t>
                  </w:r>
                </w:p>
              </w:tc>
              <w:tc>
                <w:tcPr>
                  <w:tcW w:w="367" w:type="pct"/>
                  <w:shd w:val="clear" w:color="auto" w:fill="auto"/>
                  <w:noWrap w:val="0"/>
                  <w:vAlign w:val="center"/>
                </w:tcPr>
                <w:p>
                  <w:pPr>
                    <w:pStyle w:val="70"/>
                    <w:bidi w:val="0"/>
                    <w:rPr>
                      <w:rFonts w:hint="eastAsia" w:ascii="Times New Roman" w:hAnsi="Times New Roman" w:eastAsia="宋体" w:cs="Times New Roman"/>
                      <w:kern w:val="2"/>
                      <w:sz w:val="21"/>
                      <w:szCs w:val="21"/>
                      <w:lang w:val="en-US" w:eastAsia="zh-CN" w:bidi="ar-SA"/>
                    </w:rPr>
                  </w:pPr>
                  <w:r>
                    <w:rPr>
                      <w:rFonts w:hint="eastAsia"/>
                      <w:lang w:val="en-US" w:eastAsia="zh-CN"/>
                    </w:rPr>
                    <w:t>一般排放口</w:t>
                  </w:r>
                </w:p>
              </w:tc>
            </w:tr>
          </w:tbl>
          <w:p>
            <w:pPr>
              <w:pStyle w:val="67"/>
              <w:shd w:val="clear"/>
              <w:bidi w:val="0"/>
              <w:rPr>
                <w:rFonts w:hint="default"/>
              </w:rPr>
            </w:pPr>
            <w:r>
              <w:rPr>
                <w:rFonts w:hint="eastAsia"/>
                <w:lang w:val="en-US" w:eastAsia="zh-CN"/>
              </w:rPr>
              <w:t>1.3</w:t>
            </w:r>
            <w:r>
              <w:rPr>
                <w:rFonts w:hint="default"/>
              </w:rPr>
              <w:t>废气治理措施可行性及达标分析</w:t>
            </w:r>
          </w:p>
          <w:p>
            <w:pPr>
              <w:pStyle w:val="49"/>
              <w:shd w:val="clear"/>
              <w:bidi w:val="0"/>
              <w:rPr>
                <w:rFonts w:hint="eastAsia"/>
                <w:b w:val="0"/>
                <w:bCs/>
                <w:color w:val="000000"/>
                <w:sz w:val="24"/>
                <w:szCs w:val="24"/>
                <w:lang w:val="en-US" w:eastAsia="zh-CN"/>
              </w:rPr>
            </w:pPr>
            <w:r>
              <w:rPr>
                <w:rFonts w:hint="eastAsia" w:ascii="Times New Roman" w:hAnsi="Times New Roman" w:eastAsia="宋体" w:cs="Times New Roman"/>
                <w:i w:val="0"/>
                <w:iCs w:val="0"/>
                <w:color w:val="000000"/>
                <w:kern w:val="0"/>
                <w:sz w:val="24"/>
                <w:szCs w:val="24"/>
                <w:u w:val="none"/>
                <w:lang w:val="en-US" w:eastAsia="zh-CN" w:bidi="ar"/>
              </w:rPr>
              <w:t>本项目生产硅颗粒及饼状硅粉，属《建设项目环境影响评价分类管理名录》中“二十七、非金属矿物制品业60石墨及其他非金属矿物制品制造309”类别。虽《排污许可证申请与核发技术规范石墨及其他非金属矿物制品制造》（HJ1119-2020）未明确硅颗粒生产的污染治理设施要求，但参照规范中“表4”“表5”“表6”关于破碎、筛分工序的规定，同类工序可行污染治理设施为袋式除尘。据此类比，本项目破碎和筛分工序产生的粉尘经管道（收集效率</w:t>
            </w:r>
            <w:r>
              <w:rPr>
                <w:rFonts w:hint="eastAsia" w:cs="Times New Roman"/>
                <w:i w:val="0"/>
                <w:iCs w:val="0"/>
                <w:color w:val="000000"/>
                <w:kern w:val="0"/>
                <w:sz w:val="24"/>
                <w:szCs w:val="24"/>
                <w:u w:val="none"/>
                <w:lang w:val="en-US" w:eastAsia="zh-CN" w:bidi="ar"/>
              </w:rPr>
              <w:t>95</w:t>
            </w:r>
            <w:r>
              <w:rPr>
                <w:rFonts w:hint="eastAsia" w:ascii="Times New Roman" w:hAnsi="Times New Roman" w:eastAsia="宋体" w:cs="Times New Roman"/>
                <w:i w:val="0"/>
                <w:iCs w:val="0"/>
                <w:color w:val="000000"/>
                <w:kern w:val="0"/>
                <w:sz w:val="24"/>
                <w:szCs w:val="24"/>
                <w:u w:val="none"/>
                <w:lang w:val="en-US" w:eastAsia="zh-CN" w:bidi="ar"/>
              </w:rPr>
              <w:t>%）收集后，采用布袋除尘器</w:t>
            </w:r>
            <w:r>
              <w:rPr>
                <w:rFonts w:hint="eastAsia" w:ascii="Times New Roman" w:hAnsi="Times New Roman" w:cs="Times New Roman"/>
                <w:i w:val="0"/>
                <w:iCs w:val="0"/>
                <w:color w:val="000000"/>
                <w:kern w:val="0"/>
                <w:sz w:val="24"/>
                <w:szCs w:val="24"/>
                <w:u w:val="none"/>
                <w:lang w:val="en-US" w:eastAsia="zh-CN" w:bidi="ar"/>
              </w:rPr>
              <w:t>（治理效率99%）</w:t>
            </w:r>
            <w:r>
              <w:rPr>
                <w:rFonts w:hint="eastAsia" w:cs="Times New Roman"/>
                <w:i w:val="0"/>
                <w:iCs w:val="0"/>
                <w:color w:val="000000"/>
                <w:kern w:val="0"/>
                <w:sz w:val="24"/>
                <w:szCs w:val="24"/>
                <w:u w:val="none"/>
                <w:lang w:val="en-US" w:eastAsia="zh-CN" w:bidi="ar"/>
              </w:rPr>
              <w:t>进行处理，经核算，本项目有组织排放浓度和排放速度能够满足</w:t>
            </w:r>
            <w:r>
              <w:rPr>
                <w:rFonts w:hint="eastAsia"/>
                <w:highlight w:val="none"/>
                <w:lang w:val="en-US" w:eastAsia="zh-CN"/>
              </w:rPr>
              <w:t>《大气污染物综合排放标准》（GB16297-1996）表2最高允许排放</w:t>
            </w:r>
            <w:r>
              <w:rPr>
                <w:rFonts w:hint="eastAsia"/>
                <w:b w:val="0"/>
                <w:bCs/>
                <w:color w:val="000000"/>
                <w:sz w:val="24"/>
                <w:szCs w:val="24"/>
                <w:lang w:val="en-US" w:eastAsia="zh-CN"/>
              </w:rPr>
              <w:t>要求。</w:t>
            </w:r>
          </w:p>
          <w:p>
            <w:pPr>
              <w:pStyle w:val="49"/>
              <w:shd w:val="clear"/>
              <w:bidi w:val="0"/>
              <w:rPr>
                <w:rFonts w:hint="default"/>
                <w:b w:val="0"/>
                <w:bCs/>
                <w:color w:val="000000"/>
                <w:sz w:val="24"/>
                <w:szCs w:val="24"/>
                <w:lang w:val="en-US" w:eastAsia="zh-CN"/>
              </w:rPr>
            </w:pPr>
            <w:r>
              <w:rPr>
                <w:rFonts w:hint="default"/>
                <w:b w:val="0"/>
                <w:bCs/>
                <w:color w:val="000000"/>
                <w:sz w:val="24"/>
                <w:szCs w:val="24"/>
                <w:lang w:val="en-US" w:eastAsia="zh-CN"/>
              </w:rPr>
              <w:t>综上所述，本项目采用布袋除尘器对废气进行处理具有切实可行性。</w:t>
            </w:r>
          </w:p>
          <w:p>
            <w:pPr>
              <w:keepNext w:val="0"/>
              <w:keepLines w:val="0"/>
              <w:pageBreakBefore w:val="0"/>
              <w:widowControl w:val="0"/>
              <w:numPr>
                <w:ilvl w:val="0"/>
                <w:numId w:val="0"/>
              </w:numPr>
              <w:tabs>
                <w:tab w:val="left" w:pos="2850"/>
              </w:tabs>
              <w:kinsoku/>
              <w:wordWrap w:val="0"/>
              <w:overflowPunct/>
              <w:topLinePunct w:val="0"/>
              <w:autoSpaceDE/>
              <w:autoSpaceDN/>
              <w:bidi w:val="0"/>
              <w:adjustRightInd/>
              <w:snapToGrid/>
              <w:spacing w:line="520" w:lineRule="exact"/>
              <w:ind w:firstLine="480" w:firstLineChars="200"/>
              <w:jc w:val="both"/>
              <w:textAlignment w:val="auto"/>
              <w:outlineLvl w:val="0"/>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为了明确运营期污染治理设施的运行管理要求，本次环评提出以下措施：</w:t>
            </w:r>
          </w:p>
          <w:p>
            <w:pPr>
              <w:keepNext w:val="0"/>
              <w:keepLines w:val="0"/>
              <w:pageBreakBefore w:val="0"/>
              <w:widowControl w:val="0"/>
              <w:numPr>
                <w:ilvl w:val="0"/>
                <w:numId w:val="0"/>
              </w:numPr>
              <w:tabs>
                <w:tab w:val="left" w:pos="2850"/>
              </w:tabs>
              <w:kinsoku/>
              <w:wordWrap w:val="0"/>
              <w:overflowPunct/>
              <w:topLinePunct w:val="0"/>
              <w:autoSpaceDE/>
              <w:autoSpaceDN/>
              <w:bidi w:val="0"/>
              <w:adjustRightInd/>
              <w:snapToGrid/>
              <w:spacing w:line="520" w:lineRule="exact"/>
              <w:ind w:firstLine="480" w:firstLineChars="200"/>
              <w:jc w:val="both"/>
              <w:textAlignment w:val="auto"/>
              <w:outlineLvl w:val="0"/>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①除尘器突发故障防治措施</w:t>
            </w:r>
          </w:p>
          <w:p>
            <w:pPr>
              <w:keepNext w:val="0"/>
              <w:keepLines w:val="0"/>
              <w:pageBreakBefore w:val="0"/>
              <w:widowControl w:val="0"/>
              <w:numPr>
                <w:ilvl w:val="0"/>
                <w:numId w:val="0"/>
              </w:numPr>
              <w:tabs>
                <w:tab w:val="left" w:pos="2850"/>
              </w:tabs>
              <w:kinsoku/>
              <w:wordWrap w:val="0"/>
              <w:overflowPunct/>
              <w:topLinePunct w:val="0"/>
              <w:autoSpaceDE/>
              <w:autoSpaceDN/>
              <w:bidi w:val="0"/>
              <w:adjustRightInd/>
              <w:snapToGrid/>
              <w:spacing w:line="520" w:lineRule="exact"/>
              <w:ind w:firstLine="480" w:firstLineChars="200"/>
              <w:jc w:val="both"/>
              <w:textAlignment w:val="auto"/>
              <w:outlineLvl w:val="0"/>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当除尘器发生故障时，应马上停止生产线的运行及时安排工作人员对产生的故障的设备进行检修，待设备故障排除后，方可投入生产。</w:t>
            </w:r>
          </w:p>
          <w:p>
            <w:pPr>
              <w:keepNext w:val="0"/>
              <w:keepLines w:val="0"/>
              <w:pageBreakBefore w:val="0"/>
              <w:widowControl w:val="0"/>
              <w:numPr>
                <w:ilvl w:val="0"/>
                <w:numId w:val="0"/>
              </w:numPr>
              <w:tabs>
                <w:tab w:val="left" w:pos="2850"/>
              </w:tabs>
              <w:kinsoku/>
              <w:wordWrap w:val="0"/>
              <w:overflowPunct/>
              <w:topLinePunct w:val="0"/>
              <w:autoSpaceDE/>
              <w:autoSpaceDN/>
              <w:bidi w:val="0"/>
              <w:adjustRightInd/>
              <w:snapToGrid/>
              <w:spacing w:line="520" w:lineRule="exact"/>
              <w:ind w:firstLine="480" w:firstLineChars="200"/>
              <w:jc w:val="both"/>
              <w:textAlignment w:val="auto"/>
              <w:outlineLvl w:val="0"/>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②严格规范化操作</w:t>
            </w:r>
          </w:p>
          <w:p>
            <w:pPr>
              <w:keepNext w:val="0"/>
              <w:keepLines w:val="0"/>
              <w:pageBreakBefore w:val="0"/>
              <w:widowControl w:val="0"/>
              <w:numPr>
                <w:ilvl w:val="0"/>
                <w:numId w:val="0"/>
              </w:numPr>
              <w:tabs>
                <w:tab w:val="left" w:pos="2850"/>
              </w:tabs>
              <w:kinsoku/>
              <w:wordWrap w:val="0"/>
              <w:overflowPunct/>
              <w:topLinePunct w:val="0"/>
              <w:autoSpaceDE/>
              <w:autoSpaceDN/>
              <w:bidi w:val="0"/>
              <w:adjustRightInd/>
              <w:snapToGrid/>
              <w:spacing w:line="520" w:lineRule="exact"/>
              <w:ind w:firstLine="480" w:firstLineChars="200"/>
              <w:jc w:val="both"/>
              <w:textAlignment w:val="auto"/>
              <w:outlineLvl w:val="0"/>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除尘器不能达标排放的</w:t>
            </w:r>
            <w:r>
              <w:rPr>
                <w:rFonts w:hint="eastAsia" w:cs="Times New Roman"/>
                <w:i w:val="0"/>
                <w:iCs w:val="0"/>
                <w:color w:val="000000"/>
                <w:kern w:val="0"/>
                <w:sz w:val="24"/>
                <w:szCs w:val="24"/>
                <w:u w:val="none"/>
                <w:lang w:val="en-US" w:eastAsia="zh-CN" w:bidi="ar"/>
              </w:rPr>
              <w:t>概率</w:t>
            </w:r>
            <w:r>
              <w:rPr>
                <w:rFonts w:hint="default" w:ascii="Times New Roman" w:hAnsi="Times New Roman" w:eastAsia="宋体" w:cs="Times New Roman"/>
                <w:i w:val="0"/>
                <w:iCs w:val="0"/>
                <w:color w:val="000000"/>
                <w:kern w:val="0"/>
                <w:sz w:val="24"/>
                <w:szCs w:val="24"/>
                <w:u w:val="none"/>
                <w:lang w:val="en-US" w:eastAsia="zh-CN" w:bidi="ar"/>
              </w:rPr>
              <w:t>较小，只要加强管理完全可以防止。为此，除尘器要制定除尘器装置操作管理规程、岗位责任制等规章制度，对除尘器实现规范化、制度化管理，操作人员必须持证上岗，严格执行操作管理规定，最大限度降低由于操作失误因素造成的废气事故排放</w:t>
            </w:r>
            <w:r>
              <w:rPr>
                <w:rFonts w:hint="eastAsia" w:cs="Times New Roman"/>
                <w:i w:val="0"/>
                <w:iCs w:val="0"/>
                <w:color w:val="000000"/>
                <w:kern w:val="0"/>
                <w:sz w:val="24"/>
                <w:szCs w:val="24"/>
                <w:u w:val="none"/>
                <w:lang w:val="en-US" w:eastAsia="zh-CN" w:bidi="ar"/>
              </w:rPr>
              <w:t>发生概率</w:t>
            </w:r>
            <w:r>
              <w:rPr>
                <w:rFonts w:hint="default" w:ascii="Times New Roman" w:hAnsi="Times New Roman" w:eastAsia="宋体" w:cs="Times New Roman"/>
                <w:i w:val="0"/>
                <w:iCs w:val="0"/>
                <w:color w:val="000000"/>
                <w:kern w:val="0"/>
                <w:sz w:val="24"/>
                <w:szCs w:val="24"/>
                <w:u w:val="none"/>
                <w:lang w:val="en-US" w:eastAsia="zh-CN" w:bidi="ar"/>
              </w:rPr>
              <w:t>。</w:t>
            </w:r>
          </w:p>
          <w:p>
            <w:pPr>
              <w:keepNext w:val="0"/>
              <w:keepLines w:val="0"/>
              <w:pageBreakBefore w:val="0"/>
              <w:widowControl w:val="0"/>
              <w:numPr>
                <w:ilvl w:val="0"/>
                <w:numId w:val="0"/>
              </w:numPr>
              <w:tabs>
                <w:tab w:val="left" w:pos="2850"/>
              </w:tabs>
              <w:kinsoku/>
              <w:wordWrap w:val="0"/>
              <w:overflowPunct/>
              <w:topLinePunct w:val="0"/>
              <w:autoSpaceDE/>
              <w:autoSpaceDN/>
              <w:bidi w:val="0"/>
              <w:adjustRightInd/>
              <w:snapToGrid/>
              <w:spacing w:line="520" w:lineRule="exact"/>
              <w:ind w:firstLine="480" w:firstLineChars="200"/>
              <w:jc w:val="both"/>
              <w:textAlignment w:val="auto"/>
              <w:outlineLvl w:val="0"/>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③制定事故及时处理</w:t>
            </w:r>
            <w:r>
              <w:rPr>
                <w:rFonts w:hint="eastAsia" w:cs="Times New Roman"/>
                <w:i w:val="0"/>
                <w:iCs w:val="0"/>
                <w:color w:val="000000"/>
                <w:kern w:val="0"/>
                <w:sz w:val="24"/>
                <w:szCs w:val="24"/>
                <w:u w:val="none"/>
                <w:lang w:val="en-US" w:eastAsia="zh-CN" w:bidi="ar"/>
              </w:rPr>
              <w:t>计划</w:t>
            </w:r>
          </w:p>
          <w:p>
            <w:pPr>
              <w:keepNext w:val="0"/>
              <w:keepLines w:val="0"/>
              <w:pageBreakBefore w:val="0"/>
              <w:widowControl w:val="0"/>
              <w:numPr>
                <w:ilvl w:val="0"/>
                <w:numId w:val="0"/>
              </w:numPr>
              <w:tabs>
                <w:tab w:val="left" w:pos="2850"/>
              </w:tabs>
              <w:kinsoku/>
              <w:wordWrap w:val="0"/>
              <w:overflowPunct/>
              <w:topLinePunct w:val="0"/>
              <w:autoSpaceDE/>
              <w:autoSpaceDN/>
              <w:bidi w:val="0"/>
              <w:adjustRightInd/>
              <w:snapToGrid/>
              <w:spacing w:line="520" w:lineRule="exact"/>
              <w:ind w:firstLine="480" w:firstLineChars="200"/>
              <w:jc w:val="both"/>
              <w:textAlignment w:val="auto"/>
              <w:outlineLvl w:val="0"/>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制定事故处理应急计划，建立事故处理机构，落实各</w:t>
            </w:r>
            <w:r>
              <w:rPr>
                <w:rFonts w:hint="eastAsia" w:cs="Times New Roman"/>
                <w:i w:val="0"/>
                <w:iCs w:val="0"/>
                <w:color w:val="000000"/>
                <w:kern w:val="0"/>
                <w:sz w:val="24"/>
                <w:szCs w:val="24"/>
                <w:u w:val="none"/>
                <w:lang w:val="en-US" w:eastAsia="zh-CN" w:bidi="ar"/>
              </w:rPr>
              <w:t>部门</w:t>
            </w:r>
            <w:r>
              <w:rPr>
                <w:rFonts w:hint="default" w:ascii="Times New Roman" w:hAnsi="Times New Roman" w:eastAsia="宋体" w:cs="Times New Roman"/>
                <w:i w:val="0"/>
                <w:iCs w:val="0"/>
                <w:color w:val="000000"/>
                <w:kern w:val="0"/>
                <w:sz w:val="24"/>
                <w:szCs w:val="24"/>
                <w:u w:val="none"/>
                <w:lang w:val="en-US" w:eastAsia="zh-CN" w:bidi="ar"/>
              </w:rPr>
              <w:t>、各岗位、各操作管理人员的责任，一旦发生事故，及时采取处理措施并通知环保等管理部门在最短时间内排除故障。</w:t>
            </w:r>
          </w:p>
          <w:p>
            <w:pPr>
              <w:pStyle w:val="68"/>
              <w:bidi w:val="0"/>
              <w:rPr>
                <w:rFonts w:hint="default"/>
                <w:lang w:val="en-US" w:eastAsia="zh-CN"/>
              </w:rPr>
            </w:pPr>
            <w:r>
              <w:rPr>
                <w:rFonts w:hint="eastAsia"/>
                <w:b/>
                <w:bCs/>
                <w:lang w:val="en-US" w:eastAsia="zh-CN"/>
              </w:rPr>
              <w:t>布袋除尘器：</w:t>
            </w:r>
            <w:r>
              <w:rPr>
                <w:rFonts w:hint="eastAsia"/>
                <w:lang w:val="en-US" w:eastAsia="zh-CN"/>
              </w:rPr>
              <w:t>是一种干式滤尘装置。它适用于捕集细小、干燥、非纤维性粉尘滤袋采用纺织的滤布或非纺织的毡制成，利用纤维织物的过滤作用对含尘气体进行过滤，当含尘气体进入袋式除尘器后，颗粒大、比重大的粉尘，由于重力的作用沉降下来，落入灰斗，含有较细小粉尘的气体在通过滤料时，粉尘被阻留，使气体得到净化。本项目布袋除尘器采用高温滤料，可在260</w:t>
            </w:r>
            <w:r>
              <w:rPr>
                <w:rFonts w:hint="default" w:ascii="Times New Roman" w:hAnsi="Times New Roman" w:cs="Times New Roman"/>
                <w:lang w:val="en-US" w:eastAsia="zh-CN"/>
              </w:rPr>
              <w:t>℃</w:t>
            </w:r>
            <w:r>
              <w:rPr>
                <w:rFonts w:hint="eastAsia"/>
                <w:lang w:val="en-US" w:eastAsia="zh-CN"/>
              </w:rPr>
              <w:t>以下、烟气浓度高的条件下，长期运行保持除尘效率。布袋除尘器处理工艺示意图详见下图。</w:t>
            </w:r>
          </w:p>
          <w:p>
            <w:pPr>
              <w:jc w:val="center"/>
              <w:rPr>
                <w:rFonts w:hint="eastAsia"/>
                <w:lang w:val="en-US" w:eastAsia="zh-CN"/>
              </w:rPr>
            </w:pPr>
            <w:r>
              <w:drawing>
                <wp:inline distT="0" distB="0" distL="114300" distR="114300">
                  <wp:extent cx="3617595" cy="3141980"/>
                  <wp:effectExtent l="0" t="0" r="1905" b="1270"/>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pic:cNvPicPr>
                            <a:picLocks noChangeAspect="1"/>
                          </pic:cNvPicPr>
                        </pic:nvPicPr>
                        <pic:blipFill>
                          <a:blip r:embed="rId13"/>
                          <a:stretch>
                            <a:fillRect/>
                          </a:stretch>
                        </pic:blipFill>
                        <pic:spPr>
                          <a:xfrm>
                            <a:off x="0" y="0"/>
                            <a:ext cx="3617595" cy="3141980"/>
                          </a:xfrm>
                          <a:prstGeom prst="rect">
                            <a:avLst/>
                          </a:prstGeom>
                          <a:noFill/>
                          <a:ln>
                            <a:noFill/>
                          </a:ln>
                        </pic:spPr>
                      </pic:pic>
                    </a:graphicData>
                  </a:graphic>
                </wp:inline>
              </w:drawing>
            </w:r>
          </w:p>
          <w:p>
            <w:pPr>
              <w:pStyle w:val="69"/>
              <w:bidi w:val="0"/>
              <w:rPr>
                <w:rFonts w:hint="default"/>
                <w:lang w:val="en-US" w:eastAsia="zh-CN"/>
              </w:rPr>
            </w:pPr>
            <w:r>
              <w:rPr>
                <w:rFonts w:hint="eastAsia"/>
                <w:lang w:val="en-US" w:eastAsia="zh-CN"/>
              </w:rPr>
              <w:t>图4-1    布袋除尘器</w:t>
            </w:r>
          </w:p>
          <w:p>
            <w:pPr>
              <w:pStyle w:val="67"/>
              <w:bidi w:val="0"/>
              <w:rPr>
                <w:rFonts w:hint="default"/>
                <w:lang w:val="en-US" w:eastAsia="zh-CN"/>
              </w:rPr>
            </w:pPr>
            <w:r>
              <w:rPr>
                <w:rFonts w:hint="eastAsia"/>
                <w:lang w:val="en-US" w:eastAsia="zh-CN"/>
              </w:rPr>
              <w:t>1.4</w:t>
            </w:r>
            <w:r>
              <w:rPr>
                <w:rFonts w:hint="default"/>
                <w:lang w:val="en-US" w:eastAsia="zh-CN"/>
              </w:rPr>
              <w:t>非正常工况污染源强分析</w:t>
            </w:r>
          </w:p>
          <w:p>
            <w:pPr>
              <w:keepNext w:val="0"/>
              <w:keepLines w:val="0"/>
              <w:pageBreakBefore w:val="0"/>
              <w:widowControl w:val="0"/>
              <w:kinsoku/>
              <w:wordWrap w:val="0"/>
              <w:overflowPunct/>
              <w:topLinePunct w:val="0"/>
              <w:autoSpaceDE/>
              <w:autoSpaceDN/>
              <w:bidi w:val="0"/>
              <w:adjustRightInd w:val="0"/>
              <w:snapToGrid w:val="0"/>
              <w:spacing w:line="520" w:lineRule="exact"/>
              <w:ind w:firstLine="480" w:firstLineChars="200"/>
              <w:jc w:val="both"/>
              <w:textAlignment w:val="auto"/>
              <w:rPr>
                <w:rFonts w:hint="default" w:ascii="Times New Roman" w:hAnsi="Times New Roman" w:eastAsia="宋体" w:cs="Times New Roman"/>
                <w:b w:val="0"/>
                <w:bCs w:val="0"/>
                <w:snapToGrid w:val="0"/>
                <w:color w:val="auto"/>
                <w:kern w:val="2"/>
                <w:sz w:val="24"/>
                <w:szCs w:val="24"/>
                <w:lang w:val="en-US" w:eastAsia="zh-CN" w:bidi="ar-SA"/>
              </w:rPr>
            </w:pPr>
            <w:r>
              <w:rPr>
                <w:rFonts w:hint="default" w:ascii="Times New Roman" w:hAnsi="Times New Roman" w:eastAsia="宋体" w:cs="Times New Roman"/>
                <w:b w:val="0"/>
                <w:bCs w:val="0"/>
                <w:snapToGrid w:val="0"/>
                <w:color w:val="auto"/>
                <w:kern w:val="2"/>
                <w:sz w:val="24"/>
                <w:szCs w:val="24"/>
                <w:lang w:val="en-US" w:eastAsia="zh-CN" w:bidi="ar-SA"/>
              </w:rPr>
              <w:t>本项目非正常工况主要包括开、停车，检修；电力供应突然中断；除尘设备故障。项目非正常工况会引起污染物的非正常排放。本项目非正常工况下情况分析如下：</w:t>
            </w:r>
          </w:p>
          <w:p>
            <w:pPr>
              <w:keepNext w:val="0"/>
              <w:keepLines w:val="0"/>
              <w:pageBreakBefore w:val="0"/>
              <w:widowControl w:val="0"/>
              <w:kinsoku/>
              <w:wordWrap w:val="0"/>
              <w:overflowPunct/>
              <w:topLinePunct w:val="0"/>
              <w:autoSpaceDE/>
              <w:autoSpaceDN/>
              <w:bidi w:val="0"/>
              <w:adjustRightInd w:val="0"/>
              <w:snapToGrid w:val="0"/>
              <w:spacing w:line="520" w:lineRule="exact"/>
              <w:ind w:firstLine="480" w:firstLineChars="200"/>
              <w:jc w:val="both"/>
              <w:textAlignment w:val="auto"/>
              <w:rPr>
                <w:rFonts w:hint="default" w:ascii="Times New Roman" w:hAnsi="Times New Roman" w:eastAsia="宋体" w:cs="Times New Roman"/>
                <w:b w:val="0"/>
                <w:bCs w:val="0"/>
                <w:snapToGrid w:val="0"/>
                <w:color w:val="auto"/>
                <w:kern w:val="2"/>
                <w:sz w:val="24"/>
                <w:szCs w:val="24"/>
                <w:lang w:val="en-US" w:eastAsia="zh-CN" w:bidi="ar-SA"/>
              </w:rPr>
            </w:pPr>
            <w:r>
              <w:rPr>
                <w:rFonts w:hint="default" w:ascii="Times New Roman" w:hAnsi="Times New Roman" w:eastAsia="宋体" w:cs="Times New Roman"/>
                <w:b w:val="0"/>
                <w:bCs w:val="0"/>
                <w:snapToGrid w:val="0"/>
                <w:color w:val="auto"/>
                <w:kern w:val="2"/>
                <w:sz w:val="24"/>
                <w:szCs w:val="24"/>
                <w:lang w:val="en-US" w:eastAsia="zh-CN" w:bidi="ar-SA"/>
              </w:rPr>
              <w:t>设备故障：当生产系统出现故障如停电、气泵、机电故障，出现上述情况会停机检修，非正常工况产生的废气量均比正常工况的小，污染物也比正常工况时产生量少，废气经除尘设备处理后排放对周围环境的影响也相应地比正常工况轻。因此本次评价不考虑开停车及设备检修产生的污染物影响。</w:t>
            </w:r>
          </w:p>
          <w:p>
            <w:pPr>
              <w:keepNext w:val="0"/>
              <w:keepLines w:val="0"/>
              <w:pageBreakBefore w:val="0"/>
              <w:widowControl w:val="0"/>
              <w:kinsoku/>
              <w:wordWrap w:val="0"/>
              <w:overflowPunct/>
              <w:topLinePunct w:val="0"/>
              <w:autoSpaceDE/>
              <w:autoSpaceDN/>
              <w:bidi w:val="0"/>
              <w:adjustRightInd w:val="0"/>
              <w:snapToGrid w:val="0"/>
              <w:spacing w:line="520" w:lineRule="exact"/>
              <w:ind w:firstLine="480" w:firstLineChars="200"/>
              <w:jc w:val="both"/>
              <w:textAlignment w:val="auto"/>
              <w:rPr>
                <w:rFonts w:hint="default" w:ascii="Times New Roman" w:hAnsi="Times New Roman" w:eastAsia="宋体" w:cs="Times New Roman"/>
                <w:b w:val="0"/>
                <w:bCs w:val="0"/>
                <w:snapToGrid w:val="0"/>
                <w:color w:val="auto"/>
                <w:kern w:val="2"/>
                <w:sz w:val="24"/>
                <w:szCs w:val="24"/>
                <w:lang w:val="en-US" w:eastAsia="zh-CN" w:bidi="ar-SA"/>
              </w:rPr>
            </w:pPr>
            <w:r>
              <w:rPr>
                <w:rFonts w:hint="default" w:ascii="Times New Roman" w:hAnsi="Times New Roman" w:eastAsia="宋体" w:cs="Times New Roman"/>
                <w:b w:val="0"/>
                <w:bCs w:val="0"/>
                <w:snapToGrid w:val="0"/>
                <w:color w:val="auto"/>
                <w:kern w:val="2"/>
                <w:sz w:val="24"/>
                <w:szCs w:val="24"/>
                <w:lang w:val="en-US" w:eastAsia="zh-CN" w:bidi="ar-SA"/>
              </w:rPr>
              <w:t>废气处理设施效率降低：废气处理设施效率降低的原因是长时间未检修、没有做到定期更换，导致处理效率变低，污染物超标排放。加强日常管理，做到定期检修、定期更换。</w:t>
            </w:r>
          </w:p>
          <w:p>
            <w:pPr>
              <w:keepNext w:val="0"/>
              <w:keepLines w:val="0"/>
              <w:pageBreakBefore w:val="0"/>
              <w:widowControl w:val="0"/>
              <w:kinsoku/>
              <w:wordWrap w:val="0"/>
              <w:overflowPunct/>
              <w:topLinePunct w:val="0"/>
              <w:autoSpaceDE/>
              <w:autoSpaceDN/>
              <w:bidi w:val="0"/>
              <w:adjustRightInd w:val="0"/>
              <w:snapToGrid w:val="0"/>
              <w:spacing w:line="520" w:lineRule="exact"/>
              <w:ind w:firstLine="480" w:firstLineChars="200"/>
              <w:jc w:val="both"/>
              <w:textAlignment w:val="auto"/>
              <w:rPr>
                <w:rFonts w:hint="default"/>
              </w:rPr>
            </w:pPr>
            <w:r>
              <w:rPr>
                <w:rFonts w:hint="default" w:ascii="Times New Roman" w:hAnsi="Times New Roman" w:eastAsia="宋体" w:cs="Times New Roman"/>
                <w:b w:val="0"/>
                <w:bCs w:val="0"/>
                <w:snapToGrid w:val="0"/>
                <w:color w:val="auto"/>
                <w:kern w:val="2"/>
                <w:sz w:val="24"/>
                <w:szCs w:val="24"/>
                <w:lang w:val="en-US" w:eastAsia="zh-CN" w:bidi="ar-SA"/>
              </w:rPr>
              <w:t>鉴于本项目产污主要集中在设备区，污染物产生速率较大，本项目非正常工况废气处理设施处理效率无法达到设计效率时，出现频次约3次/年，非正常工况年排放时间按1h时间计算，废气在未经有效处理的情况通过排气筒排放，非正常工况下废气排放详见</w:t>
            </w:r>
            <w:r>
              <w:rPr>
                <w:rFonts w:hint="eastAsia" w:cs="Times New Roman"/>
                <w:b w:val="0"/>
                <w:bCs w:val="0"/>
                <w:snapToGrid w:val="0"/>
                <w:color w:val="auto"/>
                <w:kern w:val="2"/>
                <w:sz w:val="24"/>
                <w:szCs w:val="24"/>
                <w:lang w:val="en-US" w:eastAsia="zh-CN" w:bidi="ar-SA"/>
              </w:rPr>
              <w:t>下</w:t>
            </w:r>
            <w:r>
              <w:rPr>
                <w:rFonts w:hint="default" w:ascii="Times New Roman" w:hAnsi="Times New Roman" w:eastAsia="宋体" w:cs="Times New Roman"/>
                <w:b w:val="0"/>
                <w:bCs w:val="0"/>
                <w:snapToGrid w:val="0"/>
                <w:color w:val="auto"/>
                <w:kern w:val="2"/>
                <w:sz w:val="24"/>
                <w:szCs w:val="24"/>
                <w:lang w:val="en-US" w:eastAsia="zh-CN" w:bidi="ar-SA"/>
              </w:rPr>
              <w:t>表。</w:t>
            </w:r>
          </w:p>
          <w:p>
            <w:pPr>
              <w:pStyle w:val="65"/>
              <w:bidi w:val="0"/>
              <w:rPr>
                <w:rFonts w:hint="default"/>
                <w:lang w:val="en-US" w:eastAsia="zh-CN"/>
              </w:rPr>
            </w:pPr>
            <w:r>
              <w:rPr>
                <w:rFonts w:hint="default"/>
              </w:rPr>
              <w:t>表</w:t>
            </w:r>
            <w:r>
              <w:rPr>
                <w:rFonts w:hint="default"/>
                <w:lang w:val="en-US" w:eastAsia="zh-CN"/>
              </w:rPr>
              <w:t>4-</w:t>
            </w:r>
            <w:r>
              <w:rPr>
                <w:rFonts w:hint="eastAsia"/>
                <w:lang w:val="en-US" w:eastAsia="zh-CN"/>
              </w:rPr>
              <w:t>3</w:t>
            </w:r>
            <w:r>
              <w:rPr>
                <w:rFonts w:hint="default"/>
                <w:lang w:val="en-US" w:eastAsia="zh-CN"/>
              </w:rPr>
              <w:t xml:space="preserve"> </w:t>
            </w:r>
            <w:r>
              <w:rPr>
                <w:rFonts w:hint="default"/>
              </w:rPr>
              <w:t xml:space="preserve"> </w:t>
            </w:r>
            <w:r>
              <w:rPr>
                <w:rFonts w:hint="eastAsia"/>
                <w:lang w:val="en-US" w:eastAsia="zh-CN"/>
              </w:rPr>
              <w:t xml:space="preserve">  </w:t>
            </w:r>
            <w:r>
              <w:rPr>
                <w:rFonts w:hint="default"/>
              </w:rPr>
              <w:t>本项目非正常工况污染物产排情况</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065"/>
              <w:gridCol w:w="615"/>
              <w:gridCol w:w="900"/>
              <w:gridCol w:w="975"/>
              <w:gridCol w:w="810"/>
              <w:gridCol w:w="825"/>
              <w:gridCol w:w="79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799" w:type="dxa"/>
                  <w:noWrap w:val="0"/>
                  <w:vAlign w:val="center"/>
                </w:tcPr>
                <w:p>
                  <w:pPr>
                    <w:pStyle w:val="66"/>
                    <w:bidi w:val="0"/>
                    <w:rPr>
                      <w:rFonts w:hint="default"/>
                    </w:rPr>
                  </w:pPr>
                  <w:r>
                    <w:rPr>
                      <w:rFonts w:hint="default"/>
                    </w:rPr>
                    <w:t>污染源</w:t>
                  </w:r>
                </w:p>
              </w:tc>
              <w:tc>
                <w:tcPr>
                  <w:tcW w:w="1065" w:type="dxa"/>
                  <w:noWrap w:val="0"/>
                  <w:vAlign w:val="center"/>
                </w:tcPr>
                <w:p>
                  <w:pPr>
                    <w:pStyle w:val="66"/>
                    <w:bidi w:val="0"/>
                    <w:rPr>
                      <w:rFonts w:hint="default"/>
                    </w:rPr>
                  </w:pPr>
                  <w:r>
                    <w:rPr>
                      <w:rFonts w:hint="default"/>
                    </w:rPr>
                    <w:t>非正常排放原因</w:t>
                  </w:r>
                </w:p>
              </w:tc>
              <w:tc>
                <w:tcPr>
                  <w:tcW w:w="615" w:type="dxa"/>
                  <w:noWrap w:val="0"/>
                  <w:vAlign w:val="center"/>
                </w:tcPr>
                <w:p>
                  <w:pPr>
                    <w:pStyle w:val="66"/>
                    <w:bidi w:val="0"/>
                    <w:rPr>
                      <w:rFonts w:hint="default"/>
                    </w:rPr>
                  </w:pPr>
                  <w:r>
                    <w:rPr>
                      <w:rFonts w:hint="default"/>
                    </w:rPr>
                    <w:t>污染物</w:t>
                  </w:r>
                </w:p>
              </w:tc>
              <w:tc>
                <w:tcPr>
                  <w:tcW w:w="900" w:type="dxa"/>
                  <w:noWrap w:val="0"/>
                  <w:vAlign w:val="center"/>
                </w:tcPr>
                <w:p>
                  <w:pPr>
                    <w:pStyle w:val="66"/>
                    <w:keepNext w:val="0"/>
                    <w:keepLines w:val="0"/>
                    <w:pageBreakBefore w:val="0"/>
                    <w:widowControl w:val="0"/>
                    <w:kinsoku/>
                    <w:wordWrap w:val="0"/>
                    <w:overflowPunct/>
                    <w:topLinePunct w:val="0"/>
                    <w:autoSpaceDE/>
                    <w:autoSpaceDN/>
                    <w:bidi w:val="0"/>
                    <w:adjustRightInd/>
                    <w:snapToGrid/>
                    <w:textAlignment w:val="auto"/>
                    <w:rPr>
                      <w:rFonts w:hint="default"/>
                    </w:rPr>
                  </w:pPr>
                  <w:r>
                    <w:rPr>
                      <w:rFonts w:hint="default"/>
                    </w:rPr>
                    <w:t>非正常排放</w:t>
                  </w:r>
                  <w:r>
                    <w:rPr>
                      <w:rFonts w:hint="eastAsia"/>
                      <w:lang w:eastAsia="zh-CN"/>
                    </w:rPr>
                    <w:t>浓度</w:t>
                  </w:r>
                  <w:r>
                    <w:rPr>
                      <w:rFonts w:hint="default"/>
                    </w:rPr>
                    <w:t>(mg/m³)</w:t>
                  </w:r>
                </w:p>
              </w:tc>
              <w:tc>
                <w:tcPr>
                  <w:tcW w:w="975" w:type="dxa"/>
                  <w:noWrap w:val="0"/>
                  <w:vAlign w:val="center"/>
                </w:tcPr>
                <w:p>
                  <w:pPr>
                    <w:pStyle w:val="66"/>
                    <w:keepNext w:val="0"/>
                    <w:keepLines w:val="0"/>
                    <w:pageBreakBefore w:val="0"/>
                    <w:widowControl w:val="0"/>
                    <w:kinsoku/>
                    <w:wordWrap w:val="0"/>
                    <w:overflowPunct/>
                    <w:topLinePunct w:val="0"/>
                    <w:autoSpaceDE/>
                    <w:autoSpaceDN/>
                    <w:bidi w:val="0"/>
                    <w:adjustRightInd/>
                    <w:snapToGrid/>
                    <w:textAlignment w:val="auto"/>
                    <w:rPr>
                      <w:rFonts w:hint="default"/>
                    </w:rPr>
                  </w:pPr>
                  <w:r>
                    <w:rPr>
                      <w:rFonts w:hint="default"/>
                    </w:rPr>
                    <w:t>非正常排放速率</w:t>
                  </w:r>
                  <w:r>
                    <w:rPr>
                      <w:rFonts w:hint="default"/>
                      <w:lang w:eastAsia="zh-CN"/>
                    </w:rPr>
                    <w:t>（</w:t>
                  </w:r>
                  <w:r>
                    <w:rPr>
                      <w:rFonts w:hint="default"/>
                    </w:rPr>
                    <w:t>kg/h</w:t>
                  </w:r>
                  <w:r>
                    <w:rPr>
                      <w:rFonts w:hint="default"/>
                      <w:lang w:eastAsia="zh-CN"/>
                    </w:rPr>
                    <w:t>）</w:t>
                  </w:r>
                </w:p>
              </w:tc>
              <w:tc>
                <w:tcPr>
                  <w:tcW w:w="810" w:type="dxa"/>
                  <w:noWrap w:val="0"/>
                  <w:vAlign w:val="center"/>
                </w:tcPr>
                <w:p>
                  <w:pPr>
                    <w:pStyle w:val="66"/>
                    <w:keepNext w:val="0"/>
                    <w:keepLines w:val="0"/>
                    <w:pageBreakBefore w:val="0"/>
                    <w:widowControl w:val="0"/>
                    <w:kinsoku/>
                    <w:wordWrap w:val="0"/>
                    <w:overflowPunct/>
                    <w:topLinePunct w:val="0"/>
                    <w:autoSpaceDE/>
                    <w:autoSpaceDN/>
                    <w:bidi w:val="0"/>
                    <w:adjustRightInd/>
                    <w:snapToGrid/>
                    <w:textAlignment w:val="auto"/>
                    <w:rPr>
                      <w:rFonts w:hint="default"/>
                    </w:rPr>
                  </w:pPr>
                  <w:r>
                    <w:rPr>
                      <w:rFonts w:hint="default"/>
                    </w:rPr>
                    <w:t>单次持续时间/h</w:t>
                  </w:r>
                </w:p>
              </w:tc>
              <w:tc>
                <w:tcPr>
                  <w:tcW w:w="825" w:type="dxa"/>
                  <w:noWrap w:val="0"/>
                  <w:vAlign w:val="center"/>
                </w:tcPr>
                <w:p>
                  <w:pPr>
                    <w:pStyle w:val="66"/>
                    <w:keepNext w:val="0"/>
                    <w:keepLines w:val="0"/>
                    <w:pageBreakBefore w:val="0"/>
                    <w:widowControl w:val="0"/>
                    <w:kinsoku/>
                    <w:wordWrap w:val="0"/>
                    <w:overflowPunct/>
                    <w:topLinePunct w:val="0"/>
                    <w:autoSpaceDE/>
                    <w:autoSpaceDN/>
                    <w:bidi w:val="0"/>
                    <w:adjustRightInd/>
                    <w:snapToGrid/>
                    <w:textAlignment w:val="auto"/>
                    <w:rPr>
                      <w:rFonts w:hint="default"/>
                    </w:rPr>
                  </w:pPr>
                  <w:r>
                    <w:rPr>
                      <w:rFonts w:hint="default"/>
                    </w:rPr>
                    <w:t>年发生频次</w:t>
                  </w:r>
                  <w:r>
                    <w:rPr>
                      <w:rFonts w:hint="eastAsia"/>
                      <w:lang w:eastAsia="zh-CN"/>
                    </w:rPr>
                    <w:t>（</w:t>
                  </w:r>
                  <w:r>
                    <w:rPr>
                      <w:rFonts w:hint="default"/>
                    </w:rPr>
                    <w:t>次/年</w:t>
                  </w:r>
                  <w:r>
                    <w:rPr>
                      <w:rFonts w:hint="eastAsia"/>
                      <w:lang w:eastAsia="zh-CN"/>
                    </w:rPr>
                    <w:t>）</w:t>
                  </w:r>
                </w:p>
              </w:tc>
              <w:tc>
                <w:tcPr>
                  <w:tcW w:w="795" w:type="dxa"/>
                  <w:noWrap w:val="0"/>
                  <w:vAlign w:val="center"/>
                </w:tcPr>
                <w:p>
                  <w:pPr>
                    <w:pStyle w:val="66"/>
                    <w:keepNext w:val="0"/>
                    <w:keepLines w:val="0"/>
                    <w:pageBreakBefore w:val="0"/>
                    <w:widowControl w:val="0"/>
                    <w:kinsoku/>
                    <w:wordWrap w:val="0"/>
                    <w:overflowPunct/>
                    <w:topLinePunct w:val="0"/>
                    <w:autoSpaceDE/>
                    <w:autoSpaceDN/>
                    <w:bidi w:val="0"/>
                    <w:adjustRightInd/>
                    <w:snapToGrid/>
                    <w:textAlignment w:val="auto"/>
                    <w:rPr>
                      <w:rFonts w:hint="default"/>
                    </w:rPr>
                  </w:pPr>
                  <w:r>
                    <w:rPr>
                      <w:rFonts w:hint="default"/>
                    </w:rPr>
                    <w:t>排放量</w:t>
                  </w:r>
                </w:p>
                <w:p>
                  <w:pPr>
                    <w:pStyle w:val="66"/>
                    <w:keepNext w:val="0"/>
                    <w:keepLines w:val="0"/>
                    <w:pageBreakBefore w:val="0"/>
                    <w:widowControl w:val="0"/>
                    <w:kinsoku/>
                    <w:wordWrap w:val="0"/>
                    <w:overflowPunct/>
                    <w:topLinePunct w:val="0"/>
                    <w:autoSpaceDE/>
                    <w:autoSpaceDN/>
                    <w:bidi w:val="0"/>
                    <w:adjustRightInd/>
                    <w:snapToGrid/>
                    <w:textAlignment w:val="auto"/>
                    <w:rPr>
                      <w:rFonts w:hint="default"/>
                    </w:rPr>
                  </w:pPr>
                  <w:r>
                    <w:rPr>
                      <w:rFonts w:hint="default"/>
                    </w:rPr>
                    <w:t>(</w:t>
                  </w:r>
                  <w:r>
                    <w:rPr>
                      <w:rFonts w:hint="default"/>
                      <w:lang w:val="en-US" w:eastAsia="zh-CN"/>
                    </w:rPr>
                    <w:t>kg</w:t>
                  </w:r>
                  <w:r>
                    <w:rPr>
                      <w:rFonts w:hint="eastAsia"/>
                      <w:lang w:val="en-US" w:eastAsia="zh-CN"/>
                    </w:rPr>
                    <w:t>/a</w:t>
                  </w:r>
                  <w:r>
                    <w:rPr>
                      <w:rFonts w:hint="default"/>
                    </w:rPr>
                    <w:t>)</w:t>
                  </w:r>
                </w:p>
              </w:tc>
              <w:tc>
                <w:tcPr>
                  <w:tcW w:w="780" w:type="dxa"/>
                  <w:noWrap w:val="0"/>
                  <w:vAlign w:val="center"/>
                </w:tcPr>
                <w:p>
                  <w:pPr>
                    <w:pStyle w:val="66"/>
                    <w:keepNext w:val="0"/>
                    <w:keepLines w:val="0"/>
                    <w:pageBreakBefore w:val="0"/>
                    <w:widowControl w:val="0"/>
                    <w:kinsoku/>
                    <w:wordWrap w:val="0"/>
                    <w:overflowPunct/>
                    <w:topLinePunct w:val="0"/>
                    <w:autoSpaceDE/>
                    <w:autoSpaceDN/>
                    <w:bidi w:val="0"/>
                    <w:adjustRightInd/>
                    <w:snapToGrid/>
                    <w:textAlignment w:val="auto"/>
                    <w:rPr>
                      <w:rFonts w:hint="default"/>
                    </w:rPr>
                  </w:pPr>
                  <w:r>
                    <w:rPr>
                      <w:rFonts w:hint="default"/>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9" w:type="dxa"/>
                  <w:noWrap w:val="0"/>
                  <w:vAlign w:val="center"/>
                </w:tcPr>
                <w:p>
                  <w:pPr>
                    <w:pStyle w:val="66"/>
                    <w:bidi w:val="0"/>
                    <w:rPr>
                      <w:rFonts w:hint="default"/>
                      <w:lang w:val="en-US" w:eastAsia="zh-CN"/>
                    </w:rPr>
                  </w:pPr>
                  <w:r>
                    <w:rPr>
                      <w:rFonts w:hint="eastAsia"/>
                      <w:lang w:val="en-US" w:eastAsia="zh-CN"/>
                    </w:rPr>
                    <w:t>1#生产线一级破碎、二级破碎、筛分、三级破碎工序</w:t>
                  </w:r>
                </w:p>
              </w:tc>
              <w:tc>
                <w:tcPr>
                  <w:tcW w:w="1065" w:type="dxa"/>
                  <w:noWrap w:val="0"/>
                  <w:vAlign w:val="center"/>
                </w:tcPr>
                <w:p>
                  <w:pPr>
                    <w:pStyle w:val="66"/>
                    <w:bidi w:val="0"/>
                    <w:rPr>
                      <w:rFonts w:hint="default"/>
                    </w:rPr>
                  </w:pPr>
                  <w:r>
                    <w:rPr>
                      <w:rFonts w:hint="default"/>
                    </w:rPr>
                    <w:t>除尘效率降为0%</w:t>
                  </w:r>
                </w:p>
              </w:tc>
              <w:tc>
                <w:tcPr>
                  <w:tcW w:w="615" w:type="dxa"/>
                  <w:noWrap w:val="0"/>
                  <w:vAlign w:val="center"/>
                </w:tcPr>
                <w:p>
                  <w:pPr>
                    <w:pStyle w:val="66"/>
                    <w:bidi w:val="0"/>
                    <w:rPr>
                      <w:rFonts w:hint="default"/>
                    </w:rPr>
                  </w:pPr>
                  <w:r>
                    <w:rPr>
                      <w:rFonts w:hint="default"/>
                    </w:rPr>
                    <w:t>颗粒物</w:t>
                  </w:r>
                </w:p>
              </w:tc>
              <w:tc>
                <w:tcPr>
                  <w:tcW w:w="900" w:type="dxa"/>
                  <w:noWrap w:val="0"/>
                  <w:vAlign w:val="center"/>
                </w:tcPr>
                <w:p>
                  <w:pPr>
                    <w:pStyle w:val="66"/>
                    <w:bidi w:val="0"/>
                    <w:rPr>
                      <w:rFonts w:hint="default"/>
                      <w:lang w:val="en-US" w:eastAsia="zh-CN"/>
                    </w:rPr>
                  </w:pPr>
                  <w:r>
                    <w:rPr>
                      <w:rFonts w:hint="eastAsia"/>
                      <w:lang w:val="en-US" w:eastAsia="zh-CN"/>
                    </w:rPr>
                    <w:t>7268</w:t>
                  </w:r>
                </w:p>
              </w:tc>
              <w:tc>
                <w:tcPr>
                  <w:tcW w:w="975" w:type="dxa"/>
                  <w:noWrap w:val="0"/>
                  <w:vAlign w:val="center"/>
                </w:tcPr>
                <w:p>
                  <w:pPr>
                    <w:pStyle w:val="66"/>
                    <w:bidi w:val="0"/>
                    <w:rPr>
                      <w:rFonts w:hint="default"/>
                      <w:lang w:val="en-US" w:eastAsia="zh-CN"/>
                    </w:rPr>
                  </w:pPr>
                  <w:r>
                    <w:rPr>
                      <w:rFonts w:hint="eastAsia"/>
                      <w:lang w:val="en-US" w:eastAsia="zh-CN"/>
                    </w:rPr>
                    <w:t>21.81</w:t>
                  </w:r>
                </w:p>
              </w:tc>
              <w:tc>
                <w:tcPr>
                  <w:tcW w:w="810" w:type="dxa"/>
                  <w:noWrap w:val="0"/>
                  <w:vAlign w:val="center"/>
                </w:tcPr>
                <w:p>
                  <w:pPr>
                    <w:pStyle w:val="66"/>
                    <w:bidi w:val="0"/>
                    <w:rPr>
                      <w:rFonts w:hint="default"/>
                      <w:lang w:val="en-US" w:eastAsia="zh-CN"/>
                    </w:rPr>
                  </w:pPr>
                  <w:r>
                    <w:rPr>
                      <w:rFonts w:hint="default"/>
                      <w:lang w:val="en-US" w:eastAsia="zh-CN"/>
                    </w:rPr>
                    <w:t>1</w:t>
                  </w:r>
                </w:p>
              </w:tc>
              <w:tc>
                <w:tcPr>
                  <w:tcW w:w="825" w:type="dxa"/>
                  <w:noWrap w:val="0"/>
                  <w:vAlign w:val="center"/>
                </w:tcPr>
                <w:p>
                  <w:pPr>
                    <w:pStyle w:val="66"/>
                    <w:bidi w:val="0"/>
                    <w:rPr>
                      <w:rFonts w:hint="default"/>
                      <w:lang w:val="en-US" w:eastAsia="zh-CN"/>
                    </w:rPr>
                  </w:pPr>
                  <w:r>
                    <w:rPr>
                      <w:rFonts w:hint="default"/>
                      <w:lang w:val="en-US" w:eastAsia="zh-CN"/>
                    </w:rPr>
                    <w:t>3</w:t>
                  </w:r>
                </w:p>
              </w:tc>
              <w:tc>
                <w:tcPr>
                  <w:tcW w:w="795" w:type="dxa"/>
                  <w:noWrap w:val="0"/>
                  <w:vAlign w:val="center"/>
                </w:tcPr>
                <w:p>
                  <w:pPr>
                    <w:pStyle w:val="66"/>
                    <w:bidi w:val="0"/>
                    <w:rPr>
                      <w:rFonts w:hint="default"/>
                      <w:lang w:val="en-US" w:eastAsia="zh-CN"/>
                    </w:rPr>
                  </w:pPr>
                  <w:r>
                    <w:rPr>
                      <w:rFonts w:hint="eastAsia"/>
                      <w:lang w:val="en-US" w:eastAsia="zh-CN"/>
                    </w:rPr>
                    <w:t>65.43</w:t>
                  </w:r>
                </w:p>
              </w:tc>
              <w:tc>
                <w:tcPr>
                  <w:tcW w:w="780" w:type="dxa"/>
                  <w:vMerge w:val="restart"/>
                  <w:noWrap w:val="0"/>
                  <w:vAlign w:val="center"/>
                </w:tcPr>
                <w:p>
                  <w:pPr>
                    <w:pStyle w:val="66"/>
                    <w:bidi w:val="0"/>
                    <w:rPr>
                      <w:rFonts w:hint="default"/>
                    </w:rPr>
                  </w:pPr>
                  <w:r>
                    <w:rPr>
                      <w:rFonts w:hint="default"/>
                    </w:rPr>
                    <w:t>发现问题第一时间维修、停止</w:t>
                  </w:r>
                  <w:r>
                    <w:rPr>
                      <w:rFonts w:hint="eastAsia"/>
                      <w:lang w:val="en-US" w:eastAsia="zh-CN"/>
                    </w:rPr>
                    <w:t>生</w:t>
                  </w:r>
                  <w:r>
                    <w:rPr>
                      <w:rFonts w:hint="default"/>
                    </w:rPr>
                    <w:t>产，待设备正常后恢复生产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9" w:type="dxa"/>
                  <w:noWrap w:val="0"/>
                  <w:vAlign w:val="center"/>
                </w:tcPr>
                <w:p>
                  <w:pPr>
                    <w:pStyle w:val="66"/>
                    <w:bidi w:val="0"/>
                    <w:rPr>
                      <w:rFonts w:hint="eastAsia"/>
                      <w:lang w:val="en-US" w:eastAsia="zh-CN"/>
                    </w:rPr>
                  </w:pPr>
                  <w:r>
                    <w:rPr>
                      <w:rFonts w:hint="eastAsia"/>
                      <w:lang w:val="en-US" w:eastAsia="zh-CN"/>
                    </w:rPr>
                    <w:t>2#生产线一级破碎、二级破碎、筛分、三级破碎工序</w:t>
                  </w:r>
                </w:p>
              </w:tc>
              <w:tc>
                <w:tcPr>
                  <w:tcW w:w="1065" w:type="dxa"/>
                  <w:noWrap w:val="0"/>
                  <w:vAlign w:val="center"/>
                </w:tcPr>
                <w:p>
                  <w:pPr>
                    <w:pStyle w:val="66"/>
                    <w:bidi w:val="0"/>
                    <w:rPr>
                      <w:rFonts w:hint="default"/>
                    </w:rPr>
                  </w:pPr>
                  <w:r>
                    <w:rPr>
                      <w:rFonts w:hint="default"/>
                    </w:rPr>
                    <w:t>除尘效率降为0%</w:t>
                  </w:r>
                </w:p>
              </w:tc>
              <w:tc>
                <w:tcPr>
                  <w:tcW w:w="615" w:type="dxa"/>
                  <w:noWrap w:val="0"/>
                  <w:vAlign w:val="center"/>
                </w:tcPr>
                <w:p>
                  <w:pPr>
                    <w:pStyle w:val="66"/>
                    <w:bidi w:val="0"/>
                    <w:rPr>
                      <w:rFonts w:hint="default"/>
                    </w:rPr>
                  </w:pPr>
                  <w:r>
                    <w:rPr>
                      <w:rFonts w:hint="default"/>
                    </w:rPr>
                    <w:t>颗粒物</w:t>
                  </w:r>
                </w:p>
              </w:tc>
              <w:tc>
                <w:tcPr>
                  <w:tcW w:w="900" w:type="dxa"/>
                  <w:noWrap w:val="0"/>
                  <w:vAlign w:val="center"/>
                </w:tcPr>
                <w:p>
                  <w:pPr>
                    <w:pStyle w:val="66"/>
                    <w:bidi w:val="0"/>
                    <w:rPr>
                      <w:rFonts w:hint="eastAsia"/>
                      <w:lang w:val="en-US" w:eastAsia="zh-CN"/>
                    </w:rPr>
                  </w:pPr>
                  <w:r>
                    <w:rPr>
                      <w:rFonts w:hint="eastAsia"/>
                      <w:lang w:val="en-US" w:eastAsia="zh-CN"/>
                    </w:rPr>
                    <w:t>7268</w:t>
                  </w:r>
                </w:p>
              </w:tc>
              <w:tc>
                <w:tcPr>
                  <w:tcW w:w="975" w:type="dxa"/>
                  <w:noWrap w:val="0"/>
                  <w:vAlign w:val="center"/>
                </w:tcPr>
                <w:p>
                  <w:pPr>
                    <w:pStyle w:val="66"/>
                    <w:bidi w:val="0"/>
                    <w:rPr>
                      <w:rFonts w:hint="eastAsia"/>
                      <w:lang w:val="en-US" w:eastAsia="zh-CN"/>
                    </w:rPr>
                  </w:pPr>
                  <w:r>
                    <w:rPr>
                      <w:rFonts w:hint="eastAsia"/>
                      <w:lang w:val="en-US" w:eastAsia="zh-CN"/>
                    </w:rPr>
                    <w:t>21.81</w:t>
                  </w:r>
                </w:p>
              </w:tc>
              <w:tc>
                <w:tcPr>
                  <w:tcW w:w="810" w:type="dxa"/>
                  <w:noWrap w:val="0"/>
                  <w:vAlign w:val="center"/>
                </w:tcPr>
                <w:p>
                  <w:pPr>
                    <w:pStyle w:val="66"/>
                    <w:bidi w:val="0"/>
                    <w:rPr>
                      <w:rFonts w:hint="default"/>
                      <w:lang w:val="en-US" w:eastAsia="zh-CN"/>
                    </w:rPr>
                  </w:pPr>
                  <w:r>
                    <w:rPr>
                      <w:rFonts w:hint="default"/>
                      <w:lang w:val="en-US" w:eastAsia="zh-CN"/>
                    </w:rPr>
                    <w:t>1</w:t>
                  </w:r>
                </w:p>
              </w:tc>
              <w:tc>
                <w:tcPr>
                  <w:tcW w:w="825" w:type="dxa"/>
                  <w:noWrap w:val="0"/>
                  <w:vAlign w:val="center"/>
                </w:tcPr>
                <w:p>
                  <w:pPr>
                    <w:pStyle w:val="66"/>
                    <w:bidi w:val="0"/>
                    <w:rPr>
                      <w:rFonts w:hint="default"/>
                      <w:lang w:val="en-US" w:eastAsia="zh-CN"/>
                    </w:rPr>
                  </w:pPr>
                  <w:r>
                    <w:rPr>
                      <w:rFonts w:hint="default"/>
                      <w:lang w:val="en-US" w:eastAsia="zh-CN"/>
                    </w:rPr>
                    <w:t>3</w:t>
                  </w:r>
                </w:p>
              </w:tc>
              <w:tc>
                <w:tcPr>
                  <w:tcW w:w="795" w:type="dxa"/>
                  <w:noWrap w:val="0"/>
                  <w:vAlign w:val="center"/>
                </w:tcPr>
                <w:p>
                  <w:pPr>
                    <w:pStyle w:val="66"/>
                    <w:bidi w:val="0"/>
                    <w:rPr>
                      <w:rFonts w:hint="eastAsia"/>
                      <w:lang w:val="en-US" w:eastAsia="zh-CN"/>
                    </w:rPr>
                  </w:pPr>
                  <w:r>
                    <w:rPr>
                      <w:rFonts w:hint="eastAsia"/>
                      <w:lang w:val="en-US" w:eastAsia="zh-CN"/>
                    </w:rPr>
                    <w:t>65.43</w:t>
                  </w:r>
                </w:p>
              </w:tc>
              <w:tc>
                <w:tcPr>
                  <w:tcW w:w="780" w:type="dxa"/>
                  <w:vMerge w:val="continue"/>
                  <w:noWrap w:val="0"/>
                  <w:vAlign w:val="center"/>
                </w:tcPr>
                <w:p>
                  <w:pPr>
                    <w:pStyle w:val="66"/>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9" w:type="dxa"/>
                  <w:noWrap w:val="0"/>
                  <w:vAlign w:val="center"/>
                </w:tcPr>
                <w:p>
                  <w:pPr>
                    <w:pStyle w:val="66"/>
                    <w:bidi w:val="0"/>
                    <w:rPr>
                      <w:rFonts w:hint="eastAsia"/>
                      <w:lang w:val="en-US" w:eastAsia="zh-CN"/>
                    </w:rPr>
                  </w:pPr>
                  <w:r>
                    <w:rPr>
                      <w:rFonts w:hint="eastAsia"/>
                      <w:lang w:val="en-US" w:eastAsia="zh-CN"/>
                    </w:rPr>
                    <w:t>3#生产线一级破碎、二级破碎、筛分、三级破碎工序</w:t>
                  </w:r>
                </w:p>
              </w:tc>
              <w:tc>
                <w:tcPr>
                  <w:tcW w:w="1065" w:type="dxa"/>
                  <w:noWrap w:val="0"/>
                  <w:vAlign w:val="center"/>
                </w:tcPr>
                <w:p>
                  <w:pPr>
                    <w:pStyle w:val="66"/>
                    <w:bidi w:val="0"/>
                    <w:rPr>
                      <w:rFonts w:hint="default"/>
                    </w:rPr>
                  </w:pPr>
                  <w:r>
                    <w:rPr>
                      <w:rFonts w:hint="default"/>
                    </w:rPr>
                    <w:t>除尘效率降为0%</w:t>
                  </w:r>
                </w:p>
              </w:tc>
              <w:tc>
                <w:tcPr>
                  <w:tcW w:w="615" w:type="dxa"/>
                  <w:noWrap w:val="0"/>
                  <w:vAlign w:val="center"/>
                </w:tcPr>
                <w:p>
                  <w:pPr>
                    <w:pStyle w:val="66"/>
                    <w:bidi w:val="0"/>
                    <w:rPr>
                      <w:rFonts w:hint="default"/>
                    </w:rPr>
                  </w:pPr>
                  <w:r>
                    <w:rPr>
                      <w:rFonts w:hint="default"/>
                    </w:rPr>
                    <w:t>颗粒物</w:t>
                  </w:r>
                </w:p>
              </w:tc>
              <w:tc>
                <w:tcPr>
                  <w:tcW w:w="900" w:type="dxa"/>
                  <w:noWrap w:val="0"/>
                  <w:vAlign w:val="center"/>
                </w:tcPr>
                <w:p>
                  <w:pPr>
                    <w:pStyle w:val="66"/>
                    <w:bidi w:val="0"/>
                    <w:rPr>
                      <w:rFonts w:hint="eastAsia"/>
                      <w:lang w:val="en-US" w:eastAsia="zh-CN"/>
                    </w:rPr>
                  </w:pPr>
                  <w:r>
                    <w:rPr>
                      <w:rFonts w:hint="eastAsia"/>
                      <w:lang w:val="en-US" w:eastAsia="zh-CN"/>
                    </w:rPr>
                    <w:t>7268</w:t>
                  </w:r>
                </w:p>
              </w:tc>
              <w:tc>
                <w:tcPr>
                  <w:tcW w:w="975" w:type="dxa"/>
                  <w:noWrap w:val="0"/>
                  <w:vAlign w:val="center"/>
                </w:tcPr>
                <w:p>
                  <w:pPr>
                    <w:pStyle w:val="66"/>
                    <w:bidi w:val="0"/>
                    <w:rPr>
                      <w:rFonts w:hint="eastAsia"/>
                      <w:lang w:val="en-US" w:eastAsia="zh-CN"/>
                    </w:rPr>
                  </w:pPr>
                  <w:r>
                    <w:rPr>
                      <w:rFonts w:hint="eastAsia"/>
                      <w:lang w:val="en-US" w:eastAsia="zh-CN"/>
                    </w:rPr>
                    <w:t>21.81</w:t>
                  </w:r>
                </w:p>
              </w:tc>
              <w:tc>
                <w:tcPr>
                  <w:tcW w:w="810" w:type="dxa"/>
                  <w:noWrap w:val="0"/>
                  <w:vAlign w:val="center"/>
                </w:tcPr>
                <w:p>
                  <w:pPr>
                    <w:pStyle w:val="66"/>
                    <w:bidi w:val="0"/>
                    <w:rPr>
                      <w:rFonts w:hint="default"/>
                      <w:lang w:val="en-US" w:eastAsia="zh-CN"/>
                    </w:rPr>
                  </w:pPr>
                  <w:r>
                    <w:rPr>
                      <w:rFonts w:hint="default"/>
                      <w:lang w:val="en-US" w:eastAsia="zh-CN"/>
                    </w:rPr>
                    <w:t>1</w:t>
                  </w:r>
                </w:p>
              </w:tc>
              <w:tc>
                <w:tcPr>
                  <w:tcW w:w="825" w:type="dxa"/>
                  <w:noWrap w:val="0"/>
                  <w:vAlign w:val="center"/>
                </w:tcPr>
                <w:p>
                  <w:pPr>
                    <w:pStyle w:val="66"/>
                    <w:bidi w:val="0"/>
                    <w:rPr>
                      <w:rFonts w:hint="default"/>
                      <w:lang w:val="en-US" w:eastAsia="zh-CN"/>
                    </w:rPr>
                  </w:pPr>
                  <w:r>
                    <w:rPr>
                      <w:rFonts w:hint="default"/>
                      <w:lang w:val="en-US" w:eastAsia="zh-CN"/>
                    </w:rPr>
                    <w:t>3</w:t>
                  </w:r>
                </w:p>
              </w:tc>
              <w:tc>
                <w:tcPr>
                  <w:tcW w:w="795" w:type="dxa"/>
                  <w:noWrap w:val="0"/>
                  <w:vAlign w:val="center"/>
                </w:tcPr>
                <w:p>
                  <w:pPr>
                    <w:pStyle w:val="66"/>
                    <w:bidi w:val="0"/>
                    <w:rPr>
                      <w:rFonts w:hint="eastAsia"/>
                      <w:lang w:val="en-US" w:eastAsia="zh-CN"/>
                    </w:rPr>
                  </w:pPr>
                  <w:r>
                    <w:rPr>
                      <w:rFonts w:hint="eastAsia"/>
                      <w:lang w:val="en-US" w:eastAsia="zh-CN"/>
                    </w:rPr>
                    <w:t>65.43</w:t>
                  </w:r>
                </w:p>
              </w:tc>
              <w:tc>
                <w:tcPr>
                  <w:tcW w:w="780" w:type="dxa"/>
                  <w:vMerge w:val="continue"/>
                  <w:noWrap w:val="0"/>
                  <w:vAlign w:val="center"/>
                </w:tcPr>
                <w:p>
                  <w:pPr>
                    <w:pStyle w:val="66"/>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9" w:type="dxa"/>
                  <w:noWrap w:val="0"/>
                  <w:vAlign w:val="center"/>
                </w:tcPr>
                <w:p>
                  <w:pPr>
                    <w:pStyle w:val="66"/>
                    <w:bidi w:val="0"/>
                    <w:rPr>
                      <w:rFonts w:hint="eastAsia"/>
                      <w:lang w:val="en-US" w:eastAsia="zh-CN"/>
                    </w:rPr>
                  </w:pPr>
                  <w:r>
                    <w:rPr>
                      <w:rFonts w:hint="eastAsia"/>
                      <w:lang w:val="en-US" w:eastAsia="zh-CN"/>
                    </w:rPr>
                    <w:t>4#生产线一级破碎、二级破碎、筛分、三级破碎工序</w:t>
                  </w:r>
                </w:p>
              </w:tc>
              <w:tc>
                <w:tcPr>
                  <w:tcW w:w="1065" w:type="dxa"/>
                  <w:noWrap w:val="0"/>
                  <w:vAlign w:val="center"/>
                </w:tcPr>
                <w:p>
                  <w:pPr>
                    <w:pStyle w:val="66"/>
                    <w:bidi w:val="0"/>
                    <w:rPr>
                      <w:rFonts w:hint="default"/>
                    </w:rPr>
                  </w:pPr>
                  <w:r>
                    <w:rPr>
                      <w:rFonts w:hint="default"/>
                    </w:rPr>
                    <w:t>除尘效率降为0%</w:t>
                  </w:r>
                </w:p>
              </w:tc>
              <w:tc>
                <w:tcPr>
                  <w:tcW w:w="615" w:type="dxa"/>
                  <w:noWrap w:val="0"/>
                  <w:vAlign w:val="center"/>
                </w:tcPr>
                <w:p>
                  <w:pPr>
                    <w:pStyle w:val="66"/>
                    <w:bidi w:val="0"/>
                    <w:rPr>
                      <w:rFonts w:hint="default"/>
                    </w:rPr>
                  </w:pPr>
                  <w:r>
                    <w:rPr>
                      <w:rFonts w:hint="default"/>
                    </w:rPr>
                    <w:t>颗粒物</w:t>
                  </w:r>
                </w:p>
              </w:tc>
              <w:tc>
                <w:tcPr>
                  <w:tcW w:w="900" w:type="dxa"/>
                  <w:noWrap w:val="0"/>
                  <w:vAlign w:val="center"/>
                </w:tcPr>
                <w:p>
                  <w:pPr>
                    <w:pStyle w:val="66"/>
                    <w:bidi w:val="0"/>
                    <w:rPr>
                      <w:rFonts w:hint="eastAsia"/>
                      <w:lang w:val="en-US" w:eastAsia="zh-CN"/>
                    </w:rPr>
                  </w:pPr>
                  <w:r>
                    <w:rPr>
                      <w:rFonts w:hint="eastAsia"/>
                      <w:lang w:val="en-US" w:eastAsia="zh-CN"/>
                    </w:rPr>
                    <w:t>7268</w:t>
                  </w:r>
                </w:p>
              </w:tc>
              <w:tc>
                <w:tcPr>
                  <w:tcW w:w="975" w:type="dxa"/>
                  <w:noWrap w:val="0"/>
                  <w:vAlign w:val="center"/>
                </w:tcPr>
                <w:p>
                  <w:pPr>
                    <w:pStyle w:val="66"/>
                    <w:bidi w:val="0"/>
                    <w:rPr>
                      <w:rFonts w:hint="eastAsia"/>
                      <w:lang w:val="en-US" w:eastAsia="zh-CN"/>
                    </w:rPr>
                  </w:pPr>
                  <w:r>
                    <w:rPr>
                      <w:rFonts w:hint="eastAsia"/>
                      <w:lang w:val="en-US" w:eastAsia="zh-CN"/>
                    </w:rPr>
                    <w:t>21.81</w:t>
                  </w:r>
                </w:p>
              </w:tc>
              <w:tc>
                <w:tcPr>
                  <w:tcW w:w="810" w:type="dxa"/>
                  <w:noWrap w:val="0"/>
                  <w:vAlign w:val="center"/>
                </w:tcPr>
                <w:p>
                  <w:pPr>
                    <w:pStyle w:val="66"/>
                    <w:bidi w:val="0"/>
                    <w:rPr>
                      <w:rFonts w:hint="default"/>
                      <w:lang w:val="en-US" w:eastAsia="zh-CN"/>
                    </w:rPr>
                  </w:pPr>
                  <w:r>
                    <w:rPr>
                      <w:rFonts w:hint="default"/>
                      <w:lang w:val="en-US" w:eastAsia="zh-CN"/>
                    </w:rPr>
                    <w:t>1</w:t>
                  </w:r>
                </w:p>
              </w:tc>
              <w:tc>
                <w:tcPr>
                  <w:tcW w:w="825" w:type="dxa"/>
                  <w:noWrap w:val="0"/>
                  <w:vAlign w:val="center"/>
                </w:tcPr>
                <w:p>
                  <w:pPr>
                    <w:pStyle w:val="66"/>
                    <w:bidi w:val="0"/>
                    <w:rPr>
                      <w:rFonts w:hint="default"/>
                      <w:lang w:val="en-US" w:eastAsia="zh-CN"/>
                    </w:rPr>
                  </w:pPr>
                  <w:r>
                    <w:rPr>
                      <w:rFonts w:hint="default"/>
                      <w:lang w:val="en-US" w:eastAsia="zh-CN"/>
                    </w:rPr>
                    <w:t>3</w:t>
                  </w:r>
                </w:p>
              </w:tc>
              <w:tc>
                <w:tcPr>
                  <w:tcW w:w="795" w:type="dxa"/>
                  <w:noWrap w:val="0"/>
                  <w:vAlign w:val="center"/>
                </w:tcPr>
                <w:p>
                  <w:pPr>
                    <w:pStyle w:val="66"/>
                    <w:bidi w:val="0"/>
                    <w:rPr>
                      <w:rFonts w:hint="eastAsia"/>
                      <w:lang w:val="en-US" w:eastAsia="zh-CN"/>
                    </w:rPr>
                  </w:pPr>
                  <w:r>
                    <w:rPr>
                      <w:rFonts w:hint="eastAsia"/>
                      <w:lang w:val="en-US" w:eastAsia="zh-CN"/>
                    </w:rPr>
                    <w:t>65.43</w:t>
                  </w:r>
                </w:p>
              </w:tc>
              <w:tc>
                <w:tcPr>
                  <w:tcW w:w="780" w:type="dxa"/>
                  <w:vMerge w:val="continue"/>
                  <w:noWrap w:val="0"/>
                  <w:vAlign w:val="center"/>
                </w:tcPr>
                <w:p>
                  <w:pPr>
                    <w:pStyle w:val="66"/>
                    <w:bidi w:val="0"/>
                    <w:rPr>
                      <w:rFonts w:hint="default"/>
                    </w:rPr>
                  </w:pPr>
                </w:p>
              </w:tc>
            </w:tr>
          </w:tbl>
          <w:p>
            <w:pPr>
              <w:pStyle w:val="49"/>
              <w:bidi w:val="0"/>
              <w:rPr>
                <w:rFonts w:hint="default"/>
                <w:lang w:val="en-US" w:eastAsia="zh-CN"/>
              </w:rPr>
            </w:pPr>
            <w:r>
              <w:rPr>
                <w:rFonts w:hint="default"/>
                <w:lang w:val="en-US" w:eastAsia="zh-CN"/>
              </w:rPr>
              <w:t>为防止生产废气非正常排放，应采取以下防范措施：</w:t>
            </w:r>
          </w:p>
          <w:p>
            <w:pPr>
              <w:pStyle w:val="49"/>
              <w:bidi w:val="0"/>
              <w:rPr>
                <w:rFonts w:hint="default"/>
                <w:lang w:val="en-US" w:eastAsia="zh-CN"/>
              </w:rPr>
            </w:pPr>
            <w:r>
              <w:rPr>
                <w:rFonts w:hint="default"/>
                <w:lang w:val="en-US" w:eastAsia="zh-CN"/>
              </w:rPr>
              <w:t>①安排环保专员，加强巡检，一旦发现废气处理设施故障，及时停工检修，减少非正常工况持续时间；待废气处理设施正常运转后，方可正常生产。</w:t>
            </w:r>
          </w:p>
          <w:p>
            <w:pPr>
              <w:pStyle w:val="49"/>
              <w:bidi w:val="0"/>
              <w:rPr>
                <w:rFonts w:hint="default"/>
                <w:lang w:val="en-US" w:eastAsia="zh-CN"/>
              </w:rPr>
            </w:pPr>
            <w:r>
              <w:rPr>
                <w:rFonts w:hint="default"/>
                <w:lang w:val="en-US" w:eastAsia="zh-CN"/>
              </w:rPr>
              <w:t>②注意废气处理设施的维护保养，及时发现处理设备的隐患，保持设备净化能力，确保废气稳定达标排放。</w:t>
            </w:r>
          </w:p>
          <w:p>
            <w:pPr>
              <w:pStyle w:val="49"/>
              <w:bidi w:val="0"/>
              <w:rPr>
                <w:rFonts w:hint="default"/>
                <w:lang w:val="en-US" w:eastAsia="zh-CN"/>
              </w:rPr>
            </w:pPr>
            <w:r>
              <w:rPr>
                <w:rFonts w:hint="default"/>
                <w:lang w:val="en-US" w:eastAsia="zh-CN"/>
              </w:rPr>
              <w:t>③废气净化装置应先于生产工序启动，并同步运行，滞后关闭。</w:t>
            </w:r>
          </w:p>
          <w:p>
            <w:pPr>
              <w:pStyle w:val="49"/>
              <w:bidi w:val="0"/>
              <w:rPr>
                <w:rFonts w:hint="default"/>
                <w:lang w:val="en-US" w:eastAsia="zh-CN"/>
              </w:rPr>
            </w:pPr>
            <w:r>
              <w:rPr>
                <w:rFonts w:hint="default"/>
                <w:lang w:val="en-US" w:eastAsia="zh-CN"/>
              </w:rPr>
              <w:t>④建立健全的环保管理机构，对环保管理人员和技术人员进行岗位培训，委托具有专业资质的环境检测单位对排放废气污染物进行定期检测。</w:t>
            </w:r>
          </w:p>
          <w:p>
            <w:pPr>
              <w:pStyle w:val="49"/>
              <w:bidi w:val="0"/>
              <w:rPr>
                <w:rFonts w:hint="default"/>
                <w:lang w:val="en-US" w:eastAsia="zh-CN"/>
              </w:rPr>
            </w:pPr>
            <w:r>
              <w:rPr>
                <w:rFonts w:hint="default"/>
                <w:lang w:val="en-US" w:eastAsia="zh-CN"/>
              </w:rPr>
              <w:t>综上，经采取上述措施后，本项目的建设对周围环境影响较小。</w:t>
            </w:r>
          </w:p>
          <w:p>
            <w:pPr>
              <w:pStyle w:val="74"/>
              <w:bidi w:val="0"/>
              <w:rPr>
                <w:rFonts w:hint="default"/>
                <w:lang w:val="en-US"/>
              </w:rPr>
            </w:pPr>
            <w:r>
              <w:rPr>
                <w:rFonts w:hint="eastAsia"/>
                <w:lang w:val="en-US" w:eastAsia="zh-CN"/>
              </w:rPr>
              <w:t>1.5</w:t>
            </w:r>
            <w:r>
              <w:rPr>
                <w:rFonts w:hint="default"/>
                <w:lang w:val="en-US" w:eastAsia="zh-CN"/>
              </w:rPr>
              <w:t>监测要求</w:t>
            </w:r>
          </w:p>
          <w:p>
            <w:pPr>
              <w:keepNext w:val="0"/>
              <w:keepLines w:val="0"/>
              <w:pageBreakBefore w:val="0"/>
              <w:widowControl w:val="0"/>
              <w:kinsoku/>
              <w:wordWrap w:val="0"/>
              <w:overflowPunct/>
              <w:topLinePunct w:val="0"/>
              <w:autoSpaceDE/>
              <w:autoSpaceDN/>
              <w:bidi w:val="0"/>
              <w:adjustRightInd w:val="0"/>
              <w:snapToGrid w:val="0"/>
              <w:spacing w:line="520" w:lineRule="exact"/>
              <w:ind w:firstLine="440" w:firstLineChars="200"/>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Cs/>
                <w:color w:val="auto"/>
                <w:spacing w:val="-10"/>
                <w:sz w:val="24"/>
                <w:szCs w:val="24"/>
              </w:rPr>
              <w:t>根据《排污单位自行监测技术指南总则》（HJ819-2017）的要求，本项目大气监测计划</w:t>
            </w:r>
            <w:r>
              <w:rPr>
                <w:rFonts w:hint="eastAsia" w:cs="Times New Roman"/>
                <w:bCs/>
                <w:color w:val="auto"/>
                <w:spacing w:val="-10"/>
                <w:sz w:val="24"/>
                <w:szCs w:val="24"/>
                <w:lang w:val="en-US" w:eastAsia="zh-CN"/>
              </w:rPr>
              <w:t>详</w:t>
            </w:r>
            <w:r>
              <w:rPr>
                <w:rFonts w:hint="default" w:ascii="Times New Roman" w:hAnsi="Times New Roman" w:eastAsia="宋体" w:cs="Times New Roman"/>
                <w:bCs/>
                <w:color w:val="auto"/>
                <w:spacing w:val="-10"/>
                <w:sz w:val="24"/>
                <w:szCs w:val="24"/>
                <w:lang w:eastAsia="zh-CN"/>
              </w:rPr>
              <w:t>见</w:t>
            </w:r>
            <w:r>
              <w:rPr>
                <w:rFonts w:hint="eastAsia" w:cs="Times New Roman"/>
                <w:bCs/>
                <w:color w:val="auto"/>
                <w:spacing w:val="-10"/>
                <w:sz w:val="24"/>
                <w:szCs w:val="24"/>
                <w:lang w:val="en-US" w:eastAsia="zh-CN"/>
              </w:rPr>
              <w:t>下</w:t>
            </w:r>
            <w:r>
              <w:rPr>
                <w:rFonts w:hint="default" w:ascii="Times New Roman" w:hAnsi="Times New Roman" w:eastAsia="宋体" w:cs="Times New Roman"/>
                <w:bCs/>
                <w:color w:val="auto"/>
                <w:spacing w:val="-10"/>
                <w:sz w:val="24"/>
                <w:szCs w:val="24"/>
                <w:lang w:eastAsia="zh-CN"/>
              </w:rPr>
              <w:t>表</w:t>
            </w:r>
            <w:r>
              <w:rPr>
                <w:rFonts w:hint="default" w:ascii="Times New Roman" w:hAnsi="Times New Roman" w:cs="Times New Roman"/>
                <w:bCs/>
                <w:color w:val="auto"/>
                <w:spacing w:val="-10"/>
                <w:sz w:val="24"/>
                <w:szCs w:val="24"/>
                <w:lang w:val="en-US" w:eastAsia="zh-CN"/>
              </w:rPr>
              <w:t>。</w:t>
            </w:r>
          </w:p>
          <w:p>
            <w:pPr>
              <w:pStyle w:val="65"/>
              <w:bidi w:val="0"/>
              <w:rPr>
                <w:rFonts w:hint="default"/>
              </w:rPr>
            </w:pPr>
            <w:r>
              <w:rPr>
                <w:rFonts w:hint="default"/>
              </w:rPr>
              <w:t>表</w:t>
            </w:r>
            <w:r>
              <w:rPr>
                <w:rFonts w:hint="default"/>
                <w:lang w:val="en-US" w:eastAsia="zh-CN"/>
              </w:rPr>
              <w:t>4-</w:t>
            </w:r>
            <w:r>
              <w:rPr>
                <w:rFonts w:hint="eastAsia"/>
                <w:lang w:val="en-US" w:eastAsia="zh-CN"/>
              </w:rPr>
              <w:t>4</w:t>
            </w:r>
            <w:r>
              <w:rPr>
                <w:rFonts w:hint="default"/>
                <w:lang w:val="en-US" w:eastAsia="zh-CN"/>
              </w:rPr>
              <w:t xml:space="preserve"> </w:t>
            </w:r>
            <w:r>
              <w:rPr>
                <w:rFonts w:hint="eastAsia"/>
                <w:lang w:val="en-US" w:eastAsia="zh-CN"/>
              </w:rPr>
              <w:t xml:space="preserve">  </w:t>
            </w:r>
            <w:r>
              <w:rPr>
                <w:rFonts w:hint="default"/>
              </w:rPr>
              <w:t xml:space="preserve"> 废气环境监测计划</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362"/>
              <w:gridCol w:w="2361"/>
              <w:gridCol w:w="1289"/>
              <w:gridCol w:w="1609"/>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435" w:type="pct"/>
                  <w:noWrap w:val="0"/>
                  <w:vAlign w:val="center"/>
                </w:tcPr>
                <w:p>
                  <w:pPr>
                    <w:pStyle w:val="66"/>
                    <w:bidi w:val="0"/>
                    <w:rPr>
                      <w:rFonts w:hint="default"/>
                    </w:rPr>
                  </w:pPr>
                  <w:r>
                    <w:rPr>
                      <w:rFonts w:hint="default"/>
                    </w:rPr>
                    <w:t>类型</w:t>
                  </w:r>
                </w:p>
              </w:tc>
              <w:tc>
                <w:tcPr>
                  <w:tcW w:w="761" w:type="pct"/>
                  <w:noWrap w:val="0"/>
                  <w:vAlign w:val="center"/>
                </w:tcPr>
                <w:p>
                  <w:pPr>
                    <w:pStyle w:val="66"/>
                    <w:bidi w:val="0"/>
                    <w:rPr>
                      <w:rFonts w:hint="default"/>
                    </w:rPr>
                  </w:pPr>
                  <w:r>
                    <w:rPr>
                      <w:rFonts w:hint="default"/>
                    </w:rPr>
                    <w:t>类型</w:t>
                  </w:r>
                </w:p>
              </w:tc>
              <w:tc>
                <w:tcPr>
                  <w:tcW w:w="1320" w:type="pct"/>
                  <w:noWrap w:val="0"/>
                  <w:vAlign w:val="center"/>
                </w:tcPr>
                <w:p>
                  <w:pPr>
                    <w:pStyle w:val="66"/>
                    <w:bidi w:val="0"/>
                    <w:rPr>
                      <w:rFonts w:hint="default"/>
                    </w:rPr>
                  </w:pPr>
                  <w:r>
                    <w:rPr>
                      <w:rFonts w:hint="default"/>
                    </w:rPr>
                    <w:t>监测位置</w:t>
                  </w:r>
                </w:p>
              </w:tc>
              <w:tc>
                <w:tcPr>
                  <w:tcW w:w="720" w:type="pct"/>
                  <w:noWrap w:val="0"/>
                  <w:vAlign w:val="center"/>
                </w:tcPr>
                <w:p>
                  <w:pPr>
                    <w:pStyle w:val="66"/>
                    <w:bidi w:val="0"/>
                    <w:rPr>
                      <w:rFonts w:hint="default"/>
                    </w:rPr>
                  </w:pPr>
                  <w:r>
                    <w:rPr>
                      <w:rFonts w:hint="default"/>
                    </w:rPr>
                    <w:t>监测项目</w:t>
                  </w:r>
                </w:p>
              </w:tc>
              <w:tc>
                <w:tcPr>
                  <w:tcW w:w="899" w:type="pct"/>
                  <w:noWrap w:val="0"/>
                  <w:vAlign w:val="center"/>
                </w:tcPr>
                <w:p>
                  <w:pPr>
                    <w:pStyle w:val="66"/>
                    <w:bidi w:val="0"/>
                    <w:rPr>
                      <w:rFonts w:hint="default"/>
                    </w:rPr>
                  </w:pPr>
                  <w:r>
                    <w:rPr>
                      <w:rFonts w:hint="default"/>
                    </w:rPr>
                    <w:t>监测频次</w:t>
                  </w:r>
                </w:p>
              </w:tc>
              <w:tc>
                <w:tcPr>
                  <w:tcW w:w="862" w:type="pct"/>
                  <w:noWrap w:val="0"/>
                  <w:vAlign w:val="center"/>
                </w:tcPr>
                <w:p>
                  <w:pPr>
                    <w:pStyle w:val="66"/>
                    <w:bidi w:val="0"/>
                    <w:rPr>
                      <w:rFonts w:hint="default"/>
                    </w:rPr>
                  </w:pPr>
                  <w:r>
                    <w:rPr>
                      <w:rFonts w:hint="default"/>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5" w:type="pct"/>
                  <w:vMerge w:val="restart"/>
                  <w:noWrap w:val="0"/>
                  <w:vAlign w:val="center"/>
                </w:tcPr>
                <w:p>
                  <w:pPr>
                    <w:pStyle w:val="66"/>
                    <w:bidi w:val="0"/>
                    <w:rPr>
                      <w:rFonts w:hint="default"/>
                      <w:lang w:val="en-US" w:eastAsia="zh-CN"/>
                    </w:rPr>
                  </w:pPr>
                  <w:r>
                    <w:rPr>
                      <w:rFonts w:hint="default"/>
                      <w:lang w:val="en-US" w:eastAsia="zh-CN"/>
                    </w:rPr>
                    <w:t>废气</w:t>
                  </w:r>
                </w:p>
              </w:tc>
              <w:tc>
                <w:tcPr>
                  <w:tcW w:w="761" w:type="pct"/>
                  <w:vMerge w:val="restart"/>
                  <w:shd w:val="clear" w:color="auto" w:fill="auto"/>
                  <w:noWrap w:val="0"/>
                  <w:vAlign w:val="center"/>
                </w:tcPr>
                <w:p>
                  <w:pPr>
                    <w:pStyle w:val="66"/>
                    <w:bidi w:val="0"/>
                    <w:rPr>
                      <w:rFonts w:hint="default"/>
                      <w:lang w:val="en-US" w:eastAsia="zh-CN"/>
                    </w:rPr>
                  </w:pPr>
                  <w:r>
                    <w:rPr>
                      <w:rFonts w:hint="eastAsia"/>
                      <w:lang w:val="en-US" w:eastAsia="zh-CN"/>
                    </w:rPr>
                    <w:t>有组织废气</w:t>
                  </w:r>
                </w:p>
              </w:tc>
              <w:tc>
                <w:tcPr>
                  <w:tcW w:w="1320" w:type="pct"/>
                  <w:shd w:val="clear" w:color="auto" w:fill="auto"/>
                  <w:noWrap w:val="0"/>
                  <w:vAlign w:val="center"/>
                </w:tcPr>
                <w:p>
                  <w:pPr>
                    <w:pStyle w:val="66"/>
                    <w:bidi w:val="0"/>
                    <w:rPr>
                      <w:rFonts w:hint="default"/>
                      <w:lang w:val="en-US" w:eastAsia="zh-CN"/>
                    </w:rPr>
                  </w:pPr>
                  <w:r>
                    <w:rPr>
                      <w:rFonts w:hint="eastAsia"/>
                      <w:lang w:val="en-US" w:eastAsia="zh-CN"/>
                    </w:rPr>
                    <w:t>1#生产线一级破碎、二级破碎、筛分、三级破碎（DA001）</w:t>
                  </w:r>
                </w:p>
              </w:tc>
              <w:tc>
                <w:tcPr>
                  <w:tcW w:w="720" w:type="pct"/>
                  <w:shd w:val="clear" w:color="auto" w:fill="auto"/>
                  <w:noWrap w:val="0"/>
                  <w:vAlign w:val="center"/>
                </w:tcPr>
                <w:p>
                  <w:pPr>
                    <w:pStyle w:val="66"/>
                    <w:bidi w:val="0"/>
                    <w:rPr>
                      <w:rFonts w:hint="default"/>
                      <w:lang w:val="en-US" w:eastAsia="zh-CN"/>
                    </w:rPr>
                  </w:pPr>
                  <w:r>
                    <w:rPr>
                      <w:rFonts w:hint="eastAsia"/>
                      <w:lang w:val="en-US" w:eastAsia="zh-CN"/>
                    </w:rPr>
                    <w:t>颗粒物</w:t>
                  </w:r>
                </w:p>
              </w:tc>
              <w:tc>
                <w:tcPr>
                  <w:tcW w:w="899" w:type="pct"/>
                  <w:shd w:val="clear" w:color="auto" w:fill="auto"/>
                  <w:noWrap w:val="0"/>
                  <w:vAlign w:val="center"/>
                </w:tcPr>
                <w:p>
                  <w:pPr>
                    <w:pStyle w:val="66"/>
                    <w:bidi w:val="0"/>
                    <w:rPr>
                      <w:rFonts w:hint="default"/>
                      <w:lang w:val="en-US" w:eastAsia="zh-CN"/>
                    </w:rPr>
                  </w:pPr>
                  <w:r>
                    <w:rPr>
                      <w:rFonts w:hint="default"/>
                      <w:lang w:val="en-US" w:eastAsia="zh-CN"/>
                    </w:rPr>
                    <w:t>1</w:t>
                  </w:r>
                  <w:r>
                    <w:rPr>
                      <w:rFonts w:hint="default"/>
                    </w:rPr>
                    <w:t>次/</w:t>
                  </w:r>
                  <w:r>
                    <w:rPr>
                      <w:rFonts w:hint="default"/>
                      <w:lang w:val="en-US" w:eastAsia="zh-CN"/>
                    </w:rPr>
                    <w:t>年</w:t>
                  </w:r>
                </w:p>
              </w:tc>
              <w:tc>
                <w:tcPr>
                  <w:tcW w:w="862" w:type="pct"/>
                  <w:vMerge w:val="restart"/>
                  <w:shd w:val="clear" w:color="auto" w:fill="auto"/>
                  <w:noWrap w:val="0"/>
                  <w:vAlign w:val="center"/>
                </w:tcPr>
                <w:p>
                  <w:pPr>
                    <w:pStyle w:val="66"/>
                    <w:keepNext w:val="0"/>
                    <w:keepLines w:val="0"/>
                    <w:pageBreakBefore w:val="0"/>
                    <w:widowControl w:val="0"/>
                    <w:kinsoku/>
                    <w:wordWrap w:val="0"/>
                    <w:overflowPunct/>
                    <w:topLinePunct w:val="0"/>
                    <w:autoSpaceDE/>
                    <w:autoSpaceDN/>
                    <w:bidi w:val="0"/>
                    <w:adjustRightInd/>
                    <w:snapToGrid/>
                    <w:textAlignment w:val="auto"/>
                    <w:rPr>
                      <w:rFonts w:hint="default"/>
                      <w:lang w:val="en-US" w:eastAsia="zh-CN"/>
                    </w:rPr>
                  </w:pPr>
                  <w:r>
                    <w:rPr>
                      <w:rFonts w:hint="default"/>
                    </w:rPr>
                    <w:t>排污单位自行监测技术指南总则》（HJ819-2017）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35" w:type="pct"/>
                  <w:vMerge w:val="continue"/>
                  <w:noWrap w:val="0"/>
                  <w:vAlign w:val="center"/>
                </w:tcPr>
                <w:p>
                  <w:pPr>
                    <w:pStyle w:val="66"/>
                    <w:bidi w:val="0"/>
                    <w:rPr>
                      <w:rFonts w:hint="default"/>
                      <w:lang w:val="en-US" w:eastAsia="zh-CN"/>
                    </w:rPr>
                  </w:pPr>
                </w:p>
              </w:tc>
              <w:tc>
                <w:tcPr>
                  <w:tcW w:w="761" w:type="pct"/>
                  <w:vMerge w:val="continue"/>
                  <w:shd w:val="clear" w:color="auto" w:fill="auto"/>
                  <w:noWrap w:val="0"/>
                  <w:vAlign w:val="center"/>
                </w:tcPr>
                <w:p>
                  <w:pPr>
                    <w:pStyle w:val="66"/>
                    <w:bidi w:val="0"/>
                    <w:rPr>
                      <w:rFonts w:hint="eastAsia"/>
                      <w:lang w:val="en-US" w:eastAsia="zh-CN"/>
                    </w:rPr>
                  </w:pPr>
                </w:p>
              </w:tc>
              <w:tc>
                <w:tcPr>
                  <w:tcW w:w="1320" w:type="pct"/>
                  <w:shd w:val="clear" w:color="auto" w:fill="auto"/>
                  <w:noWrap w:val="0"/>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2#生产线一级破碎、二级破碎、筛分、三级破碎（DA001）</w:t>
                  </w:r>
                </w:p>
              </w:tc>
              <w:tc>
                <w:tcPr>
                  <w:tcW w:w="720" w:type="pct"/>
                  <w:shd w:val="clear" w:color="auto" w:fill="auto"/>
                  <w:noWrap w:val="0"/>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颗粒物</w:t>
                  </w:r>
                </w:p>
              </w:tc>
              <w:tc>
                <w:tcPr>
                  <w:tcW w:w="899" w:type="pct"/>
                  <w:shd w:val="clear" w:color="auto" w:fill="auto"/>
                  <w:noWrap w:val="0"/>
                  <w:vAlign w:val="center"/>
                </w:tcPr>
                <w:p>
                  <w:pPr>
                    <w:pStyle w:val="66"/>
                    <w:bidi w:val="0"/>
                    <w:rPr>
                      <w:rFonts w:hint="default" w:ascii="Times New Roman" w:hAnsi="Times New Roman" w:eastAsia="宋体" w:cs="宋体"/>
                      <w:kern w:val="0"/>
                      <w:sz w:val="21"/>
                      <w:szCs w:val="21"/>
                      <w:lang w:val="en-US" w:eastAsia="zh-CN" w:bidi="ar-SA"/>
                    </w:rPr>
                  </w:pPr>
                  <w:r>
                    <w:rPr>
                      <w:rFonts w:hint="default"/>
                      <w:lang w:val="en-US" w:eastAsia="zh-CN"/>
                    </w:rPr>
                    <w:t>1</w:t>
                  </w:r>
                  <w:r>
                    <w:rPr>
                      <w:rFonts w:hint="default"/>
                    </w:rPr>
                    <w:t>次/</w:t>
                  </w:r>
                  <w:r>
                    <w:rPr>
                      <w:rFonts w:hint="default"/>
                      <w:lang w:val="en-US" w:eastAsia="zh-CN"/>
                    </w:rPr>
                    <w:t>年</w:t>
                  </w:r>
                </w:p>
              </w:tc>
              <w:tc>
                <w:tcPr>
                  <w:tcW w:w="862" w:type="pct"/>
                  <w:vMerge w:val="continue"/>
                  <w:shd w:val="clear" w:color="auto" w:fill="auto"/>
                  <w:noWrap w:val="0"/>
                  <w:vAlign w:val="center"/>
                </w:tcPr>
                <w:p>
                  <w:pPr>
                    <w:pStyle w:val="66"/>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5" w:type="pct"/>
                  <w:vMerge w:val="continue"/>
                  <w:noWrap w:val="0"/>
                  <w:vAlign w:val="center"/>
                </w:tcPr>
                <w:p>
                  <w:pPr>
                    <w:pStyle w:val="66"/>
                    <w:bidi w:val="0"/>
                    <w:rPr>
                      <w:rFonts w:hint="default"/>
                      <w:lang w:val="en-US" w:eastAsia="zh-CN"/>
                    </w:rPr>
                  </w:pPr>
                </w:p>
              </w:tc>
              <w:tc>
                <w:tcPr>
                  <w:tcW w:w="761" w:type="pct"/>
                  <w:vMerge w:val="continue"/>
                  <w:shd w:val="clear" w:color="auto" w:fill="auto"/>
                  <w:noWrap w:val="0"/>
                  <w:vAlign w:val="center"/>
                </w:tcPr>
                <w:p>
                  <w:pPr>
                    <w:pStyle w:val="66"/>
                    <w:bidi w:val="0"/>
                    <w:rPr>
                      <w:rFonts w:hint="eastAsia"/>
                      <w:lang w:val="en-US" w:eastAsia="zh-CN"/>
                    </w:rPr>
                  </w:pPr>
                </w:p>
              </w:tc>
              <w:tc>
                <w:tcPr>
                  <w:tcW w:w="1320" w:type="pct"/>
                  <w:shd w:val="clear" w:color="auto" w:fill="auto"/>
                  <w:noWrap w:val="0"/>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3#生产线一级破碎、二级破碎、筛分、三级破碎（DA001）</w:t>
                  </w:r>
                </w:p>
              </w:tc>
              <w:tc>
                <w:tcPr>
                  <w:tcW w:w="720" w:type="pct"/>
                  <w:shd w:val="clear" w:color="auto" w:fill="auto"/>
                  <w:noWrap w:val="0"/>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颗粒物</w:t>
                  </w:r>
                </w:p>
              </w:tc>
              <w:tc>
                <w:tcPr>
                  <w:tcW w:w="899" w:type="pct"/>
                  <w:shd w:val="clear" w:color="auto" w:fill="auto"/>
                  <w:noWrap w:val="0"/>
                  <w:vAlign w:val="center"/>
                </w:tcPr>
                <w:p>
                  <w:pPr>
                    <w:pStyle w:val="66"/>
                    <w:bidi w:val="0"/>
                    <w:rPr>
                      <w:rFonts w:hint="default" w:ascii="Times New Roman" w:hAnsi="Times New Roman" w:eastAsia="宋体" w:cs="宋体"/>
                      <w:kern w:val="0"/>
                      <w:sz w:val="21"/>
                      <w:szCs w:val="21"/>
                      <w:lang w:val="en-US" w:eastAsia="zh-CN" w:bidi="ar-SA"/>
                    </w:rPr>
                  </w:pPr>
                  <w:r>
                    <w:rPr>
                      <w:rFonts w:hint="default"/>
                      <w:lang w:val="en-US" w:eastAsia="zh-CN"/>
                    </w:rPr>
                    <w:t>1</w:t>
                  </w:r>
                  <w:r>
                    <w:rPr>
                      <w:rFonts w:hint="default"/>
                    </w:rPr>
                    <w:t>次/</w:t>
                  </w:r>
                  <w:r>
                    <w:rPr>
                      <w:rFonts w:hint="default"/>
                      <w:lang w:val="en-US" w:eastAsia="zh-CN"/>
                    </w:rPr>
                    <w:t>年</w:t>
                  </w:r>
                </w:p>
              </w:tc>
              <w:tc>
                <w:tcPr>
                  <w:tcW w:w="862" w:type="pct"/>
                  <w:vMerge w:val="continue"/>
                  <w:shd w:val="clear" w:color="auto" w:fill="auto"/>
                  <w:noWrap w:val="0"/>
                  <w:vAlign w:val="center"/>
                </w:tcPr>
                <w:p>
                  <w:pPr>
                    <w:pStyle w:val="66"/>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35" w:type="pct"/>
                  <w:vMerge w:val="continue"/>
                  <w:noWrap w:val="0"/>
                  <w:vAlign w:val="center"/>
                </w:tcPr>
                <w:p>
                  <w:pPr>
                    <w:pStyle w:val="66"/>
                    <w:bidi w:val="0"/>
                    <w:rPr>
                      <w:rFonts w:hint="default"/>
                      <w:lang w:val="en-US" w:eastAsia="zh-CN"/>
                    </w:rPr>
                  </w:pPr>
                </w:p>
              </w:tc>
              <w:tc>
                <w:tcPr>
                  <w:tcW w:w="761" w:type="pct"/>
                  <w:vMerge w:val="continue"/>
                  <w:shd w:val="clear" w:color="auto" w:fill="auto"/>
                  <w:noWrap w:val="0"/>
                  <w:vAlign w:val="center"/>
                </w:tcPr>
                <w:p>
                  <w:pPr>
                    <w:pStyle w:val="66"/>
                    <w:bidi w:val="0"/>
                    <w:rPr>
                      <w:rFonts w:hint="eastAsia"/>
                      <w:lang w:val="en-US" w:eastAsia="zh-CN"/>
                    </w:rPr>
                  </w:pPr>
                </w:p>
              </w:tc>
              <w:tc>
                <w:tcPr>
                  <w:tcW w:w="1320" w:type="pct"/>
                  <w:shd w:val="clear" w:color="auto" w:fill="auto"/>
                  <w:noWrap w:val="0"/>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4#生产线一级破碎、二级破碎、筛分、三级破碎（DA001）</w:t>
                  </w:r>
                </w:p>
              </w:tc>
              <w:tc>
                <w:tcPr>
                  <w:tcW w:w="720" w:type="pct"/>
                  <w:shd w:val="clear" w:color="auto" w:fill="auto"/>
                  <w:noWrap w:val="0"/>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颗粒物</w:t>
                  </w:r>
                </w:p>
              </w:tc>
              <w:tc>
                <w:tcPr>
                  <w:tcW w:w="899" w:type="pct"/>
                  <w:shd w:val="clear" w:color="auto" w:fill="auto"/>
                  <w:noWrap w:val="0"/>
                  <w:vAlign w:val="center"/>
                </w:tcPr>
                <w:p>
                  <w:pPr>
                    <w:pStyle w:val="66"/>
                    <w:bidi w:val="0"/>
                    <w:rPr>
                      <w:rFonts w:hint="default" w:ascii="Times New Roman" w:hAnsi="Times New Roman" w:eastAsia="宋体" w:cs="宋体"/>
                      <w:kern w:val="0"/>
                      <w:sz w:val="21"/>
                      <w:szCs w:val="21"/>
                      <w:lang w:val="en-US" w:eastAsia="zh-CN" w:bidi="ar-SA"/>
                    </w:rPr>
                  </w:pPr>
                  <w:r>
                    <w:rPr>
                      <w:rFonts w:hint="default"/>
                      <w:lang w:val="en-US" w:eastAsia="zh-CN"/>
                    </w:rPr>
                    <w:t>1</w:t>
                  </w:r>
                  <w:r>
                    <w:rPr>
                      <w:rFonts w:hint="default"/>
                    </w:rPr>
                    <w:t>次/</w:t>
                  </w:r>
                  <w:r>
                    <w:rPr>
                      <w:rFonts w:hint="default"/>
                      <w:lang w:val="en-US" w:eastAsia="zh-CN"/>
                    </w:rPr>
                    <w:t>年</w:t>
                  </w:r>
                </w:p>
              </w:tc>
              <w:tc>
                <w:tcPr>
                  <w:tcW w:w="862" w:type="pct"/>
                  <w:vMerge w:val="continue"/>
                  <w:shd w:val="clear" w:color="auto" w:fill="auto"/>
                  <w:noWrap w:val="0"/>
                  <w:vAlign w:val="center"/>
                </w:tcPr>
                <w:p>
                  <w:pPr>
                    <w:pStyle w:val="66"/>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435" w:type="pct"/>
                  <w:vMerge w:val="continue"/>
                  <w:noWrap w:val="0"/>
                  <w:vAlign w:val="center"/>
                </w:tcPr>
                <w:p>
                  <w:pPr>
                    <w:pStyle w:val="66"/>
                    <w:bidi w:val="0"/>
                    <w:rPr>
                      <w:rFonts w:hint="default"/>
                      <w:lang w:val="en-US" w:eastAsia="zh-CN"/>
                    </w:rPr>
                  </w:pPr>
                </w:p>
              </w:tc>
              <w:tc>
                <w:tcPr>
                  <w:tcW w:w="761" w:type="pct"/>
                  <w:noWrap w:val="0"/>
                  <w:vAlign w:val="center"/>
                </w:tcPr>
                <w:p>
                  <w:pPr>
                    <w:pStyle w:val="66"/>
                    <w:bidi w:val="0"/>
                    <w:rPr>
                      <w:rFonts w:hint="default"/>
                      <w:lang w:val="en-US" w:eastAsia="zh-CN"/>
                    </w:rPr>
                  </w:pPr>
                  <w:r>
                    <w:rPr>
                      <w:rFonts w:hint="eastAsia"/>
                      <w:lang w:val="en-US" w:eastAsia="zh-CN"/>
                    </w:rPr>
                    <w:t>无组织废气</w:t>
                  </w:r>
                </w:p>
              </w:tc>
              <w:tc>
                <w:tcPr>
                  <w:tcW w:w="1320" w:type="pct"/>
                  <w:noWrap w:val="0"/>
                  <w:vAlign w:val="center"/>
                </w:tcPr>
                <w:p>
                  <w:pPr>
                    <w:pStyle w:val="66"/>
                    <w:bidi w:val="0"/>
                    <w:rPr>
                      <w:rFonts w:hint="default"/>
                      <w:lang w:val="en-US" w:eastAsia="zh-CN"/>
                    </w:rPr>
                  </w:pPr>
                  <w:r>
                    <w:rPr>
                      <w:rFonts w:hint="eastAsia"/>
                      <w:lang w:val="en-US" w:eastAsia="zh-CN"/>
                    </w:rPr>
                    <w:t>厂界</w:t>
                  </w:r>
                </w:p>
              </w:tc>
              <w:tc>
                <w:tcPr>
                  <w:tcW w:w="720" w:type="pct"/>
                  <w:noWrap w:val="0"/>
                  <w:vAlign w:val="center"/>
                </w:tcPr>
                <w:p>
                  <w:pPr>
                    <w:pStyle w:val="66"/>
                    <w:bidi w:val="0"/>
                    <w:rPr>
                      <w:rFonts w:hint="default"/>
                      <w:lang w:val="en-US" w:eastAsia="zh-CN"/>
                    </w:rPr>
                  </w:pPr>
                  <w:r>
                    <w:rPr>
                      <w:rFonts w:hint="eastAsia"/>
                      <w:lang w:val="en-US" w:eastAsia="zh-CN"/>
                    </w:rPr>
                    <w:t>颗粒物</w:t>
                  </w:r>
                </w:p>
              </w:tc>
              <w:tc>
                <w:tcPr>
                  <w:tcW w:w="899" w:type="pct"/>
                  <w:noWrap w:val="0"/>
                  <w:vAlign w:val="center"/>
                </w:tcPr>
                <w:p>
                  <w:pPr>
                    <w:pStyle w:val="66"/>
                    <w:bidi w:val="0"/>
                    <w:rPr>
                      <w:rFonts w:hint="default"/>
                      <w:lang w:val="en-US" w:eastAsia="zh-CN"/>
                    </w:rPr>
                  </w:pPr>
                  <w:r>
                    <w:rPr>
                      <w:rFonts w:hint="default"/>
                      <w:lang w:val="en-US" w:eastAsia="zh-CN"/>
                    </w:rPr>
                    <w:t>1</w:t>
                  </w:r>
                  <w:r>
                    <w:rPr>
                      <w:rFonts w:hint="default"/>
                    </w:rPr>
                    <w:t>次/</w:t>
                  </w:r>
                  <w:r>
                    <w:rPr>
                      <w:rFonts w:hint="default"/>
                      <w:lang w:val="en-US" w:eastAsia="zh-CN"/>
                    </w:rPr>
                    <w:t>年</w:t>
                  </w:r>
                </w:p>
              </w:tc>
              <w:tc>
                <w:tcPr>
                  <w:tcW w:w="862" w:type="pct"/>
                  <w:vMerge w:val="continue"/>
                  <w:noWrap w:val="0"/>
                  <w:vAlign w:val="center"/>
                </w:tcPr>
                <w:p>
                  <w:pPr>
                    <w:pStyle w:val="66"/>
                    <w:bidi w:val="0"/>
                    <w:rPr>
                      <w:rFonts w:hint="default"/>
                    </w:rPr>
                  </w:pPr>
                </w:p>
              </w:tc>
            </w:tr>
          </w:tbl>
          <w:p>
            <w:pPr>
              <w:pStyle w:val="74"/>
              <w:bidi w:val="0"/>
              <w:rPr>
                <w:rFonts w:hint="default"/>
                <w:highlight w:val="none"/>
                <w:lang w:val="en-US" w:eastAsia="zh-CN"/>
              </w:rPr>
            </w:pPr>
            <w:r>
              <w:rPr>
                <w:rFonts w:hint="eastAsia"/>
                <w:lang w:val="en-US" w:eastAsia="zh-CN"/>
              </w:rPr>
              <w:t>2</w:t>
            </w:r>
            <w:r>
              <w:rPr>
                <w:rFonts w:hint="default"/>
                <w:lang w:val="en-US" w:eastAsia="zh-CN"/>
              </w:rPr>
              <w:t>.</w:t>
            </w:r>
            <w:r>
              <w:rPr>
                <w:rFonts w:hint="eastAsia"/>
                <w:highlight w:val="none"/>
                <w:lang w:val="en-US" w:eastAsia="zh-CN"/>
              </w:rPr>
              <w:t>水环境影响和保护措施</w:t>
            </w:r>
          </w:p>
          <w:p>
            <w:pPr>
              <w:pStyle w:val="67"/>
              <w:bidi w:val="0"/>
              <w:rPr>
                <w:rFonts w:hint="default"/>
                <w:lang w:val="en-US" w:eastAsia="zh-CN"/>
              </w:rPr>
            </w:pPr>
            <w:r>
              <w:rPr>
                <w:rFonts w:hint="eastAsia"/>
                <w:lang w:val="en-US" w:eastAsia="zh-CN"/>
              </w:rPr>
              <w:t>2.1</w:t>
            </w:r>
            <w:r>
              <w:rPr>
                <w:rFonts w:hint="default"/>
              </w:rPr>
              <w:t>废水污染工序及源强分析</w:t>
            </w:r>
          </w:p>
          <w:p>
            <w:pPr>
              <w:keepNext w:val="0"/>
              <w:keepLines w:val="0"/>
              <w:pageBreakBefore w:val="0"/>
              <w:widowControl w:val="0"/>
              <w:suppressLineNumbers w:val="0"/>
              <w:kinsoku/>
              <w:wordWrap w:val="0"/>
              <w:overflowPunct/>
              <w:autoSpaceDE w:val="0"/>
              <w:autoSpaceDN w:val="0"/>
              <w:bidi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生活污水：本项目拟新增员工30人，员工均不在厂区内食宿，但办公楼存在洗手、冲厕、清洁卫生用水，用水量不多，本项目用水量按50L/人·日计，则生活用水量为1.5m</w:t>
            </w:r>
            <w:r>
              <w:rPr>
                <w:rFonts w:hint="eastAsia" w:cs="Times New Roman"/>
                <w:color w:val="auto"/>
                <w:kern w:val="0"/>
                <w:sz w:val="24"/>
                <w:szCs w:val="24"/>
                <w:vertAlign w:val="superscript"/>
                <w:lang w:val="en-US" w:eastAsia="zh-CN" w:bidi="ar"/>
              </w:rPr>
              <w:t>3</w:t>
            </w:r>
            <w:r>
              <w:rPr>
                <w:rFonts w:hint="eastAsia" w:cs="Times New Roman"/>
                <w:color w:val="auto"/>
                <w:kern w:val="0"/>
                <w:sz w:val="24"/>
                <w:szCs w:val="24"/>
                <w:lang w:val="en-US" w:eastAsia="zh-CN" w:bidi="ar"/>
              </w:rPr>
              <w:t>/d（450m</w:t>
            </w:r>
            <w:r>
              <w:rPr>
                <w:rFonts w:hint="eastAsia" w:cs="Times New Roman"/>
                <w:color w:val="auto"/>
                <w:kern w:val="0"/>
                <w:sz w:val="24"/>
                <w:szCs w:val="24"/>
                <w:vertAlign w:val="superscript"/>
                <w:lang w:val="en-US" w:eastAsia="zh-CN" w:bidi="ar"/>
              </w:rPr>
              <w:t>3</w:t>
            </w:r>
            <w:r>
              <w:rPr>
                <w:rFonts w:hint="eastAsia" w:cs="Times New Roman"/>
                <w:color w:val="auto"/>
                <w:kern w:val="0"/>
                <w:sz w:val="24"/>
                <w:szCs w:val="24"/>
                <w:lang w:val="en-US" w:eastAsia="zh-CN" w:bidi="ar"/>
              </w:rPr>
              <w:t>/a）。产污系数按0.8计，则排放量为1.2m</w:t>
            </w:r>
            <w:r>
              <w:rPr>
                <w:rFonts w:hint="eastAsia" w:cs="Times New Roman"/>
                <w:color w:val="auto"/>
                <w:kern w:val="0"/>
                <w:sz w:val="24"/>
                <w:szCs w:val="24"/>
                <w:vertAlign w:val="superscript"/>
                <w:lang w:val="en-US" w:eastAsia="zh-CN" w:bidi="ar"/>
              </w:rPr>
              <w:t>3</w:t>
            </w:r>
            <w:r>
              <w:rPr>
                <w:rFonts w:hint="eastAsia" w:cs="Times New Roman"/>
                <w:color w:val="auto"/>
                <w:kern w:val="0"/>
                <w:sz w:val="24"/>
                <w:szCs w:val="24"/>
                <w:lang w:val="en-US" w:eastAsia="zh-CN" w:bidi="ar"/>
              </w:rPr>
              <w:t>/d（360m</w:t>
            </w:r>
            <w:r>
              <w:rPr>
                <w:rFonts w:hint="eastAsia" w:cs="Times New Roman"/>
                <w:color w:val="auto"/>
                <w:kern w:val="0"/>
                <w:sz w:val="24"/>
                <w:szCs w:val="24"/>
                <w:vertAlign w:val="superscript"/>
                <w:lang w:val="en-US" w:eastAsia="zh-CN" w:bidi="ar"/>
              </w:rPr>
              <w:t>3</w:t>
            </w:r>
            <w:r>
              <w:rPr>
                <w:rFonts w:hint="eastAsia" w:cs="Times New Roman"/>
                <w:color w:val="auto"/>
                <w:kern w:val="0"/>
                <w:sz w:val="24"/>
                <w:szCs w:val="24"/>
                <w:lang w:val="en-US" w:eastAsia="zh-CN" w:bidi="ar"/>
              </w:rPr>
              <w:t>/a），生活污水先经化粪池预处理，再通过园区排水管网排入若羌县城乡污水处理厂进行集中处理。</w:t>
            </w:r>
          </w:p>
          <w:p>
            <w:pPr>
              <w:pStyle w:val="68"/>
              <w:bidi w:val="0"/>
              <w:rPr>
                <w:rFonts w:hint="eastAsia" w:ascii="Times New Roman" w:hAnsi="Times New Roman" w:eastAsia="宋体" w:cs="宋体"/>
                <w:b w:val="0"/>
                <w:bCs w:val="0"/>
                <w:lang w:val="en-US" w:eastAsia="zh-CN"/>
              </w:rPr>
            </w:pPr>
            <w:r>
              <w:rPr>
                <w:rFonts w:hint="eastAsia" w:cs="Times New Roman"/>
                <w:color w:val="auto"/>
                <w:kern w:val="0"/>
                <w:sz w:val="24"/>
                <w:szCs w:val="24"/>
                <w:lang w:val="en-US" w:eastAsia="zh-CN" w:bidi="ar"/>
              </w:rPr>
              <w:t>洒水抑尘用水：</w:t>
            </w:r>
            <w:r>
              <w:rPr>
                <w:rFonts w:hint="default" w:ascii="Times New Roman" w:hAnsi="Times New Roman" w:eastAsia="宋体" w:cs="Times New Roman"/>
                <w:color w:val="auto"/>
                <w:kern w:val="0"/>
                <w:sz w:val="24"/>
                <w:szCs w:val="24"/>
                <w:lang w:val="en-US" w:eastAsia="zh-CN" w:bidi="ar"/>
              </w:rPr>
              <w:t>项目生产过程中会产生少量颗粒物，为有效控制厂内无组织颗粒物排放，将采取洒水降尘措施。</w:t>
            </w:r>
            <w:r>
              <w:rPr>
                <w:rFonts w:hint="eastAsia" w:cs="Times New Roman"/>
                <w:color w:val="auto"/>
                <w:kern w:val="0"/>
                <w:sz w:val="24"/>
                <w:szCs w:val="24"/>
                <w:lang w:val="en-US" w:eastAsia="zh-CN" w:bidi="ar"/>
              </w:rPr>
              <w:t>根据运营计划，每日洒水用水量约0.015m</w:t>
            </w:r>
            <w:r>
              <w:rPr>
                <w:rFonts w:hint="eastAsia" w:cs="Times New Roman"/>
                <w:color w:val="auto"/>
                <w:kern w:val="0"/>
                <w:sz w:val="24"/>
                <w:szCs w:val="24"/>
                <w:vertAlign w:val="superscript"/>
                <w:lang w:val="en-US" w:eastAsia="zh-CN" w:bidi="ar"/>
              </w:rPr>
              <w:t>3</w:t>
            </w:r>
            <w:r>
              <w:rPr>
                <w:rFonts w:hint="eastAsia" w:cs="Times New Roman"/>
                <w:color w:val="auto"/>
                <w:kern w:val="0"/>
                <w:sz w:val="24"/>
                <w:szCs w:val="24"/>
                <w:lang w:val="en-US" w:eastAsia="zh-CN" w:bidi="ar"/>
              </w:rPr>
              <w:t>，结合项目全年300天的生产天数，核算得出本项目洒水抑尘年用水量为4.5m</w:t>
            </w:r>
            <w:r>
              <w:rPr>
                <w:rFonts w:hint="eastAsia" w:cs="Times New Roman"/>
                <w:color w:val="auto"/>
                <w:kern w:val="0"/>
                <w:sz w:val="24"/>
                <w:szCs w:val="24"/>
                <w:vertAlign w:val="superscript"/>
                <w:lang w:val="en-US" w:eastAsia="zh-CN" w:bidi="ar"/>
              </w:rPr>
              <w:t>3</w:t>
            </w:r>
            <w:r>
              <w:rPr>
                <w:rFonts w:hint="eastAsia" w:cs="Times New Roman"/>
                <w:color w:val="auto"/>
                <w:kern w:val="0"/>
                <w:sz w:val="24"/>
                <w:szCs w:val="24"/>
                <w:lang w:val="en-US" w:eastAsia="zh-CN" w:bidi="ar"/>
              </w:rPr>
              <w:t>/a，洒水抑尘水全部蒸发逸散，不外排。</w:t>
            </w:r>
          </w:p>
          <w:p>
            <w:pPr>
              <w:pStyle w:val="65"/>
              <w:bidi w:val="0"/>
              <w:rPr>
                <w:rFonts w:hint="default"/>
                <w:lang w:val="en-US" w:eastAsia="zh-CN"/>
              </w:rPr>
            </w:pPr>
            <w:r>
              <w:rPr>
                <w:rFonts w:hint="eastAsia"/>
                <w:lang w:val="en-US" w:eastAsia="zh-CN"/>
              </w:rPr>
              <w:t>表4-5    项目生活污水产生和排放情况一览表</w:t>
            </w:r>
          </w:p>
          <w:tbl>
            <w:tblPr>
              <w:tblStyle w:val="23"/>
              <w:tblW w:w="497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9"/>
              <w:gridCol w:w="742"/>
              <w:gridCol w:w="1119"/>
              <w:gridCol w:w="1509"/>
              <w:gridCol w:w="1273"/>
              <w:gridCol w:w="1219"/>
              <w:gridCol w:w="21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494" w:type="pct"/>
                  <w:vMerge w:val="restart"/>
                  <w:noWrap w:val="0"/>
                  <w:vAlign w:val="center"/>
                </w:tcPr>
                <w:p>
                  <w:pPr>
                    <w:pStyle w:val="66"/>
                    <w:bidi w:val="0"/>
                    <w:rPr>
                      <w:rFonts w:hint="default"/>
                      <w:lang w:val="en-US" w:eastAsia="zh-CN"/>
                    </w:rPr>
                  </w:pPr>
                  <w:r>
                    <w:rPr>
                      <w:rFonts w:hint="default"/>
                      <w:lang w:val="en-US" w:eastAsia="zh-CN"/>
                    </w:rPr>
                    <w:t>污染物</w:t>
                  </w:r>
                </w:p>
              </w:tc>
              <w:tc>
                <w:tcPr>
                  <w:tcW w:w="1894" w:type="pct"/>
                  <w:gridSpan w:val="3"/>
                  <w:noWrap w:val="0"/>
                  <w:vAlign w:val="center"/>
                </w:tcPr>
                <w:p>
                  <w:pPr>
                    <w:pStyle w:val="66"/>
                    <w:bidi w:val="0"/>
                    <w:rPr>
                      <w:rFonts w:hint="eastAsia"/>
                      <w:lang w:val="en-US" w:eastAsia="zh-CN"/>
                    </w:rPr>
                  </w:pPr>
                  <w:r>
                    <w:rPr>
                      <w:rFonts w:hint="eastAsia"/>
                      <w:lang w:val="en-US" w:eastAsia="zh-CN"/>
                    </w:rPr>
                    <w:t>污染物</w:t>
                  </w:r>
                  <w:r>
                    <w:rPr>
                      <w:rFonts w:hint="default"/>
                      <w:lang w:val="en-US" w:eastAsia="zh-CN"/>
                    </w:rPr>
                    <w:t>产生情况</w:t>
                  </w:r>
                </w:p>
              </w:tc>
              <w:tc>
                <w:tcPr>
                  <w:tcW w:w="715" w:type="pct"/>
                  <w:tcBorders>
                    <w:right w:val="single" w:color="auto" w:sz="4" w:space="0"/>
                  </w:tcBorders>
                  <w:noWrap w:val="0"/>
                  <w:vAlign w:val="center"/>
                </w:tcPr>
                <w:p>
                  <w:pPr>
                    <w:pStyle w:val="66"/>
                    <w:bidi w:val="0"/>
                    <w:rPr>
                      <w:rFonts w:hint="eastAsia"/>
                      <w:lang w:val="en-US" w:eastAsia="zh-CN"/>
                    </w:rPr>
                  </w:pPr>
                  <w:r>
                    <w:rPr>
                      <w:rFonts w:hint="default"/>
                      <w:lang w:val="en-US" w:eastAsia="zh-CN"/>
                    </w:rPr>
                    <w:t>治理措施</w:t>
                  </w:r>
                </w:p>
              </w:tc>
              <w:tc>
                <w:tcPr>
                  <w:tcW w:w="685" w:type="pct"/>
                  <w:vMerge w:val="restart"/>
                  <w:noWrap w:val="0"/>
                  <w:vAlign w:val="center"/>
                </w:tcPr>
                <w:p>
                  <w:pPr>
                    <w:pStyle w:val="66"/>
                    <w:bidi w:val="0"/>
                    <w:rPr>
                      <w:rFonts w:hint="eastAsia"/>
                      <w:lang w:val="en-US" w:eastAsia="zh-CN"/>
                    </w:rPr>
                  </w:pPr>
                  <w:r>
                    <w:rPr>
                      <w:rFonts w:hint="default"/>
                      <w:lang w:val="en-US" w:eastAsia="zh-CN"/>
                    </w:rPr>
                    <w:t>排放标准</w:t>
                  </w:r>
                  <w:r>
                    <w:rPr>
                      <w:rFonts w:hint="eastAsia"/>
                      <w:lang w:val="en-US" w:eastAsia="zh-CN"/>
                    </w:rPr>
                    <w:t>（</w:t>
                  </w:r>
                  <w:r>
                    <w:rPr>
                      <w:rFonts w:hint="default"/>
                      <w:lang w:val="en-US" w:eastAsia="zh-CN"/>
                    </w:rPr>
                    <w:t>mg/L</w:t>
                  </w:r>
                  <w:r>
                    <w:rPr>
                      <w:rFonts w:hint="eastAsia"/>
                      <w:lang w:val="en-US" w:eastAsia="zh-CN"/>
                    </w:rPr>
                    <w:t>）</w:t>
                  </w:r>
                </w:p>
              </w:tc>
              <w:tc>
                <w:tcPr>
                  <w:tcW w:w="1210" w:type="pct"/>
                  <w:vMerge w:val="restart"/>
                  <w:noWrap w:val="0"/>
                  <w:vAlign w:val="center"/>
                </w:tcPr>
                <w:p>
                  <w:pPr>
                    <w:pStyle w:val="66"/>
                    <w:bidi w:val="0"/>
                    <w:rPr>
                      <w:rFonts w:hint="eastAsia"/>
                      <w:lang w:val="en-US" w:eastAsia="zh-CN"/>
                    </w:rPr>
                  </w:pPr>
                  <w:r>
                    <w:rPr>
                      <w:rFonts w:hint="eastAsia"/>
                      <w:lang w:val="en-US" w:eastAsia="zh-CN"/>
                    </w:rPr>
                    <w:t>最终去向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94" w:type="pct"/>
                  <w:vMerge w:val="continue"/>
                  <w:noWrap w:val="0"/>
                  <w:vAlign w:val="center"/>
                </w:tcPr>
                <w:p>
                  <w:pPr>
                    <w:pStyle w:val="66"/>
                    <w:bidi w:val="0"/>
                    <w:rPr>
                      <w:rFonts w:hint="default"/>
                      <w:lang w:val="en-US" w:eastAsia="zh-CN"/>
                    </w:rPr>
                  </w:pPr>
                </w:p>
              </w:tc>
              <w:tc>
                <w:tcPr>
                  <w:tcW w:w="417" w:type="pct"/>
                  <w:vMerge w:val="restart"/>
                  <w:noWrap w:val="0"/>
                  <w:vAlign w:val="center"/>
                </w:tcPr>
                <w:p>
                  <w:pPr>
                    <w:pStyle w:val="66"/>
                    <w:bidi w:val="0"/>
                    <w:rPr>
                      <w:rFonts w:hint="default"/>
                      <w:lang w:val="en-US" w:eastAsia="zh-CN"/>
                    </w:rPr>
                  </w:pPr>
                  <w:r>
                    <w:rPr>
                      <w:rFonts w:hint="default"/>
                      <w:lang w:val="en-US" w:eastAsia="zh-CN"/>
                    </w:rPr>
                    <w:t>核算方法</w:t>
                  </w:r>
                </w:p>
              </w:tc>
              <w:tc>
                <w:tcPr>
                  <w:tcW w:w="1477" w:type="pct"/>
                  <w:gridSpan w:val="2"/>
                  <w:noWrap w:val="0"/>
                  <w:vAlign w:val="center"/>
                </w:tcPr>
                <w:p>
                  <w:pPr>
                    <w:pStyle w:val="66"/>
                    <w:bidi w:val="0"/>
                    <w:rPr>
                      <w:rFonts w:hint="default"/>
                      <w:lang w:val="en-US" w:eastAsia="zh-CN"/>
                    </w:rPr>
                  </w:pPr>
                  <w:r>
                    <w:rPr>
                      <w:rFonts w:hint="default"/>
                      <w:lang w:val="en-US" w:eastAsia="zh-CN"/>
                    </w:rPr>
                    <w:t>生活污水</w:t>
                  </w:r>
                  <w:r>
                    <w:rPr>
                      <w:rFonts w:hint="eastAsia"/>
                      <w:lang w:val="en-US" w:eastAsia="zh-CN"/>
                    </w:rPr>
                    <w:t>360m</w:t>
                  </w:r>
                  <w:r>
                    <w:rPr>
                      <w:rFonts w:hint="eastAsia"/>
                      <w:vertAlign w:val="superscript"/>
                      <w:lang w:val="en-US" w:eastAsia="zh-CN"/>
                    </w:rPr>
                    <w:t>3</w:t>
                  </w:r>
                  <w:r>
                    <w:rPr>
                      <w:rFonts w:hint="default"/>
                      <w:lang w:val="en-US" w:eastAsia="zh-CN"/>
                    </w:rPr>
                    <w:t>/a</w:t>
                  </w:r>
                </w:p>
              </w:tc>
              <w:tc>
                <w:tcPr>
                  <w:tcW w:w="715" w:type="pct"/>
                  <w:vMerge w:val="restart"/>
                  <w:tcBorders>
                    <w:right w:val="single" w:color="auto" w:sz="4" w:space="0"/>
                  </w:tcBorders>
                  <w:noWrap w:val="0"/>
                  <w:vAlign w:val="center"/>
                </w:tcPr>
                <w:p>
                  <w:pPr>
                    <w:pStyle w:val="66"/>
                    <w:bidi w:val="0"/>
                    <w:rPr>
                      <w:rFonts w:hint="default"/>
                      <w:lang w:val="en-US" w:eastAsia="zh-CN"/>
                    </w:rPr>
                  </w:pPr>
                  <w:r>
                    <w:rPr>
                      <w:rFonts w:hint="default"/>
                      <w:lang w:val="en-US" w:eastAsia="zh-CN"/>
                    </w:rPr>
                    <w:t>工艺</w:t>
                  </w:r>
                </w:p>
              </w:tc>
              <w:tc>
                <w:tcPr>
                  <w:tcW w:w="685" w:type="pct"/>
                  <w:vMerge w:val="continue"/>
                  <w:noWrap w:val="0"/>
                  <w:vAlign w:val="center"/>
                </w:tcPr>
                <w:p>
                  <w:pPr>
                    <w:pStyle w:val="66"/>
                    <w:bidi w:val="0"/>
                    <w:rPr>
                      <w:rFonts w:hint="default"/>
                      <w:lang w:val="en-US" w:eastAsia="zh-CN"/>
                    </w:rPr>
                  </w:pPr>
                </w:p>
              </w:tc>
              <w:tc>
                <w:tcPr>
                  <w:tcW w:w="1210" w:type="pct"/>
                  <w:vMerge w:val="continue"/>
                  <w:noWrap w:val="0"/>
                  <w:vAlign w:val="center"/>
                </w:tcPr>
                <w:p>
                  <w:pPr>
                    <w:pStyle w:val="66"/>
                    <w:bidi w:val="0"/>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494" w:type="pct"/>
                  <w:vMerge w:val="continue"/>
                  <w:noWrap w:val="0"/>
                  <w:vAlign w:val="center"/>
                </w:tcPr>
                <w:p>
                  <w:pPr>
                    <w:pStyle w:val="66"/>
                    <w:bidi w:val="0"/>
                    <w:rPr>
                      <w:rFonts w:hint="default"/>
                      <w:lang w:val="en-US" w:eastAsia="zh-CN"/>
                    </w:rPr>
                  </w:pPr>
                </w:p>
              </w:tc>
              <w:tc>
                <w:tcPr>
                  <w:tcW w:w="417" w:type="pct"/>
                  <w:vMerge w:val="continue"/>
                  <w:noWrap w:val="0"/>
                  <w:vAlign w:val="center"/>
                </w:tcPr>
                <w:p>
                  <w:pPr>
                    <w:pStyle w:val="66"/>
                    <w:bidi w:val="0"/>
                    <w:rPr>
                      <w:rFonts w:hint="default"/>
                      <w:lang w:val="en-US" w:eastAsia="zh-CN"/>
                    </w:rPr>
                  </w:pPr>
                </w:p>
              </w:tc>
              <w:tc>
                <w:tcPr>
                  <w:tcW w:w="629" w:type="pct"/>
                  <w:noWrap w:val="0"/>
                  <w:vAlign w:val="center"/>
                </w:tcPr>
                <w:p>
                  <w:pPr>
                    <w:pStyle w:val="66"/>
                    <w:bidi w:val="0"/>
                    <w:rPr>
                      <w:rFonts w:hint="default"/>
                      <w:lang w:val="en-US" w:eastAsia="zh-CN"/>
                    </w:rPr>
                  </w:pPr>
                  <w:r>
                    <w:rPr>
                      <w:rFonts w:hint="eastAsia"/>
                      <w:lang w:val="en-US" w:eastAsia="zh-CN"/>
                    </w:rPr>
                    <w:t>产生</w:t>
                  </w:r>
                  <w:r>
                    <w:rPr>
                      <w:rFonts w:hint="default"/>
                      <w:lang w:val="en-US" w:eastAsia="zh-CN"/>
                    </w:rPr>
                    <w:t>浓度</w:t>
                  </w:r>
                  <w:r>
                    <w:rPr>
                      <w:rFonts w:hint="eastAsia"/>
                      <w:lang w:val="en-US" w:eastAsia="zh-CN"/>
                    </w:rPr>
                    <w:t>mg/L</w:t>
                  </w:r>
                </w:p>
              </w:tc>
              <w:tc>
                <w:tcPr>
                  <w:tcW w:w="847" w:type="pct"/>
                  <w:noWrap w:val="0"/>
                  <w:vAlign w:val="center"/>
                </w:tcPr>
                <w:p>
                  <w:pPr>
                    <w:pStyle w:val="66"/>
                    <w:bidi w:val="0"/>
                    <w:rPr>
                      <w:rFonts w:hint="default"/>
                      <w:lang w:val="en-US" w:eastAsia="zh-CN"/>
                    </w:rPr>
                  </w:pPr>
                  <w:r>
                    <w:rPr>
                      <w:rFonts w:hint="eastAsia"/>
                      <w:lang w:val="en-US" w:eastAsia="zh-CN"/>
                    </w:rPr>
                    <w:t>产生量t/a</w:t>
                  </w:r>
                </w:p>
              </w:tc>
              <w:tc>
                <w:tcPr>
                  <w:tcW w:w="715" w:type="pct"/>
                  <w:vMerge w:val="continue"/>
                  <w:noWrap w:val="0"/>
                  <w:vAlign w:val="center"/>
                </w:tcPr>
                <w:p>
                  <w:pPr>
                    <w:pStyle w:val="66"/>
                    <w:bidi w:val="0"/>
                    <w:rPr>
                      <w:rFonts w:hint="eastAsia"/>
                      <w:lang w:val="en-US" w:eastAsia="zh-CN"/>
                    </w:rPr>
                  </w:pPr>
                </w:p>
              </w:tc>
              <w:tc>
                <w:tcPr>
                  <w:tcW w:w="685" w:type="pct"/>
                  <w:vMerge w:val="continue"/>
                  <w:noWrap w:val="0"/>
                  <w:vAlign w:val="center"/>
                </w:tcPr>
                <w:p>
                  <w:pPr>
                    <w:pStyle w:val="66"/>
                    <w:bidi w:val="0"/>
                    <w:rPr>
                      <w:rFonts w:hint="default"/>
                      <w:lang w:val="en-US" w:eastAsia="zh-CN"/>
                    </w:rPr>
                  </w:pPr>
                </w:p>
              </w:tc>
              <w:tc>
                <w:tcPr>
                  <w:tcW w:w="1210" w:type="pct"/>
                  <w:vMerge w:val="continue"/>
                  <w:noWrap w:val="0"/>
                  <w:vAlign w:val="center"/>
                </w:tcPr>
                <w:p>
                  <w:pPr>
                    <w:pStyle w:val="66"/>
                    <w:bidi w:val="0"/>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64" w:hRule="atLeast"/>
              </w:trPr>
              <w:tc>
                <w:tcPr>
                  <w:tcW w:w="494" w:type="pct"/>
                  <w:noWrap w:val="0"/>
                  <w:vAlign w:val="center"/>
                </w:tcPr>
                <w:p>
                  <w:pPr>
                    <w:pStyle w:val="66"/>
                    <w:bidi w:val="0"/>
                    <w:rPr>
                      <w:rFonts w:hint="default"/>
                      <w:lang w:val="en-US" w:eastAsia="zh-CN"/>
                    </w:rPr>
                  </w:pPr>
                  <w:r>
                    <w:rPr>
                      <w:rFonts w:hint="default"/>
                      <w:lang w:val="en-US" w:eastAsia="zh-CN"/>
                    </w:rPr>
                    <w:t>COD</w:t>
                  </w:r>
                </w:p>
              </w:tc>
              <w:tc>
                <w:tcPr>
                  <w:tcW w:w="417" w:type="pct"/>
                  <w:vMerge w:val="restart"/>
                  <w:tcBorders>
                    <w:top w:val="single" w:color="auto" w:sz="4" w:space="0"/>
                  </w:tcBorders>
                  <w:noWrap w:val="0"/>
                  <w:vAlign w:val="center"/>
                </w:tcPr>
                <w:p>
                  <w:pPr>
                    <w:pStyle w:val="66"/>
                    <w:bidi w:val="0"/>
                    <w:rPr>
                      <w:rFonts w:hint="eastAsia"/>
                      <w:lang w:val="en-US" w:eastAsia="zh-CN"/>
                    </w:rPr>
                  </w:pPr>
                  <w:r>
                    <w:rPr>
                      <w:rFonts w:hint="eastAsia"/>
                      <w:lang w:val="en-US" w:eastAsia="zh-CN"/>
                    </w:rPr>
                    <w:t>类比法</w:t>
                  </w:r>
                </w:p>
              </w:tc>
              <w:tc>
                <w:tcPr>
                  <w:tcW w:w="629" w:type="pct"/>
                  <w:noWrap w:val="0"/>
                  <w:vAlign w:val="center"/>
                </w:tcPr>
                <w:p>
                  <w:pPr>
                    <w:pStyle w:val="66"/>
                    <w:bidi w:val="0"/>
                    <w:rPr>
                      <w:rFonts w:hint="default"/>
                      <w:lang w:val="en-US" w:eastAsia="zh-CN"/>
                    </w:rPr>
                  </w:pPr>
                  <w:r>
                    <w:rPr>
                      <w:rFonts w:hint="eastAsia"/>
                      <w:lang w:val="en-US" w:eastAsia="zh-CN"/>
                    </w:rPr>
                    <w:t>350</w:t>
                  </w:r>
                </w:p>
              </w:tc>
              <w:tc>
                <w:tcPr>
                  <w:tcW w:w="847" w:type="pct"/>
                  <w:noWrap w:val="0"/>
                  <w:vAlign w:val="center"/>
                </w:tcPr>
                <w:p>
                  <w:pPr>
                    <w:pStyle w:val="66"/>
                    <w:bidi w:val="0"/>
                    <w:rPr>
                      <w:rFonts w:hint="default"/>
                      <w:lang w:val="en-US" w:eastAsia="zh-CN"/>
                    </w:rPr>
                  </w:pPr>
                  <w:r>
                    <w:rPr>
                      <w:rFonts w:hint="eastAsia"/>
                      <w:lang w:val="en-US" w:eastAsia="zh-CN"/>
                    </w:rPr>
                    <w:t>0.126</w:t>
                  </w:r>
                </w:p>
              </w:tc>
              <w:tc>
                <w:tcPr>
                  <w:tcW w:w="715" w:type="pct"/>
                  <w:vMerge w:val="restart"/>
                  <w:noWrap w:val="0"/>
                  <w:vAlign w:val="center"/>
                </w:tcPr>
                <w:p>
                  <w:pPr>
                    <w:pStyle w:val="66"/>
                    <w:bidi w:val="0"/>
                    <w:rPr>
                      <w:rFonts w:hint="default"/>
                      <w:lang w:val="en-US" w:eastAsia="zh-CN"/>
                    </w:rPr>
                  </w:pPr>
                  <w:r>
                    <w:rPr>
                      <w:rFonts w:hint="default"/>
                      <w:lang w:val="en-US" w:eastAsia="zh-CN"/>
                    </w:rPr>
                    <w:t>化粪池</w:t>
                  </w:r>
                  <w:r>
                    <w:rPr>
                      <w:rFonts w:hint="eastAsia"/>
                      <w:lang w:val="en-US" w:eastAsia="zh-CN"/>
                    </w:rPr>
                    <w:t>预</w:t>
                  </w:r>
                  <w:r>
                    <w:rPr>
                      <w:rFonts w:hint="default"/>
                      <w:lang w:val="en-US" w:eastAsia="zh-CN"/>
                    </w:rPr>
                    <w:t>处理</w:t>
                  </w:r>
                </w:p>
              </w:tc>
              <w:tc>
                <w:tcPr>
                  <w:tcW w:w="685" w:type="pct"/>
                  <w:noWrap w:val="0"/>
                  <w:vAlign w:val="center"/>
                </w:tcPr>
                <w:p>
                  <w:pPr>
                    <w:pStyle w:val="66"/>
                    <w:bidi w:val="0"/>
                    <w:rPr>
                      <w:rFonts w:hint="default"/>
                      <w:lang w:val="en-US" w:eastAsia="zh-CN"/>
                    </w:rPr>
                  </w:pPr>
                  <w:r>
                    <w:rPr>
                      <w:rFonts w:hint="default"/>
                      <w:lang w:val="en-US" w:eastAsia="zh-CN"/>
                    </w:rPr>
                    <w:t>500</w:t>
                  </w:r>
                </w:p>
              </w:tc>
              <w:tc>
                <w:tcPr>
                  <w:tcW w:w="1210" w:type="pct"/>
                  <w:vMerge w:val="restart"/>
                  <w:noWrap w:val="0"/>
                  <w:vAlign w:val="center"/>
                </w:tcPr>
                <w:p>
                  <w:pPr>
                    <w:pStyle w:val="66"/>
                    <w:bidi w:val="0"/>
                    <w:rPr>
                      <w:rFonts w:hint="default"/>
                      <w:lang w:val="en-US" w:eastAsia="zh-CN"/>
                    </w:rPr>
                  </w:pPr>
                  <w:r>
                    <w:rPr>
                      <w:rFonts w:hint="eastAsia"/>
                      <w:lang w:val="en-US" w:eastAsia="zh-CN"/>
                    </w:rPr>
                    <w:t>生活污水先经化粪池预处理，再通过园区排水管网排至若羌县城乡污水处理厂进行处理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494" w:type="pct"/>
                  <w:noWrap w:val="0"/>
                  <w:vAlign w:val="center"/>
                </w:tcPr>
                <w:p>
                  <w:pPr>
                    <w:pStyle w:val="66"/>
                    <w:bidi w:val="0"/>
                    <w:rPr>
                      <w:rFonts w:hint="eastAsia"/>
                      <w:lang w:val="en-US" w:eastAsia="zh-CN"/>
                    </w:rPr>
                  </w:pPr>
                  <w:r>
                    <w:rPr>
                      <w:rFonts w:hint="default"/>
                      <w:lang w:val="en-US" w:eastAsia="zh-CN"/>
                    </w:rPr>
                    <w:t>BOD</w:t>
                  </w:r>
                  <w:r>
                    <w:rPr>
                      <w:rFonts w:hint="eastAsia"/>
                      <w:vertAlign w:val="subscript"/>
                      <w:lang w:val="en-US" w:eastAsia="zh-CN"/>
                    </w:rPr>
                    <w:t>5</w:t>
                  </w:r>
                </w:p>
              </w:tc>
              <w:tc>
                <w:tcPr>
                  <w:tcW w:w="417" w:type="pct"/>
                  <w:vMerge w:val="continue"/>
                  <w:noWrap w:val="0"/>
                  <w:vAlign w:val="center"/>
                </w:tcPr>
                <w:p>
                  <w:pPr>
                    <w:pStyle w:val="66"/>
                    <w:bidi w:val="0"/>
                    <w:rPr>
                      <w:rFonts w:hint="default"/>
                      <w:lang w:val="en-US" w:eastAsia="zh-CN"/>
                    </w:rPr>
                  </w:pPr>
                </w:p>
              </w:tc>
              <w:tc>
                <w:tcPr>
                  <w:tcW w:w="629" w:type="pct"/>
                  <w:noWrap w:val="0"/>
                  <w:vAlign w:val="center"/>
                </w:tcPr>
                <w:p>
                  <w:pPr>
                    <w:pStyle w:val="66"/>
                    <w:bidi w:val="0"/>
                    <w:rPr>
                      <w:rFonts w:hint="default"/>
                      <w:lang w:val="en-US" w:eastAsia="zh-CN"/>
                    </w:rPr>
                  </w:pPr>
                  <w:r>
                    <w:rPr>
                      <w:rFonts w:hint="default"/>
                      <w:lang w:val="en-US" w:eastAsia="zh-CN"/>
                    </w:rPr>
                    <w:t>250</w:t>
                  </w:r>
                </w:p>
              </w:tc>
              <w:tc>
                <w:tcPr>
                  <w:tcW w:w="847" w:type="pct"/>
                  <w:noWrap w:val="0"/>
                  <w:vAlign w:val="center"/>
                </w:tcPr>
                <w:p>
                  <w:pPr>
                    <w:pStyle w:val="66"/>
                    <w:bidi w:val="0"/>
                    <w:rPr>
                      <w:rFonts w:hint="default"/>
                      <w:lang w:val="en-US" w:eastAsia="zh-CN"/>
                    </w:rPr>
                  </w:pPr>
                  <w:r>
                    <w:rPr>
                      <w:rFonts w:hint="eastAsia"/>
                      <w:lang w:val="en-US" w:eastAsia="zh-CN"/>
                    </w:rPr>
                    <w:t>0.090</w:t>
                  </w:r>
                </w:p>
              </w:tc>
              <w:tc>
                <w:tcPr>
                  <w:tcW w:w="715" w:type="pct"/>
                  <w:vMerge w:val="continue"/>
                  <w:noWrap w:val="0"/>
                  <w:vAlign w:val="center"/>
                </w:tcPr>
                <w:p>
                  <w:pPr>
                    <w:pStyle w:val="66"/>
                    <w:bidi w:val="0"/>
                    <w:rPr>
                      <w:rFonts w:hint="default"/>
                      <w:lang w:val="en-US" w:eastAsia="zh-CN"/>
                    </w:rPr>
                  </w:pPr>
                </w:p>
              </w:tc>
              <w:tc>
                <w:tcPr>
                  <w:tcW w:w="685" w:type="pct"/>
                  <w:noWrap w:val="0"/>
                  <w:vAlign w:val="center"/>
                </w:tcPr>
                <w:p>
                  <w:pPr>
                    <w:pStyle w:val="66"/>
                    <w:bidi w:val="0"/>
                    <w:rPr>
                      <w:rFonts w:hint="default"/>
                      <w:lang w:val="en-US" w:eastAsia="zh-CN"/>
                    </w:rPr>
                  </w:pPr>
                  <w:r>
                    <w:rPr>
                      <w:rFonts w:hint="default"/>
                      <w:lang w:val="en-US" w:eastAsia="zh-CN"/>
                    </w:rPr>
                    <w:t>300</w:t>
                  </w:r>
                </w:p>
              </w:tc>
              <w:tc>
                <w:tcPr>
                  <w:tcW w:w="1210" w:type="pct"/>
                  <w:vMerge w:val="continue"/>
                  <w:noWrap w:val="0"/>
                  <w:vAlign w:val="center"/>
                </w:tcPr>
                <w:p>
                  <w:pPr>
                    <w:pStyle w:val="66"/>
                    <w:bidi w:val="0"/>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36" w:hRule="atLeast"/>
              </w:trPr>
              <w:tc>
                <w:tcPr>
                  <w:tcW w:w="494" w:type="pct"/>
                  <w:noWrap w:val="0"/>
                  <w:vAlign w:val="center"/>
                </w:tcPr>
                <w:p>
                  <w:pPr>
                    <w:pStyle w:val="66"/>
                    <w:bidi w:val="0"/>
                    <w:rPr>
                      <w:rFonts w:hint="default"/>
                      <w:lang w:val="en-US" w:eastAsia="zh-CN"/>
                    </w:rPr>
                  </w:pPr>
                  <w:r>
                    <w:rPr>
                      <w:rFonts w:hint="default"/>
                      <w:lang w:val="en-US" w:eastAsia="zh-CN"/>
                    </w:rPr>
                    <w:t>SS</w:t>
                  </w:r>
                </w:p>
              </w:tc>
              <w:tc>
                <w:tcPr>
                  <w:tcW w:w="417" w:type="pct"/>
                  <w:vMerge w:val="continue"/>
                  <w:noWrap w:val="0"/>
                  <w:vAlign w:val="center"/>
                </w:tcPr>
                <w:p>
                  <w:pPr>
                    <w:pStyle w:val="66"/>
                    <w:bidi w:val="0"/>
                    <w:rPr>
                      <w:rFonts w:hint="default"/>
                      <w:lang w:val="en-US" w:eastAsia="zh-CN"/>
                    </w:rPr>
                  </w:pPr>
                </w:p>
              </w:tc>
              <w:tc>
                <w:tcPr>
                  <w:tcW w:w="629" w:type="pct"/>
                  <w:noWrap w:val="0"/>
                  <w:vAlign w:val="center"/>
                </w:tcPr>
                <w:p>
                  <w:pPr>
                    <w:pStyle w:val="66"/>
                    <w:bidi w:val="0"/>
                    <w:rPr>
                      <w:rFonts w:hint="default"/>
                      <w:lang w:val="en-US" w:eastAsia="zh-CN"/>
                    </w:rPr>
                  </w:pPr>
                  <w:r>
                    <w:rPr>
                      <w:rFonts w:hint="default"/>
                      <w:lang w:val="en-US" w:eastAsia="zh-CN"/>
                    </w:rPr>
                    <w:t>200</w:t>
                  </w:r>
                </w:p>
              </w:tc>
              <w:tc>
                <w:tcPr>
                  <w:tcW w:w="847" w:type="pct"/>
                  <w:noWrap w:val="0"/>
                  <w:vAlign w:val="center"/>
                </w:tcPr>
                <w:p>
                  <w:pPr>
                    <w:pStyle w:val="66"/>
                    <w:bidi w:val="0"/>
                    <w:rPr>
                      <w:rFonts w:hint="default"/>
                      <w:lang w:val="en-US" w:eastAsia="zh-CN"/>
                    </w:rPr>
                  </w:pPr>
                  <w:r>
                    <w:rPr>
                      <w:rFonts w:hint="eastAsia"/>
                      <w:lang w:val="en-US" w:eastAsia="zh-CN"/>
                    </w:rPr>
                    <w:t>0.072</w:t>
                  </w:r>
                </w:p>
              </w:tc>
              <w:tc>
                <w:tcPr>
                  <w:tcW w:w="715" w:type="pct"/>
                  <w:vMerge w:val="continue"/>
                  <w:noWrap w:val="0"/>
                  <w:vAlign w:val="center"/>
                </w:tcPr>
                <w:p>
                  <w:pPr>
                    <w:pStyle w:val="66"/>
                    <w:bidi w:val="0"/>
                    <w:rPr>
                      <w:rFonts w:hint="default"/>
                      <w:lang w:val="en-US" w:eastAsia="zh-CN"/>
                    </w:rPr>
                  </w:pPr>
                </w:p>
              </w:tc>
              <w:tc>
                <w:tcPr>
                  <w:tcW w:w="685" w:type="pct"/>
                  <w:noWrap w:val="0"/>
                  <w:vAlign w:val="center"/>
                </w:tcPr>
                <w:p>
                  <w:pPr>
                    <w:pStyle w:val="66"/>
                    <w:bidi w:val="0"/>
                    <w:rPr>
                      <w:rFonts w:hint="default"/>
                      <w:lang w:val="en-US" w:eastAsia="zh-CN"/>
                    </w:rPr>
                  </w:pPr>
                  <w:r>
                    <w:rPr>
                      <w:rFonts w:hint="default"/>
                      <w:lang w:val="en-US" w:eastAsia="zh-CN"/>
                    </w:rPr>
                    <w:t>400</w:t>
                  </w:r>
                </w:p>
              </w:tc>
              <w:tc>
                <w:tcPr>
                  <w:tcW w:w="1210" w:type="pct"/>
                  <w:vMerge w:val="continue"/>
                  <w:noWrap w:val="0"/>
                  <w:vAlign w:val="center"/>
                </w:tcPr>
                <w:p>
                  <w:pPr>
                    <w:pStyle w:val="66"/>
                    <w:bidi w:val="0"/>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494" w:type="pct"/>
                  <w:noWrap w:val="0"/>
                  <w:vAlign w:val="center"/>
                </w:tcPr>
                <w:p>
                  <w:pPr>
                    <w:pStyle w:val="66"/>
                    <w:bidi w:val="0"/>
                    <w:rPr>
                      <w:rFonts w:hint="default"/>
                      <w:lang w:val="en-US" w:eastAsia="zh-CN"/>
                    </w:rPr>
                  </w:pPr>
                  <w:r>
                    <w:rPr>
                      <w:rFonts w:hint="default"/>
                      <w:lang w:val="en-US" w:eastAsia="zh-CN"/>
                    </w:rPr>
                    <w:t>氨氮</w:t>
                  </w:r>
                </w:p>
              </w:tc>
              <w:tc>
                <w:tcPr>
                  <w:tcW w:w="417" w:type="pct"/>
                  <w:vMerge w:val="continue"/>
                  <w:noWrap w:val="0"/>
                  <w:vAlign w:val="center"/>
                </w:tcPr>
                <w:p>
                  <w:pPr>
                    <w:pStyle w:val="66"/>
                    <w:bidi w:val="0"/>
                    <w:rPr>
                      <w:rFonts w:hint="default"/>
                      <w:lang w:val="en-US" w:eastAsia="zh-CN"/>
                    </w:rPr>
                  </w:pPr>
                </w:p>
              </w:tc>
              <w:tc>
                <w:tcPr>
                  <w:tcW w:w="629" w:type="pct"/>
                  <w:noWrap w:val="0"/>
                  <w:vAlign w:val="center"/>
                </w:tcPr>
                <w:p>
                  <w:pPr>
                    <w:pStyle w:val="66"/>
                    <w:bidi w:val="0"/>
                    <w:rPr>
                      <w:rFonts w:hint="default"/>
                      <w:lang w:val="en-US" w:eastAsia="zh-CN"/>
                    </w:rPr>
                  </w:pPr>
                  <w:r>
                    <w:rPr>
                      <w:rFonts w:hint="eastAsia"/>
                      <w:lang w:val="en-US" w:eastAsia="zh-CN"/>
                    </w:rPr>
                    <w:t>30</w:t>
                  </w:r>
                </w:p>
              </w:tc>
              <w:tc>
                <w:tcPr>
                  <w:tcW w:w="847" w:type="pct"/>
                  <w:noWrap w:val="0"/>
                  <w:vAlign w:val="center"/>
                </w:tcPr>
                <w:p>
                  <w:pPr>
                    <w:pStyle w:val="66"/>
                    <w:bidi w:val="0"/>
                    <w:rPr>
                      <w:rFonts w:hint="default"/>
                      <w:lang w:val="en-US" w:eastAsia="zh-CN"/>
                    </w:rPr>
                  </w:pPr>
                  <w:r>
                    <w:rPr>
                      <w:rFonts w:hint="eastAsia"/>
                      <w:lang w:val="en-US" w:eastAsia="zh-CN"/>
                    </w:rPr>
                    <w:t>0.011</w:t>
                  </w:r>
                </w:p>
              </w:tc>
              <w:tc>
                <w:tcPr>
                  <w:tcW w:w="715" w:type="pct"/>
                  <w:vMerge w:val="continue"/>
                  <w:noWrap w:val="0"/>
                  <w:vAlign w:val="center"/>
                </w:tcPr>
                <w:p>
                  <w:pPr>
                    <w:pStyle w:val="66"/>
                    <w:bidi w:val="0"/>
                    <w:rPr>
                      <w:rFonts w:hint="default"/>
                      <w:lang w:val="en-US" w:eastAsia="zh-CN"/>
                    </w:rPr>
                  </w:pPr>
                </w:p>
              </w:tc>
              <w:tc>
                <w:tcPr>
                  <w:tcW w:w="685" w:type="pct"/>
                  <w:noWrap w:val="0"/>
                  <w:vAlign w:val="center"/>
                </w:tcPr>
                <w:p>
                  <w:pPr>
                    <w:pStyle w:val="66"/>
                    <w:bidi w:val="0"/>
                    <w:rPr>
                      <w:rFonts w:hint="default"/>
                      <w:lang w:val="en-US" w:eastAsia="zh-CN"/>
                    </w:rPr>
                  </w:pPr>
                  <w:r>
                    <w:rPr>
                      <w:rFonts w:hint="default"/>
                      <w:lang w:val="en-US" w:eastAsia="zh-CN"/>
                    </w:rPr>
                    <w:t>/</w:t>
                  </w:r>
                </w:p>
              </w:tc>
              <w:tc>
                <w:tcPr>
                  <w:tcW w:w="1210" w:type="pct"/>
                  <w:vMerge w:val="continue"/>
                  <w:noWrap w:val="0"/>
                  <w:vAlign w:val="center"/>
                </w:tcPr>
                <w:p>
                  <w:pPr>
                    <w:pStyle w:val="66"/>
                    <w:bidi w:val="0"/>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27" w:hRule="atLeast"/>
              </w:trPr>
              <w:tc>
                <w:tcPr>
                  <w:tcW w:w="494" w:type="pct"/>
                  <w:noWrap w:val="0"/>
                  <w:vAlign w:val="center"/>
                </w:tcPr>
                <w:p>
                  <w:pPr>
                    <w:pStyle w:val="66"/>
                    <w:bidi w:val="0"/>
                    <w:rPr>
                      <w:rFonts w:hint="eastAsia"/>
                      <w:lang w:val="en-US" w:eastAsia="zh-CN"/>
                    </w:rPr>
                  </w:pPr>
                  <w:r>
                    <w:rPr>
                      <w:rFonts w:hint="eastAsia"/>
                      <w:lang w:val="en-US" w:eastAsia="zh-CN"/>
                    </w:rPr>
                    <w:t>动植物油</w:t>
                  </w:r>
                </w:p>
              </w:tc>
              <w:tc>
                <w:tcPr>
                  <w:tcW w:w="417" w:type="pct"/>
                  <w:vMerge w:val="continue"/>
                  <w:noWrap w:val="0"/>
                  <w:vAlign w:val="center"/>
                </w:tcPr>
                <w:p>
                  <w:pPr>
                    <w:pStyle w:val="66"/>
                    <w:bidi w:val="0"/>
                    <w:rPr>
                      <w:rFonts w:hint="default"/>
                      <w:lang w:val="en-US" w:eastAsia="zh-CN"/>
                    </w:rPr>
                  </w:pPr>
                </w:p>
              </w:tc>
              <w:tc>
                <w:tcPr>
                  <w:tcW w:w="629" w:type="pct"/>
                  <w:noWrap w:val="0"/>
                  <w:vAlign w:val="center"/>
                </w:tcPr>
                <w:p>
                  <w:pPr>
                    <w:pStyle w:val="66"/>
                    <w:bidi w:val="0"/>
                    <w:rPr>
                      <w:rFonts w:hint="default"/>
                      <w:lang w:val="en-US" w:eastAsia="zh-CN"/>
                    </w:rPr>
                  </w:pPr>
                  <w:r>
                    <w:rPr>
                      <w:rFonts w:hint="eastAsia"/>
                      <w:lang w:val="en-US" w:eastAsia="zh-CN"/>
                    </w:rPr>
                    <w:t>100</w:t>
                  </w:r>
                </w:p>
              </w:tc>
              <w:tc>
                <w:tcPr>
                  <w:tcW w:w="847" w:type="pct"/>
                  <w:noWrap w:val="0"/>
                  <w:vAlign w:val="center"/>
                </w:tcPr>
                <w:p>
                  <w:pPr>
                    <w:pStyle w:val="66"/>
                    <w:bidi w:val="0"/>
                    <w:rPr>
                      <w:rFonts w:hint="default"/>
                      <w:lang w:val="en-US" w:eastAsia="zh-CN"/>
                    </w:rPr>
                  </w:pPr>
                  <w:r>
                    <w:rPr>
                      <w:rFonts w:hint="eastAsia"/>
                      <w:lang w:val="en-US" w:eastAsia="zh-CN"/>
                    </w:rPr>
                    <w:t>0.036</w:t>
                  </w:r>
                </w:p>
              </w:tc>
              <w:tc>
                <w:tcPr>
                  <w:tcW w:w="715" w:type="pct"/>
                  <w:vMerge w:val="continue"/>
                  <w:noWrap w:val="0"/>
                  <w:vAlign w:val="center"/>
                </w:tcPr>
                <w:p>
                  <w:pPr>
                    <w:pStyle w:val="66"/>
                    <w:bidi w:val="0"/>
                    <w:rPr>
                      <w:rFonts w:hint="default"/>
                      <w:lang w:val="en-US" w:eastAsia="zh-CN"/>
                    </w:rPr>
                  </w:pPr>
                </w:p>
              </w:tc>
              <w:tc>
                <w:tcPr>
                  <w:tcW w:w="685" w:type="pct"/>
                  <w:noWrap w:val="0"/>
                  <w:vAlign w:val="center"/>
                </w:tcPr>
                <w:p>
                  <w:pPr>
                    <w:pStyle w:val="66"/>
                    <w:bidi w:val="0"/>
                    <w:rPr>
                      <w:rFonts w:hint="default"/>
                      <w:lang w:val="en-US" w:eastAsia="zh-CN"/>
                    </w:rPr>
                  </w:pPr>
                  <w:r>
                    <w:rPr>
                      <w:rFonts w:hint="eastAsia"/>
                      <w:lang w:val="en-US" w:eastAsia="zh-CN"/>
                    </w:rPr>
                    <w:t>100</w:t>
                  </w:r>
                </w:p>
              </w:tc>
              <w:tc>
                <w:tcPr>
                  <w:tcW w:w="1210" w:type="pct"/>
                  <w:vMerge w:val="continue"/>
                  <w:noWrap w:val="0"/>
                  <w:vAlign w:val="center"/>
                </w:tcPr>
                <w:p>
                  <w:pPr>
                    <w:pStyle w:val="66"/>
                    <w:bidi w:val="0"/>
                    <w:rPr>
                      <w:rFonts w:hint="default"/>
                      <w:lang w:val="en-US" w:eastAsia="zh-CN"/>
                    </w:rPr>
                  </w:pPr>
                </w:p>
              </w:tc>
            </w:tr>
          </w:tbl>
          <w:p>
            <w:pPr>
              <w:pStyle w:val="67"/>
              <w:bidi w:val="0"/>
              <w:rPr>
                <w:rFonts w:hint="default"/>
                <w:lang w:val="en-US" w:eastAsia="zh-CN"/>
              </w:rPr>
            </w:pPr>
            <w:r>
              <w:rPr>
                <w:rFonts w:hint="eastAsia"/>
                <w:lang w:val="en-US" w:eastAsia="zh-CN"/>
              </w:rPr>
              <w:t>2.2</w:t>
            </w:r>
            <w:r>
              <w:rPr>
                <w:rFonts w:hint="default"/>
                <w:lang w:val="en-US" w:eastAsia="zh-CN"/>
              </w:rPr>
              <w:t>废水污染防治措施可行性</w:t>
            </w:r>
          </w:p>
          <w:p>
            <w:pPr>
              <w:pStyle w:val="68"/>
              <w:shd w:val="clear"/>
              <w:bidi w:val="0"/>
              <w:rPr>
                <w:rFonts w:hint="eastAsia"/>
                <w:lang w:val="en-US" w:eastAsia="zh-CN"/>
              </w:rPr>
            </w:pPr>
            <w:r>
              <w:rPr>
                <w:rFonts w:hint="default"/>
              </w:rPr>
              <w:t>生活污水先经化粪池预处理，再通过园区排水管网排至若羌县城乡污水处理厂进行处理</w:t>
            </w:r>
            <w:r>
              <w:rPr>
                <w:rFonts w:hint="eastAsia"/>
                <w:lang w:eastAsia="zh-CN"/>
              </w:rPr>
              <w:t>，</w:t>
            </w:r>
            <w:r>
              <w:rPr>
                <w:rFonts w:hint="eastAsia"/>
                <w:lang w:val="en-US" w:eastAsia="zh-CN"/>
              </w:rPr>
              <w:t>若羌县城乡污水处理厂位于若羌县县城城北7.7公里（</w:t>
            </w:r>
            <w:r>
              <w:rPr>
                <w:rFonts w:hint="default" w:ascii="Times New Roman" w:hAnsi="Times New Roman" w:cs="Times New Roman"/>
                <w:lang w:val="en-US" w:eastAsia="zh-CN"/>
              </w:rPr>
              <w:t>地理坐标：E：88°10′19.33″，N：39°5′44.34″</w:t>
            </w:r>
            <w:r>
              <w:rPr>
                <w:rFonts w:hint="eastAsia" w:ascii="Times New Roman" w:hAnsi="Times New Roman" w:cs="Times New Roman"/>
                <w:lang w:val="en-US" w:eastAsia="zh-CN"/>
              </w:rPr>
              <w:t>，本项目区与若羌县城乡污水处理厂相距</w:t>
            </w:r>
            <w:r>
              <w:rPr>
                <w:rFonts w:hint="eastAsia" w:cs="Times New Roman"/>
                <w:lang w:val="en-US" w:eastAsia="zh-CN"/>
              </w:rPr>
              <w:t>11</w:t>
            </w:r>
            <w:r>
              <w:rPr>
                <w:rFonts w:hint="eastAsia" w:ascii="Times New Roman" w:hAnsi="Times New Roman" w:cs="Times New Roman"/>
                <w:lang w:val="en-US" w:eastAsia="zh-CN"/>
              </w:rPr>
              <w:t>km</w:t>
            </w:r>
            <w:r>
              <w:rPr>
                <w:rFonts w:hint="eastAsia"/>
                <w:lang w:val="en-US" w:eastAsia="zh-CN"/>
              </w:rPr>
              <w:t>），处理能力为4000m</w:t>
            </w:r>
            <w:r>
              <w:rPr>
                <w:rFonts w:hint="eastAsia"/>
                <w:vertAlign w:val="superscript"/>
                <w:lang w:val="en-US" w:eastAsia="zh-CN"/>
              </w:rPr>
              <w:t>3</w:t>
            </w:r>
            <w:r>
              <w:rPr>
                <w:rFonts w:hint="eastAsia"/>
                <w:lang w:val="en-US" w:eastAsia="zh-CN"/>
              </w:rPr>
              <w:t>/d，污水处理工艺流程为：“粗格栅-曝气沉砂池-水量调节池-预混池-厌氧池-兼氧池好氧池-二沉池-滤布过滤器-紫外线消毒-水质监测”，经处理后的出水水质可达到《城镇污水处理厂污染物排放标准》(GB18918-2002)中的一级A标准要求，处理后尾水用于污水处理厂周边防护林灌溉。此污水处理厂于2017年5月28日取得巴州环境保护局（现巴州生态环境局）《关于若羌县城乡污水处理厂提升改造EPC项目环境影响报告表的批复》（巴环评价函</w:t>
            </w:r>
            <w:r>
              <w:rPr>
                <w:rFonts w:hint="eastAsia"/>
                <w:shd w:val="clear"/>
                <w:lang w:val="en-US" w:eastAsia="zh-CN"/>
              </w:rPr>
              <w:t>〔2017〕144号</w:t>
            </w:r>
            <w:r>
              <w:rPr>
                <w:rFonts w:hint="eastAsia"/>
                <w:lang w:val="en-US" w:eastAsia="zh-CN"/>
              </w:rPr>
              <w:t>），2018年5月14日通过了项目竣工环境保护验收工作，备案编号为巴环评价验备</w:t>
            </w:r>
            <w:r>
              <w:rPr>
                <w:rFonts w:hint="eastAsia"/>
                <w:shd w:val="clear"/>
                <w:lang w:val="en-US" w:eastAsia="zh-CN"/>
              </w:rPr>
              <w:t>〔2018〕15号。</w:t>
            </w:r>
            <w:r>
              <w:rPr>
                <w:rFonts w:hint="eastAsia"/>
                <w:lang w:val="en-US" w:eastAsia="zh-CN"/>
              </w:rPr>
              <w:t>综上，本项目废水处理措施可行。</w:t>
            </w:r>
          </w:p>
          <w:p>
            <w:pPr>
              <w:pStyle w:val="67"/>
              <w:bidi w:val="0"/>
              <w:rPr>
                <w:rFonts w:hint="default"/>
                <w:lang w:val="en-US" w:eastAsia="zh-CN"/>
              </w:rPr>
            </w:pPr>
            <w:r>
              <w:rPr>
                <w:rFonts w:hint="eastAsia"/>
                <w:lang w:val="en-US" w:eastAsia="zh-CN"/>
              </w:rPr>
              <w:t>2.3废水排放口基本情况及监测要求</w:t>
            </w:r>
          </w:p>
          <w:p>
            <w:pPr>
              <w:pStyle w:val="68"/>
              <w:bidi w:val="0"/>
              <w:rPr>
                <w:rFonts w:hint="eastAsia"/>
                <w:lang w:val="en-US" w:eastAsia="zh-CN"/>
              </w:rPr>
            </w:pPr>
            <w:r>
              <w:rPr>
                <w:rFonts w:hint="eastAsia"/>
              </w:rPr>
              <w:t>根据《排污许可证申请与核发技术规范水处理通用工序》（HJ1120-2020）表10中备注C条提到，生活污水单独排入集中污水处理设施或其他单位时仅说明去向，故本项目无需进行废水监测</w:t>
            </w:r>
            <w:r>
              <w:rPr>
                <w:rFonts w:hint="eastAsia"/>
                <w:lang w:eastAsia="zh-CN"/>
              </w:rPr>
              <w:t>，</w:t>
            </w:r>
            <w:r>
              <w:rPr>
                <w:rFonts w:hint="eastAsia"/>
                <w:lang w:val="en-US" w:eastAsia="zh-CN"/>
              </w:rPr>
              <w:t>生活污水排放口基本信息详见下表。</w:t>
            </w:r>
          </w:p>
          <w:p>
            <w:pPr>
              <w:pStyle w:val="65"/>
              <w:bidi w:val="0"/>
              <w:rPr>
                <w:rFonts w:hint="eastAsia"/>
                <w:lang w:val="en-US" w:eastAsia="zh-CN"/>
              </w:rPr>
            </w:pPr>
            <w:r>
              <w:rPr>
                <w:rFonts w:hint="eastAsia"/>
                <w:lang w:val="en-US" w:eastAsia="zh-CN"/>
              </w:rPr>
              <w:t>表4-6    废水排放口基本信息和污染物监测计划一览表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404"/>
              <w:gridCol w:w="2171"/>
              <w:gridCol w:w="179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vAlign w:val="center"/>
                </w:tcPr>
                <w:p>
                  <w:pPr>
                    <w:pStyle w:val="66"/>
                    <w:bidi w:val="0"/>
                    <w:jc w:val="center"/>
                  </w:pPr>
                  <w:r>
                    <w:rPr>
                      <w:rFonts w:hint="eastAsia"/>
                      <w:lang w:val="en-US" w:eastAsia="zh-CN"/>
                    </w:rPr>
                    <w:t>废水类别</w:t>
                  </w:r>
                </w:p>
              </w:tc>
              <w:tc>
                <w:tcPr>
                  <w:tcW w:w="785" w:type="pct"/>
                  <w:vMerge w:val="restart"/>
                  <w:vAlign w:val="center"/>
                </w:tcPr>
                <w:p>
                  <w:pPr>
                    <w:pStyle w:val="66"/>
                    <w:bidi w:val="0"/>
                    <w:jc w:val="center"/>
                  </w:pPr>
                  <w:r>
                    <w:rPr>
                      <w:rFonts w:hint="eastAsia"/>
                      <w:lang w:val="en-US" w:eastAsia="zh-CN"/>
                    </w:rPr>
                    <w:t>排放口编号</w:t>
                  </w:r>
                </w:p>
              </w:tc>
              <w:tc>
                <w:tcPr>
                  <w:tcW w:w="2215" w:type="pct"/>
                  <w:gridSpan w:val="2"/>
                  <w:vAlign w:val="center"/>
                </w:tcPr>
                <w:p>
                  <w:pPr>
                    <w:pStyle w:val="66"/>
                    <w:bidi w:val="0"/>
                    <w:jc w:val="center"/>
                  </w:pPr>
                  <w:r>
                    <w:rPr>
                      <w:rFonts w:hint="eastAsia"/>
                      <w:lang w:val="en-US" w:eastAsia="zh-CN"/>
                    </w:rPr>
                    <w:t>排放口基本信息</w:t>
                  </w:r>
                </w:p>
              </w:tc>
              <w:tc>
                <w:tcPr>
                  <w:tcW w:w="1000" w:type="pct"/>
                  <w:vMerge w:val="restart"/>
                  <w:vAlign w:val="center"/>
                </w:tcPr>
                <w:p>
                  <w:pPr>
                    <w:pStyle w:val="66"/>
                    <w:bidi w:val="0"/>
                    <w:jc w:val="center"/>
                  </w:pPr>
                  <w:r>
                    <w:rPr>
                      <w:rFonts w:hint="eastAsia"/>
                      <w:lang w:val="en-US" w:eastAsia="zh-CN"/>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vAlign w:val="center"/>
                </w:tcPr>
                <w:p>
                  <w:pPr>
                    <w:pStyle w:val="66"/>
                    <w:bidi w:val="0"/>
                    <w:jc w:val="center"/>
                  </w:pPr>
                </w:p>
              </w:tc>
              <w:tc>
                <w:tcPr>
                  <w:tcW w:w="785" w:type="pct"/>
                  <w:vMerge w:val="continue"/>
                  <w:vAlign w:val="center"/>
                </w:tcPr>
                <w:p>
                  <w:pPr>
                    <w:pStyle w:val="66"/>
                    <w:bidi w:val="0"/>
                    <w:jc w:val="center"/>
                  </w:pPr>
                </w:p>
              </w:tc>
              <w:tc>
                <w:tcPr>
                  <w:tcW w:w="1214" w:type="pct"/>
                  <w:vAlign w:val="center"/>
                </w:tcPr>
                <w:p>
                  <w:pPr>
                    <w:pStyle w:val="66"/>
                    <w:bidi w:val="0"/>
                    <w:jc w:val="center"/>
                  </w:pPr>
                  <w:r>
                    <w:rPr>
                      <w:rFonts w:hint="eastAsia"/>
                      <w:lang w:val="en-US" w:eastAsia="zh-CN"/>
                    </w:rPr>
                    <w:t>坐标</w:t>
                  </w:r>
                </w:p>
              </w:tc>
              <w:tc>
                <w:tcPr>
                  <w:tcW w:w="1001" w:type="pct"/>
                  <w:vAlign w:val="center"/>
                </w:tcPr>
                <w:p>
                  <w:pPr>
                    <w:pStyle w:val="66"/>
                    <w:bidi w:val="0"/>
                    <w:jc w:val="center"/>
                  </w:pPr>
                  <w:r>
                    <w:rPr>
                      <w:rFonts w:hint="eastAsia"/>
                      <w:lang w:val="en-US" w:eastAsia="zh-CN"/>
                    </w:rPr>
                    <w:t>类型</w:t>
                  </w:r>
                </w:p>
              </w:tc>
              <w:tc>
                <w:tcPr>
                  <w:tcW w:w="1000" w:type="pct"/>
                  <w:vMerge w:val="continue"/>
                  <w:vAlign w:val="center"/>
                </w:tcPr>
                <w:p>
                  <w:pPr>
                    <w:pStyle w:val="66"/>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Align w:val="center"/>
                </w:tcPr>
                <w:p>
                  <w:pPr>
                    <w:pStyle w:val="66"/>
                    <w:bidi w:val="0"/>
                    <w:jc w:val="center"/>
                  </w:pPr>
                  <w:r>
                    <w:rPr>
                      <w:rFonts w:hint="eastAsia"/>
                      <w:lang w:val="en-US" w:eastAsia="zh-CN"/>
                    </w:rPr>
                    <w:t>生活污水</w:t>
                  </w:r>
                </w:p>
              </w:tc>
              <w:tc>
                <w:tcPr>
                  <w:tcW w:w="785" w:type="pct"/>
                  <w:vAlign w:val="center"/>
                </w:tcPr>
                <w:p>
                  <w:pPr>
                    <w:pStyle w:val="66"/>
                    <w:bidi w:val="0"/>
                    <w:jc w:val="center"/>
                  </w:pPr>
                  <w:r>
                    <w:rPr>
                      <w:rFonts w:hint="eastAsia"/>
                      <w:lang w:val="en-US" w:eastAsia="zh-CN"/>
                    </w:rPr>
                    <w:t>DW001</w:t>
                  </w:r>
                </w:p>
              </w:tc>
              <w:tc>
                <w:tcPr>
                  <w:tcW w:w="1214" w:type="pct"/>
                  <w:vAlign w:val="center"/>
                </w:tcPr>
                <w:p>
                  <w:pPr>
                    <w:pStyle w:val="66"/>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E：88°15′19.178″</w:t>
                  </w:r>
                </w:p>
                <w:p>
                  <w:pPr>
                    <w:pStyle w:val="66"/>
                    <w:bidi w:val="0"/>
                    <w:jc w:val="center"/>
                    <w:rPr>
                      <w:rFonts w:hint="default"/>
                      <w:lang w:val="en-US" w:eastAsia="zh-CN"/>
                    </w:rPr>
                  </w:pPr>
                  <w:r>
                    <w:rPr>
                      <w:rFonts w:hint="default" w:ascii="Times New Roman" w:hAnsi="Times New Roman" w:cs="Times New Roman"/>
                      <w:lang w:val="en-US" w:eastAsia="zh-CN"/>
                    </w:rPr>
                    <w:t>N：</w:t>
                  </w:r>
                  <w:r>
                    <w:rPr>
                      <w:rFonts w:hint="eastAsia" w:cs="Times New Roman"/>
                      <w:lang w:val="en-US" w:eastAsia="zh-CN"/>
                    </w:rPr>
                    <w:t>39</w:t>
                  </w:r>
                  <w:r>
                    <w:rPr>
                      <w:rFonts w:hint="default" w:ascii="Times New Roman" w:hAnsi="Times New Roman" w:cs="Times New Roman"/>
                      <w:lang w:val="en-US" w:eastAsia="zh-CN"/>
                    </w:rPr>
                    <w:t>°0′59.288″</w:t>
                  </w:r>
                </w:p>
              </w:tc>
              <w:tc>
                <w:tcPr>
                  <w:tcW w:w="1001" w:type="pct"/>
                  <w:vAlign w:val="center"/>
                </w:tcPr>
                <w:p>
                  <w:pPr>
                    <w:pStyle w:val="66"/>
                    <w:bidi w:val="0"/>
                    <w:jc w:val="center"/>
                  </w:pPr>
                  <w:r>
                    <w:rPr>
                      <w:rFonts w:hint="eastAsia"/>
                      <w:lang w:val="en-US" w:eastAsia="zh-CN"/>
                    </w:rPr>
                    <w:t>一般排放口</w:t>
                  </w:r>
                </w:p>
              </w:tc>
              <w:tc>
                <w:tcPr>
                  <w:tcW w:w="1000" w:type="pct"/>
                  <w:vAlign w:val="center"/>
                </w:tcPr>
                <w:p>
                  <w:pPr>
                    <w:pStyle w:val="66"/>
                    <w:bidi w:val="0"/>
                    <w:jc w:val="center"/>
                  </w:pPr>
                  <w:r>
                    <w:rPr>
                      <w:rFonts w:hint="eastAsia"/>
                      <w:lang w:val="en-US" w:eastAsia="zh-CN"/>
                    </w:rPr>
                    <w:t>生活污水经园区污水管网排放至若羌县城乡污水处理厂进行集中处理</w:t>
                  </w:r>
                </w:p>
              </w:tc>
            </w:tr>
          </w:tbl>
          <w:p>
            <w:pPr>
              <w:pStyle w:val="67"/>
              <w:bidi w:val="0"/>
              <w:rPr>
                <w:rFonts w:hint="eastAsia"/>
              </w:rPr>
            </w:pPr>
            <w:r>
              <w:rPr>
                <w:rFonts w:hint="eastAsia"/>
                <w:lang w:val="en-US" w:eastAsia="zh-CN"/>
              </w:rPr>
              <w:t>3.声环境影响和保护措施</w:t>
            </w:r>
          </w:p>
          <w:p>
            <w:pPr>
              <w:pStyle w:val="67"/>
              <w:bidi w:val="0"/>
              <w:rPr>
                <w:rFonts w:hint="eastAsia"/>
                <w:lang w:val="en-US" w:eastAsia="zh-CN"/>
              </w:rPr>
            </w:pPr>
            <w:r>
              <w:rPr>
                <w:rFonts w:hint="eastAsia"/>
                <w:lang w:val="en-US" w:eastAsia="zh-CN"/>
              </w:rPr>
              <w:t>3.1预测模型</w:t>
            </w:r>
          </w:p>
          <w:p>
            <w:pPr>
              <w:pStyle w:val="68"/>
              <w:bidi w:val="0"/>
              <w:rPr>
                <w:rFonts w:hint="eastAsia"/>
                <w:lang w:val="en-US" w:eastAsia="zh-CN"/>
              </w:rPr>
            </w:pPr>
            <w:r>
              <w:rPr>
                <w:rFonts w:hint="eastAsia"/>
                <w:lang w:val="en-US" w:eastAsia="zh-CN"/>
              </w:rPr>
              <w:t>根据项目建设内容及《环境影响评价技术导则—声环境》（HJ2.4-2021）的要求，项目环评采用的模型为《环境影响评价技术导则 声环境》(HJ2.4.2021)附录A（规范性附录）户外声传播的衰减和附录B（规范性附录）中“B.1工业噪声预测计算模型”。</w:t>
            </w:r>
          </w:p>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520" w:lineRule="exact"/>
              <w:ind w:left="0" w:right="0"/>
              <w:jc w:val="both"/>
              <w:textAlignment w:val="auto"/>
              <w:rPr>
                <w:rFonts w:hint="default" w:ascii="Times New Roman" w:hAnsi="Times New Roman" w:eastAsia="宋体" w:cs="Times New Roman"/>
                <w:b/>
                <w:bCs w:val="0"/>
                <w:color w:val="auto"/>
                <w:kern w:val="2"/>
                <w:sz w:val="24"/>
                <w:szCs w:val="24"/>
                <w:lang w:val="en-US" w:eastAsia="zh-CN" w:bidi="ar"/>
              </w:rPr>
            </w:pPr>
            <w:r>
              <w:rPr>
                <w:rFonts w:hint="eastAsia" w:cs="Times New Roman"/>
                <w:b/>
                <w:bCs w:val="0"/>
                <w:color w:val="auto"/>
                <w:kern w:val="2"/>
                <w:sz w:val="24"/>
                <w:szCs w:val="24"/>
                <w:lang w:val="en-US" w:eastAsia="zh-CN" w:bidi="ar"/>
              </w:rPr>
              <w:t>3</w:t>
            </w:r>
            <w:r>
              <w:rPr>
                <w:rFonts w:hint="default" w:ascii="Times New Roman" w:hAnsi="Times New Roman" w:eastAsia="宋体" w:cs="Times New Roman"/>
                <w:b/>
                <w:bCs w:val="0"/>
                <w:color w:val="auto"/>
                <w:kern w:val="2"/>
                <w:sz w:val="24"/>
                <w:szCs w:val="24"/>
                <w:lang w:val="en-US" w:eastAsia="zh-CN" w:bidi="ar"/>
              </w:rPr>
              <w:t>.2噪声参数</w:t>
            </w:r>
          </w:p>
          <w:p>
            <w:pPr>
              <w:pStyle w:val="68"/>
              <w:bidi w:val="0"/>
              <w:rPr>
                <w:rFonts w:hint="eastAsia"/>
                <w:lang w:val="en-US" w:eastAsia="zh-CN"/>
              </w:rPr>
            </w:pPr>
            <w:r>
              <w:rPr>
                <w:rFonts w:hint="default"/>
                <w:lang w:val="en-US" w:eastAsia="zh-CN"/>
              </w:rPr>
              <w:t>噪声主要</w:t>
            </w:r>
            <w:r>
              <w:rPr>
                <w:rFonts w:hint="eastAsia"/>
                <w:lang w:val="en-US" w:eastAsia="zh-CN"/>
              </w:rPr>
              <w:t>来源于反击式破碎机、二次破碎机、双旋风分离器、三次破碎等。</w:t>
            </w:r>
            <w:r>
              <w:rPr>
                <w:rFonts w:hint="default"/>
                <w:lang w:val="en-US" w:eastAsia="zh-CN"/>
              </w:rPr>
              <w:t>设备正常运行过程中产生的噪声污染是各机械设备单台噪声值的叠加值，具体污染工序中生产设备直接噪声影响值分析及单台噪声值</w:t>
            </w:r>
            <w:r>
              <w:rPr>
                <w:rFonts w:hint="eastAsia"/>
                <w:lang w:val="en-US" w:eastAsia="zh-CN"/>
              </w:rPr>
              <w:t>详</w:t>
            </w:r>
            <w:r>
              <w:rPr>
                <w:rFonts w:hint="default"/>
                <w:lang w:val="en-US" w:eastAsia="zh-CN"/>
              </w:rPr>
              <w:t>见下表</w:t>
            </w:r>
            <w:r>
              <w:rPr>
                <w:rFonts w:hint="eastAsia"/>
                <w:lang w:val="en-US" w:eastAsia="zh-CN"/>
              </w:rPr>
              <w:t>。</w:t>
            </w:r>
          </w:p>
          <w:p>
            <w:pPr>
              <w:pStyle w:val="68"/>
              <w:bidi w:val="0"/>
              <w:rPr>
                <w:rFonts w:hint="default"/>
                <w:lang w:val="en-US" w:eastAsia="zh-CN"/>
              </w:rPr>
            </w:pPr>
          </w:p>
        </w:tc>
      </w:tr>
    </w:tbl>
    <w:p>
      <w:pPr>
        <w:adjustRightInd w:val="0"/>
        <w:snapToGrid w:val="0"/>
        <w:spacing w:line="360" w:lineRule="auto"/>
        <w:rPr>
          <w:rFonts w:hint="default" w:ascii="Times New Roman" w:hAnsi="Times New Roman" w:cs="Times New Roman"/>
          <w:b/>
          <w:color w:val="auto"/>
          <w:kern w:val="0"/>
          <w:sz w:val="28"/>
          <w:szCs w:val="28"/>
        </w:rPr>
        <w:sectPr>
          <w:footerReference r:id="rId6" w:type="default"/>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0" w:hRule="atLeast"/>
        </w:trPr>
        <w:tc>
          <w:tcPr>
            <w:tcW w:w="5000" w:type="pct"/>
            <w:shd w:val="clear" w:color="auto" w:fill="auto"/>
            <w:noWrap w:val="0"/>
            <w:vAlign w:val="top"/>
          </w:tcPr>
          <w:p>
            <w:pPr>
              <w:pStyle w:val="65"/>
              <w:bidi w:val="0"/>
              <w:rPr>
                <w:rFonts w:hint="default"/>
                <w:lang w:eastAsia="zh-CN"/>
              </w:rPr>
            </w:pPr>
            <w:r>
              <w:rPr>
                <w:rFonts w:hint="default"/>
                <w:lang w:val="en-US" w:eastAsia="zh-CN"/>
              </w:rPr>
              <w:t>表4-</w:t>
            </w:r>
            <w:r>
              <w:rPr>
                <w:rFonts w:hint="eastAsia"/>
                <w:lang w:val="en-US" w:eastAsia="zh-CN"/>
              </w:rPr>
              <w:t>7</w:t>
            </w:r>
            <w:r>
              <w:rPr>
                <w:rFonts w:hint="default"/>
                <w:lang w:val="en-US" w:eastAsia="zh-CN"/>
              </w:rPr>
              <w:t xml:space="preserve">  </w:t>
            </w:r>
            <w:r>
              <w:rPr>
                <w:rFonts w:hint="eastAsia"/>
                <w:lang w:val="en-US" w:eastAsia="zh-CN"/>
              </w:rPr>
              <w:t xml:space="preserve">  </w:t>
            </w:r>
            <w:r>
              <w:rPr>
                <w:rFonts w:hint="default"/>
                <w:lang w:eastAsia="zh-CN"/>
              </w:rPr>
              <w:t>工业企业噪声源强调查清单（室内声源）</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4"/>
              <w:gridCol w:w="355"/>
              <w:gridCol w:w="648"/>
              <w:gridCol w:w="630"/>
              <w:gridCol w:w="705"/>
              <w:gridCol w:w="915"/>
              <w:gridCol w:w="540"/>
              <w:gridCol w:w="555"/>
              <w:gridCol w:w="476"/>
              <w:gridCol w:w="525"/>
              <w:gridCol w:w="495"/>
              <w:gridCol w:w="525"/>
              <w:gridCol w:w="480"/>
              <w:gridCol w:w="480"/>
              <w:gridCol w:w="495"/>
              <w:gridCol w:w="480"/>
              <w:gridCol w:w="585"/>
              <w:gridCol w:w="390"/>
              <w:gridCol w:w="405"/>
              <w:gridCol w:w="420"/>
              <w:gridCol w:w="450"/>
              <w:gridCol w:w="405"/>
              <w:gridCol w:w="465"/>
              <w:gridCol w:w="465"/>
              <w:gridCol w:w="405"/>
              <w:gridCol w:w="495"/>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exact"/>
                <w:jc w:val="center"/>
              </w:trPr>
              <w:tc>
                <w:tcPr>
                  <w:tcW w:w="152" w:type="pct"/>
                  <w:vMerge w:val="restart"/>
                  <w:shd w:val="clear" w:color="auto" w:fill="auto"/>
                  <w:vAlign w:val="center"/>
                </w:tcPr>
                <w:p>
                  <w:pPr>
                    <w:pStyle w:val="70"/>
                    <w:bidi w:val="0"/>
                  </w:pPr>
                  <w:bookmarkStart w:id="18" w:name="PT_6"/>
                  <w:r>
                    <w:t>序号</w:t>
                  </w:r>
                </w:p>
              </w:tc>
              <w:tc>
                <w:tcPr>
                  <w:tcW w:w="127" w:type="pct"/>
                  <w:vMerge w:val="restart"/>
                  <w:shd w:val="clear" w:color="auto" w:fill="auto"/>
                  <w:vAlign w:val="center"/>
                </w:tcPr>
                <w:p>
                  <w:pPr>
                    <w:pStyle w:val="70"/>
                    <w:bidi w:val="0"/>
                  </w:pPr>
                  <w:r>
                    <w:t>建筑物名称</w:t>
                  </w:r>
                </w:p>
              </w:tc>
              <w:tc>
                <w:tcPr>
                  <w:tcW w:w="232" w:type="pct"/>
                  <w:vMerge w:val="restart"/>
                  <w:shd w:val="clear" w:color="auto" w:fill="auto"/>
                  <w:vAlign w:val="center"/>
                </w:tcPr>
                <w:p>
                  <w:pPr>
                    <w:pStyle w:val="70"/>
                    <w:bidi w:val="0"/>
                  </w:pPr>
                  <w:r>
                    <w:t>声源名称</w:t>
                  </w:r>
                </w:p>
              </w:tc>
              <w:tc>
                <w:tcPr>
                  <w:tcW w:w="225" w:type="pct"/>
                  <w:vMerge w:val="restart"/>
                  <w:shd w:val="clear" w:color="auto" w:fill="auto"/>
                  <w:vAlign w:val="center"/>
                </w:tcPr>
                <w:p>
                  <w:pPr>
                    <w:pStyle w:val="70"/>
                    <w:bidi w:val="0"/>
                  </w:pPr>
                  <w:r>
                    <w:t>型号</w:t>
                  </w:r>
                </w:p>
              </w:tc>
              <w:tc>
                <w:tcPr>
                  <w:tcW w:w="252" w:type="pct"/>
                  <w:shd w:val="clear" w:color="auto" w:fill="auto"/>
                  <w:vAlign w:val="center"/>
                </w:tcPr>
                <w:p>
                  <w:pPr>
                    <w:pStyle w:val="70"/>
                    <w:bidi w:val="0"/>
                    <w:rPr>
                      <w:lang w:eastAsia="zh-CN"/>
                    </w:rPr>
                  </w:pPr>
                  <w:r>
                    <w:rPr>
                      <w:lang w:eastAsia="zh-CN"/>
                    </w:rPr>
                    <w:t>声源源强</w:t>
                  </w:r>
                </w:p>
              </w:tc>
              <w:tc>
                <w:tcPr>
                  <w:tcW w:w="328" w:type="pct"/>
                  <w:vMerge w:val="restart"/>
                  <w:shd w:val="clear" w:color="auto" w:fill="auto"/>
                  <w:vAlign w:val="center"/>
                </w:tcPr>
                <w:p>
                  <w:pPr>
                    <w:pStyle w:val="70"/>
                    <w:bidi w:val="0"/>
                  </w:pPr>
                  <w:r>
                    <w:t>声源控制措施</w:t>
                  </w:r>
                </w:p>
              </w:tc>
              <w:tc>
                <w:tcPr>
                  <w:tcW w:w="563" w:type="pct"/>
                  <w:gridSpan w:val="3"/>
                  <w:shd w:val="clear" w:color="auto" w:fill="auto"/>
                  <w:vAlign w:val="center"/>
                </w:tcPr>
                <w:p>
                  <w:pPr>
                    <w:pStyle w:val="70"/>
                    <w:bidi w:val="0"/>
                  </w:pPr>
                  <w:r>
                    <w:t>空间相对位置/m</w:t>
                  </w:r>
                </w:p>
              </w:tc>
              <w:tc>
                <w:tcPr>
                  <w:tcW w:w="726" w:type="pct"/>
                  <w:gridSpan w:val="4"/>
                  <w:shd w:val="clear" w:color="auto" w:fill="auto"/>
                  <w:vAlign w:val="center"/>
                </w:tcPr>
                <w:p>
                  <w:pPr>
                    <w:pStyle w:val="70"/>
                    <w:bidi w:val="0"/>
                  </w:pPr>
                  <w:r>
                    <w:t>距室内边界距离/m</w:t>
                  </w:r>
                </w:p>
              </w:tc>
              <w:tc>
                <w:tcPr>
                  <w:tcW w:w="731" w:type="pct"/>
                  <w:gridSpan w:val="4"/>
                  <w:shd w:val="clear" w:color="auto" w:fill="auto"/>
                  <w:vAlign w:val="center"/>
                </w:tcPr>
                <w:p>
                  <w:pPr>
                    <w:pStyle w:val="70"/>
                    <w:bidi w:val="0"/>
                  </w:pPr>
                  <w:r>
                    <w:t>室内边界声级/dB(A)</w:t>
                  </w:r>
                </w:p>
              </w:tc>
              <w:tc>
                <w:tcPr>
                  <w:tcW w:w="139" w:type="pct"/>
                  <w:vMerge w:val="restart"/>
                  <w:shd w:val="clear" w:color="auto" w:fill="auto"/>
                  <w:vAlign w:val="center"/>
                </w:tcPr>
                <w:p>
                  <w:pPr>
                    <w:pStyle w:val="70"/>
                    <w:bidi w:val="0"/>
                  </w:pPr>
                  <w:r>
                    <w:t>运行时段</w:t>
                  </w:r>
                </w:p>
              </w:tc>
              <w:tc>
                <w:tcPr>
                  <w:tcW w:w="602" w:type="pct"/>
                  <w:gridSpan w:val="4"/>
                  <w:shd w:val="clear" w:color="auto" w:fill="auto"/>
                  <w:vAlign w:val="center"/>
                </w:tcPr>
                <w:p>
                  <w:pPr>
                    <w:pStyle w:val="70"/>
                    <w:bidi w:val="0"/>
                  </w:pPr>
                  <w:r>
                    <w:t>建筑物插入损失/dB(A)</w:t>
                  </w:r>
                  <w:bookmarkStart w:id="19" w:name="PT_10"/>
                  <w:bookmarkEnd w:id="19"/>
                </w:p>
              </w:tc>
              <w:tc>
                <w:tcPr>
                  <w:tcW w:w="917" w:type="pct"/>
                  <w:gridSpan w:val="5"/>
                  <w:shd w:val="clear" w:color="auto" w:fill="auto"/>
                  <w:vAlign w:val="center"/>
                </w:tcPr>
                <w:p>
                  <w:pPr>
                    <w:pStyle w:val="70"/>
                    <w:bidi w:val="0"/>
                  </w:pPr>
                  <w: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52" w:type="pct"/>
                  <w:vMerge w:val="continue"/>
                  <w:shd w:val="clear" w:color="auto" w:fill="auto"/>
                  <w:tcMar>
                    <w:top w:w="0" w:type="dxa"/>
                    <w:left w:w="0" w:type="dxa"/>
                    <w:bottom w:w="0" w:type="dxa"/>
                    <w:right w:w="0" w:type="dxa"/>
                  </w:tcMar>
                  <w:vAlign w:val="center"/>
                </w:tcPr>
                <w:p>
                  <w:pPr>
                    <w:pStyle w:val="70"/>
                    <w:bidi w:val="0"/>
                    <w:rPr>
                      <w:rFonts w:hint="default"/>
                      <w:lang w:val="en-US" w:eastAsia="zh-CN"/>
                    </w:rPr>
                  </w:pPr>
                </w:p>
              </w:tc>
              <w:tc>
                <w:tcPr>
                  <w:tcW w:w="127" w:type="pct"/>
                  <w:vMerge w:val="continue"/>
                  <w:shd w:val="clear" w:color="auto" w:fill="auto"/>
                  <w:tcMar>
                    <w:top w:w="0" w:type="dxa"/>
                    <w:left w:w="0" w:type="dxa"/>
                    <w:bottom w:w="0" w:type="dxa"/>
                    <w:right w:w="0" w:type="dxa"/>
                  </w:tcMar>
                  <w:vAlign w:val="center"/>
                </w:tcPr>
                <w:p>
                  <w:pPr>
                    <w:pStyle w:val="70"/>
                    <w:bidi w:val="0"/>
                  </w:pPr>
                </w:p>
              </w:tc>
              <w:tc>
                <w:tcPr>
                  <w:tcW w:w="232" w:type="pct"/>
                  <w:vMerge w:val="continue"/>
                  <w:shd w:val="clear" w:color="auto" w:fill="auto"/>
                  <w:tcMar>
                    <w:top w:w="0" w:type="dxa"/>
                    <w:left w:w="0" w:type="dxa"/>
                    <w:bottom w:w="0" w:type="dxa"/>
                    <w:right w:w="0" w:type="dxa"/>
                  </w:tcMar>
                  <w:vAlign w:val="center"/>
                </w:tcPr>
                <w:p>
                  <w:pPr>
                    <w:pStyle w:val="70"/>
                    <w:bidi w:val="0"/>
                  </w:pPr>
                </w:p>
              </w:tc>
              <w:tc>
                <w:tcPr>
                  <w:tcW w:w="225" w:type="pct"/>
                  <w:vMerge w:val="continue"/>
                  <w:shd w:val="clear" w:color="auto" w:fill="auto"/>
                  <w:tcMar>
                    <w:top w:w="0" w:type="dxa"/>
                    <w:left w:w="0" w:type="dxa"/>
                    <w:bottom w:w="0" w:type="dxa"/>
                    <w:right w:w="0" w:type="dxa"/>
                  </w:tcMar>
                  <w:vAlign w:val="center"/>
                </w:tcPr>
                <w:p>
                  <w:pPr>
                    <w:pStyle w:val="70"/>
                    <w:bidi w:val="0"/>
                  </w:pPr>
                </w:p>
              </w:tc>
              <w:tc>
                <w:tcPr>
                  <w:tcW w:w="252" w:type="pct"/>
                  <w:shd w:val="clear" w:color="auto" w:fill="auto"/>
                  <w:tcMar>
                    <w:top w:w="0" w:type="dxa"/>
                    <w:left w:w="0" w:type="dxa"/>
                    <w:bottom w:w="0" w:type="dxa"/>
                    <w:right w:w="0" w:type="dxa"/>
                  </w:tcMar>
                  <w:vAlign w:val="center"/>
                </w:tcPr>
                <w:p>
                  <w:pPr>
                    <w:pStyle w:val="70"/>
                    <w:bidi w:val="0"/>
                  </w:pPr>
                  <w:r>
                    <w:t>声功率级/dB(A)</w:t>
                  </w:r>
                </w:p>
              </w:tc>
              <w:tc>
                <w:tcPr>
                  <w:tcW w:w="328" w:type="pct"/>
                  <w:vMerge w:val="continue"/>
                  <w:shd w:val="clear" w:color="auto" w:fill="auto"/>
                  <w:tcMar>
                    <w:top w:w="0" w:type="dxa"/>
                    <w:left w:w="0" w:type="dxa"/>
                    <w:bottom w:w="0" w:type="dxa"/>
                    <w:right w:w="0" w:type="dxa"/>
                  </w:tcMar>
                  <w:vAlign w:val="center"/>
                </w:tcPr>
                <w:p>
                  <w:pPr>
                    <w:pStyle w:val="70"/>
                    <w:bidi w:val="0"/>
                  </w:pPr>
                </w:p>
              </w:tc>
              <w:tc>
                <w:tcPr>
                  <w:tcW w:w="193" w:type="pct"/>
                  <w:shd w:val="clear" w:color="auto" w:fill="auto"/>
                  <w:tcMar>
                    <w:top w:w="0" w:type="dxa"/>
                    <w:left w:w="0" w:type="dxa"/>
                    <w:bottom w:w="0" w:type="dxa"/>
                    <w:right w:w="0" w:type="dxa"/>
                  </w:tcMar>
                  <w:vAlign w:val="center"/>
                </w:tcPr>
                <w:p>
                  <w:pPr>
                    <w:pStyle w:val="70"/>
                    <w:bidi w:val="0"/>
                  </w:pPr>
                  <w:r>
                    <w:t>X</w:t>
                  </w:r>
                </w:p>
              </w:tc>
              <w:tc>
                <w:tcPr>
                  <w:tcW w:w="199" w:type="pct"/>
                  <w:shd w:val="clear" w:color="auto" w:fill="auto"/>
                  <w:tcMar>
                    <w:top w:w="0" w:type="dxa"/>
                    <w:left w:w="0" w:type="dxa"/>
                    <w:bottom w:w="0" w:type="dxa"/>
                    <w:right w:w="0" w:type="dxa"/>
                  </w:tcMar>
                  <w:vAlign w:val="center"/>
                </w:tcPr>
                <w:p>
                  <w:pPr>
                    <w:pStyle w:val="70"/>
                    <w:bidi w:val="0"/>
                  </w:pPr>
                  <w:r>
                    <w:t>Y</w:t>
                  </w:r>
                </w:p>
              </w:tc>
              <w:tc>
                <w:tcPr>
                  <w:tcW w:w="170" w:type="pct"/>
                  <w:shd w:val="clear" w:color="auto" w:fill="auto"/>
                  <w:tcMar>
                    <w:top w:w="0" w:type="dxa"/>
                    <w:left w:w="0" w:type="dxa"/>
                    <w:bottom w:w="0" w:type="dxa"/>
                    <w:right w:w="0" w:type="dxa"/>
                  </w:tcMar>
                  <w:vAlign w:val="center"/>
                </w:tcPr>
                <w:p>
                  <w:pPr>
                    <w:pStyle w:val="70"/>
                    <w:bidi w:val="0"/>
                  </w:pPr>
                  <w:r>
                    <w:t>Z</w:t>
                  </w:r>
                </w:p>
              </w:tc>
              <w:tc>
                <w:tcPr>
                  <w:tcW w:w="188" w:type="pct"/>
                  <w:shd w:val="clear" w:color="auto" w:fill="auto"/>
                  <w:tcMar>
                    <w:top w:w="0" w:type="dxa"/>
                    <w:left w:w="0" w:type="dxa"/>
                    <w:bottom w:w="0" w:type="dxa"/>
                    <w:right w:w="0" w:type="dxa"/>
                  </w:tcMar>
                  <w:vAlign w:val="center"/>
                </w:tcPr>
                <w:p>
                  <w:pPr>
                    <w:pStyle w:val="70"/>
                    <w:bidi w:val="0"/>
                  </w:pPr>
                  <w:r>
                    <w:rPr>
                      <w:rFonts w:hint="eastAsia"/>
                      <w:lang w:val="en-US" w:eastAsia="zh-CN"/>
                    </w:rPr>
                    <w:t>东</w:t>
                  </w:r>
                </w:p>
              </w:tc>
              <w:tc>
                <w:tcPr>
                  <w:tcW w:w="177" w:type="pct"/>
                  <w:shd w:val="clear" w:color="auto" w:fill="auto"/>
                  <w:tcMar>
                    <w:top w:w="0" w:type="dxa"/>
                    <w:left w:w="0" w:type="dxa"/>
                    <w:bottom w:w="0" w:type="dxa"/>
                    <w:right w:w="0" w:type="dxa"/>
                  </w:tcMar>
                  <w:vAlign w:val="center"/>
                </w:tcPr>
                <w:p>
                  <w:pPr>
                    <w:pStyle w:val="70"/>
                    <w:bidi w:val="0"/>
                  </w:pPr>
                  <w:r>
                    <w:rPr>
                      <w:rFonts w:hint="eastAsia"/>
                      <w:lang w:val="en-US" w:eastAsia="zh-CN"/>
                    </w:rPr>
                    <w:t>南</w:t>
                  </w:r>
                </w:p>
              </w:tc>
              <w:tc>
                <w:tcPr>
                  <w:tcW w:w="188" w:type="pct"/>
                  <w:shd w:val="clear" w:color="auto" w:fill="auto"/>
                  <w:tcMar>
                    <w:top w:w="0" w:type="dxa"/>
                    <w:left w:w="0" w:type="dxa"/>
                    <w:bottom w:w="0" w:type="dxa"/>
                    <w:right w:w="0" w:type="dxa"/>
                  </w:tcMar>
                  <w:vAlign w:val="center"/>
                </w:tcPr>
                <w:p>
                  <w:pPr>
                    <w:pStyle w:val="70"/>
                    <w:bidi w:val="0"/>
                  </w:pPr>
                  <w:r>
                    <w:rPr>
                      <w:rFonts w:hint="eastAsia"/>
                      <w:lang w:val="en-US" w:eastAsia="zh-CN"/>
                    </w:rPr>
                    <w:t>西</w:t>
                  </w:r>
                </w:p>
              </w:tc>
              <w:tc>
                <w:tcPr>
                  <w:tcW w:w="172" w:type="pct"/>
                  <w:shd w:val="clear" w:color="auto" w:fill="auto"/>
                  <w:tcMar>
                    <w:top w:w="0" w:type="dxa"/>
                    <w:left w:w="0" w:type="dxa"/>
                    <w:bottom w:w="0" w:type="dxa"/>
                    <w:right w:w="0" w:type="dxa"/>
                  </w:tcMar>
                  <w:vAlign w:val="center"/>
                </w:tcPr>
                <w:p>
                  <w:pPr>
                    <w:pStyle w:val="70"/>
                    <w:bidi w:val="0"/>
                  </w:pPr>
                  <w:r>
                    <w:rPr>
                      <w:rFonts w:hint="eastAsia"/>
                      <w:lang w:val="en-US" w:eastAsia="zh-CN"/>
                    </w:rPr>
                    <w:t>北</w:t>
                  </w:r>
                </w:p>
              </w:tc>
              <w:tc>
                <w:tcPr>
                  <w:tcW w:w="172" w:type="pct"/>
                  <w:shd w:val="clear" w:color="auto" w:fill="auto"/>
                  <w:tcMar>
                    <w:top w:w="0" w:type="dxa"/>
                    <w:left w:w="0" w:type="dxa"/>
                    <w:bottom w:w="0" w:type="dxa"/>
                    <w:right w:w="0" w:type="dxa"/>
                  </w:tcMar>
                  <w:vAlign w:val="center"/>
                </w:tcPr>
                <w:p>
                  <w:pPr>
                    <w:pStyle w:val="70"/>
                    <w:bidi w:val="0"/>
                  </w:pPr>
                  <w:r>
                    <w:rPr>
                      <w:rFonts w:hint="eastAsia"/>
                      <w:lang w:val="en-US" w:eastAsia="zh-CN"/>
                    </w:rPr>
                    <w:t>东</w:t>
                  </w:r>
                </w:p>
              </w:tc>
              <w:tc>
                <w:tcPr>
                  <w:tcW w:w="177" w:type="pct"/>
                  <w:shd w:val="clear" w:color="auto" w:fill="auto"/>
                  <w:tcMar>
                    <w:top w:w="0" w:type="dxa"/>
                    <w:left w:w="0" w:type="dxa"/>
                    <w:bottom w:w="0" w:type="dxa"/>
                    <w:right w:w="0" w:type="dxa"/>
                  </w:tcMar>
                  <w:vAlign w:val="center"/>
                </w:tcPr>
                <w:p>
                  <w:pPr>
                    <w:pStyle w:val="70"/>
                    <w:bidi w:val="0"/>
                  </w:pPr>
                  <w:r>
                    <w:rPr>
                      <w:rFonts w:hint="eastAsia"/>
                      <w:lang w:val="en-US" w:eastAsia="zh-CN"/>
                    </w:rPr>
                    <w:t>南</w:t>
                  </w:r>
                </w:p>
              </w:tc>
              <w:tc>
                <w:tcPr>
                  <w:tcW w:w="172" w:type="pct"/>
                  <w:shd w:val="clear" w:color="auto" w:fill="auto"/>
                  <w:tcMar>
                    <w:top w:w="0" w:type="dxa"/>
                    <w:left w:w="0" w:type="dxa"/>
                    <w:bottom w:w="0" w:type="dxa"/>
                    <w:right w:w="0" w:type="dxa"/>
                  </w:tcMar>
                  <w:vAlign w:val="center"/>
                </w:tcPr>
                <w:p>
                  <w:pPr>
                    <w:pStyle w:val="70"/>
                    <w:bidi w:val="0"/>
                  </w:pPr>
                  <w:r>
                    <w:rPr>
                      <w:rFonts w:hint="eastAsia"/>
                      <w:lang w:val="en-US" w:eastAsia="zh-CN"/>
                    </w:rPr>
                    <w:t>西</w:t>
                  </w:r>
                </w:p>
              </w:tc>
              <w:tc>
                <w:tcPr>
                  <w:tcW w:w="209" w:type="pct"/>
                  <w:shd w:val="clear" w:color="auto" w:fill="auto"/>
                  <w:tcMar>
                    <w:top w:w="0" w:type="dxa"/>
                    <w:left w:w="0" w:type="dxa"/>
                    <w:bottom w:w="0" w:type="dxa"/>
                    <w:right w:w="0" w:type="dxa"/>
                  </w:tcMar>
                  <w:vAlign w:val="center"/>
                </w:tcPr>
                <w:p>
                  <w:pPr>
                    <w:pStyle w:val="70"/>
                    <w:bidi w:val="0"/>
                  </w:pPr>
                  <w:r>
                    <w:rPr>
                      <w:rFonts w:hint="eastAsia"/>
                      <w:lang w:val="en-US" w:eastAsia="zh-CN"/>
                    </w:rPr>
                    <w:t>北</w:t>
                  </w:r>
                </w:p>
              </w:tc>
              <w:tc>
                <w:tcPr>
                  <w:tcW w:w="139" w:type="pct"/>
                  <w:vMerge w:val="continue"/>
                  <w:shd w:val="clear" w:color="auto" w:fill="auto"/>
                  <w:tcMar>
                    <w:top w:w="0" w:type="dxa"/>
                    <w:left w:w="0" w:type="dxa"/>
                    <w:bottom w:w="0" w:type="dxa"/>
                    <w:right w:w="0" w:type="dxa"/>
                  </w:tcMar>
                  <w:vAlign w:val="center"/>
                </w:tcPr>
                <w:p>
                  <w:pPr>
                    <w:pStyle w:val="70"/>
                    <w:bidi w:val="0"/>
                  </w:pPr>
                </w:p>
              </w:tc>
              <w:tc>
                <w:tcPr>
                  <w:tcW w:w="145" w:type="pct"/>
                  <w:shd w:val="clear" w:color="auto" w:fill="auto"/>
                  <w:tcMar>
                    <w:top w:w="0" w:type="dxa"/>
                    <w:left w:w="0" w:type="dxa"/>
                    <w:bottom w:w="0" w:type="dxa"/>
                    <w:right w:w="0" w:type="dxa"/>
                  </w:tcMar>
                  <w:vAlign w:val="center"/>
                </w:tcPr>
                <w:p>
                  <w:pPr>
                    <w:pStyle w:val="70"/>
                    <w:bidi w:val="0"/>
                  </w:pPr>
                  <w:r>
                    <w:rPr>
                      <w:rFonts w:hint="eastAsia"/>
                      <w:lang w:val="en-US" w:eastAsia="zh-CN"/>
                    </w:rPr>
                    <w:t>东</w:t>
                  </w:r>
                </w:p>
              </w:tc>
              <w:tc>
                <w:tcPr>
                  <w:tcW w:w="150" w:type="pct"/>
                  <w:shd w:val="clear" w:color="auto" w:fill="auto"/>
                  <w:tcMar>
                    <w:top w:w="0" w:type="dxa"/>
                    <w:left w:w="0" w:type="dxa"/>
                    <w:bottom w:w="0" w:type="dxa"/>
                    <w:right w:w="0" w:type="dxa"/>
                  </w:tcMar>
                  <w:vAlign w:val="center"/>
                </w:tcPr>
                <w:p>
                  <w:pPr>
                    <w:pStyle w:val="70"/>
                    <w:bidi w:val="0"/>
                  </w:pPr>
                  <w:r>
                    <w:rPr>
                      <w:rFonts w:hint="eastAsia"/>
                      <w:lang w:val="en-US" w:eastAsia="zh-CN"/>
                    </w:rPr>
                    <w:t>南</w:t>
                  </w:r>
                </w:p>
              </w:tc>
              <w:tc>
                <w:tcPr>
                  <w:tcW w:w="161" w:type="pct"/>
                  <w:shd w:val="clear" w:color="auto" w:fill="auto"/>
                  <w:tcMar>
                    <w:top w:w="0" w:type="dxa"/>
                    <w:left w:w="0" w:type="dxa"/>
                    <w:bottom w:w="0" w:type="dxa"/>
                    <w:right w:w="0" w:type="dxa"/>
                  </w:tcMar>
                  <w:vAlign w:val="center"/>
                </w:tcPr>
                <w:p>
                  <w:pPr>
                    <w:pStyle w:val="70"/>
                    <w:bidi w:val="0"/>
                  </w:pPr>
                  <w:r>
                    <w:rPr>
                      <w:rFonts w:hint="eastAsia"/>
                      <w:lang w:val="en-US" w:eastAsia="zh-CN"/>
                    </w:rPr>
                    <w:t>西</w:t>
                  </w:r>
                </w:p>
              </w:tc>
              <w:tc>
                <w:tcPr>
                  <w:tcW w:w="145" w:type="pct"/>
                  <w:shd w:val="clear" w:color="auto" w:fill="auto"/>
                  <w:tcMar>
                    <w:top w:w="0" w:type="dxa"/>
                    <w:left w:w="0" w:type="dxa"/>
                    <w:bottom w:w="0" w:type="dxa"/>
                    <w:right w:w="0" w:type="dxa"/>
                  </w:tcMar>
                  <w:vAlign w:val="center"/>
                </w:tcPr>
                <w:p>
                  <w:pPr>
                    <w:pStyle w:val="70"/>
                    <w:bidi w:val="0"/>
                  </w:pPr>
                  <w:r>
                    <w:rPr>
                      <w:rFonts w:hint="eastAsia"/>
                      <w:lang w:val="en-US" w:eastAsia="zh-CN"/>
                    </w:rPr>
                    <w:t>北</w:t>
                  </w:r>
                </w:p>
              </w:tc>
              <w:tc>
                <w:tcPr>
                  <w:tcW w:w="166" w:type="pct"/>
                  <w:shd w:val="clear" w:color="auto" w:fill="auto"/>
                  <w:tcMar>
                    <w:top w:w="0" w:type="dxa"/>
                    <w:left w:w="0" w:type="dxa"/>
                    <w:bottom w:w="0" w:type="dxa"/>
                    <w:right w:w="0" w:type="dxa"/>
                  </w:tcMar>
                  <w:vAlign w:val="center"/>
                </w:tcPr>
                <w:p>
                  <w:pPr>
                    <w:pStyle w:val="70"/>
                    <w:bidi w:val="0"/>
                  </w:pPr>
                  <w:r>
                    <w:rPr>
                      <w:rFonts w:hint="eastAsia"/>
                      <w:lang w:val="en-US" w:eastAsia="zh-CN"/>
                    </w:rPr>
                    <w:t>东</w:t>
                  </w:r>
                </w:p>
              </w:tc>
              <w:tc>
                <w:tcPr>
                  <w:tcW w:w="166" w:type="pct"/>
                  <w:shd w:val="clear" w:color="auto" w:fill="auto"/>
                  <w:tcMar>
                    <w:top w:w="0" w:type="dxa"/>
                    <w:left w:w="0" w:type="dxa"/>
                    <w:bottom w:w="0" w:type="dxa"/>
                    <w:right w:w="0" w:type="dxa"/>
                  </w:tcMar>
                  <w:vAlign w:val="center"/>
                </w:tcPr>
                <w:p>
                  <w:pPr>
                    <w:pStyle w:val="70"/>
                    <w:bidi w:val="0"/>
                  </w:pPr>
                  <w:r>
                    <w:rPr>
                      <w:rFonts w:hint="eastAsia"/>
                      <w:lang w:val="en-US" w:eastAsia="zh-CN"/>
                    </w:rPr>
                    <w:t>南</w:t>
                  </w:r>
                </w:p>
              </w:tc>
              <w:tc>
                <w:tcPr>
                  <w:tcW w:w="145" w:type="pct"/>
                  <w:shd w:val="clear" w:color="auto" w:fill="auto"/>
                  <w:tcMar>
                    <w:top w:w="0" w:type="dxa"/>
                    <w:left w:w="0" w:type="dxa"/>
                    <w:bottom w:w="0" w:type="dxa"/>
                    <w:right w:w="0" w:type="dxa"/>
                  </w:tcMar>
                  <w:vAlign w:val="center"/>
                </w:tcPr>
                <w:p>
                  <w:pPr>
                    <w:pStyle w:val="70"/>
                    <w:bidi w:val="0"/>
                  </w:pPr>
                  <w:r>
                    <w:rPr>
                      <w:rFonts w:hint="eastAsia"/>
                      <w:lang w:val="en-US" w:eastAsia="zh-CN"/>
                    </w:rPr>
                    <w:t>西</w:t>
                  </w:r>
                </w:p>
              </w:tc>
              <w:tc>
                <w:tcPr>
                  <w:tcW w:w="177" w:type="pct"/>
                  <w:shd w:val="clear" w:color="auto" w:fill="auto"/>
                  <w:tcMar>
                    <w:top w:w="0" w:type="dxa"/>
                    <w:left w:w="0" w:type="dxa"/>
                    <w:bottom w:w="0" w:type="dxa"/>
                    <w:right w:w="0" w:type="dxa"/>
                  </w:tcMar>
                  <w:vAlign w:val="center"/>
                </w:tcPr>
                <w:p>
                  <w:pPr>
                    <w:pStyle w:val="70"/>
                    <w:bidi w:val="0"/>
                  </w:pPr>
                  <w:r>
                    <w:rPr>
                      <w:rFonts w:hint="eastAsia"/>
                      <w:lang w:val="en-US" w:eastAsia="zh-CN"/>
                    </w:rPr>
                    <w:t>北</w:t>
                  </w:r>
                </w:p>
              </w:tc>
              <w:tc>
                <w:tcPr>
                  <w:tcW w:w="260" w:type="pct"/>
                  <w:shd w:val="clear" w:color="auto" w:fill="auto"/>
                  <w:tcMar>
                    <w:top w:w="0" w:type="dxa"/>
                    <w:left w:w="0" w:type="dxa"/>
                    <w:bottom w:w="0" w:type="dxa"/>
                    <w:right w:w="0" w:type="dxa"/>
                  </w:tcMar>
                  <w:vAlign w:val="center"/>
                </w:tcPr>
                <w:p>
                  <w:pPr>
                    <w:pStyle w:val="70"/>
                    <w:bidi w:val="0"/>
                  </w:pPr>
                  <w: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52" w:type="pct"/>
                  <w:shd w:val="clear" w:color="auto" w:fill="auto"/>
                  <w:tcMar>
                    <w:top w:w="0" w:type="dxa"/>
                    <w:left w:w="0" w:type="dxa"/>
                    <w:bottom w:w="0" w:type="dxa"/>
                    <w:right w:w="0" w:type="dxa"/>
                  </w:tcMar>
                  <w:vAlign w:val="center"/>
                </w:tcPr>
                <w:p>
                  <w:pPr>
                    <w:pStyle w:val="66"/>
                    <w:bidi w:val="0"/>
                  </w:pPr>
                  <w:r>
                    <w:t>1</w:t>
                  </w:r>
                </w:p>
              </w:tc>
              <w:tc>
                <w:tcPr>
                  <w:tcW w:w="127" w:type="pct"/>
                  <w:vMerge w:val="restart"/>
                  <w:shd w:val="clear" w:color="auto" w:fill="auto"/>
                  <w:tcMar>
                    <w:top w:w="0" w:type="dxa"/>
                    <w:left w:w="0" w:type="dxa"/>
                    <w:bottom w:w="0" w:type="dxa"/>
                    <w:right w:w="0" w:type="dxa"/>
                  </w:tcMar>
                  <w:vAlign w:val="center"/>
                </w:tcPr>
                <w:p>
                  <w:pPr>
                    <w:pStyle w:val="66"/>
                    <w:bidi w:val="0"/>
                    <w:rPr>
                      <w:rFonts w:hint="default"/>
                      <w:lang w:val="en-US" w:eastAsia="zh-CN"/>
                    </w:rPr>
                  </w:pPr>
                  <w:r>
                    <w:rPr>
                      <w:rFonts w:hint="eastAsia"/>
                      <w:lang w:val="en-US" w:eastAsia="zh-CN"/>
                    </w:rPr>
                    <w:t>生产车间</w:t>
                  </w:r>
                </w:p>
              </w:tc>
              <w:tc>
                <w:tcPr>
                  <w:tcW w:w="232" w:type="pct"/>
                  <w:shd w:val="clear" w:color="auto" w:fill="auto"/>
                  <w:tcMar>
                    <w:top w:w="0" w:type="dxa"/>
                    <w:left w:w="0" w:type="dxa"/>
                    <w:bottom w:w="0" w:type="dxa"/>
                    <w:right w:w="0" w:type="dxa"/>
                  </w:tcMar>
                  <w:vAlign w:val="center"/>
                </w:tcPr>
                <w:p>
                  <w:pPr>
                    <w:pStyle w:val="66"/>
                    <w:bidi w:val="0"/>
                  </w:pPr>
                  <w:r>
                    <w:t>反击式破碎机,4台（按点声源组预测）</w:t>
                  </w:r>
                </w:p>
              </w:tc>
              <w:tc>
                <w:tcPr>
                  <w:tcW w:w="225" w:type="pct"/>
                  <w:shd w:val="clear" w:color="auto" w:fill="auto"/>
                  <w:tcMar>
                    <w:top w:w="0" w:type="dxa"/>
                    <w:left w:w="0" w:type="dxa"/>
                    <w:bottom w:w="0" w:type="dxa"/>
                    <w:right w:w="0" w:type="dxa"/>
                  </w:tcMar>
                  <w:vAlign w:val="center"/>
                </w:tcPr>
                <w:p>
                  <w:pPr>
                    <w:pStyle w:val="66"/>
                    <w:bidi w:val="0"/>
                  </w:pPr>
                  <w:r>
                    <w:rPr>
                      <w:rFonts w:hint="eastAsia"/>
                    </w:rPr>
                    <w:t>D600河南20240530</w:t>
                  </w:r>
                </w:p>
              </w:tc>
              <w:tc>
                <w:tcPr>
                  <w:tcW w:w="252" w:type="pct"/>
                  <w:shd w:val="clear" w:color="auto" w:fill="auto"/>
                  <w:tcMar>
                    <w:top w:w="0" w:type="dxa"/>
                    <w:left w:w="0" w:type="dxa"/>
                    <w:bottom w:w="0" w:type="dxa"/>
                    <w:right w:w="0" w:type="dxa"/>
                  </w:tcMar>
                  <w:vAlign w:val="center"/>
                </w:tcPr>
                <w:p>
                  <w:pPr>
                    <w:pStyle w:val="66"/>
                    <w:bidi w:val="0"/>
                  </w:pPr>
                  <w:r>
                    <w:rPr>
                      <w:rFonts w:hint="eastAsia"/>
                    </w:rPr>
                    <w:t>80（等效后：86.0)</w:t>
                  </w:r>
                </w:p>
              </w:tc>
              <w:tc>
                <w:tcPr>
                  <w:tcW w:w="328" w:type="pct"/>
                  <w:vMerge w:val="restart"/>
                  <w:shd w:val="clear" w:color="auto" w:fill="auto"/>
                  <w:tcMar>
                    <w:top w:w="0" w:type="dxa"/>
                    <w:left w:w="0" w:type="dxa"/>
                    <w:bottom w:w="0" w:type="dxa"/>
                    <w:right w:w="0" w:type="dxa"/>
                  </w:tcMar>
                  <w:vAlign w:val="center"/>
                </w:tcPr>
                <w:p>
                  <w:pPr>
                    <w:pStyle w:val="66"/>
                    <w:bidi w:val="0"/>
                    <w:rPr>
                      <w:rFonts w:hint="eastAsia"/>
                      <w:lang w:val="en-US" w:eastAsia="zh-CN"/>
                    </w:rPr>
                  </w:pPr>
                  <w:r>
                    <w:rPr>
                      <w:rFonts w:hint="eastAsia"/>
                    </w:rPr>
                    <w:t>对各类主要噪声源采用低噪声源设备</w:t>
                  </w:r>
                  <w:r>
                    <w:rPr>
                      <w:rFonts w:hint="eastAsia"/>
                      <w:lang w:eastAsia="zh-CN"/>
                    </w:rPr>
                    <w:t>、</w:t>
                  </w:r>
                  <w:r>
                    <w:rPr>
                      <w:rFonts w:hint="eastAsia"/>
                      <w:lang w:val="en-US" w:eastAsia="zh-CN"/>
                    </w:rPr>
                    <w:t>厂房密闭</w:t>
                  </w:r>
                  <w:r>
                    <w:rPr>
                      <w:rFonts w:hint="eastAsia"/>
                    </w:rPr>
                    <w:t>隔声等</w:t>
                  </w:r>
                  <w:r>
                    <w:rPr>
                      <w:rFonts w:hint="eastAsia"/>
                      <w:lang w:val="en-US" w:eastAsia="zh-CN"/>
                    </w:rPr>
                    <w:t>措施</w:t>
                  </w:r>
                </w:p>
              </w:tc>
              <w:tc>
                <w:tcPr>
                  <w:tcW w:w="193" w:type="pct"/>
                  <w:shd w:val="clear" w:color="auto" w:fill="auto"/>
                  <w:tcMar>
                    <w:top w:w="0" w:type="dxa"/>
                    <w:left w:w="0" w:type="dxa"/>
                    <w:bottom w:w="0" w:type="dxa"/>
                    <w:right w:w="0" w:type="dxa"/>
                  </w:tcMar>
                  <w:vAlign w:val="center"/>
                </w:tcPr>
                <w:p>
                  <w:pPr>
                    <w:pStyle w:val="66"/>
                    <w:bidi w:val="0"/>
                  </w:pPr>
                  <w:r>
                    <w:t>27.6</w:t>
                  </w:r>
                </w:p>
              </w:tc>
              <w:tc>
                <w:tcPr>
                  <w:tcW w:w="199" w:type="pct"/>
                  <w:shd w:val="clear" w:color="auto" w:fill="auto"/>
                  <w:tcMar>
                    <w:top w:w="0" w:type="dxa"/>
                    <w:left w:w="0" w:type="dxa"/>
                    <w:bottom w:w="0" w:type="dxa"/>
                    <w:right w:w="0" w:type="dxa"/>
                  </w:tcMar>
                  <w:vAlign w:val="center"/>
                </w:tcPr>
                <w:p>
                  <w:pPr>
                    <w:pStyle w:val="66"/>
                    <w:bidi w:val="0"/>
                  </w:pPr>
                  <w:r>
                    <w:t>-4.1</w:t>
                  </w:r>
                </w:p>
              </w:tc>
              <w:tc>
                <w:tcPr>
                  <w:tcW w:w="170" w:type="pct"/>
                  <w:shd w:val="clear" w:color="auto" w:fill="auto"/>
                  <w:tcMar>
                    <w:top w:w="0" w:type="dxa"/>
                    <w:left w:w="0" w:type="dxa"/>
                    <w:bottom w:w="0" w:type="dxa"/>
                    <w:right w:w="0" w:type="dxa"/>
                  </w:tcMar>
                  <w:vAlign w:val="center"/>
                </w:tcPr>
                <w:p>
                  <w:pPr>
                    <w:pStyle w:val="66"/>
                    <w:bidi w:val="0"/>
                  </w:pPr>
                  <w:r>
                    <w:t>1.2</w:t>
                  </w:r>
                </w:p>
              </w:tc>
              <w:tc>
                <w:tcPr>
                  <w:tcW w:w="188" w:type="pct"/>
                  <w:shd w:val="clear" w:color="auto" w:fill="auto"/>
                  <w:tcMar>
                    <w:top w:w="0" w:type="dxa"/>
                    <w:left w:w="0" w:type="dxa"/>
                    <w:bottom w:w="0" w:type="dxa"/>
                    <w:right w:w="0" w:type="dxa"/>
                  </w:tcMar>
                  <w:vAlign w:val="center"/>
                </w:tcPr>
                <w:p>
                  <w:pPr>
                    <w:pStyle w:val="66"/>
                    <w:bidi w:val="0"/>
                  </w:pPr>
                  <w:r>
                    <w:t>11.6</w:t>
                  </w:r>
                </w:p>
              </w:tc>
              <w:tc>
                <w:tcPr>
                  <w:tcW w:w="177" w:type="pct"/>
                  <w:shd w:val="clear" w:color="auto" w:fill="auto"/>
                  <w:tcMar>
                    <w:top w:w="0" w:type="dxa"/>
                    <w:left w:w="0" w:type="dxa"/>
                    <w:bottom w:w="0" w:type="dxa"/>
                    <w:right w:w="0" w:type="dxa"/>
                  </w:tcMar>
                  <w:vAlign w:val="center"/>
                </w:tcPr>
                <w:p>
                  <w:pPr>
                    <w:pStyle w:val="66"/>
                    <w:bidi w:val="0"/>
                  </w:pPr>
                  <w:r>
                    <w:t>16.5</w:t>
                  </w:r>
                </w:p>
              </w:tc>
              <w:tc>
                <w:tcPr>
                  <w:tcW w:w="188" w:type="pct"/>
                  <w:shd w:val="clear" w:color="auto" w:fill="auto"/>
                  <w:tcMar>
                    <w:top w:w="0" w:type="dxa"/>
                    <w:left w:w="0" w:type="dxa"/>
                    <w:bottom w:w="0" w:type="dxa"/>
                    <w:right w:w="0" w:type="dxa"/>
                  </w:tcMar>
                  <w:vAlign w:val="center"/>
                </w:tcPr>
                <w:p>
                  <w:pPr>
                    <w:pStyle w:val="66"/>
                    <w:bidi w:val="0"/>
                  </w:pPr>
                  <w:r>
                    <w:t>74.9</w:t>
                  </w:r>
                </w:p>
              </w:tc>
              <w:tc>
                <w:tcPr>
                  <w:tcW w:w="172" w:type="pct"/>
                  <w:shd w:val="clear" w:color="auto" w:fill="auto"/>
                  <w:tcMar>
                    <w:top w:w="0" w:type="dxa"/>
                    <w:left w:w="0" w:type="dxa"/>
                    <w:bottom w:w="0" w:type="dxa"/>
                    <w:right w:w="0" w:type="dxa"/>
                  </w:tcMar>
                  <w:vAlign w:val="center"/>
                </w:tcPr>
                <w:p>
                  <w:pPr>
                    <w:pStyle w:val="66"/>
                    <w:bidi w:val="0"/>
                  </w:pPr>
                  <w:r>
                    <w:t>16.7</w:t>
                  </w:r>
                </w:p>
              </w:tc>
              <w:tc>
                <w:tcPr>
                  <w:tcW w:w="172" w:type="pct"/>
                  <w:shd w:val="clear" w:color="auto" w:fill="auto"/>
                  <w:tcMar>
                    <w:top w:w="0" w:type="dxa"/>
                    <w:left w:w="0" w:type="dxa"/>
                    <w:bottom w:w="0" w:type="dxa"/>
                    <w:right w:w="0" w:type="dxa"/>
                  </w:tcMar>
                  <w:vAlign w:val="center"/>
                </w:tcPr>
                <w:p>
                  <w:pPr>
                    <w:pStyle w:val="66"/>
                    <w:bidi w:val="0"/>
                  </w:pPr>
                  <w:r>
                    <w:t>66.2</w:t>
                  </w:r>
                </w:p>
              </w:tc>
              <w:tc>
                <w:tcPr>
                  <w:tcW w:w="177" w:type="pct"/>
                  <w:shd w:val="clear" w:color="auto" w:fill="auto"/>
                  <w:tcMar>
                    <w:top w:w="0" w:type="dxa"/>
                    <w:left w:w="0" w:type="dxa"/>
                    <w:bottom w:w="0" w:type="dxa"/>
                    <w:right w:w="0" w:type="dxa"/>
                  </w:tcMar>
                  <w:vAlign w:val="center"/>
                </w:tcPr>
                <w:p>
                  <w:pPr>
                    <w:pStyle w:val="66"/>
                    <w:bidi w:val="0"/>
                  </w:pPr>
                  <w:r>
                    <w:t>66.2</w:t>
                  </w:r>
                </w:p>
              </w:tc>
              <w:tc>
                <w:tcPr>
                  <w:tcW w:w="172" w:type="pct"/>
                  <w:shd w:val="clear" w:color="auto" w:fill="auto"/>
                  <w:tcMar>
                    <w:top w:w="0" w:type="dxa"/>
                    <w:left w:w="0" w:type="dxa"/>
                    <w:bottom w:w="0" w:type="dxa"/>
                    <w:right w:w="0" w:type="dxa"/>
                  </w:tcMar>
                  <w:vAlign w:val="center"/>
                </w:tcPr>
                <w:p>
                  <w:pPr>
                    <w:pStyle w:val="66"/>
                    <w:bidi w:val="0"/>
                  </w:pPr>
                  <w:r>
                    <w:t>66.1</w:t>
                  </w:r>
                </w:p>
              </w:tc>
              <w:tc>
                <w:tcPr>
                  <w:tcW w:w="209" w:type="pct"/>
                  <w:shd w:val="clear" w:color="auto" w:fill="auto"/>
                  <w:tcMar>
                    <w:top w:w="0" w:type="dxa"/>
                    <w:left w:w="0" w:type="dxa"/>
                    <w:bottom w:w="0" w:type="dxa"/>
                    <w:right w:w="0" w:type="dxa"/>
                  </w:tcMar>
                  <w:vAlign w:val="center"/>
                </w:tcPr>
                <w:p>
                  <w:pPr>
                    <w:pStyle w:val="66"/>
                    <w:bidi w:val="0"/>
                  </w:pPr>
                  <w:r>
                    <w:t>66.2</w:t>
                  </w:r>
                </w:p>
              </w:tc>
              <w:tc>
                <w:tcPr>
                  <w:tcW w:w="139" w:type="pct"/>
                  <w:vMerge w:val="restart"/>
                  <w:shd w:val="clear" w:color="auto" w:fill="auto"/>
                  <w:tcMar>
                    <w:top w:w="0" w:type="dxa"/>
                    <w:left w:w="0" w:type="dxa"/>
                    <w:bottom w:w="0" w:type="dxa"/>
                    <w:right w:w="0" w:type="dxa"/>
                  </w:tcMar>
                  <w:vAlign w:val="center"/>
                </w:tcPr>
                <w:p>
                  <w:pPr>
                    <w:pStyle w:val="66"/>
                    <w:bidi w:val="0"/>
                  </w:pPr>
                  <w:r>
                    <w:rPr>
                      <w:rFonts w:hint="eastAsia"/>
                      <w:lang w:val="en-US" w:eastAsia="zh-CN"/>
                    </w:rPr>
                    <w:t>16h</w:t>
                  </w:r>
                </w:p>
              </w:tc>
              <w:tc>
                <w:tcPr>
                  <w:tcW w:w="405" w:type="dxa"/>
                  <w:shd w:val="clear" w:color="auto" w:fill="auto"/>
                  <w:tcMar>
                    <w:top w:w="0" w:type="dxa"/>
                    <w:left w:w="0" w:type="dxa"/>
                    <w:bottom w:w="0" w:type="dxa"/>
                    <w:right w:w="0" w:type="dxa"/>
                  </w:tcMar>
                  <w:vAlign w:val="center"/>
                </w:tcPr>
                <w:p>
                  <w:pPr>
                    <w:pStyle w:val="66"/>
                    <w:bidi w:val="0"/>
                  </w:pPr>
                  <w:r>
                    <w:t>25.0</w:t>
                  </w:r>
                </w:p>
              </w:tc>
              <w:tc>
                <w:tcPr>
                  <w:tcW w:w="420" w:type="dxa"/>
                  <w:shd w:val="clear" w:color="auto" w:fill="auto"/>
                  <w:tcMar>
                    <w:top w:w="0" w:type="dxa"/>
                    <w:left w:w="0" w:type="dxa"/>
                    <w:bottom w:w="0" w:type="dxa"/>
                    <w:right w:w="0" w:type="dxa"/>
                  </w:tcMar>
                  <w:vAlign w:val="center"/>
                </w:tcPr>
                <w:p>
                  <w:pPr>
                    <w:pStyle w:val="66"/>
                    <w:bidi w:val="0"/>
                  </w:pPr>
                  <w:r>
                    <w:t>25.0</w:t>
                  </w:r>
                </w:p>
              </w:tc>
              <w:tc>
                <w:tcPr>
                  <w:tcW w:w="450" w:type="dxa"/>
                  <w:shd w:val="clear" w:color="auto" w:fill="auto"/>
                  <w:tcMar>
                    <w:top w:w="0" w:type="dxa"/>
                    <w:left w:w="0" w:type="dxa"/>
                    <w:bottom w:w="0" w:type="dxa"/>
                    <w:right w:w="0" w:type="dxa"/>
                  </w:tcMar>
                  <w:vAlign w:val="center"/>
                </w:tcPr>
                <w:p>
                  <w:pPr>
                    <w:pStyle w:val="66"/>
                    <w:bidi w:val="0"/>
                  </w:pPr>
                  <w:r>
                    <w:t>25.0</w:t>
                  </w:r>
                </w:p>
              </w:tc>
              <w:tc>
                <w:tcPr>
                  <w:tcW w:w="405" w:type="dxa"/>
                  <w:shd w:val="clear" w:color="auto" w:fill="auto"/>
                  <w:tcMar>
                    <w:top w:w="0" w:type="dxa"/>
                    <w:left w:w="0" w:type="dxa"/>
                    <w:bottom w:w="0" w:type="dxa"/>
                    <w:right w:w="0" w:type="dxa"/>
                  </w:tcMar>
                  <w:vAlign w:val="center"/>
                </w:tcPr>
                <w:p>
                  <w:pPr>
                    <w:pStyle w:val="66"/>
                    <w:bidi w:val="0"/>
                  </w:pPr>
                  <w:r>
                    <w:t>25.0</w:t>
                  </w:r>
                </w:p>
              </w:tc>
              <w:tc>
                <w:tcPr>
                  <w:tcW w:w="465" w:type="dxa"/>
                  <w:shd w:val="clear" w:color="auto" w:fill="auto"/>
                  <w:tcMar>
                    <w:top w:w="0" w:type="dxa"/>
                    <w:left w:w="0" w:type="dxa"/>
                    <w:bottom w:w="0" w:type="dxa"/>
                    <w:right w:w="0" w:type="dxa"/>
                  </w:tcMar>
                  <w:vAlign w:val="center"/>
                </w:tcPr>
                <w:p>
                  <w:pPr>
                    <w:pStyle w:val="66"/>
                    <w:bidi w:val="0"/>
                  </w:pPr>
                  <w:r>
                    <w:t>46.1</w:t>
                  </w:r>
                </w:p>
              </w:tc>
              <w:tc>
                <w:tcPr>
                  <w:tcW w:w="465" w:type="dxa"/>
                  <w:shd w:val="clear" w:color="auto" w:fill="auto"/>
                  <w:tcMar>
                    <w:top w:w="0" w:type="dxa"/>
                    <w:left w:w="0" w:type="dxa"/>
                    <w:bottom w:w="0" w:type="dxa"/>
                    <w:right w:w="0" w:type="dxa"/>
                  </w:tcMar>
                  <w:vAlign w:val="center"/>
                </w:tcPr>
                <w:p>
                  <w:pPr>
                    <w:pStyle w:val="66"/>
                    <w:bidi w:val="0"/>
                  </w:pPr>
                  <w:r>
                    <w:t>46.2</w:t>
                  </w:r>
                </w:p>
              </w:tc>
              <w:tc>
                <w:tcPr>
                  <w:tcW w:w="405" w:type="dxa"/>
                  <w:shd w:val="clear" w:color="auto" w:fill="auto"/>
                  <w:tcMar>
                    <w:top w:w="0" w:type="dxa"/>
                    <w:left w:w="0" w:type="dxa"/>
                    <w:bottom w:w="0" w:type="dxa"/>
                    <w:right w:w="0" w:type="dxa"/>
                  </w:tcMar>
                  <w:vAlign w:val="center"/>
                </w:tcPr>
                <w:p>
                  <w:pPr>
                    <w:pStyle w:val="66"/>
                    <w:bidi w:val="0"/>
                  </w:pPr>
                  <w:r>
                    <w:t>46.1</w:t>
                  </w:r>
                </w:p>
              </w:tc>
              <w:tc>
                <w:tcPr>
                  <w:tcW w:w="495" w:type="dxa"/>
                  <w:shd w:val="clear" w:color="auto" w:fill="auto"/>
                  <w:tcMar>
                    <w:top w:w="0" w:type="dxa"/>
                    <w:left w:w="0" w:type="dxa"/>
                    <w:bottom w:w="0" w:type="dxa"/>
                    <w:right w:w="0" w:type="dxa"/>
                  </w:tcMar>
                  <w:vAlign w:val="center"/>
                </w:tcPr>
                <w:p>
                  <w:pPr>
                    <w:pStyle w:val="66"/>
                    <w:bidi w:val="0"/>
                  </w:pPr>
                  <w:r>
                    <w:t>46.2</w:t>
                  </w:r>
                </w:p>
              </w:tc>
              <w:tc>
                <w:tcPr>
                  <w:tcW w:w="727" w:type="dxa"/>
                  <w:shd w:val="clear" w:color="auto" w:fill="auto"/>
                  <w:tcMar>
                    <w:top w:w="0" w:type="dxa"/>
                    <w:left w:w="0" w:type="dxa"/>
                    <w:bottom w:w="0" w:type="dxa"/>
                    <w:right w:w="0" w:type="dxa"/>
                  </w:tcMar>
                  <w:vAlign w:val="center"/>
                </w:tcPr>
                <w:p>
                  <w:pPr>
                    <w:pStyle w:val="66"/>
                    <w:bidi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52" w:type="pct"/>
                  <w:shd w:val="clear" w:color="auto" w:fill="auto"/>
                  <w:tcMar>
                    <w:top w:w="0" w:type="dxa"/>
                    <w:left w:w="0" w:type="dxa"/>
                    <w:bottom w:w="0" w:type="dxa"/>
                    <w:right w:w="0" w:type="dxa"/>
                  </w:tcMar>
                  <w:vAlign w:val="center"/>
                </w:tcPr>
                <w:p>
                  <w:pPr>
                    <w:pStyle w:val="66"/>
                    <w:bidi w:val="0"/>
                  </w:pPr>
                  <w:r>
                    <w:t>2</w:t>
                  </w:r>
                </w:p>
              </w:tc>
              <w:tc>
                <w:tcPr>
                  <w:tcW w:w="127" w:type="pct"/>
                  <w:vMerge w:val="continue"/>
                  <w:shd w:val="clear" w:color="auto" w:fill="auto"/>
                  <w:tcMar>
                    <w:top w:w="0" w:type="dxa"/>
                    <w:left w:w="0" w:type="dxa"/>
                    <w:bottom w:w="0" w:type="dxa"/>
                    <w:right w:w="0" w:type="dxa"/>
                  </w:tcMar>
                  <w:vAlign w:val="center"/>
                </w:tcPr>
                <w:p>
                  <w:pPr>
                    <w:pStyle w:val="66"/>
                    <w:bidi w:val="0"/>
                  </w:pPr>
                </w:p>
              </w:tc>
              <w:tc>
                <w:tcPr>
                  <w:tcW w:w="232" w:type="pct"/>
                  <w:shd w:val="clear" w:color="auto" w:fill="auto"/>
                  <w:tcMar>
                    <w:top w:w="0" w:type="dxa"/>
                    <w:left w:w="0" w:type="dxa"/>
                    <w:bottom w:w="0" w:type="dxa"/>
                    <w:right w:w="0" w:type="dxa"/>
                  </w:tcMar>
                  <w:vAlign w:val="center"/>
                </w:tcPr>
                <w:p>
                  <w:pPr>
                    <w:pStyle w:val="66"/>
                    <w:bidi w:val="0"/>
                  </w:pPr>
                  <w:r>
                    <w:t>斗提机,12台（按点声源组预测）</w:t>
                  </w:r>
                </w:p>
              </w:tc>
              <w:tc>
                <w:tcPr>
                  <w:tcW w:w="225" w:type="pct"/>
                  <w:shd w:val="clear" w:color="auto" w:fill="auto"/>
                  <w:tcMar>
                    <w:top w:w="0" w:type="dxa"/>
                    <w:left w:w="0" w:type="dxa"/>
                    <w:bottom w:w="0" w:type="dxa"/>
                    <w:right w:w="0" w:type="dxa"/>
                  </w:tcMar>
                  <w:vAlign w:val="center"/>
                </w:tcPr>
                <w:p>
                  <w:pPr>
                    <w:pStyle w:val="66"/>
                    <w:bidi w:val="0"/>
                  </w:pPr>
                  <w:r>
                    <w:rPr>
                      <w:rFonts w:hint="eastAsia"/>
                    </w:rPr>
                    <w:t>TH160*7.8河南20240530</w:t>
                  </w:r>
                </w:p>
              </w:tc>
              <w:tc>
                <w:tcPr>
                  <w:tcW w:w="252" w:type="pct"/>
                  <w:shd w:val="clear" w:color="auto" w:fill="auto"/>
                  <w:tcMar>
                    <w:top w:w="0" w:type="dxa"/>
                    <w:left w:w="0" w:type="dxa"/>
                    <w:bottom w:w="0" w:type="dxa"/>
                    <w:right w:w="0" w:type="dxa"/>
                  </w:tcMar>
                  <w:vAlign w:val="center"/>
                </w:tcPr>
                <w:p>
                  <w:pPr>
                    <w:pStyle w:val="66"/>
                    <w:bidi w:val="0"/>
                  </w:pPr>
                  <w:r>
                    <w:rPr>
                      <w:rFonts w:hint="eastAsia"/>
                    </w:rPr>
                    <w:t>71（等效后：77.0</w:t>
                  </w:r>
                </w:p>
              </w:tc>
              <w:tc>
                <w:tcPr>
                  <w:tcW w:w="328" w:type="pct"/>
                  <w:vMerge w:val="continue"/>
                  <w:shd w:val="clear" w:color="auto" w:fill="auto"/>
                  <w:tcMar>
                    <w:top w:w="0" w:type="dxa"/>
                    <w:left w:w="0" w:type="dxa"/>
                    <w:bottom w:w="0" w:type="dxa"/>
                    <w:right w:w="0" w:type="dxa"/>
                  </w:tcMar>
                  <w:vAlign w:val="center"/>
                </w:tcPr>
                <w:p>
                  <w:pPr>
                    <w:pStyle w:val="66"/>
                    <w:bidi w:val="0"/>
                  </w:pPr>
                </w:p>
              </w:tc>
              <w:tc>
                <w:tcPr>
                  <w:tcW w:w="193" w:type="pct"/>
                  <w:shd w:val="clear" w:color="auto" w:fill="auto"/>
                  <w:tcMar>
                    <w:top w:w="0" w:type="dxa"/>
                    <w:left w:w="0" w:type="dxa"/>
                    <w:bottom w:w="0" w:type="dxa"/>
                    <w:right w:w="0" w:type="dxa"/>
                  </w:tcMar>
                  <w:vAlign w:val="center"/>
                </w:tcPr>
                <w:p>
                  <w:pPr>
                    <w:pStyle w:val="66"/>
                    <w:bidi w:val="0"/>
                  </w:pPr>
                  <w:r>
                    <w:t>20.9</w:t>
                  </w:r>
                </w:p>
              </w:tc>
              <w:tc>
                <w:tcPr>
                  <w:tcW w:w="199" w:type="pct"/>
                  <w:shd w:val="clear" w:color="auto" w:fill="auto"/>
                  <w:tcMar>
                    <w:top w:w="0" w:type="dxa"/>
                    <w:left w:w="0" w:type="dxa"/>
                    <w:bottom w:w="0" w:type="dxa"/>
                    <w:right w:w="0" w:type="dxa"/>
                  </w:tcMar>
                  <w:vAlign w:val="center"/>
                </w:tcPr>
                <w:p>
                  <w:pPr>
                    <w:pStyle w:val="66"/>
                    <w:bidi w:val="0"/>
                  </w:pPr>
                  <w:r>
                    <w:t>-3.9</w:t>
                  </w:r>
                </w:p>
              </w:tc>
              <w:tc>
                <w:tcPr>
                  <w:tcW w:w="170" w:type="pct"/>
                  <w:shd w:val="clear" w:color="auto" w:fill="auto"/>
                  <w:tcMar>
                    <w:top w:w="0" w:type="dxa"/>
                    <w:left w:w="0" w:type="dxa"/>
                    <w:bottom w:w="0" w:type="dxa"/>
                    <w:right w:w="0" w:type="dxa"/>
                  </w:tcMar>
                  <w:vAlign w:val="center"/>
                </w:tcPr>
                <w:p>
                  <w:pPr>
                    <w:pStyle w:val="66"/>
                    <w:bidi w:val="0"/>
                  </w:pPr>
                  <w:r>
                    <w:t>1.2</w:t>
                  </w:r>
                </w:p>
              </w:tc>
              <w:tc>
                <w:tcPr>
                  <w:tcW w:w="188" w:type="pct"/>
                  <w:shd w:val="clear" w:color="auto" w:fill="auto"/>
                  <w:tcMar>
                    <w:top w:w="0" w:type="dxa"/>
                    <w:left w:w="0" w:type="dxa"/>
                    <w:bottom w:w="0" w:type="dxa"/>
                    <w:right w:w="0" w:type="dxa"/>
                  </w:tcMar>
                  <w:vAlign w:val="center"/>
                </w:tcPr>
                <w:p>
                  <w:pPr>
                    <w:pStyle w:val="66"/>
                    <w:bidi w:val="0"/>
                  </w:pPr>
                  <w:r>
                    <w:t>18.3</w:t>
                  </w:r>
                </w:p>
              </w:tc>
              <w:tc>
                <w:tcPr>
                  <w:tcW w:w="177" w:type="pct"/>
                  <w:shd w:val="clear" w:color="auto" w:fill="auto"/>
                  <w:tcMar>
                    <w:top w:w="0" w:type="dxa"/>
                    <w:left w:w="0" w:type="dxa"/>
                    <w:bottom w:w="0" w:type="dxa"/>
                    <w:right w:w="0" w:type="dxa"/>
                  </w:tcMar>
                  <w:vAlign w:val="center"/>
                </w:tcPr>
                <w:p>
                  <w:pPr>
                    <w:pStyle w:val="66"/>
                    <w:bidi w:val="0"/>
                  </w:pPr>
                  <w:r>
                    <w:t>15.9</w:t>
                  </w:r>
                </w:p>
              </w:tc>
              <w:tc>
                <w:tcPr>
                  <w:tcW w:w="188" w:type="pct"/>
                  <w:shd w:val="clear" w:color="auto" w:fill="auto"/>
                  <w:tcMar>
                    <w:top w:w="0" w:type="dxa"/>
                    <w:left w:w="0" w:type="dxa"/>
                    <w:bottom w:w="0" w:type="dxa"/>
                    <w:right w:w="0" w:type="dxa"/>
                  </w:tcMar>
                  <w:vAlign w:val="center"/>
                </w:tcPr>
                <w:p>
                  <w:pPr>
                    <w:pStyle w:val="66"/>
                    <w:bidi w:val="0"/>
                  </w:pPr>
                  <w:r>
                    <w:t>68.2</w:t>
                  </w:r>
                </w:p>
              </w:tc>
              <w:tc>
                <w:tcPr>
                  <w:tcW w:w="172" w:type="pct"/>
                  <w:shd w:val="clear" w:color="auto" w:fill="auto"/>
                  <w:tcMar>
                    <w:top w:w="0" w:type="dxa"/>
                    <w:left w:w="0" w:type="dxa"/>
                    <w:bottom w:w="0" w:type="dxa"/>
                    <w:right w:w="0" w:type="dxa"/>
                  </w:tcMar>
                  <w:vAlign w:val="center"/>
                </w:tcPr>
                <w:p>
                  <w:pPr>
                    <w:pStyle w:val="66"/>
                    <w:bidi w:val="0"/>
                  </w:pPr>
                  <w:r>
                    <w:t>17.4</w:t>
                  </w:r>
                </w:p>
              </w:tc>
              <w:tc>
                <w:tcPr>
                  <w:tcW w:w="172" w:type="pct"/>
                  <w:shd w:val="clear" w:color="auto" w:fill="auto"/>
                  <w:tcMar>
                    <w:top w:w="0" w:type="dxa"/>
                    <w:left w:w="0" w:type="dxa"/>
                    <w:bottom w:w="0" w:type="dxa"/>
                    <w:right w:w="0" w:type="dxa"/>
                  </w:tcMar>
                  <w:vAlign w:val="center"/>
                </w:tcPr>
                <w:p>
                  <w:pPr>
                    <w:pStyle w:val="66"/>
                    <w:bidi w:val="0"/>
                  </w:pPr>
                  <w:r>
                    <w:t>65.0</w:t>
                  </w:r>
                </w:p>
              </w:tc>
              <w:tc>
                <w:tcPr>
                  <w:tcW w:w="177" w:type="pct"/>
                  <w:shd w:val="clear" w:color="auto" w:fill="auto"/>
                  <w:tcMar>
                    <w:top w:w="0" w:type="dxa"/>
                    <w:left w:w="0" w:type="dxa"/>
                    <w:bottom w:w="0" w:type="dxa"/>
                    <w:right w:w="0" w:type="dxa"/>
                  </w:tcMar>
                  <w:vAlign w:val="center"/>
                </w:tcPr>
                <w:p>
                  <w:pPr>
                    <w:pStyle w:val="66"/>
                    <w:bidi w:val="0"/>
                  </w:pPr>
                  <w:r>
                    <w:t>65.0</w:t>
                  </w:r>
                </w:p>
              </w:tc>
              <w:tc>
                <w:tcPr>
                  <w:tcW w:w="172" w:type="pct"/>
                  <w:shd w:val="clear" w:color="auto" w:fill="auto"/>
                  <w:tcMar>
                    <w:top w:w="0" w:type="dxa"/>
                    <w:left w:w="0" w:type="dxa"/>
                    <w:bottom w:w="0" w:type="dxa"/>
                    <w:right w:w="0" w:type="dxa"/>
                  </w:tcMar>
                  <w:vAlign w:val="center"/>
                </w:tcPr>
                <w:p>
                  <w:pPr>
                    <w:pStyle w:val="66"/>
                    <w:bidi w:val="0"/>
                  </w:pPr>
                  <w:r>
                    <w:t>64.9</w:t>
                  </w:r>
                </w:p>
              </w:tc>
              <w:tc>
                <w:tcPr>
                  <w:tcW w:w="209" w:type="pct"/>
                  <w:shd w:val="clear" w:color="auto" w:fill="auto"/>
                  <w:tcMar>
                    <w:top w:w="0" w:type="dxa"/>
                    <w:left w:w="0" w:type="dxa"/>
                    <w:bottom w:w="0" w:type="dxa"/>
                    <w:right w:w="0" w:type="dxa"/>
                  </w:tcMar>
                  <w:vAlign w:val="center"/>
                </w:tcPr>
                <w:p>
                  <w:pPr>
                    <w:pStyle w:val="66"/>
                    <w:bidi w:val="0"/>
                  </w:pPr>
                  <w:r>
                    <w:t>65.0</w:t>
                  </w:r>
                </w:p>
              </w:tc>
              <w:tc>
                <w:tcPr>
                  <w:tcW w:w="139" w:type="pct"/>
                  <w:vMerge w:val="continue"/>
                  <w:shd w:val="clear" w:color="auto" w:fill="auto"/>
                  <w:tcMar>
                    <w:top w:w="0" w:type="dxa"/>
                    <w:left w:w="0" w:type="dxa"/>
                    <w:bottom w:w="0" w:type="dxa"/>
                    <w:right w:w="0" w:type="dxa"/>
                  </w:tcMar>
                  <w:vAlign w:val="center"/>
                </w:tcPr>
                <w:p>
                  <w:pPr>
                    <w:pStyle w:val="66"/>
                    <w:bidi w:val="0"/>
                  </w:pPr>
                </w:p>
              </w:tc>
              <w:tc>
                <w:tcPr>
                  <w:tcW w:w="405" w:type="dxa"/>
                  <w:shd w:val="clear" w:color="auto" w:fill="auto"/>
                  <w:tcMar>
                    <w:top w:w="0" w:type="dxa"/>
                    <w:left w:w="0" w:type="dxa"/>
                    <w:bottom w:w="0" w:type="dxa"/>
                    <w:right w:w="0" w:type="dxa"/>
                  </w:tcMar>
                  <w:vAlign w:val="center"/>
                </w:tcPr>
                <w:p>
                  <w:pPr>
                    <w:pStyle w:val="66"/>
                    <w:bidi w:val="0"/>
                  </w:pPr>
                  <w:r>
                    <w:t>2</w:t>
                  </w:r>
                  <w:r>
                    <w:rPr>
                      <w:rFonts w:hint="eastAsia"/>
                      <w:lang w:val="en-US" w:eastAsia="zh-CN"/>
                    </w:rPr>
                    <w:t>5</w:t>
                  </w:r>
                  <w:r>
                    <w:t>.0</w:t>
                  </w:r>
                </w:p>
              </w:tc>
              <w:tc>
                <w:tcPr>
                  <w:tcW w:w="420" w:type="dxa"/>
                  <w:shd w:val="clear" w:color="auto" w:fill="auto"/>
                  <w:tcMar>
                    <w:top w:w="0" w:type="dxa"/>
                    <w:left w:w="0" w:type="dxa"/>
                    <w:bottom w:w="0" w:type="dxa"/>
                    <w:right w:w="0" w:type="dxa"/>
                  </w:tcMar>
                  <w:vAlign w:val="center"/>
                </w:tcPr>
                <w:p>
                  <w:pPr>
                    <w:pStyle w:val="66"/>
                    <w:bidi w:val="0"/>
                  </w:pPr>
                  <w:r>
                    <w:t>2</w:t>
                  </w:r>
                  <w:r>
                    <w:rPr>
                      <w:rFonts w:hint="eastAsia"/>
                      <w:lang w:val="en-US" w:eastAsia="zh-CN"/>
                    </w:rPr>
                    <w:t>5</w:t>
                  </w:r>
                  <w:r>
                    <w:t>.0</w:t>
                  </w:r>
                </w:p>
              </w:tc>
              <w:tc>
                <w:tcPr>
                  <w:tcW w:w="450" w:type="dxa"/>
                  <w:shd w:val="clear" w:color="auto" w:fill="auto"/>
                  <w:tcMar>
                    <w:top w:w="0" w:type="dxa"/>
                    <w:left w:w="0" w:type="dxa"/>
                    <w:bottom w:w="0" w:type="dxa"/>
                    <w:right w:w="0" w:type="dxa"/>
                  </w:tcMar>
                  <w:vAlign w:val="center"/>
                </w:tcPr>
                <w:p>
                  <w:pPr>
                    <w:pStyle w:val="66"/>
                    <w:bidi w:val="0"/>
                  </w:pPr>
                  <w:r>
                    <w:t>2</w:t>
                  </w:r>
                  <w:r>
                    <w:rPr>
                      <w:rFonts w:hint="eastAsia"/>
                      <w:lang w:val="en-US" w:eastAsia="zh-CN"/>
                    </w:rPr>
                    <w:t>5</w:t>
                  </w:r>
                  <w:r>
                    <w:t>.0</w:t>
                  </w:r>
                </w:p>
              </w:tc>
              <w:tc>
                <w:tcPr>
                  <w:tcW w:w="405" w:type="dxa"/>
                  <w:shd w:val="clear" w:color="auto" w:fill="auto"/>
                  <w:tcMar>
                    <w:top w:w="0" w:type="dxa"/>
                    <w:left w:w="0" w:type="dxa"/>
                    <w:bottom w:w="0" w:type="dxa"/>
                    <w:right w:w="0" w:type="dxa"/>
                  </w:tcMar>
                  <w:vAlign w:val="center"/>
                </w:tcPr>
                <w:p>
                  <w:pPr>
                    <w:pStyle w:val="66"/>
                    <w:bidi w:val="0"/>
                  </w:pPr>
                  <w:r>
                    <w:t>2</w:t>
                  </w:r>
                  <w:r>
                    <w:rPr>
                      <w:rFonts w:hint="eastAsia"/>
                      <w:lang w:val="en-US" w:eastAsia="zh-CN"/>
                    </w:rPr>
                    <w:t>5</w:t>
                  </w:r>
                  <w:r>
                    <w:t>.0</w:t>
                  </w:r>
                </w:p>
              </w:tc>
              <w:tc>
                <w:tcPr>
                  <w:tcW w:w="465" w:type="dxa"/>
                  <w:shd w:val="clear" w:color="auto" w:fill="auto"/>
                  <w:tcMar>
                    <w:top w:w="0" w:type="dxa"/>
                    <w:left w:w="0" w:type="dxa"/>
                    <w:bottom w:w="0" w:type="dxa"/>
                    <w:right w:w="0" w:type="dxa"/>
                  </w:tcMar>
                  <w:vAlign w:val="center"/>
                </w:tcPr>
                <w:p>
                  <w:pPr>
                    <w:pStyle w:val="66"/>
                    <w:bidi w:val="0"/>
                  </w:pPr>
                  <w:r>
                    <w:t>50.4</w:t>
                  </w:r>
                </w:p>
              </w:tc>
              <w:tc>
                <w:tcPr>
                  <w:tcW w:w="465" w:type="dxa"/>
                  <w:shd w:val="clear" w:color="auto" w:fill="auto"/>
                  <w:tcMar>
                    <w:top w:w="0" w:type="dxa"/>
                    <w:left w:w="0" w:type="dxa"/>
                    <w:bottom w:w="0" w:type="dxa"/>
                    <w:right w:w="0" w:type="dxa"/>
                  </w:tcMar>
                  <w:vAlign w:val="center"/>
                </w:tcPr>
                <w:p>
                  <w:pPr>
                    <w:pStyle w:val="66"/>
                    <w:bidi w:val="0"/>
                  </w:pPr>
                  <w:r>
                    <w:t>50.4</w:t>
                  </w:r>
                </w:p>
              </w:tc>
              <w:tc>
                <w:tcPr>
                  <w:tcW w:w="405" w:type="dxa"/>
                  <w:shd w:val="clear" w:color="auto" w:fill="auto"/>
                  <w:tcMar>
                    <w:top w:w="0" w:type="dxa"/>
                    <w:left w:w="0" w:type="dxa"/>
                    <w:bottom w:w="0" w:type="dxa"/>
                    <w:right w:w="0" w:type="dxa"/>
                  </w:tcMar>
                  <w:vAlign w:val="center"/>
                </w:tcPr>
                <w:p>
                  <w:pPr>
                    <w:pStyle w:val="66"/>
                    <w:bidi w:val="0"/>
                  </w:pPr>
                  <w:r>
                    <w:t>50.4</w:t>
                  </w:r>
                </w:p>
              </w:tc>
              <w:tc>
                <w:tcPr>
                  <w:tcW w:w="495" w:type="dxa"/>
                  <w:shd w:val="clear" w:color="auto" w:fill="auto"/>
                  <w:tcMar>
                    <w:top w:w="0" w:type="dxa"/>
                    <w:left w:w="0" w:type="dxa"/>
                    <w:bottom w:w="0" w:type="dxa"/>
                    <w:right w:w="0" w:type="dxa"/>
                  </w:tcMar>
                  <w:vAlign w:val="center"/>
                </w:tcPr>
                <w:p>
                  <w:pPr>
                    <w:pStyle w:val="66"/>
                    <w:bidi w:val="0"/>
                  </w:pPr>
                  <w:r>
                    <w:t>50.4</w:t>
                  </w:r>
                </w:p>
              </w:tc>
              <w:tc>
                <w:tcPr>
                  <w:tcW w:w="727" w:type="dxa"/>
                  <w:shd w:val="clear" w:color="auto" w:fill="auto"/>
                  <w:tcMar>
                    <w:top w:w="0" w:type="dxa"/>
                    <w:left w:w="0" w:type="dxa"/>
                    <w:bottom w:w="0" w:type="dxa"/>
                    <w:right w:w="0" w:type="dxa"/>
                  </w:tcMar>
                  <w:vAlign w:val="center"/>
                </w:tcPr>
                <w:p>
                  <w:pPr>
                    <w:pStyle w:val="66"/>
                    <w:bidi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52" w:type="pct"/>
                  <w:shd w:val="clear" w:color="auto" w:fill="auto"/>
                  <w:tcMar>
                    <w:top w:w="0" w:type="dxa"/>
                    <w:left w:w="0" w:type="dxa"/>
                    <w:bottom w:w="0" w:type="dxa"/>
                    <w:right w:w="0" w:type="dxa"/>
                  </w:tcMar>
                  <w:vAlign w:val="center"/>
                </w:tcPr>
                <w:p>
                  <w:pPr>
                    <w:pStyle w:val="66"/>
                    <w:bidi w:val="0"/>
                  </w:pPr>
                  <w:r>
                    <w:t>3</w:t>
                  </w:r>
                </w:p>
              </w:tc>
              <w:tc>
                <w:tcPr>
                  <w:tcW w:w="127" w:type="pct"/>
                  <w:vMerge w:val="continue"/>
                  <w:shd w:val="clear" w:color="auto" w:fill="auto"/>
                  <w:tcMar>
                    <w:top w:w="0" w:type="dxa"/>
                    <w:left w:w="0" w:type="dxa"/>
                    <w:bottom w:w="0" w:type="dxa"/>
                    <w:right w:w="0" w:type="dxa"/>
                  </w:tcMar>
                  <w:vAlign w:val="center"/>
                </w:tcPr>
                <w:p>
                  <w:pPr>
                    <w:pStyle w:val="66"/>
                    <w:bidi w:val="0"/>
                  </w:pPr>
                </w:p>
              </w:tc>
              <w:tc>
                <w:tcPr>
                  <w:tcW w:w="232" w:type="pct"/>
                  <w:shd w:val="clear" w:color="auto" w:fill="auto"/>
                  <w:tcMar>
                    <w:top w:w="0" w:type="dxa"/>
                    <w:left w:w="0" w:type="dxa"/>
                    <w:bottom w:w="0" w:type="dxa"/>
                    <w:right w:w="0" w:type="dxa"/>
                  </w:tcMar>
                  <w:vAlign w:val="center"/>
                </w:tcPr>
                <w:p>
                  <w:pPr>
                    <w:pStyle w:val="66"/>
                    <w:bidi w:val="0"/>
                  </w:pPr>
                  <w:r>
                    <w:t>二次破碎机,4台（按点声源组预测）</w:t>
                  </w:r>
                </w:p>
              </w:tc>
              <w:tc>
                <w:tcPr>
                  <w:tcW w:w="225" w:type="pct"/>
                  <w:shd w:val="clear" w:color="auto" w:fill="auto"/>
                  <w:tcMar>
                    <w:top w:w="0" w:type="dxa"/>
                    <w:left w:w="0" w:type="dxa"/>
                    <w:bottom w:w="0" w:type="dxa"/>
                    <w:right w:w="0" w:type="dxa"/>
                  </w:tcMar>
                  <w:vAlign w:val="center"/>
                </w:tcPr>
                <w:p>
                  <w:pPr>
                    <w:pStyle w:val="66"/>
                    <w:bidi w:val="0"/>
                  </w:pPr>
                  <w:r>
                    <w:rPr>
                      <w:rFonts w:hint="default"/>
                    </w:rPr>
                    <w:t>DP500河南20240530</w:t>
                  </w:r>
                </w:p>
              </w:tc>
              <w:tc>
                <w:tcPr>
                  <w:tcW w:w="252" w:type="pct"/>
                  <w:shd w:val="clear" w:color="auto" w:fill="auto"/>
                  <w:tcMar>
                    <w:top w:w="0" w:type="dxa"/>
                    <w:left w:w="0" w:type="dxa"/>
                    <w:bottom w:w="0" w:type="dxa"/>
                    <w:right w:w="0" w:type="dxa"/>
                  </w:tcMar>
                  <w:vAlign w:val="center"/>
                </w:tcPr>
                <w:p>
                  <w:pPr>
                    <w:pStyle w:val="66"/>
                    <w:bidi w:val="0"/>
                  </w:pPr>
                  <w:r>
                    <w:t>82（等效后：88.0</w:t>
                  </w:r>
                </w:p>
              </w:tc>
              <w:tc>
                <w:tcPr>
                  <w:tcW w:w="328" w:type="pct"/>
                  <w:vMerge w:val="continue"/>
                  <w:shd w:val="clear" w:color="auto" w:fill="auto"/>
                  <w:tcMar>
                    <w:top w:w="0" w:type="dxa"/>
                    <w:left w:w="0" w:type="dxa"/>
                    <w:bottom w:w="0" w:type="dxa"/>
                    <w:right w:w="0" w:type="dxa"/>
                  </w:tcMar>
                  <w:vAlign w:val="center"/>
                </w:tcPr>
                <w:p>
                  <w:pPr>
                    <w:pStyle w:val="66"/>
                    <w:bidi w:val="0"/>
                  </w:pPr>
                </w:p>
              </w:tc>
              <w:tc>
                <w:tcPr>
                  <w:tcW w:w="540" w:type="dxa"/>
                  <w:shd w:val="clear" w:color="auto" w:fill="auto"/>
                  <w:tcMar>
                    <w:top w:w="0" w:type="dxa"/>
                    <w:left w:w="0" w:type="dxa"/>
                    <w:bottom w:w="0" w:type="dxa"/>
                    <w:right w:w="0" w:type="dxa"/>
                  </w:tcMar>
                  <w:vAlign w:val="center"/>
                </w:tcPr>
                <w:p>
                  <w:pPr>
                    <w:pStyle w:val="66"/>
                    <w:bidi w:val="0"/>
                  </w:pPr>
                  <w:r>
                    <w:t>12.5</w:t>
                  </w:r>
                </w:p>
              </w:tc>
              <w:tc>
                <w:tcPr>
                  <w:tcW w:w="555" w:type="dxa"/>
                  <w:shd w:val="clear" w:color="auto" w:fill="auto"/>
                  <w:tcMar>
                    <w:top w:w="0" w:type="dxa"/>
                    <w:left w:w="0" w:type="dxa"/>
                    <w:bottom w:w="0" w:type="dxa"/>
                    <w:right w:w="0" w:type="dxa"/>
                  </w:tcMar>
                  <w:vAlign w:val="center"/>
                </w:tcPr>
                <w:p>
                  <w:pPr>
                    <w:pStyle w:val="66"/>
                    <w:bidi w:val="0"/>
                  </w:pPr>
                  <w:r>
                    <w:t>-1</w:t>
                  </w:r>
                </w:p>
              </w:tc>
              <w:tc>
                <w:tcPr>
                  <w:tcW w:w="476" w:type="dxa"/>
                  <w:shd w:val="clear" w:color="auto" w:fill="auto"/>
                  <w:tcMar>
                    <w:top w:w="0" w:type="dxa"/>
                    <w:left w:w="0" w:type="dxa"/>
                    <w:bottom w:w="0" w:type="dxa"/>
                    <w:right w:w="0" w:type="dxa"/>
                  </w:tcMar>
                  <w:vAlign w:val="center"/>
                </w:tcPr>
                <w:p>
                  <w:pPr>
                    <w:pStyle w:val="66"/>
                    <w:bidi w:val="0"/>
                  </w:pPr>
                  <w:r>
                    <w:t>1.2</w:t>
                  </w:r>
                </w:p>
              </w:tc>
              <w:tc>
                <w:tcPr>
                  <w:tcW w:w="525" w:type="dxa"/>
                  <w:shd w:val="clear" w:color="auto" w:fill="auto"/>
                  <w:tcMar>
                    <w:top w:w="0" w:type="dxa"/>
                    <w:left w:w="0" w:type="dxa"/>
                    <w:bottom w:w="0" w:type="dxa"/>
                    <w:right w:w="0" w:type="dxa"/>
                  </w:tcMar>
                  <w:vAlign w:val="center"/>
                </w:tcPr>
                <w:p>
                  <w:pPr>
                    <w:pStyle w:val="66"/>
                    <w:bidi w:val="0"/>
                  </w:pPr>
                  <w:r>
                    <w:t>27.0</w:t>
                  </w:r>
                </w:p>
              </w:tc>
              <w:tc>
                <w:tcPr>
                  <w:tcW w:w="495" w:type="dxa"/>
                  <w:shd w:val="clear" w:color="auto" w:fill="auto"/>
                  <w:tcMar>
                    <w:top w:w="0" w:type="dxa"/>
                    <w:left w:w="0" w:type="dxa"/>
                    <w:bottom w:w="0" w:type="dxa"/>
                    <w:right w:w="0" w:type="dxa"/>
                  </w:tcMar>
                  <w:vAlign w:val="center"/>
                </w:tcPr>
                <w:p>
                  <w:pPr>
                    <w:pStyle w:val="66"/>
                    <w:bidi w:val="0"/>
                  </w:pPr>
                  <w:r>
                    <w:t>17.7</w:t>
                  </w:r>
                </w:p>
              </w:tc>
              <w:tc>
                <w:tcPr>
                  <w:tcW w:w="525" w:type="dxa"/>
                  <w:shd w:val="clear" w:color="auto" w:fill="auto"/>
                  <w:tcMar>
                    <w:top w:w="0" w:type="dxa"/>
                    <w:left w:w="0" w:type="dxa"/>
                    <w:bottom w:w="0" w:type="dxa"/>
                    <w:right w:w="0" w:type="dxa"/>
                  </w:tcMar>
                  <w:vAlign w:val="center"/>
                </w:tcPr>
                <w:p>
                  <w:pPr>
                    <w:pStyle w:val="66"/>
                    <w:bidi w:val="0"/>
                  </w:pPr>
                  <w:r>
                    <w:t>59.6</w:t>
                  </w:r>
                </w:p>
              </w:tc>
              <w:tc>
                <w:tcPr>
                  <w:tcW w:w="480" w:type="dxa"/>
                  <w:shd w:val="clear" w:color="auto" w:fill="auto"/>
                  <w:tcMar>
                    <w:top w:w="0" w:type="dxa"/>
                    <w:left w:w="0" w:type="dxa"/>
                    <w:bottom w:w="0" w:type="dxa"/>
                    <w:right w:w="0" w:type="dxa"/>
                  </w:tcMar>
                  <w:vAlign w:val="center"/>
                </w:tcPr>
                <w:p>
                  <w:pPr>
                    <w:pStyle w:val="66"/>
                    <w:bidi w:val="0"/>
                  </w:pPr>
                  <w:r>
                    <w:t>15.7</w:t>
                  </w:r>
                </w:p>
              </w:tc>
              <w:tc>
                <w:tcPr>
                  <w:tcW w:w="480" w:type="dxa"/>
                  <w:shd w:val="clear" w:color="auto" w:fill="auto"/>
                  <w:tcMar>
                    <w:top w:w="0" w:type="dxa"/>
                    <w:left w:w="0" w:type="dxa"/>
                    <w:bottom w:w="0" w:type="dxa"/>
                    <w:right w:w="0" w:type="dxa"/>
                  </w:tcMar>
                  <w:vAlign w:val="center"/>
                </w:tcPr>
                <w:p>
                  <w:pPr>
                    <w:pStyle w:val="66"/>
                    <w:bidi w:val="0"/>
                  </w:pPr>
                  <w:r>
                    <w:t>73.2</w:t>
                  </w:r>
                </w:p>
              </w:tc>
              <w:tc>
                <w:tcPr>
                  <w:tcW w:w="495" w:type="dxa"/>
                  <w:shd w:val="clear" w:color="auto" w:fill="auto"/>
                  <w:tcMar>
                    <w:top w:w="0" w:type="dxa"/>
                    <w:left w:w="0" w:type="dxa"/>
                    <w:bottom w:w="0" w:type="dxa"/>
                    <w:right w:w="0" w:type="dxa"/>
                  </w:tcMar>
                  <w:vAlign w:val="center"/>
                </w:tcPr>
                <w:p>
                  <w:pPr>
                    <w:pStyle w:val="66"/>
                    <w:bidi w:val="0"/>
                  </w:pPr>
                  <w:r>
                    <w:t>73.2</w:t>
                  </w:r>
                </w:p>
              </w:tc>
              <w:tc>
                <w:tcPr>
                  <w:tcW w:w="480" w:type="dxa"/>
                  <w:shd w:val="clear" w:color="auto" w:fill="auto"/>
                  <w:tcMar>
                    <w:top w:w="0" w:type="dxa"/>
                    <w:left w:w="0" w:type="dxa"/>
                    <w:bottom w:w="0" w:type="dxa"/>
                    <w:right w:w="0" w:type="dxa"/>
                  </w:tcMar>
                  <w:vAlign w:val="center"/>
                </w:tcPr>
                <w:p>
                  <w:pPr>
                    <w:pStyle w:val="66"/>
                    <w:bidi w:val="0"/>
                  </w:pPr>
                  <w:r>
                    <w:t>73.1</w:t>
                  </w:r>
                </w:p>
              </w:tc>
              <w:tc>
                <w:tcPr>
                  <w:tcW w:w="585" w:type="dxa"/>
                  <w:shd w:val="clear" w:color="auto" w:fill="auto"/>
                  <w:tcMar>
                    <w:top w:w="0" w:type="dxa"/>
                    <w:left w:w="0" w:type="dxa"/>
                    <w:bottom w:w="0" w:type="dxa"/>
                    <w:right w:w="0" w:type="dxa"/>
                  </w:tcMar>
                  <w:vAlign w:val="center"/>
                </w:tcPr>
                <w:p>
                  <w:pPr>
                    <w:pStyle w:val="66"/>
                    <w:bidi w:val="0"/>
                  </w:pPr>
                  <w:r>
                    <w:t>73.2</w:t>
                  </w:r>
                </w:p>
              </w:tc>
              <w:tc>
                <w:tcPr>
                  <w:tcW w:w="139" w:type="pct"/>
                  <w:vMerge w:val="continue"/>
                  <w:shd w:val="clear" w:color="auto" w:fill="auto"/>
                  <w:tcMar>
                    <w:top w:w="0" w:type="dxa"/>
                    <w:left w:w="0" w:type="dxa"/>
                    <w:bottom w:w="0" w:type="dxa"/>
                    <w:right w:w="0" w:type="dxa"/>
                  </w:tcMar>
                  <w:vAlign w:val="center"/>
                </w:tcPr>
                <w:p>
                  <w:pPr>
                    <w:pStyle w:val="66"/>
                    <w:bidi w:val="0"/>
                  </w:pPr>
                </w:p>
              </w:tc>
              <w:tc>
                <w:tcPr>
                  <w:tcW w:w="405" w:type="dxa"/>
                  <w:shd w:val="clear" w:color="auto" w:fill="auto"/>
                  <w:tcMar>
                    <w:top w:w="0" w:type="dxa"/>
                    <w:left w:w="0" w:type="dxa"/>
                    <w:bottom w:w="0" w:type="dxa"/>
                    <w:right w:w="0" w:type="dxa"/>
                  </w:tcMar>
                  <w:vAlign w:val="center"/>
                </w:tcPr>
                <w:p>
                  <w:pPr>
                    <w:pStyle w:val="66"/>
                    <w:bidi w:val="0"/>
                  </w:pPr>
                  <w:r>
                    <w:t>25.0</w:t>
                  </w:r>
                </w:p>
              </w:tc>
              <w:tc>
                <w:tcPr>
                  <w:tcW w:w="420" w:type="dxa"/>
                  <w:shd w:val="clear" w:color="auto" w:fill="auto"/>
                  <w:tcMar>
                    <w:top w:w="0" w:type="dxa"/>
                    <w:left w:w="0" w:type="dxa"/>
                    <w:bottom w:w="0" w:type="dxa"/>
                    <w:right w:w="0" w:type="dxa"/>
                  </w:tcMar>
                  <w:vAlign w:val="center"/>
                </w:tcPr>
                <w:p>
                  <w:pPr>
                    <w:pStyle w:val="66"/>
                    <w:bidi w:val="0"/>
                  </w:pPr>
                  <w:r>
                    <w:t>25.0</w:t>
                  </w:r>
                </w:p>
              </w:tc>
              <w:tc>
                <w:tcPr>
                  <w:tcW w:w="450" w:type="dxa"/>
                  <w:shd w:val="clear" w:color="auto" w:fill="auto"/>
                  <w:tcMar>
                    <w:top w:w="0" w:type="dxa"/>
                    <w:left w:w="0" w:type="dxa"/>
                    <w:bottom w:w="0" w:type="dxa"/>
                    <w:right w:w="0" w:type="dxa"/>
                  </w:tcMar>
                  <w:vAlign w:val="center"/>
                </w:tcPr>
                <w:p>
                  <w:pPr>
                    <w:pStyle w:val="66"/>
                    <w:bidi w:val="0"/>
                  </w:pPr>
                  <w:r>
                    <w:t>25.0</w:t>
                  </w:r>
                </w:p>
              </w:tc>
              <w:tc>
                <w:tcPr>
                  <w:tcW w:w="405" w:type="dxa"/>
                  <w:shd w:val="clear" w:color="auto" w:fill="auto"/>
                  <w:tcMar>
                    <w:top w:w="0" w:type="dxa"/>
                    <w:left w:w="0" w:type="dxa"/>
                    <w:bottom w:w="0" w:type="dxa"/>
                    <w:right w:w="0" w:type="dxa"/>
                  </w:tcMar>
                  <w:vAlign w:val="center"/>
                </w:tcPr>
                <w:p>
                  <w:pPr>
                    <w:pStyle w:val="66"/>
                    <w:bidi w:val="0"/>
                  </w:pPr>
                  <w:r>
                    <w:t>25.0</w:t>
                  </w:r>
                </w:p>
              </w:tc>
              <w:tc>
                <w:tcPr>
                  <w:tcW w:w="465" w:type="dxa"/>
                  <w:shd w:val="clear" w:color="auto" w:fill="auto"/>
                  <w:tcMar>
                    <w:top w:w="0" w:type="dxa"/>
                    <w:left w:w="0" w:type="dxa"/>
                    <w:bottom w:w="0" w:type="dxa"/>
                    <w:right w:w="0" w:type="dxa"/>
                  </w:tcMar>
                  <w:vAlign w:val="center"/>
                </w:tcPr>
                <w:p>
                  <w:pPr>
                    <w:pStyle w:val="66"/>
                    <w:bidi w:val="0"/>
                  </w:pPr>
                  <w:r>
                    <w:t>48.2</w:t>
                  </w:r>
                </w:p>
              </w:tc>
              <w:tc>
                <w:tcPr>
                  <w:tcW w:w="465" w:type="dxa"/>
                  <w:shd w:val="clear" w:color="auto" w:fill="auto"/>
                  <w:tcMar>
                    <w:top w:w="0" w:type="dxa"/>
                    <w:left w:w="0" w:type="dxa"/>
                    <w:bottom w:w="0" w:type="dxa"/>
                    <w:right w:w="0" w:type="dxa"/>
                  </w:tcMar>
                  <w:vAlign w:val="center"/>
                </w:tcPr>
                <w:p>
                  <w:pPr>
                    <w:pStyle w:val="66"/>
                    <w:bidi w:val="0"/>
                  </w:pPr>
                  <w:r>
                    <w:t>48.2</w:t>
                  </w:r>
                </w:p>
              </w:tc>
              <w:tc>
                <w:tcPr>
                  <w:tcW w:w="405" w:type="dxa"/>
                  <w:shd w:val="clear" w:color="auto" w:fill="auto"/>
                  <w:tcMar>
                    <w:top w:w="0" w:type="dxa"/>
                    <w:left w:w="0" w:type="dxa"/>
                    <w:bottom w:w="0" w:type="dxa"/>
                    <w:right w:w="0" w:type="dxa"/>
                  </w:tcMar>
                  <w:vAlign w:val="center"/>
                </w:tcPr>
                <w:p>
                  <w:pPr>
                    <w:pStyle w:val="66"/>
                    <w:bidi w:val="0"/>
                  </w:pPr>
                  <w:r>
                    <w:t>48.1</w:t>
                  </w:r>
                </w:p>
              </w:tc>
              <w:tc>
                <w:tcPr>
                  <w:tcW w:w="495" w:type="dxa"/>
                  <w:shd w:val="clear" w:color="auto" w:fill="auto"/>
                  <w:tcMar>
                    <w:top w:w="0" w:type="dxa"/>
                    <w:left w:w="0" w:type="dxa"/>
                    <w:bottom w:w="0" w:type="dxa"/>
                    <w:right w:w="0" w:type="dxa"/>
                  </w:tcMar>
                  <w:vAlign w:val="center"/>
                </w:tcPr>
                <w:p>
                  <w:pPr>
                    <w:pStyle w:val="66"/>
                    <w:bidi w:val="0"/>
                  </w:pPr>
                  <w:r>
                    <w:t>48.2</w:t>
                  </w:r>
                </w:p>
              </w:tc>
              <w:tc>
                <w:tcPr>
                  <w:tcW w:w="727" w:type="dxa"/>
                  <w:shd w:val="clear" w:color="auto" w:fill="auto"/>
                  <w:tcMar>
                    <w:top w:w="0" w:type="dxa"/>
                    <w:left w:w="0" w:type="dxa"/>
                    <w:bottom w:w="0" w:type="dxa"/>
                    <w:right w:w="0" w:type="dxa"/>
                  </w:tcMar>
                  <w:vAlign w:val="center"/>
                </w:tcPr>
                <w:p>
                  <w:pPr>
                    <w:pStyle w:val="66"/>
                    <w:bidi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52" w:type="pct"/>
                  <w:shd w:val="clear" w:color="auto" w:fill="auto"/>
                  <w:tcMar>
                    <w:top w:w="0" w:type="dxa"/>
                    <w:left w:w="0" w:type="dxa"/>
                    <w:bottom w:w="0" w:type="dxa"/>
                    <w:right w:w="0" w:type="dxa"/>
                  </w:tcMar>
                  <w:vAlign w:val="center"/>
                </w:tcPr>
                <w:p>
                  <w:pPr>
                    <w:pStyle w:val="66"/>
                    <w:bidi w:val="0"/>
                  </w:pPr>
                  <w:r>
                    <w:t>4</w:t>
                  </w:r>
                </w:p>
              </w:tc>
              <w:tc>
                <w:tcPr>
                  <w:tcW w:w="127" w:type="pct"/>
                  <w:vMerge w:val="continue"/>
                  <w:shd w:val="clear" w:color="auto" w:fill="auto"/>
                  <w:tcMar>
                    <w:top w:w="0" w:type="dxa"/>
                    <w:left w:w="0" w:type="dxa"/>
                    <w:bottom w:w="0" w:type="dxa"/>
                    <w:right w:w="0" w:type="dxa"/>
                  </w:tcMar>
                  <w:vAlign w:val="center"/>
                </w:tcPr>
                <w:p>
                  <w:pPr>
                    <w:pStyle w:val="66"/>
                    <w:bidi w:val="0"/>
                  </w:pPr>
                </w:p>
              </w:tc>
              <w:tc>
                <w:tcPr>
                  <w:tcW w:w="232" w:type="pct"/>
                  <w:shd w:val="clear" w:color="auto" w:fill="auto"/>
                  <w:tcMar>
                    <w:top w:w="0" w:type="dxa"/>
                    <w:left w:w="0" w:type="dxa"/>
                    <w:bottom w:w="0" w:type="dxa"/>
                    <w:right w:w="0" w:type="dxa"/>
                  </w:tcMar>
                  <w:vAlign w:val="center"/>
                </w:tcPr>
                <w:p>
                  <w:pPr>
                    <w:pStyle w:val="66"/>
                    <w:bidi w:val="0"/>
                  </w:pPr>
                  <w:r>
                    <w:t>空压机,4台（按点声源组预测）</w:t>
                  </w:r>
                </w:p>
              </w:tc>
              <w:tc>
                <w:tcPr>
                  <w:tcW w:w="225" w:type="pct"/>
                  <w:shd w:val="clear" w:color="auto" w:fill="auto"/>
                  <w:tcMar>
                    <w:top w:w="0" w:type="dxa"/>
                    <w:left w:w="0" w:type="dxa"/>
                    <w:bottom w:w="0" w:type="dxa"/>
                    <w:right w:w="0" w:type="dxa"/>
                  </w:tcMar>
                  <w:vAlign w:val="center"/>
                </w:tcPr>
                <w:p>
                  <w:pPr>
                    <w:pStyle w:val="66"/>
                    <w:bidi w:val="0"/>
                  </w:pPr>
                  <w:r>
                    <w:rPr>
                      <w:rFonts w:hint="default"/>
                    </w:rPr>
                    <w:t>LBLTJ-4.29m</w:t>
                  </w:r>
                </w:p>
              </w:tc>
              <w:tc>
                <w:tcPr>
                  <w:tcW w:w="252" w:type="pct"/>
                  <w:shd w:val="clear" w:color="auto" w:fill="auto"/>
                  <w:tcMar>
                    <w:top w:w="0" w:type="dxa"/>
                    <w:left w:w="0" w:type="dxa"/>
                    <w:bottom w:w="0" w:type="dxa"/>
                    <w:right w:w="0" w:type="dxa"/>
                  </w:tcMar>
                  <w:vAlign w:val="center"/>
                </w:tcPr>
                <w:p>
                  <w:pPr>
                    <w:pStyle w:val="66"/>
                    <w:bidi w:val="0"/>
                  </w:pPr>
                  <w:r>
                    <w:rPr>
                      <w:rFonts w:hint="eastAsia"/>
                    </w:rPr>
                    <w:t>80（等效后：86.0</w:t>
                  </w:r>
                </w:p>
              </w:tc>
              <w:tc>
                <w:tcPr>
                  <w:tcW w:w="328" w:type="pct"/>
                  <w:vMerge w:val="continue"/>
                  <w:shd w:val="clear" w:color="auto" w:fill="auto"/>
                  <w:tcMar>
                    <w:top w:w="0" w:type="dxa"/>
                    <w:left w:w="0" w:type="dxa"/>
                    <w:bottom w:w="0" w:type="dxa"/>
                    <w:right w:w="0" w:type="dxa"/>
                  </w:tcMar>
                  <w:vAlign w:val="center"/>
                </w:tcPr>
                <w:p>
                  <w:pPr>
                    <w:pStyle w:val="66"/>
                    <w:bidi w:val="0"/>
                  </w:pPr>
                </w:p>
              </w:tc>
              <w:tc>
                <w:tcPr>
                  <w:tcW w:w="193" w:type="pct"/>
                  <w:shd w:val="clear" w:color="auto" w:fill="auto"/>
                  <w:tcMar>
                    <w:top w:w="0" w:type="dxa"/>
                    <w:left w:w="0" w:type="dxa"/>
                    <w:bottom w:w="0" w:type="dxa"/>
                    <w:right w:w="0" w:type="dxa"/>
                  </w:tcMar>
                  <w:vAlign w:val="center"/>
                </w:tcPr>
                <w:p>
                  <w:pPr>
                    <w:pStyle w:val="66"/>
                    <w:bidi w:val="0"/>
                  </w:pPr>
                  <w:r>
                    <w:t>5.1</w:t>
                  </w:r>
                </w:p>
              </w:tc>
              <w:tc>
                <w:tcPr>
                  <w:tcW w:w="199" w:type="pct"/>
                  <w:shd w:val="clear" w:color="auto" w:fill="auto"/>
                  <w:tcMar>
                    <w:top w:w="0" w:type="dxa"/>
                    <w:left w:w="0" w:type="dxa"/>
                    <w:bottom w:w="0" w:type="dxa"/>
                    <w:right w:w="0" w:type="dxa"/>
                  </w:tcMar>
                  <w:vAlign w:val="center"/>
                </w:tcPr>
                <w:p>
                  <w:pPr>
                    <w:pStyle w:val="66"/>
                    <w:bidi w:val="0"/>
                  </w:pPr>
                  <w:r>
                    <w:t>-4.3</w:t>
                  </w:r>
                </w:p>
              </w:tc>
              <w:tc>
                <w:tcPr>
                  <w:tcW w:w="170" w:type="pct"/>
                  <w:shd w:val="clear" w:color="auto" w:fill="auto"/>
                  <w:tcMar>
                    <w:top w:w="0" w:type="dxa"/>
                    <w:left w:w="0" w:type="dxa"/>
                    <w:bottom w:w="0" w:type="dxa"/>
                    <w:right w:w="0" w:type="dxa"/>
                  </w:tcMar>
                  <w:vAlign w:val="center"/>
                </w:tcPr>
                <w:p>
                  <w:pPr>
                    <w:pStyle w:val="66"/>
                    <w:bidi w:val="0"/>
                  </w:pPr>
                  <w:r>
                    <w:t>1.2</w:t>
                  </w:r>
                </w:p>
              </w:tc>
              <w:tc>
                <w:tcPr>
                  <w:tcW w:w="188" w:type="pct"/>
                  <w:shd w:val="clear" w:color="auto" w:fill="auto"/>
                  <w:tcMar>
                    <w:top w:w="0" w:type="dxa"/>
                    <w:left w:w="0" w:type="dxa"/>
                    <w:bottom w:w="0" w:type="dxa"/>
                    <w:right w:w="0" w:type="dxa"/>
                  </w:tcMar>
                  <w:vAlign w:val="center"/>
                </w:tcPr>
                <w:p>
                  <w:pPr>
                    <w:pStyle w:val="66"/>
                    <w:bidi w:val="0"/>
                  </w:pPr>
                  <w:r>
                    <w:t>33.9</w:t>
                  </w:r>
                </w:p>
              </w:tc>
              <w:tc>
                <w:tcPr>
                  <w:tcW w:w="177" w:type="pct"/>
                  <w:shd w:val="clear" w:color="auto" w:fill="auto"/>
                  <w:tcMar>
                    <w:top w:w="0" w:type="dxa"/>
                    <w:left w:w="0" w:type="dxa"/>
                    <w:bottom w:w="0" w:type="dxa"/>
                    <w:right w:w="0" w:type="dxa"/>
                  </w:tcMar>
                  <w:vAlign w:val="center"/>
                </w:tcPr>
                <w:p>
                  <w:pPr>
                    <w:pStyle w:val="66"/>
                    <w:bidi w:val="0"/>
                  </w:pPr>
                  <w:r>
                    <w:t>13.4</w:t>
                  </w:r>
                </w:p>
              </w:tc>
              <w:tc>
                <w:tcPr>
                  <w:tcW w:w="188" w:type="pct"/>
                  <w:shd w:val="clear" w:color="auto" w:fill="auto"/>
                  <w:tcMar>
                    <w:top w:w="0" w:type="dxa"/>
                    <w:left w:w="0" w:type="dxa"/>
                    <w:bottom w:w="0" w:type="dxa"/>
                    <w:right w:w="0" w:type="dxa"/>
                  </w:tcMar>
                  <w:vAlign w:val="center"/>
                </w:tcPr>
                <w:p>
                  <w:pPr>
                    <w:pStyle w:val="66"/>
                    <w:bidi w:val="0"/>
                  </w:pPr>
                  <w:r>
                    <w:t>52.6</w:t>
                  </w:r>
                </w:p>
              </w:tc>
              <w:tc>
                <w:tcPr>
                  <w:tcW w:w="172" w:type="pct"/>
                  <w:shd w:val="clear" w:color="auto" w:fill="auto"/>
                  <w:tcMar>
                    <w:top w:w="0" w:type="dxa"/>
                    <w:left w:w="0" w:type="dxa"/>
                    <w:bottom w:w="0" w:type="dxa"/>
                    <w:right w:w="0" w:type="dxa"/>
                  </w:tcMar>
                  <w:vAlign w:val="center"/>
                </w:tcPr>
                <w:p>
                  <w:pPr>
                    <w:pStyle w:val="66"/>
                    <w:bidi w:val="0"/>
                  </w:pPr>
                  <w:r>
                    <w:t>20.0</w:t>
                  </w:r>
                </w:p>
              </w:tc>
              <w:tc>
                <w:tcPr>
                  <w:tcW w:w="172" w:type="pct"/>
                  <w:shd w:val="clear" w:color="auto" w:fill="auto"/>
                  <w:tcMar>
                    <w:top w:w="0" w:type="dxa"/>
                    <w:left w:w="0" w:type="dxa"/>
                    <w:bottom w:w="0" w:type="dxa"/>
                    <w:right w:w="0" w:type="dxa"/>
                  </w:tcMar>
                  <w:vAlign w:val="center"/>
                </w:tcPr>
                <w:p>
                  <w:pPr>
                    <w:pStyle w:val="66"/>
                    <w:bidi w:val="0"/>
                  </w:pPr>
                  <w:r>
                    <w:t>59.1</w:t>
                  </w:r>
                </w:p>
              </w:tc>
              <w:tc>
                <w:tcPr>
                  <w:tcW w:w="177" w:type="pct"/>
                  <w:shd w:val="clear" w:color="auto" w:fill="auto"/>
                  <w:tcMar>
                    <w:top w:w="0" w:type="dxa"/>
                    <w:left w:w="0" w:type="dxa"/>
                    <w:bottom w:w="0" w:type="dxa"/>
                    <w:right w:w="0" w:type="dxa"/>
                  </w:tcMar>
                  <w:vAlign w:val="center"/>
                </w:tcPr>
                <w:p>
                  <w:pPr>
                    <w:pStyle w:val="66"/>
                    <w:bidi w:val="0"/>
                  </w:pPr>
                  <w:r>
                    <w:t>59.2</w:t>
                  </w:r>
                </w:p>
              </w:tc>
              <w:tc>
                <w:tcPr>
                  <w:tcW w:w="172" w:type="pct"/>
                  <w:shd w:val="clear" w:color="auto" w:fill="auto"/>
                  <w:tcMar>
                    <w:top w:w="0" w:type="dxa"/>
                    <w:left w:w="0" w:type="dxa"/>
                    <w:bottom w:w="0" w:type="dxa"/>
                    <w:right w:w="0" w:type="dxa"/>
                  </w:tcMar>
                  <w:vAlign w:val="center"/>
                </w:tcPr>
                <w:p>
                  <w:pPr>
                    <w:pStyle w:val="66"/>
                    <w:bidi w:val="0"/>
                  </w:pPr>
                  <w:r>
                    <w:t>59.1</w:t>
                  </w:r>
                </w:p>
              </w:tc>
              <w:tc>
                <w:tcPr>
                  <w:tcW w:w="209" w:type="pct"/>
                  <w:shd w:val="clear" w:color="auto" w:fill="auto"/>
                  <w:tcMar>
                    <w:top w:w="0" w:type="dxa"/>
                    <w:left w:w="0" w:type="dxa"/>
                    <w:bottom w:w="0" w:type="dxa"/>
                    <w:right w:w="0" w:type="dxa"/>
                  </w:tcMar>
                  <w:vAlign w:val="center"/>
                </w:tcPr>
                <w:p>
                  <w:pPr>
                    <w:pStyle w:val="66"/>
                    <w:bidi w:val="0"/>
                  </w:pPr>
                  <w:r>
                    <w:t>59.2</w:t>
                  </w:r>
                </w:p>
              </w:tc>
              <w:tc>
                <w:tcPr>
                  <w:tcW w:w="139" w:type="pct"/>
                  <w:vMerge w:val="continue"/>
                  <w:shd w:val="clear" w:color="auto" w:fill="auto"/>
                  <w:tcMar>
                    <w:top w:w="0" w:type="dxa"/>
                    <w:left w:w="0" w:type="dxa"/>
                    <w:bottom w:w="0" w:type="dxa"/>
                    <w:right w:w="0" w:type="dxa"/>
                  </w:tcMar>
                  <w:vAlign w:val="center"/>
                </w:tcPr>
                <w:p>
                  <w:pPr>
                    <w:pStyle w:val="66"/>
                    <w:bidi w:val="0"/>
                  </w:pPr>
                </w:p>
              </w:tc>
              <w:tc>
                <w:tcPr>
                  <w:tcW w:w="405" w:type="dxa"/>
                  <w:shd w:val="clear" w:color="auto" w:fill="auto"/>
                  <w:tcMar>
                    <w:top w:w="0" w:type="dxa"/>
                    <w:left w:w="0" w:type="dxa"/>
                    <w:bottom w:w="0" w:type="dxa"/>
                    <w:right w:w="0" w:type="dxa"/>
                  </w:tcMar>
                  <w:vAlign w:val="center"/>
                </w:tcPr>
                <w:p>
                  <w:pPr>
                    <w:pStyle w:val="66"/>
                    <w:bidi w:val="0"/>
                  </w:pPr>
                  <w:r>
                    <w:t>25.0</w:t>
                  </w:r>
                </w:p>
              </w:tc>
              <w:tc>
                <w:tcPr>
                  <w:tcW w:w="420" w:type="dxa"/>
                  <w:shd w:val="clear" w:color="auto" w:fill="auto"/>
                  <w:tcMar>
                    <w:top w:w="0" w:type="dxa"/>
                    <w:left w:w="0" w:type="dxa"/>
                    <w:bottom w:w="0" w:type="dxa"/>
                    <w:right w:w="0" w:type="dxa"/>
                  </w:tcMar>
                  <w:vAlign w:val="center"/>
                </w:tcPr>
                <w:p>
                  <w:pPr>
                    <w:pStyle w:val="66"/>
                    <w:bidi w:val="0"/>
                  </w:pPr>
                  <w:r>
                    <w:t>25.0</w:t>
                  </w:r>
                </w:p>
              </w:tc>
              <w:tc>
                <w:tcPr>
                  <w:tcW w:w="450" w:type="dxa"/>
                  <w:shd w:val="clear" w:color="auto" w:fill="auto"/>
                  <w:tcMar>
                    <w:top w:w="0" w:type="dxa"/>
                    <w:left w:w="0" w:type="dxa"/>
                    <w:bottom w:w="0" w:type="dxa"/>
                    <w:right w:w="0" w:type="dxa"/>
                  </w:tcMar>
                  <w:vAlign w:val="center"/>
                </w:tcPr>
                <w:p>
                  <w:pPr>
                    <w:pStyle w:val="66"/>
                    <w:bidi w:val="0"/>
                  </w:pPr>
                  <w:r>
                    <w:t>25.0</w:t>
                  </w:r>
                </w:p>
              </w:tc>
              <w:tc>
                <w:tcPr>
                  <w:tcW w:w="405" w:type="dxa"/>
                  <w:shd w:val="clear" w:color="auto" w:fill="auto"/>
                  <w:tcMar>
                    <w:top w:w="0" w:type="dxa"/>
                    <w:left w:w="0" w:type="dxa"/>
                    <w:bottom w:w="0" w:type="dxa"/>
                    <w:right w:w="0" w:type="dxa"/>
                  </w:tcMar>
                  <w:vAlign w:val="center"/>
                </w:tcPr>
                <w:p>
                  <w:pPr>
                    <w:pStyle w:val="66"/>
                    <w:bidi w:val="0"/>
                  </w:pPr>
                  <w:r>
                    <w:t>25.0</w:t>
                  </w:r>
                </w:p>
              </w:tc>
              <w:tc>
                <w:tcPr>
                  <w:tcW w:w="465" w:type="dxa"/>
                  <w:shd w:val="clear" w:color="auto" w:fill="auto"/>
                  <w:tcMar>
                    <w:top w:w="0" w:type="dxa"/>
                    <w:left w:w="0" w:type="dxa"/>
                    <w:bottom w:w="0" w:type="dxa"/>
                    <w:right w:w="0" w:type="dxa"/>
                  </w:tcMar>
                  <w:vAlign w:val="center"/>
                </w:tcPr>
                <w:p>
                  <w:pPr>
                    <w:pStyle w:val="66"/>
                    <w:bidi w:val="0"/>
                  </w:pPr>
                  <w:r>
                    <w:t>46.1</w:t>
                  </w:r>
                </w:p>
              </w:tc>
              <w:tc>
                <w:tcPr>
                  <w:tcW w:w="465" w:type="dxa"/>
                  <w:shd w:val="clear" w:color="auto" w:fill="auto"/>
                  <w:tcMar>
                    <w:top w:w="0" w:type="dxa"/>
                    <w:left w:w="0" w:type="dxa"/>
                    <w:bottom w:w="0" w:type="dxa"/>
                    <w:right w:w="0" w:type="dxa"/>
                  </w:tcMar>
                  <w:vAlign w:val="center"/>
                </w:tcPr>
                <w:p>
                  <w:pPr>
                    <w:pStyle w:val="66"/>
                    <w:bidi w:val="0"/>
                  </w:pPr>
                  <w:r>
                    <w:t>46.2</w:t>
                  </w:r>
                </w:p>
              </w:tc>
              <w:tc>
                <w:tcPr>
                  <w:tcW w:w="405" w:type="dxa"/>
                  <w:shd w:val="clear" w:color="auto" w:fill="auto"/>
                  <w:tcMar>
                    <w:top w:w="0" w:type="dxa"/>
                    <w:left w:w="0" w:type="dxa"/>
                    <w:bottom w:w="0" w:type="dxa"/>
                    <w:right w:w="0" w:type="dxa"/>
                  </w:tcMar>
                  <w:vAlign w:val="center"/>
                </w:tcPr>
                <w:p>
                  <w:pPr>
                    <w:pStyle w:val="66"/>
                    <w:bidi w:val="0"/>
                  </w:pPr>
                  <w:r>
                    <w:t>46.1</w:t>
                  </w:r>
                </w:p>
              </w:tc>
              <w:tc>
                <w:tcPr>
                  <w:tcW w:w="495" w:type="dxa"/>
                  <w:shd w:val="clear" w:color="auto" w:fill="auto"/>
                  <w:tcMar>
                    <w:top w:w="0" w:type="dxa"/>
                    <w:left w:w="0" w:type="dxa"/>
                    <w:bottom w:w="0" w:type="dxa"/>
                    <w:right w:w="0" w:type="dxa"/>
                  </w:tcMar>
                  <w:vAlign w:val="center"/>
                </w:tcPr>
                <w:p>
                  <w:pPr>
                    <w:pStyle w:val="66"/>
                    <w:bidi w:val="0"/>
                  </w:pPr>
                  <w:r>
                    <w:t>46.2</w:t>
                  </w:r>
                </w:p>
              </w:tc>
              <w:tc>
                <w:tcPr>
                  <w:tcW w:w="727" w:type="dxa"/>
                  <w:shd w:val="clear" w:color="auto" w:fill="auto"/>
                  <w:tcMar>
                    <w:top w:w="0" w:type="dxa"/>
                    <w:left w:w="0" w:type="dxa"/>
                    <w:bottom w:w="0" w:type="dxa"/>
                    <w:right w:w="0" w:type="dxa"/>
                  </w:tcMar>
                  <w:vAlign w:val="center"/>
                </w:tcPr>
                <w:p>
                  <w:pPr>
                    <w:pStyle w:val="66"/>
                    <w:bidi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52" w:type="pct"/>
                  <w:shd w:val="clear" w:color="auto" w:fill="auto"/>
                  <w:tcMar>
                    <w:top w:w="0" w:type="dxa"/>
                    <w:left w:w="0" w:type="dxa"/>
                    <w:bottom w:w="0" w:type="dxa"/>
                    <w:right w:w="0" w:type="dxa"/>
                  </w:tcMar>
                  <w:vAlign w:val="center"/>
                </w:tcPr>
                <w:p>
                  <w:pPr>
                    <w:pStyle w:val="66"/>
                    <w:bidi w:val="0"/>
                  </w:pPr>
                  <w:r>
                    <w:t>5</w:t>
                  </w:r>
                </w:p>
              </w:tc>
              <w:tc>
                <w:tcPr>
                  <w:tcW w:w="127" w:type="pct"/>
                  <w:vMerge w:val="continue"/>
                  <w:shd w:val="clear" w:color="auto" w:fill="auto"/>
                  <w:tcMar>
                    <w:top w:w="0" w:type="dxa"/>
                    <w:left w:w="0" w:type="dxa"/>
                    <w:bottom w:w="0" w:type="dxa"/>
                    <w:right w:w="0" w:type="dxa"/>
                  </w:tcMar>
                  <w:vAlign w:val="center"/>
                </w:tcPr>
                <w:p>
                  <w:pPr>
                    <w:pStyle w:val="66"/>
                    <w:bidi w:val="0"/>
                  </w:pPr>
                </w:p>
              </w:tc>
              <w:tc>
                <w:tcPr>
                  <w:tcW w:w="232" w:type="pct"/>
                  <w:shd w:val="clear" w:color="auto" w:fill="auto"/>
                  <w:tcMar>
                    <w:top w:w="0" w:type="dxa"/>
                    <w:left w:w="0" w:type="dxa"/>
                    <w:bottom w:w="0" w:type="dxa"/>
                    <w:right w:w="0" w:type="dxa"/>
                  </w:tcMar>
                  <w:vAlign w:val="center"/>
                </w:tcPr>
                <w:p>
                  <w:pPr>
                    <w:pStyle w:val="66"/>
                    <w:bidi w:val="0"/>
                  </w:pPr>
                  <w:r>
                    <w:rPr>
                      <w:rFonts w:hint="eastAsia"/>
                      <w:lang w:val="en-US" w:eastAsia="zh-CN"/>
                    </w:rPr>
                    <w:t>筛</w:t>
                  </w:r>
                  <w:r>
                    <w:rPr>
                      <w:rFonts w:hint="eastAsia"/>
                    </w:rPr>
                    <w:t>分机,</w:t>
                  </w:r>
                  <w:r>
                    <w:rPr>
                      <w:rFonts w:hint="eastAsia"/>
                      <w:lang w:val="en-US" w:eastAsia="zh-CN"/>
                    </w:rPr>
                    <w:t>4</w:t>
                  </w:r>
                  <w:r>
                    <w:rPr>
                      <w:rFonts w:hint="eastAsia"/>
                    </w:rPr>
                    <w:t>台</w:t>
                  </w:r>
                  <w:r>
                    <w:rPr>
                      <w:rFonts w:hint="eastAsia"/>
                      <w:lang w:val="en-US" w:eastAsia="zh-CN"/>
                    </w:rPr>
                    <w:t>组</w:t>
                  </w:r>
                  <w:r>
                    <w:rPr>
                      <w:rFonts w:hint="eastAsia"/>
                    </w:rPr>
                    <w:t>（按点声源组预测）</w:t>
                  </w:r>
                </w:p>
              </w:tc>
              <w:tc>
                <w:tcPr>
                  <w:tcW w:w="225" w:type="pct"/>
                  <w:shd w:val="clear" w:color="auto" w:fill="auto"/>
                  <w:tcMar>
                    <w:top w:w="0" w:type="dxa"/>
                    <w:left w:w="0" w:type="dxa"/>
                    <w:bottom w:w="0" w:type="dxa"/>
                    <w:right w:w="0" w:type="dxa"/>
                  </w:tcMar>
                  <w:vAlign w:val="center"/>
                </w:tcPr>
                <w:p>
                  <w:pPr>
                    <w:pStyle w:val="66"/>
                    <w:bidi w:val="0"/>
                  </w:pPr>
                  <w:r>
                    <w:rPr>
                      <w:rFonts w:hint="eastAsia"/>
                      <w:lang w:val="en-US" w:eastAsia="zh-CN"/>
                    </w:rPr>
                    <w:t>FYBS1536-4S河南20240630</w:t>
                  </w:r>
                </w:p>
              </w:tc>
              <w:tc>
                <w:tcPr>
                  <w:tcW w:w="252" w:type="pct"/>
                  <w:shd w:val="clear" w:color="auto" w:fill="auto"/>
                  <w:tcMar>
                    <w:top w:w="0" w:type="dxa"/>
                    <w:left w:w="0" w:type="dxa"/>
                    <w:bottom w:w="0" w:type="dxa"/>
                    <w:right w:w="0" w:type="dxa"/>
                  </w:tcMar>
                  <w:vAlign w:val="center"/>
                </w:tcPr>
                <w:p>
                  <w:pPr>
                    <w:pStyle w:val="66"/>
                    <w:bidi w:val="0"/>
                  </w:pPr>
                  <w:r>
                    <w:rPr>
                      <w:rFonts w:ascii="Arial" w:hAnsi="Arial" w:eastAsia="Arial" w:cs="Arial"/>
                      <w:sz w:val="20"/>
                    </w:rPr>
                    <w:t>81（等效后：87.0)</w:t>
                  </w:r>
                </w:p>
              </w:tc>
              <w:tc>
                <w:tcPr>
                  <w:tcW w:w="328" w:type="pct"/>
                  <w:vMerge w:val="continue"/>
                  <w:shd w:val="clear" w:color="auto" w:fill="auto"/>
                  <w:tcMar>
                    <w:top w:w="0" w:type="dxa"/>
                    <w:left w:w="0" w:type="dxa"/>
                    <w:bottom w:w="0" w:type="dxa"/>
                    <w:right w:w="0" w:type="dxa"/>
                  </w:tcMar>
                  <w:vAlign w:val="center"/>
                </w:tcPr>
                <w:p>
                  <w:pPr>
                    <w:pStyle w:val="66"/>
                    <w:bidi w:val="0"/>
                  </w:pPr>
                </w:p>
              </w:tc>
              <w:tc>
                <w:tcPr>
                  <w:tcW w:w="193" w:type="pct"/>
                  <w:shd w:val="clear" w:color="auto" w:fill="auto"/>
                  <w:tcMar>
                    <w:top w:w="0" w:type="dxa"/>
                    <w:left w:w="0" w:type="dxa"/>
                    <w:bottom w:w="0" w:type="dxa"/>
                    <w:right w:w="0" w:type="dxa"/>
                  </w:tcMar>
                  <w:vAlign w:val="center"/>
                </w:tcPr>
                <w:p>
                  <w:pPr>
                    <w:pStyle w:val="66"/>
                    <w:bidi w:val="0"/>
                  </w:pPr>
                  <w:r>
                    <w:t>-2.6</w:t>
                  </w:r>
                </w:p>
              </w:tc>
              <w:tc>
                <w:tcPr>
                  <w:tcW w:w="199" w:type="pct"/>
                  <w:shd w:val="clear" w:color="auto" w:fill="auto"/>
                  <w:tcMar>
                    <w:top w:w="0" w:type="dxa"/>
                    <w:left w:w="0" w:type="dxa"/>
                    <w:bottom w:w="0" w:type="dxa"/>
                    <w:right w:w="0" w:type="dxa"/>
                  </w:tcMar>
                  <w:vAlign w:val="center"/>
                </w:tcPr>
                <w:p>
                  <w:pPr>
                    <w:pStyle w:val="66"/>
                    <w:bidi w:val="0"/>
                  </w:pPr>
                  <w:r>
                    <w:t>0.6</w:t>
                  </w:r>
                </w:p>
              </w:tc>
              <w:tc>
                <w:tcPr>
                  <w:tcW w:w="170" w:type="pct"/>
                  <w:shd w:val="clear" w:color="auto" w:fill="auto"/>
                  <w:tcMar>
                    <w:top w:w="0" w:type="dxa"/>
                    <w:left w:w="0" w:type="dxa"/>
                    <w:bottom w:w="0" w:type="dxa"/>
                    <w:right w:w="0" w:type="dxa"/>
                  </w:tcMar>
                  <w:vAlign w:val="center"/>
                </w:tcPr>
                <w:p>
                  <w:pPr>
                    <w:pStyle w:val="66"/>
                    <w:bidi w:val="0"/>
                  </w:pPr>
                  <w:r>
                    <w:t>1.2</w:t>
                  </w:r>
                </w:p>
              </w:tc>
              <w:tc>
                <w:tcPr>
                  <w:tcW w:w="188" w:type="pct"/>
                  <w:shd w:val="clear" w:color="auto" w:fill="auto"/>
                  <w:tcMar>
                    <w:top w:w="0" w:type="dxa"/>
                    <w:left w:w="0" w:type="dxa"/>
                    <w:bottom w:w="0" w:type="dxa"/>
                    <w:right w:w="0" w:type="dxa"/>
                  </w:tcMar>
                  <w:vAlign w:val="center"/>
                </w:tcPr>
                <w:p>
                  <w:pPr>
                    <w:pStyle w:val="66"/>
                    <w:bidi w:val="0"/>
                  </w:pPr>
                  <w:r>
                    <w:t>42.2</w:t>
                  </w:r>
                </w:p>
              </w:tc>
              <w:tc>
                <w:tcPr>
                  <w:tcW w:w="177" w:type="pct"/>
                  <w:shd w:val="clear" w:color="auto" w:fill="auto"/>
                  <w:tcMar>
                    <w:top w:w="0" w:type="dxa"/>
                    <w:left w:w="0" w:type="dxa"/>
                    <w:bottom w:w="0" w:type="dxa"/>
                    <w:right w:w="0" w:type="dxa"/>
                  </w:tcMar>
                  <w:vAlign w:val="center"/>
                </w:tcPr>
                <w:p>
                  <w:pPr>
                    <w:pStyle w:val="66"/>
                    <w:bidi w:val="0"/>
                  </w:pPr>
                  <w:r>
                    <w:t>17.3</w:t>
                  </w:r>
                </w:p>
              </w:tc>
              <w:tc>
                <w:tcPr>
                  <w:tcW w:w="188" w:type="pct"/>
                  <w:shd w:val="clear" w:color="auto" w:fill="auto"/>
                  <w:tcMar>
                    <w:top w:w="0" w:type="dxa"/>
                    <w:left w:w="0" w:type="dxa"/>
                    <w:bottom w:w="0" w:type="dxa"/>
                    <w:right w:w="0" w:type="dxa"/>
                  </w:tcMar>
                  <w:vAlign w:val="center"/>
                </w:tcPr>
                <w:p>
                  <w:pPr>
                    <w:pStyle w:val="66"/>
                    <w:bidi w:val="0"/>
                  </w:pPr>
                  <w:r>
                    <w:t>44.4</w:t>
                  </w:r>
                </w:p>
              </w:tc>
              <w:tc>
                <w:tcPr>
                  <w:tcW w:w="172" w:type="pct"/>
                  <w:shd w:val="clear" w:color="auto" w:fill="auto"/>
                  <w:tcMar>
                    <w:top w:w="0" w:type="dxa"/>
                    <w:left w:w="0" w:type="dxa"/>
                    <w:bottom w:w="0" w:type="dxa"/>
                    <w:right w:w="0" w:type="dxa"/>
                  </w:tcMar>
                  <w:vAlign w:val="center"/>
                </w:tcPr>
                <w:p>
                  <w:pPr>
                    <w:pStyle w:val="66"/>
                    <w:bidi w:val="0"/>
                  </w:pPr>
                  <w:r>
                    <w:t>16.2</w:t>
                  </w:r>
                </w:p>
              </w:tc>
              <w:tc>
                <w:tcPr>
                  <w:tcW w:w="172" w:type="pct"/>
                  <w:shd w:val="clear" w:color="auto" w:fill="auto"/>
                  <w:tcMar>
                    <w:top w:w="0" w:type="dxa"/>
                    <w:left w:w="0" w:type="dxa"/>
                    <w:bottom w:w="0" w:type="dxa"/>
                    <w:right w:w="0" w:type="dxa"/>
                  </w:tcMar>
                  <w:vAlign w:val="center"/>
                </w:tcPr>
                <w:p>
                  <w:pPr>
                    <w:pStyle w:val="66"/>
                    <w:bidi w:val="0"/>
                  </w:pPr>
                  <w:r>
                    <w:t>64.1</w:t>
                  </w:r>
                </w:p>
              </w:tc>
              <w:tc>
                <w:tcPr>
                  <w:tcW w:w="177" w:type="pct"/>
                  <w:shd w:val="clear" w:color="auto" w:fill="auto"/>
                  <w:tcMar>
                    <w:top w:w="0" w:type="dxa"/>
                    <w:left w:w="0" w:type="dxa"/>
                    <w:bottom w:w="0" w:type="dxa"/>
                    <w:right w:w="0" w:type="dxa"/>
                  </w:tcMar>
                  <w:vAlign w:val="center"/>
                </w:tcPr>
                <w:p>
                  <w:pPr>
                    <w:pStyle w:val="66"/>
                    <w:bidi w:val="0"/>
                  </w:pPr>
                  <w:r>
                    <w:t>64.2</w:t>
                  </w:r>
                </w:p>
              </w:tc>
              <w:tc>
                <w:tcPr>
                  <w:tcW w:w="172" w:type="pct"/>
                  <w:shd w:val="clear" w:color="auto" w:fill="auto"/>
                  <w:tcMar>
                    <w:top w:w="0" w:type="dxa"/>
                    <w:left w:w="0" w:type="dxa"/>
                    <w:bottom w:w="0" w:type="dxa"/>
                    <w:right w:w="0" w:type="dxa"/>
                  </w:tcMar>
                  <w:vAlign w:val="center"/>
                </w:tcPr>
                <w:p>
                  <w:pPr>
                    <w:pStyle w:val="66"/>
                    <w:bidi w:val="0"/>
                  </w:pPr>
                  <w:r>
                    <w:t>64.1</w:t>
                  </w:r>
                </w:p>
              </w:tc>
              <w:tc>
                <w:tcPr>
                  <w:tcW w:w="209" w:type="pct"/>
                  <w:shd w:val="clear" w:color="auto" w:fill="auto"/>
                  <w:tcMar>
                    <w:top w:w="0" w:type="dxa"/>
                    <w:left w:w="0" w:type="dxa"/>
                    <w:bottom w:w="0" w:type="dxa"/>
                    <w:right w:w="0" w:type="dxa"/>
                  </w:tcMar>
                  <w:vAlign w:val="center"/>
                </w:tcPr>
                <w:p>
                  <w:pPr>
                    <w:pStyle w:val="66"/>
                    <w:bidi w:val="0"/>
                  </w:pPr>
                  <w:r>
                    <w:t>64.2</w:t>
                  </w:r>
                </w:p>
              </w:tc>
              <w:tc>
                <w:tcPr>
                  <w:tcW w:w="139" w:type="pct"/>
                  <w:vMerge w:val="continue"/>
                  <w:shd w:val="clear" w:color="auto" w:fill="auto"/>
                  <w:tcMar>
                    <w:top w:w="0" w:type="dxa"/>
                    <w:left w:w="0" w:type="dxa"/>
                    <w:bottom w:w="0" w:type="dxa"/>
                    <w:right w:w="0" w:type="dxa"/>
                  </w:tcMar>
                  <w:vAlign w:val="center"/>
                </w:tcPr>
                <w:p>
                  <w:pPr>
                    <w:pStyle w:val="66"/>
                    <w:bidi w:val="0"/>
                  </w:pPr>
                </w:p>
              </w:tc>
              <w:tc>
                <w:tcPr>
                  <w:tcW w:w="405" w:type="dxa"/>
                  <w:shd w:val="clear" w:color="auto" w:fill="auto"/>
                  <w:tcMar>
                    <w:top w:w="0" w:type="dxa"/>
                    <w:left w:w="0" w:type="dxa"/>
                    <w:bottom w:w="0" w:type="dxa"/>
                    <w:right w:w="0" w:type="dxa"/>
                  </w:tcMar>
                  <w:vAlign w:val="center"/>
                </w:tcPr>
                <w:p>
                  <w:pPr>
                    <w:pStyle w:val="66"/>
                    <w:bidi w:val="0"/>
                  </w:pPr>
                  <w:r>
                    <w:t>25.0</w:t>
                  </w:r>
                </w:p>
              </w:tc>
              <w:tc>
                <w:tcPr>
                  <w:tcW w:w="420" w:type="dxa"/>
                  <w:shd w:val="clear" w:color="auto" w:fill="auto"/>
                  <w:tcMar>
                    <w:top w:w="0" w:type="dxa"/>
                    <w:left w:w="0" w:type="dxa"/>
                    <w:bottom w:w="0" w:type="dxa"/>
                    <w:right w:w="0" w:type="dxa"/>
                  </w:tcMar>
                  <w:vAlign w:val="center"/>
                </w:tcPr>
                <w:p>
                  <w:pPr>
                    <w:pStyle w:val="66"/>
                    <w:bidi w:val="0"/>
                  </w:pPr>
                  <w:r>
                    <w:t>25.0</w:t>
                  </w:r>
                </w:p>
              </w:tc>
              <w:tc>
                <w:tcPr>
                  <w:tcW w:w="450" w:type="dxa"/>
                  <w:shd w:val="clear" w:color="auto" w:fill="auto"/>
                  <w:tcMar>
                    <w:top w:w="0" w:type="dxa"/>
                    <w:left w:w="0" w:type="dxa"/>
                    <w:bottom w:w="0" w:type="dxa"/>
                    <w:right w:w="0" w:type="dxa"/>
                  </w:tcMar>
                  <w:vAlign w:val="center"/>
                </w:tcPr>
                <w:p>
                  <w:pPr>
                    <w:pStyle w:val="66"/>
                    <w:bidi w:val="0"/>
                  </w:pPr>
                  <w:r>
                    <w:t>25.0</w:t>
                  </w:r>
                </w:p>
              </w:tc>
              <w:tc>
                <w:tcPr>
                  <w:tcW w:w="405" w:type="dxa"/>
                  <w:shd w:val="clear" w:color="auto" w:fill="auto"/>
                  <w:tcMar>
                    <w:top w:w="0" w:type="dxa"/>
                    <w:left w:w="0" w:type="dxa"/>
                    <w:bottom w:w="0" w:type="dxa"/>
                    <w:right w:w="0" w:type="dxa"/>
                  </w:tcMar>
                  <w:vAlign w:val="center"/>
                </w:tcPr>
                <w:p>
                  <w:pPr>
                    <w:pStyle w:val="66"/>
                    <w:bidi w:val="0"/>
                  </w:pPr>
                  <w:r>
                    <w:t>25.0</w:t>
                  </w:r>
                </w:p>
              </w:tc>
              <w:tc>
                <w:tcPr>
                  <w:tcW w:w="465" w:type="dxa"/>
                  <w:shd w:val="clear" w:color="auto" w:fill="auto"/>
                  <w:tcMar>
                    <w:top w:w="0" w:type="dxa"/>
                    <w:left w:w="0" w:type="dxa"/>
                    <w:bottom w:w="0" w:type="dxa"/>
                    <w:right w:w="0" w:type="dxa"/>
                  </w:tcMar>
                  <w:vAlign w:val="center"/>
                </w:tcPr>
                <w:p>
                  <w:pPr>
                    <w:pStyle w:val="66"/>
                    <w:bidi w:val="0"/>
                  </w:pPr>
                  <w:r>
                    <w:t>47.1</w:t>
                  </w:r>
                </w:p>
              </w:tc>
              <w:tc>
                <w:tcPr>
                  <w:tcW w:w="465" w:type="dxa"/>
                  <w:shd w:val="clear" w:color="auto" w:fill="auto"/>
                  <w:tcMar>
                    <w:top w:w="0" w:type="dxa"/>
                    <w:left w:w="0" w:type="dxa"/>
                    <w:bottom w:w="0" w:type="dxa"/>
                    <w:right w:w="0" w:type="dxa"/>
                  </w:tcMar>
                  <w:vAlign w:val="center"/>
                </w:tcPr>
                <w:p>
                  <w:pPr>
                    <w:pStyle w:val="66"/>
                    <w:bidi w:val="0"/>
                  </w:pPr>
                  <w:r>
                    <w:t>47.2</w:t>
                  </w:r>
                </w:p>
              </w:tc>
              <w:tc>
                <w:tcPr>
                  <w:tcW w:w="405" w:type="dxa"/>
                  <w:shd w:val="clear" w:color="auto" w:fill="auto"/>
                  <w:tcMar>
                    <w:top w:w="0" w:type="dxa"/>
                    <w:left w:w="0" w:type="dxa"/>
                    <w:bottom w:w="0" w:type="dxa"/>
                    <w:right w:w="0" w:type="dxa"/>
                  </w:tcMar>
                  <w:vAlign w:val="center"/>
                </w:tcPr>
                <w:p>
                  <w:pPr>
                    <w:pStyle w:val="66"/>
                    <w:bidi w:val="0"/>
                  </w:pPr>
                  <w:r>
                    <w:t>47.1</w:t>
                  </w:r>
                </w:p>
              </w:tc>
              <w:tc>
                <w:tcPr>
                  <w:tcW w:w="495" w:type="dxa"/>
                  <w:shd w:val="clear" w:color="auto" w:fill="auto"/>
                  <w:tcMar>
                    <w:top w:w="0" w:type="dxa"/>
                    <w:left w:w="0" w:type="dxa"/>
                    <w:bottom w:w="0" w:type="dxa"/>
                    <w:right w:w="0" w:type="dxa"/>
                  </w:tcMar>
                  <w:vAlign w:val="center"/>
                </w:tcPr>
                <w:p>
                  <w:pPr>
                    <w:pStyle w:val="66"/>
                    <w:bidi w:val="0"/>
                  </w:pPr>
                  <w:r>
                    <w:t>47.2</w:t>
                  </w:r>
                </w:p>
              </w:tc>
              <w:tc>
                <w:tcPr>
                  <w:tcW w:w="727" w:type="dxa"/>
                  <w:shd w:val="clear" w:color="auto" w:fill="auto"/>
                  <w:tcMar>
                    <w:top w:w="0" w:type="dxa"/>
                    <w:left w:w="0" w:type="dxa"/>
                    <w:bottom w:w="0" w:type="dxa"/>
                    <w:right w:w="0" w:type="dxa"/>
                  </w:tcMar>
                  <w:vAlign w:val="center"/>
                </w:tcPr>
                <w:p>
                  <w:pPr>
                    <w:pStyle w:val="66"/>
                    <w:bidi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0" w:hRule="atLeast"/>
                <w:jc w:val="center"/>
              </w:trPr>
              <w:tc>
                <w:tcPr>
                  <w:tcW w:w="152" w:type="pct"/>
                  <w:shd w:val="clear" w:color="auto" w:fill="auto"/>
                  <w:tcMar>
                    <w:top w:w="0" w:type="dxa"/>
                    <w:left w:w="0" w:type="dxa"/>
                    <w:bottom w:w="0" w:type="dxa"/>
                    <w:right w:w="0" w:type="dxa"/>
                  </w:tcMar>
                  <w:vAlign w:val="center"/>
                </w:tcPr>
                <w:p>
                  <w:pPr>
                    <w:pStyle w:val="66"/>
                    <w:bidi w:val="0"/>
                  </w:pPr>
                  <w:r>
                    <w:t>6</w:t>
                  </w:r>
                </w:p>
              </w:tc>
              <w:tc>
                <w:tcPr>
                  <w:tcW w:w="127" w:type="pct"/>
                  <w:vMerge w:val="continue"/>
                  <w:shd w:val="clear" w:color="auto" w:fill="auto"/>
                  <w:tcMar>
                    <w:top w:w="0" w:type="dxa"/>
                    <w:left w:w="0" w:type="dxa"/>
                    <w:bottom w:w="0" w:type="dxa"/>
                    <w:right w:w="0" w:type="dxa"/>
                  </w:tcMar>
                  <w:vAlign w:val="center"/>
                </w:tcPr>
                <w:p>
                  <w:pPr>
                    <w:pStyle w:val="66"/>
                    <w:bidi w:val="0"/>
                  </w:pPr>
                </w:p>
              </w:tc>
              <w:tc>
                <w:tcPr>
                  <w:tcW w:w="232" w:type="pct"/>
                  <w:shd w:val="clear" w:color="auto" w:fill="auto"/>
                  <w:tcMar>
                    <w:top w:w="0" w:type="dxa"/>
                    <w:left w:w="0" w:type="dxa"/>
                    <w:bottom w:w="0" w:type="dxa"/>
                    <w:right w:w="0" w:type="dxa"/>
                  </w:tcMar>
                  <w:vAlign w:val="center"/>
                </w:tcPr>
                <w:p>
                  <w:pPr>
                    <w:pStyle w:val="66"/>
                    <w:bidi w:val="0"/>
                  </w:pPr>
                  <w:r>
                    <w:t>双旋风分离器,4台（按点声源组预测）</w:t>
                  </w:r>
                </w:p>
              </w:tc>
              <w:tc>
                <w:tcPr>
                  <w:tcW w:w="225" w:type="pct"/>
                  <w:shd w:val="clear" w:color="auto" w:fill="auto"/>
                  <w:tcMar>
                    <w:top w:w="0" w:type="dxa"/>
                    <w:left w:w="0" w:type="dxa"/>
                    <w:bottom w:w="0" w:type="dxa"/>
                    <w:right w:w="0" w:type="dxa"/>
                  </w:tcMar>
                  <w:vAlign w:val="center"/>
                </w:tcPr>
                <w:p>
                  <w:pPr>
                    <w:pStyle w:val="66"/>
                    <w:bidi w:val="0"/>
                  </w:pPr>
                  <w:r>
                    <w:rPr>
                      <w:rFonts w:hint="eastAsia"/>
                      <w:lang w:val="en-US" w:eastAsia="zh-CN"/>
                    </w:rPr>
                    <w:t>φ1100mm×3200mm</w:t>
                  </w:r>
                </w:p>
              </w:tc>
              <w:tc>
                <w:tcPr>
                  <w:tcW w:w="252" w:type="pct"/>
                  <w:shd w:val="clear" w:color="auto" w:fill="auto"/>
                  <w:tcMar>
                    <w:top w:w="0" w:type="dxa"/>
                    <w:left w:w="0" w:type="dxa"/>
                    <w:bottom w:w="0" w:type="dxa"/>
                    <w:right w:w="0" w:type="dxa"/>
                  </w:tcMar>
                  <w:vAlign w:val="center"/>
                </w:tcPr>
                <w:p>
                  <w:pPr>
                    <w:pStyle w:val="66"/>
                    <w:bidi w:val="0"/>
                  </w:pPr>
                  <w:r>
                    <w:rPr>
                      <w:rFonts w:ascii="Arial" w:hAnsi="Arial" w:eastAsia="Arial" w:cs="Arial"/>
                      <w:sz w:val="20"/>
                    </w:rPr>
                    <w:t>73（等效后：79.0</w:t>
                  </w:r>
                </w:p>
              </w:tc>
              <w:tc>
                <w:tcPr>
                  <w:tcW w:w="328" w:type="pct"/>
                  <w:vMerge w:val="restart"/>
                  <w:shd w:val="clear" w:color="auto" w:fill="auto"/>
                  <w:tcMar>
                    <w:top w:w="0" w:type="dxa"/>
                    <w:left w:w="0" w:type="dxa"/>
                    <w:bottom w:w="0" w:type="dxa"/>
                    <w:right w:w="0" w:type="dxa"/>
                  </w:tcMar>
                  <w:vAlign w:val="center"/>
                </w:tcPr>
                <w:p>
                  <w:pPr>
                    <w:pStyle w:val="66"/>
                    <w:bidi w:val="0"/>
                  </w:pPr>
                  <w:r>
                    <w:rPr>
                      <w:rFonts w:hint="eastAsia"/>
                      <w:lang w:val="en-US" w:eastAsia="zh-CN"/>
                    </w:rPr>
                    <w:t>采取低噪声</w:t>
                  </w:r>
                  <w:r>
                    <w:rPr>
                      <w:rFonts w:hint="eastAsia"/>
                    </w:rPr>
                    <w:t>源设备</w:t>
                  </w:r>
                </w:p>
              </w:tc>
              <w:tc>
                <w:tcPr>
                  <w:tcW w:w="193" w:type="pct"/>
                  <w:shd w:val="clear" w:color="auto" w:fill="auto"/>
                  <w:tcMar>
                    <w:top w:w="0" w:type="dxa"/>
                    <w:left w:w="0" w:type="dxa"/>
                    <w:bottom w:w="0" w:type="dxa"/>
                    <w:right w:w="0" w:type="dxa"/>
                  </w:tcMar>
                  <w:vAlign w:val="center"/>
                </w:tcPr>
                <w:p>
                  <w:pPr>
                    <w:pStyle w:val="66"/>
                    <w:bidi w:val="0"/>
                  </w:pPr>
                  <w:r>
                    <w:t>-9.4</w:t>
                  </w:r>
                </w:p>
              </w:tc>
              <w:tc>
                <w:tcPr>
                  <w:tcW w:w="199" w:type="pct"/>
                  <w:shd w:val="clear" w:color="auto" w:fill="auto"/>
                  <w:tcMar>
                    <w:top w:w="0" w:type="dxa"/>
                    <w:left w:w="0" w:type="dxa"/>
                    <w:bottom w:w="0" w:type="dxa"/>
                    <w:right w:w="0" w:type="dxa"/>
                  </w:tcMar>
                  <w:vAlign w:val="center"/>
                </w:tcPr>
                <w:p>
                  <w:pPr>
                    <w:pStyle w:val="66"/>
                    <w:bidi w:val="0"/>
                  </w:pPr>
                  <w:r>
                    <w:t>-2.1</w:t>
                  </w:r>
                </w:p>
              </w:tc>
              <w:tc>
                <w:tcPr>
                  <w:tcW w:w="170" w:type="pct"/>
                  <w:shd w:val="clear" w:color="auto" w:fill="auto"/>
                  <w:tcMar>
                    <w:top w:w="0" w:type="dxa"/>
                    <w:left w:w="0" w:type="dxa"/>
                    <w:bottom w:w="0" w:type="dxa"/>
                    <w:right w:w="0" w:type="dxa"/>
                  </w:tcMar>
                  <w:vAlign w:val="center"/>
                </w:tcPr>
                <w:p>
                  <w:pPr>
                    <w:pStyle w:val="66"/>
                    <w:bidi w:val="0"/>
                  </w:pPr>
                  <w:r>
                    <w:t>1.2</w:t>
                  </w:r>
                </w:p>
              </w:tc>
              <w:tc>
                <w:tcPr>
                  <w:tcW w:w="188" w:type="pct"/>
                  <w:shd w:val="clear" w:color="auto" w:fill="auto"/>
                  <w:tcMar>
                    <w:top w:w="0" w:type="dxa"/>
                    <w:left w:w="0" w:type="dxa"/>
                    <w:bottom w:w="0" w:type="dxa"/>
                    <w:right w:w="0" w:type="dxa"/>
                  </w:tcMar>
                  <w:vAlign w:val="center"/>
                </w:tcPr>
                <w:p>
                  <w:pPr>
                    <w:pStyle w:val="66"/>
                    <w:bidi w:val="0"/>
                  </w:pPr>
                  <w:r>
                    <w:t>48.6</w:t>
                  </w:r>
                </w:p>
              </w:tc>
              <w:tc>
                <w:tcPr>
                  <w:tcW w:w="177" w:type="pct"/>
                  <w:shd w:val="clear" w:color="auto" w:fill="auto"/>
                  <w:tcMar>
                    <w:top w:w="0" w:type="dxa"/>
                    <w:left w:w="0" w:type="dxa"/>
                    <w:bottom w:w="0" w:type="dxa"/>
                    <w:right w:w="0" w:type="dxa"/>
                  </w:tcMar>
                  <w:vAlign w:val="center"/>
                </w:tcPr>
                <w:p>
                  <w:pPr>
                    <w:pStyle w:val="66"/>
                    <w:bidi w:val="0"/>
                  </w:pPr>
                  <w:r>
                    <w:t>13.8</w:t>
                  </w:r>
                </w:p>
              </w:tc>
              <w:tc>
                <w:tcPr>
                  <w:tcW w:w="188" w:type="pct"/>
                  <w:shd w:val="clear" w:color="auto" w:fill="auto"/>
                  <w:tcMar>
                    <w:top w:w="0" w:type="dxa"/>
                    <w:left w:w="0" w:type="dxa"/>
                    <w:bottom w:w="0" w:type="dxa"/>
                    <w:right w:w="0" w:type="dxa"/>
                  </w:tcMar>
                  <w:vAlign w:val="center"/>
                </w:tcPr>
                <w:p>
                  <w:pPr>
                    <w:pStyle w:val="66"/>
                    <w:bidi w:val="0"/>
                  </w:pPr>
                  <w:r>
                    <w:t>37.9</w:t>
                  </w:r>
                </w:p>
              </w:tc>
              <w:tc>
                <w:tcPr>
                  <w:tcW w:w="172" w:type="pct"/>
                  <w:shd w:val="clear" w:color="auto" w:fill="auto"/>
                  <w:tcMar>
                    <w:top w:w="0" w:type="dxa"/>
                    <w:left w:w="0" w:type="dxa"/>
                    <w:bottom w:w="0" w:type="dxa"/>
                    <w:right w:w="0" w:type="dxa"/>
                  </w:tcMar>
                  <w:vAlign w:val="center"/>
                </w:tcPr>
                <w:p>
                  <w:pPr>
                    <w:pStyle w:val="66"/>
                    <w:bidi w:val="0"/>
                  </w:pPr>
                  <w:r>
                    <w:t>19.8</w:t>
                  </w:r>
                </w:p>
              </w:tc>
              <w:tc>
                <w:tcPr>
                  <w:tcW w:w="172" w:type="pct"/>
                  <w:shd w:val="clear" w:color="auto" w:fill="auto"/>
                  <w:tcMar>
                    <w:top w:w="0" w:type="dxa"/>
                    <w:left w:w="0" w:type="dxa"/>
                    <w:bottom w:w="0" w:type="dxa"/>
                    <w:right w:w="0" w:type="dxa"/>
                  </w:tcMar>
                  <w:vAlign w:val="center"/>
                </w:tcPr>
                <w:p>
                  <w:pPr>
                    <w:pStyle w:val="66"/>
                    <w:bidi w:val="0"/>
                  </w:pPr>
                  <w:r>
                    <w:t>63.1</w:t>
                  </w:r>
                </w:p>
              </w:tc>
              <w:tc>
                <w:tcPr>
                  <w:tcW w:w="177" w:type="pct"/>
                  <w:shd w:val="clear" w:color="auto" w:fill="auto"/>
                  <w:tcMar>
                    <w:top w:w="0" w:type="dxa"/>
                    <w:left w:w="0" w:type="dxa"/>
                    <w:bottom w:w="0" w:type="dxa"/>
                    <w:right w:w="0" w:type="dxa"/>
                  </w:tcMar>
                  <w:vAlign w:val="center"/>
                </w:tcPr>
                <w:p>
                  <w:pPr>
                    <w:pStyle w:val="66"/>
                    <w:bidi w:val="0"/>
                  </w:pPr>
                  <w:r>
                    <w:t>63.2</w:t>
                  </w:r>
                </w:p>
              </w:tc>
              <w:tc>
                <w:tcPr>
                  <w:tcW w:w="172" w:type="pct"/>
                  <w:shd w:val="clear" w:color="auto" w:fill="auto"/>
                  <w:tcMar>
                    <w:top w:w="0" w:type="dxa"/>
                    <w:left w:w="0" w:type="dxa"/>
                    <w:bottom w:w="0" w:type="dxa"/>
                    <w:right w:w="0" w:type="dxa"/>
                  </w:tcMar>
                  <w:vAlign w:val="center"/>
                </w:tcPr>
                <w:p>
                  <w:pPr>
                    <w:pStyle w:val="66"/>
                    <w:bidi w:val="0"/>
                  </w:pPr>
                  <w:r>
                    <w:t>63.1</w:t>
                  </w:r>
                </w:p>
              </w:tc>
              <w:tc>
                <w:tcPr>
                  <w:tcW w:w="209" w:type="pct"/>
                  <w:shd w:val="clear" w:color="auto" w:fill="auto"/>
                  <w:tcMar>
                    <w:top w:w="0" w:type="dxa"/>
                    <w:left w:w="0" w:type="dxa"/>
                    <w:bottom w:w="0" w:type="dxa"/>
                    <w:right w:w="0" w:type="dxa"/>
                  </w:tcMar>
                  <w:vAlign w:val="center"/>
                </w:tcPr>
                <w:p>
                  <w:pPr>
                    <w:pStyle w:val="66"/>
                    <w:bidi w:val="0"/>
                  </w:pPr>
                  <w:r>
                    <w:t>63.2</w:t>
                  </w:r>
                </w:p>
              </w:tc>
              <w:tc>
                <w:tcPr>
                  <w:tcW w:w="139" w:type="pct"/>
                  <w:vMerge w:val="continue"/>
                  <w:shd w:val="clear" w:color="auto" w:fill="auto"/>
                  <w:tcMar>
                    <w:top w:w="0" w:type="dxa"/>
                    <w:left w:w="0" w:type="dxa"/>
                    <w:bottom w:w="0" w:type="dxa"/>
                    <w:right w:w="0" w:type="dxa"/>
                  </w:tcMar>
                  <w:vAlign w:val="center"/>
                </w:tcPr>
                <w:p>
                  <w:pPr>
                    <w:pStyle w:val="66"/>
                    <w:bidi w:val="0"/>
                  </w:pPr>
                </w:p>
              </w:tc>
              <w:tc>
                <w:tcPr>
                  <w:tcW w:w="405" w:type="dxa"/>
                  <w:shd w:val="clear" w:color="auto" w:fill="auto"/>
                  <w:tcMar>
                    <w:top w:w="0" w:type="dxa"/>
                    <w:left w:w="0" w:type="dxa"/>
                    <w:bottom w:w="0" w:type="dxa"/>
                    <w:right w:w="0" w:type="dxa"/>
                  </w:tcMar>
                  <w:vAlign w:val="center"/>
                </w:tcPr>
                <w:p>
                  <w:pPr>
                    <w:pStyle w:val="66"/>
                    <w:bidi w:val="0"/>
                  </w:pPr>
                  <w:r>
                    <w:t>25.0</w:t>
                  </w:r>
                </w:p>
              </w:tc>
              <w:tc>
                <w:tcPr>
                  <w:tcW w:w="420" w:type="dxa"/>
                  <w:shd w:val="clear" w:color="auto" w:fill="auto"/>
                  <w:tcMar>
                    <w:top w:w="0" w:type="dxa"/>
                    <w:left w:w="0" w:type="dxa"/>
                    <w:bottom w:w="0" w:type="dxa"/>
                    <w:right w:w="0" w:type="dxa"/>
                  </w:tcMar>
                  <w:vAlign w:val="center"/>
                </w:tcPr>
                <w:p>
                  <w:pPr>
                    <w:pStyle w:val="66"/>
                    <w:bidi w:val="0"/>
                  </w:pPr>
                  <w:r>
                    <w:t>25.0</w:t>
                  </w:r>
                </w:p>
              </w:tc>
              <w:tc>
                <w:tcPr>
                  <w:tcW w:w="450" w:type="dxa"/>
                  <w:shd w:val="clear" w:color="auto" w:fill="auto"/>
                  <w:tcMar>
                    <w:top w:w="0" w:type="dxa"/>
                    <w:left w:w="0" w:type="dxa"/>
                    <w:bottom w:w="0" w:type="dxa"/>
                    <w:right w:w="0" w:type="dxa"/>
                  </w:tcMar>
                  <w:vAlign w:val="center"/>
                </w:tcPr>
                <w:p>
                  <w:pPr>
                    <w:pStyle w:val="66"/>
                    <w:bidi w:val="0"/>
                  </w:pPr>
                  <w:r>
                    <w:t>25.0</w:t>
                  </w:r>
                </w:p>
              </w:tc>
              <w:tc>
                <w:tcPr>
                  <w:tcW w:w="405" w:type="dxa"/>
                  <w:shd w:val="clear" w:color="auto" w:fill="auto"/>
                  <w:tcMar>
                    <w:top w:w="0" w:type="dxa"/>
                    <w:left w:w="0" w:type="dxa"/>
                    <w:bottom w:w="0" w:type="dxa"/>
                    <w:right w:w="0" w:type="dxa"/>
                  </w:tcMar>
                  <w:vAlign w:val="center"/>
                </w:tcPr>
                <w:p>
                  <w:pPr>
                    <w:pStyle w:val="66"/>
                    <w:bidi w:val="0"/>
                  </w:pPr>
                  <w:r>
                    <w:t>25.0</w:t>
                  </w:r>
                </w:p>
              </w:tc>
              <w:tc>
                <w:tcPr>
                  <w:tcW w:w="465" w:type="dxa"/>
                  <w:shd w:val="clear" w:color="auto" w:fill="auto"/>
                  <w:tcMar>
                    <w:top w:w="0" w:type="dxa"/>
                    <w:left w:w="0" w:type="dxa"/>
                    <w:bottom w:w="0" w:type="dxa"/>
                    <w:right w:w="0" w:type="dxa"/>
                  </w:tcMar>
                  <w:vAlign w:val="center"/>
                </w:tcPr>
                <w:p>
                  <w:pPr>
                    <w:pStyle w:val="66"/>
                    <w:bidi w:val="0"/>
                  </w:pPr>
                  <w:r>
                    <w:t>39.1</w:t>
                  </w:r>
                </w:p>
              </w:tc>
              <w:tc>
                <w:tcPr>
                  <w:tcW w:w="465" w:type="dxa"/>
                  <w:shd w:val="clear" w:color="auto" w:fill="auto"/>
                  <w:tcMar>
                    <w:top w:w="0" w:type="dxa"/>
                    <w:left w:w="0" w:type="dxa"/>
                    <w:bottom w:w="0" w:type="dxa"/>
                    <w:right w:w="0" w:type="dxa"/>
                  </w:tcMar>
                  <w:vAlign w:val="center"/>
                </w:tcPr>
                <w:p>
                  <w:pPr>
                    <w:pStyle w:val="66"/>
                    <w:bidi w:val="0"/>
                  </w:pPr>
                  <w:r>
                    <w:t>39.2</w:t>
                  </w:r>
                </w:p>
              </w:tc>
              <w:tc>
                <w:tcPr>
                  <w:tcW w:w="405" w:type="dxa"/>
                  <w:shd w:val="clear" w:color="auto" w:fill="auto"/>
                  <w:tcMar>
                    <w:top w:w="0" w:type="dxa"/>
                    <w:left w:w="0" w:type="dxa"/>
                    <w:bottom w:w="0" w:type="dxa"/>
                    <w:right w:w="0" w:type="dxa"/>
                  </w:tcMar>
                  <w:vAlign w:val="center"/>
                </w:tcPr>
                <w:p>
                  <w:pPr>
                    <w:pStyle w:val="66"/>
                    <w:bidi w:val="0"/>
                  </w:pPr>
                  <w:r>
                    <w:t>39.1</w:t>
                  </w:r>
                </w:p>
              </w:tc>
              <w:tc>
                <w:tcPr>
                  <w:tcW w:w="495" w:type="dxa"/>
                  <w:shd w:val="clear" w:color="auto" w:fill="auto"/>
                  <w:tcMar>
                    <w:top w:w="0" w:type="dxa"/>
                    <w:left w:w="0" w:type="dxa"/>
                    <w:bottom w:w="0" w:type="dxa"/>
                    <w:right w:w="0" w:type="dxa"/>
                  </w:tcMar>
                  <w:vAlign w:val="center"/>
                </w:tcPr>
                <w:p>
                  <w:pPr>
                    <w:pStyle w:val="66"/>
                    <w:bidi w:val="0"/>
                  </w:pPr>
                  <w:r>
                    <w:t>39.2</w:t>
                  </w:r>
                </w:p>
              </w:tc>
              <w:tc>
                <w:tcPr>
                  <w:tcW w:w="727" w:type="dxa"/>
                  <w:shd w:val="clear" w:color="auto" w:fill="auto"/>
                  <w:tcMar>
                    <w:top w:w="0" w:type="dxa"/>
                    <w:left w:w="0" w:type="dxa"/>
                    <w:bottom w:w="0" w:type="dxa"/>
                    <w:right w:w="0" w:type="dxa"/>
                  </w:tcMar>
                  <w:vAlign w:val="center"/>
                </w:tcPr>
                <w:p>
                  <w:pPr>
                    <w:pStyle w:val="66"/>
                    <w:bidi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52" w:type="pct"/>
                  <w:shd w:val="clear" w:color="auto" w:fill="auto"/>
                  <w:tcMar>
                    <w:top w:w="0" w:type="dxa"/>
                    <w:left w:w="0" w:type="dxa"/>
                    <w:bottom w:w="0" w:type="dxa"/>
                    <w:right w:w="0" w:type="dxa"/>
                  </w:tcMar>
                  <w:vAlign w:val="center"/>
                </w:tcPr>
                <w:p>
                  <w:pPr>
                    <w:pStyle w:val="66"/>
                    <w:bidi w:val="0"/>
                    <w:rPr>
                      <w:rFonts w:hint="eastAsia"/>
                      <w:lang w:val="en-US" w:eastAsia="zh-CN"/>
                    </w:rPr>
                  </w:pPr>
                  <w:r>
                    <w:rPr>
                      <w:rFonts w:hint="eastAsia"/>
                      <w:lang w:val="en-US" w:eastAsia="zh-CN"/>
                    </w:rPr>
                    <w:t>7</w:t>
                  </w:r>
                </w:p>
              </w:tc>
              <w:tc>
                <w:tcPr>
                  <w:tcW w:w="127" w:type="pct"/>
                  <w:vMerge w:val="continue"/>
                  <w:shd w:val="clear" w:color="auto" w:fill="auto"/>
                  <w:tcMar>
                    <w:top w:w="0" w:type="dxa"/>
                    <w:left w:w="0" w:type="dxa"/>
                    <w:bottom w:w="0" w:type="dxa"/>
                    <w:right w:w="0" w:type="dxa"/>
                  </w:tcMar>
                  <w:vAlign w:val="center"/>
                </w:tcPr>
                <w:p>
                  <w:pPr>
                    <w:pStyle w:val="66"/>
                    <w:bidi w:val="0"/>
                  </w:pPr>
                </w:p>
              </w:tc>
              <w:tc>
                <w:tcPr>
                  <w:tcW w:w="232" w:type="pct"/>
                  <w:shd w:val="clear" w:color="auto" w:fill="auto"/>
                  <w:tcMar>
                    <w:top w:w="0" w:type="dxa"/>
                    <w:left w:w="0" w:type="dxa"/>
                    <w:bottom w:w="0" w:type="dxa"/>
                    <w:right w:w="0" w:type="dxa"/>
                  </w:tcMar>
                  <w:vAlign w:val="center"/>
                </w:tcPr>
                <w:p>
                  <w:pPr>
                    <w:pStyle w:val="66"/>
                    <w:bidi w:val="0"/>
                  </w:pPr>
                  <w:r>
                    <w:t>震荡输送器</w:t>
                  </w:r>
                  <w:r>
                    <w:rPr>
                      <w:rFonts w:hint="eastAsia"/>
                      <w:lang w:val="en-US" w:eastAsia="zh-CN"/>
                    </w:rPr>
                    <w:t>组</w:t>
                  </w:r>
                  <w:r>
                    <w:t>,4台（按点声源组预测）</w:t>
                  </w:r>
                </w:p>
              </w:tc>
              <w:tc>
                <w:tcPr>
                  <w:tcW w:w="225" w:type="pct"/>
                  <w:shd w:val="clear" w:color="auto" w:fill="auto"/>
                  <w:tcMar>
                    <w:top w:w="0" w:type="dxa"/>
                    <w:left w:w="0" w:type="dxa"/>
                    <w:bottom w:w="0" w:type="dxa"/>
                    <w:right w:w="0" w:type="dxa"/>
                  </w:tcMar>
                  <w:vAlign w:val="center"/>
                </w:tcPr>
                <w:p>
                  <w:pPr>
                    <w:pStyle w:val="66"/>
                    <w:bidi w:val="0"/>
                    <w:rPr>
                      <w:rFonts w:hint="default"/>
                    </w:rPr>
                  </w:pPr>
                  <w:r>
                    <w:rPr>
                      <w:rFonts w:hint="eastAsia"/>
                      <w:lang w:val="en-US" w:eastAsia="zh-CN"/>
                    </w:rPr>
                    <w:t>220*600河南20240530</w:t>
                  </w:r>
                </w:p>
              </w:tc>
              <w:tc>
                <w:tcPr>
                  <w:tcW w:w="252" w:type="pct"/>
                  <w:shd w:val="clear" w:color="auto" w:fill="auto"/>
                  <w:tcMar>
                    <w:top w:w="0" w:type="dxa"/>
                    <w:left w:w="0" w:type="dxa"/>
                    <w:bottom w:w="0" w:type="dxa"/>
                    <w:right w:w="0" w:type="dxa"/>
                  </w:tcMar>
                  <w:vAlign w:val="center"/>
                </w:tcPr>
                <w:p>
                  <w:pPr>
                    <w:pStyle w:val="66"/>
                    <w:bidi w:val="0"/>
                  </w:pPr>
                  <w:r>
                    <w:t>70（等效后：76.0</w:t>
                  </w:r>
                </w:p>
              </w:tc>
              <w:tc>
                <w:tcPr>
                  <w:tcW w:w="328" w:type="pct"/>
                  <w:vMerge w:val="continue"/>
                  <w:shd w:val="clear" w:color="auto" w:fill="auto"/>
                  <w:tcMar>
                    <w:top w:w="0" w:type="dxa"/>
                    <w:left w:w="0" w:type="dxa"/>
                    <w:bottom w:w="0" w:type="dxa"/>
                    <w:right w:w="0" w:type="dxa"/>
                  </w:tcMar>
                  <w:vAlign w:val="center"/>
                </w:tcPr>
                <w:p>
                  <w:pPr>
                    <w:pStyle w:val="66"/>
                    <w:bidi w:val="0"/>
                    <w:rPr>
                      <w:rFonts w:hint="eastAsia"/>
                      <w:lang w:val="en-US" w:eastAsia="zh-CN"/>
                    </w:rPr>
                  </w:pPr>
                </w:p>
              </w:tc>
              <w:tc>
                <w:tcPr>
                  <w:tcW w:w="540" w:type="dxa"/>
                  <w:shd w:val="clear" w:color="auto" w:fill="auto"/>
                  <w:tcMar>
                    <w:top w:w="0" w:type="dxa"/>
                    <w:left w:w="0" w:type="dxa"/>
                    <w:bottom w:w="0" w:type="dxa"/>
                    <w:right w:w="0" w:type="dxa"/>
                  </w:tcMar>
                  <w:vAlign w:val="center"/>
                </w:tcPr>
                <w:p>
                  <w:pPr>
                    <w:pStyle w:val="66"/>
                    <w:bidi w:val="0"/>
                  </w:pPr>
                  <w:r>
                    <w:t>-11.5</w:t>
                  </w:r>
                </w:p>
              </w:tc>
              <w:tc>
                <w:tcPr>
                  <w:tcW w:w="555" w:type="dxa"/>
                  <w:shd w:val="clear" w:color="auto" w:fill="auto"/>
                  <w:tcMar>
                    <w:top w:w="0" w:type="dxa"/>
                    <w:left w:w="0" w:type="dxa"/>
                    <w:bottom w:w="0" w:type="dxa"/>
                    <w:right w:w="0" w:type="dxa"/>
                  </w:tcMar>
                  <w:vAlign w:val="center"/>
                </w:tcPr>
                <w:p>
                  <w:pPr>
                    <w:pStyle w:val="66"/>
                    <w:bidi w:val="0"/>
                  </w:pPr>
                  <w:r>
                    <w:t>-0.9</w:t>
                  </w:r>
                </w:p>
              </w:tc>
              <w:tc>
                <w:tcPr>
                  <w:tcW w:w="476" w:type="dxa"/>
                  <w:shd w:val="clear" w:color="auto" w:fill="auto"/>
                  <w:tcMar>
                    <w:top w:w="0" w:type="dxa"/>
                    <w:left w:w="0" w:type="dxa"/>
                    <w:bottom w:w="0" w:type="dxa"/>
                    <w:right w:w="0" w:type="dxa"/>
                  </w:tcMar>
                  <w:vAlign w:val="center"/>
                </w:tcPr>
                <w:p>
                  <w:pPr>
                    <w:pStyle w:val="66"/>
                    <w:bidi w:val="0"/>
                  </w:pPr>
                  <w:r>
                    <w:t>1.2</w:t>
                  </w:r>
                </w:p>
              </w:tc>
              <w:tc>
                <w:tcPr>
                  <w:tcW w:w="525" w:type="dxa"/>
                  <w:shd w:val="clear" w:color="auto" w:fill="auto"/>
                  <w:tcMar>
                    <w:top w:w="0" w:type="dxa"/>
                    <w:left w:w="0" w:type="dxa"/>
                    <w:bottom w:w="0" w:type="dxa"/>
                    <w:right w:w="0" w:type="dxa"/>
                  </w:tcMar>
                  <w:vAlign w:val="center"/>
                </w:tcPr>
                <w:p>
                  <w:pPr>
                    <w:pStyle w:val="66"/>
                    <w:bidi w:val="0"/>
                  </w:pPr>
                  <w:r>
                    <w:t>50.9</w:t>
                  </w:r>
                </w:p>
              </w:tc>
              <w:tc>
                <w:tcPr>
                  <w:tcW w:w="495" w:type="dxa"/>
                  <w:shd w:val="clear" w:color="auto" w:fill="auto"/>
                  <w:tcMar>
                    <w:top w:w="0" w:type="dxa"/>
                    <w:left w:w="0" w:type="dxa"/>
                    <w:bottom w:w="0" w:type="dxa"/>
                    <w:right w:w="0" w:type="dxa"/>
                  </w:tcMar>
                  <w:vAlign w:val="center"/>
                </w:tcPr>
                <w:p>
                  <w:pPr>
                    <w:pStyle w:val="66"/>
                    <w:bidi w:val="0"/>
                  </w:pPr>
                  <w:r>
                    <w:t>14.7</w:t>
                  </w:r>
                </w:p>
              </w:tc>
              <w:tc>
                <w:tcPr>
                  <w:tcW w:w="525" w:type="dxa"/>
                  <w:shd w:val="clear" w:color="auto" w:fill="auto"/>
                  <w:tcMar>
                    <w:top w:w="0" w:type="dxa"/>
                    <w:left w:w="0" w:type="dxa"/>
                    <w:bottom w:w="0" w:type="dxa"/>
                    <w:right w:w="0" w:type="dxa"/>
                  </w:tcMar>
                  <w:vAlign w:val="center"/>
                </w:tcPr>
                <w:p>
                  <w:pPr>
                    <w:pStyle w:val="66"/>
                    <w:bidi w:val="0"/>
                  </w:pPr>
                  <w:r>
                    <w:t>35.7</w:t>
                  </w:r>
                </w:p>
              </w:tc>
              <w:tc>
                <w:tcPr>
                  <w:tcW w:w="480" w:type="dxa"/>
                  <w:shd w:val="clear" w:color="auto" w:fill="auto"/>
                  <w:tcMar>
                    <w:top w:w="0" w:type="dxa"/>
                    <w:left w:w="0" w:type="dxa"/>
                    <w:bottom w:w="0" w:type="dxa"/>
                    <w:right w:w="0" w:type="dxa"/>
                  </w:tcMar>
                  <w:vAlign w:val="center"/>
                </w:tcPr>
                <w:p>
                  <w:pPr>
                    <w:pStyle w:val="66"/>
                    <w:bidi w:val="0"/>
                  </w:pPr>
                  <w:r>
                    <w:t>18.9</w:t>
                  </w:r>
                </w:p>
              </w:tc>
              <w:tc>
                <w:tcPr>
                  <w:tcW w:w="480" w:type="dxa"/>
                  <w:shd w:val="clear" w:color="auto" w:fill="auto"/>
                  <w:tcMar>
                    <w:top w:w="0" w:type="dxa"/>
                    <w:left w:w="0" w:type="dxa"/>
                    <w:bottom w:w="0" w:type="dxa"/>
                    <w:right w:w="0" w:type="dxa"/>
                  </w:tcMar>
                  <w:vAlign w:val="center"/>
                </w:tcPr>
                <w:p>
                  <w:pPr>
                    <w:pStyle w:val="66"/>
                    <w:bidi w:val="0"/>
                  </w:pPr>
                  <w:r>
                    <w:t>61.1</w:t>
                  </w:r>
                </w:p>
              </w:tc>
              <w:tc>
                <w:tcPr>
                  <w:tcW w:w="495" w:type="dxa"/>
                  <w:shd w:val="clear" w:color="auto" w:fill="auto"/>
                  <w:tcMar>
                    <w:top w:w="0" w:type="dxa"/>
                    <w:left w:w="0" w:type="dxa"/>
                    <w:bottom w:w="0" w:type="dxa"/>
                    <w:right w:w="0" w:type="dxa"/>
                  </w:tcMar>
                  <w:vAlign w:val="center"/>
                </w:tcPr>
                <w:p>
                  <w:pPr>
                    <w:pStyle w:val="66"/>
                    <w:bidi w:val="0"/>
                  </w:pPr>
                  <w:r>
                    <w:t>61.2</w:t>
                  </w:r>
                </w:p>
              </w:tc>
              <w:tc>
                <w:tcPr>
                  <w:tcW w:w="480" w:type="dxa"/>
                  <w:shd w:val="clear" w:color="auto" w:fill="auto"/>
                  <w:tcMar>
                    <w:top w:w="0" w:type="dxa"/>
                    <w:left w:w="0" w:type="dxa"/>
                    <w:bottom w:w="0" w:type="dxa"/>
                    <w:right w:w="0" w:type="dxa"/>
                  </w:tcMar>
                  <w:vAlign w:val="center"/>
                </w:tcPr>
                <w:p>
                  <w:pPr>
                    <w:pStyle w:val="66"/>
                    <w:bidi w:val="0"/>
                  </w:pPr>
                  <w:r>
                    <w:t>61.1</w:t>
                  </w:r>
                </w:p>
              </w:tc>
              <w:tc>
                <w:tcPr>
                  <w:tcW w:w="585" w:type="dxa"/>
                  <w:shd w:val="clear" w:color="auto" w:fill="auto"/>
                  <w:tcMar>
                    <w:top w:w="0" w:type="dxa"/>
                    <w:left w:w="0" w:type="dxa"/>
                    <w:bottom w:w="0" w:type="dxa"/>
                    <w:right w:w="0" w:type="dxa"/>
                  </w:tcMar>
                  <w:vAlign w:val="center"/>
                </w:tcPr>
                <w:p>
                  <w:pPr>
                    <w:pStyle w:val="66"/>
                    <w:bidi w:val="0"/>
                  </w:pPr>
                  <w:r>
                    <w:t>61.2</w:t>
                  </w:r>
                </w:p>
              </w:tc>
              <w:tc>
                <w:tcPr>
                  <w:tcW w:w="139" w:type="pct"/>
                  <w:vMerge w:val="continue"/>
                  <w:shd w:val="clear" w:color="auto" w:fill="auto"/>
                  <w:tcMar>
                    <w:top w:w="0" w:type="dxa"/>
                    <w:left w:w="0" w:type="dxa"/>
                    <w:bottom w:w="0" w:type="dxa"/>
                    <w:right w:w="0" w:type="dxa"/>
                  </w:tcMar>
                  <w:vAlign w:val="center"/>
                </w:tcPr>
                <w:p>
                  <w:pPr>
                    <w:pStyle w:val="66"/>
                    <w:bidi w:val="0"/>
                  </w:pPr>
                </w:p>
              </w:tc>
              <w:tc>
                <w:tcPr>
                  <w:tcW w:w="405" w:type="dxa"/>
                  <w:shd w:val="clear" w:color="auto" w:fill="auto"/>
                  <w:tcMar>
                    <w:top w:w="0" w:type="dxa"/>
                    <w:left w:w="0" w:type="dxa"/>
                    <w:bottom w:w="0" w:type="dxa"/>
                    <w:right w:w="0" w:type="dxa"/>
                  </w:tcMar>
                  <w:vAlign w:val="center"/>
                </w:tcPr>
                <w:p>
                  <w:pPr>
                    <w:pStyle w:val="66"/>
                    <w:bidi w:val="0"/>
                  </w:pPr>
                  <w:r>
                    <w:t>25.0</w:t>
                  </w:r>
                </w:p>
              </w:tc>
              <w:tc>
                <w:tcPr>
                  <w:tcW w:w="420" w:type="dxa"/>
                  <w:shd w:val="clear" w:color="auto" w:fill="auto"/>
                  <w:tcMar>
                    <w:top w:w="0" w:type="dxa"/>
                    <w:left w:w="0" w:type="dxa"/>
                    <w:bottom w:w="0" w:type="dxa"/>
                    <w:right w:w="0" w:type="dxa"/>
                  </w:tcMar>
                  <w:vAlign w:val="center"/>
                </w:tcPr>
                <w:p>
                  <w:pPr>
                    <w:pStyle w:val="66"/>
                    <w:bidi w:val="0"/>
                  </w:pPr>
                  <w:r>
                    <w:t>25.0</w:t>
                  </w:r>
                </w:p>
              </w:tc>
              <w:tc>
                <w:tcPr>
                  <w:tcW w:w="450" w:type="dxa"/>
                  <w:shd w:val="clear" w:color="auto" w:fill="auto"/>
                  <w:tcMar>
                    <w:top w:w="0" w:type="dxa"/>
                    <w:left w:w="0" w:type="dxa"/>
                    <w:bottom w:w="0" w:type="dxa"/>
                    <w:right w:w="0" w:type="dxa"/>
                  </w:tcMar>
                  <w:vAlign w:val="center"/>
                </w:tcPr>
                <w:p>
                  <w:pPr>
                    <w:pStyle w:val="66"/>
                    <w:bidi w:val="0"/>
                  </w:pPr>
                  <w:r>
                    <w:t>25.0</w:t>
                  </w:r>
                </w:p>
              </w:tc>
              <w:tc>
                <w:tcPr>
                  <w:tcW w:w="405" w:type="dxa"/>
                  <w:shd w:val="clear" w:color="auto" w:fill="auto"/>
                  <w:tcMar>
                    <w:top w:w="0" w:type="dxa"/>
                    <w:left w:w="0" w:type="dxa"/>
                    <w:bottom w:w="0" w:type="dxa"/>
                    <w:right w:w="0" w:type="dxa"/>
                  </w:tcMar>
                  <w:vAlign w:val="center"/>
                </w:tcPr>
                <w:p>
                  <w:pPr>
                    <w:pStyle w:val="66"/>
                    <w:bidi w:val="0"/>
                  </w:pPr>
                  <w:r>
                    <w:t>25.0</w:t>
                  </w:r>
                </w:p>
              </w:tc>
              <w:tc>
                <w:tcPr>
                  <w:tcW w:w="465" w:type="dxa"/>
                  <w:shd w:val="clear" w:color="auto" w:fill="auto"/>
                  <w:tcMar>
                    <w:top w:w="0" w:type="dxa"/>
                    <w:left w:w="0" w:type="dxa"/>
                    <w:bottom w:w="0" w:type="dxa"/>
                    <w:right w:w="0" w:type="dxa"/>
                  </w:tcMar>
                  <w:vAlign w:val="center"/>
                </w:tcPr>
                <w:p>
                  <w:pPr>
                    <w:pStyle w:val="66"/>
                    <w:bidi w:val="0"/>
                  </w:pPr>
                  <w:r>
                    <w:t>36.1</w:t>
                  </w:r>
                </w:p>
              </w:tc>
              <w:tc>
                <w:tcPr>
                  <w:tcW w:w="465" w:type="dxa"/>
                  <w:shd w:val="clear" w:color="auto" w:fill="auto"/>
                  <w:tcMar>
                    <w:top w:w="0" w:type="dxa"/>
                    <w:left w:w="0" w:type="dxa"/>
                    <w:bottom w:w="0" w:type="dxa"/>
                    <w:right w:w="0" w:type="dxa"/>
                  </w:tcMar>
                  <w:vAlign w:val="center"/>
                </w:tcPr>
                <w:p>
                  <w:pPr>
                    <w:pStyle w:val="66"/>
                    <w:bidi w:val="0"/>
                  </w:pPr>
                  <w:r>
                    <w:t>36.2</w:t>
                  </w:r>
                </w:p>
              </w:tc>
              <w:tc>
                <w:tcPr>
                  <w:tcW w:w="405" w:type="dxa"/>
                  <w:shd w:val="clear" w:color="auto" w:fill="auto"/>
                  <w:tcMar>
                    <w:top w:w="0" w:type="dxa"/>
                    <w:left w:w="0" w:type="dxa"/>
                    <w:bottom w:w="0" w:type="dxa"/>
                    <w:right w:w="0" w:type="dxa"/>
                  </w:tcMar>
                  <w:vAlign w:val="center"/>
                </w:tcPr>
                <w:p>
                  <w:pPr>
                    <w:pStyle w:val="66"/>
                    <w:bidi w:val="0"/>
                  </w:pPr>
                  <w:r>
                    <w:t>36.1</w:t>
                  </w:r>
                </w:p>
              </w:tc>
              <w:tc>
                <w:tcPr>
                  <w:tcW w:w="495" w:type="dxa"/>
                  <w:shd w:val="clear" w:color="auto" w:fill="auto"/>
                  <w:tcMar>
                    <w:top w:w="0" w:type="dxa"/>
                    <w:left w:w="0" w:type="dxa"/>
                    <w:bottom w:w="0" w:type="dxa"/>
                    <w:right w:w="0" w:type="dxa"/>
                  </w:tcMar>
                  <w:vAlign w:val="center"/>
                </w:tcPr>
                <w:p>
                  <w:pPr>
                    <w:pStyle w:val="66"/>
                    <w:bidi w:val="0"/>
                  </w:pPr>
                  <w:r>
                    <w:t>36.2</w:t>
                  </w:r>
                </w:p>
              </w:tc>
              <w:tc>
                <w:tcPr>
                  <w:tcW w:w="727" w:type="dxa"/>
                  <w:shd w:val="clear" w:color="auto" w:fill="auto"/>
                  <w:tcMar>
                    <w:top w:w="0" w:type="dxa"/>
                    <w:left w:w="0" w:type="dxa"/>
                    <w:bottom w:w="0" w:type="dxa"/>
                    <w:right w:w="0" w:type="dxa"/>
                  </w:tcMar>
                  <w:vAlign w:val="center"/>
                </w:tcPr>
                <w:p>
                  <w:pPr>
                    <w:pStyle w:val="66"/>
                    <w:bidi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52" w:type="pct"/>
                  <w:shd w:val="clear" w:color="auto" w:fill="auto"/>
                  <w:tcMar>
                    <w:top w:w="0" w:type="dxa"/>
                    <w:left w:w="0" w:type="dxa"/>
                    <w:bottom w:w="0" w:type="dxa"/>
                    <w:right w:w="0" w:type="dxa"/>
                  </w:tcMar>
                  <w:vAlign w:val="center"/>
                </w:tcPr>
                <w:p>
                  <w:pPr>
                    <w:pStyle w:val="66"/>
                    <w:bidi w:val="0"/>
                    <w:rPr>
                      <w:rFonts w:hint="eastAsia"/>
                      <w:lang w:val="en-US" w:eastAsia="zh-CN"/>
                    </w:rPr>
                  </w:pPr>
                  <w:r>
                    <w:rPr>
                      <w:rFonts w:hint="eastAsia"/>
                      <w:lang w:val="en-US" w:eastAsia="zh-CN"/>
                    </w:rPr>
                    <w:t>8</w:t>
                  </w:r>
                </w:p>
              </w:tc>
              <w:tc>
                <w:tcPr>
                  <w:tcW w:w="127" w:type="pct"/>
                  <w:vMerge w:val="continue"/>
                  <w:shd w:val="clear" w:color="auto" w:fill="auto"/>
                  <w:tcMar>
                    <w:top w:w="0" w:type="dxa"/>
                    <w:left w:w="0" w:type="dxa"/>
                    <w:bottom w:w="0" w:type="dxa"/>
                    <w:right w:w="0" w:type="dxa"/>
                  </w:tcMar>
                  <w:vAlign w:val="center"/>
                </w:tcPr>
                <w:p>
                  <w:pPr>
                    <w:pStyle w:val="66"/>
                    <w:bidi w:val="0"/>
                  </w:pPr>
                </w:p>
              </w:tc>
              <w:tc>
                <w:tcPr>
                  <w:tcW w:w="232" w:type="pct"/>
                  <w:shd w:val="clear" w:color="auto" w:fill="auto"/>
                  <w:tcMar>
                    <w:top w:w="0" w:type="dxa"/>
                    <w:left w:w="0" w:type="dxa"/>
                    <w:bottom w:w="0" w:type="dxa"/>
                    <w:right w:w="0" w:type="dxa"/>
                  </w:tcMar>
                  <w:vAlign w:val="center"/>
                </w:tcPr>
                <w:p>
                  <w:pPr>
                    <w:pStyle w:val="66"/>
                    <w:bidi w:val="0"/>
                  </w:pPr>
                  <w:r>
                    <w:rPr>
                      <w:rFonts w:hint="eastAsia"/>
                    </w:rPr>
                    <w:t>三次破碎机</w:t>
                  </w:r>
                  <w:r>
                    <w:rPr>
                      <w:rFonts w:hint="eastAsia"/>
                      <w:lang w:val="en-US" w:eastAsia="zh-CN"/>
                    </w:rPr>
                    <w:t>组</w:t>
                  </w:r>
                  <w:r>
                    <w:rPr>
                      <w:rFonts w:hint="eastAsia"/>
                    </w:rPr>
                    <w:t>,4台（按点声源组预测）</w:t>
                  </w:r>
                </w:p>
              </w:tc>
              <w:tc>
                <w:tcPr>
                  <w:tcW w:w="225" w:type="pct"/>
                  <w:shd w:val="clear" w:color="auto" w:fill="auto"/>
                  <w:tcMar>
                    <w:top w:w="0" w:type="dxa"/>
                    <w:left w:w="0" w:type="dxa"/>
                    <w:bottom w:w="0" w:type="dxa"/>
                    <w:right w:w="0" w:type="dxa"/>
                  </w:tcMar>
                  <w:vAlign w:val="center"/>
                </w:tcPr>
                <w:p>
                  <w:pPr>
                    <w:pStyle w:val="66"/>
                    <w:bidi w:val="0"/>
                    <w:rPr>
                      <w:rFonts w:hint="default"/>
                    </w:rPr>
                  </w:pPr>
                  <w:r>
                    <w:rPr>
                      <w:rFonts w:hint="eastAsia"/>
                      <w:lang w:val="en-US" w:eastAsia="zh-CN"/>
                    </w:rPr>
                    <w:t>DP500河南20240530</w:t>
                  </w:r>
                </w:p>
              </w:tc>
              <w:tc>
                <w:tcPr>
                  <w:tcW w:w="252" w:type="pct"/>
                  <w:shd w:val="clear" w:color="auto" w:fill="auto"/>
                  <w:tcMar>
                    <w:top w:w="0" w:type="dxa"/>
                    <w:left w:w="0" w:type="dxa"/>
                    <w:bottom w:w="0" w:type="dxa"/>
                    <w:right w:w="0" w:type="dxa"/>
                  </w:tcMar>
                  <w:vAlign w:val="center"/>
                </w:tcPr>
                <w:p>
                  <w:pPr>
                    <w:pStyle w:val="66"/>
                    <w:bidi w:val="0"/>
                    <w:rPr>
                      <w:lang w:val="en-US" w:eastAsia="zh-CN"/>
                    </w:rPr>
                  </w:pPr>
                  <w:r>
                    <w:rPr>
                      <w:rFonts w:hint="eastAsia"/>
                      <w:lang w:val="en-US" w:eastAsia="zh-CN"/>
                    </w:rPr>
                    <w:t>79（等效后：85.0)</w:t>
                  </w:r>
                </w:p>
              </w:tc>
              <w:tc>
                <w:tcPr>
                  <w:tcW w:w="328" w:type="pct"/>
                  <w:vMerge w:val="continue"/>
                  <w:shd w:val="clear" w:color="auto" w:fill="auto"/>
                  <w:tcMar>
                    <w:top w:w="0" w:type="dxa"/>
                    <w:left w:w="0" w:type="dxa"/>
                    <w:bottom w:w="0" w:type="dxa"/>
                    <w:right w:w="0" w:type="dxa"/>
                  </w:tcMar>
                  <w:vAlign w:val="center"/>
                </w:tcPr>
                <w:p>
                  <w:pPr>
                    <w:pStyle w:val="66"/>
                    <w:bidi w:val="0"/>
                    <w:rPr>
                      <w:rFonts w:hint="eastAsia"/>
                      <w:lang w:val="en-US" w:eastAsia="zh-CN"/>
                    </w:rPr>
                  </w:pPr>
                </w:p>
              </w:tc>
              <w:tc>
                <w:tcPr>
                  <w:tcW w:w="540" w:type="dxa"/>
                  <w:shd w:val="clear" w:color="auto" w:fill="auto"/>
                  <w:tcMar>
                    <w:top w:w="0" w:type="dxa"/>
                    <w:left w:w="0" w:type="dxa"/>
                    <w:bottom w:w="0" w:type="dxa"/>
                    <w:right w:w="0" w:type="dxa"/>
                  </w:tcMar>
                  <w:vAlign w:val="center"/>
                </w:tcPr>
                <w:p>
                  <w:pPr>
                    <w:pStyle w:val="66"/>
                    <w:bidi w:val="0"/>
                  </w:pPr>
                  <w:r>
                    <w:t>12.5</w:t>
                  </w:r>
                </w:p>
              </w:tc>
              <w:tc>
                <w:tcPr>
                  <w:tcW w:w="555" w:type="dxa"/>
                  <w:shd w:val="clear" w:color="auto" w:fill="auto"/>
                  <w:tcMar>
                    <w:top w:w="0" w:type="dxa"/>
                    <w:left w:w="0" w:type="dxa"/>
                    <w:bottom w:w="0" w:type="dxa"/>
                    <w:right w:w="0" w:type="dxa"/>
                  </w:tcMar>
                  <w:vAlign w:val="center"/>
                </w:tcPr>
                <w:p>
                  <w:pPr>
                    <w:pStyle w:val="66"/>
                    <w:bidi w:val="0"/>
                  </w:pPr>
                  <w:r>
                    <w:t>-1</w:t>
                  </w:r>
                </w:p>
              </w:tc>
              <w:tc>
                <w:tcPr>
                  <w:tcW w:w="476" w:type="dxa"/>
                  <w:shd w:val="clear" w:color="auto" w:fill="auto"/>
                  <w:tcMar>
                    <w:top w:w="0" w:type="dxa"/>
                    <w:left w:w="0" w:type="dxa"/>
                    <w:bottom w:w="0" w:type="dxa"/>
                    <w:right w:w="0" w:type="dxa"/>
                  </w:tcMar>
                  <w:vAlign w:val="center"/>
                </w:tcPr>
                <w:p>
                  <w:pPr>
                    <w:pStyle w:val="66"/>
                    <w:bidi w:val="0"/>
                  </w:pPr>
                  <w:r>
                    <w:t>1.2</w:t>
                  </w:r>
                </w:p>
              </w:tc>
              <w:tc>
                <w:tcPr>
                  <w:tcW w:w="525" w:type="dxa"/>
                  <w:shd w:val="clear" w:color="auto" w:fill="auto"/>
                  <w:tcMar>
                    <w:top w:w="0" w:type="dxa"/>
                    <w:left w:w="0" w:type="dxa"/>
                    <w:bottom w:w="0" w:type="dxa"/>
                    <w:right w:w="0" w:type="dxa"/>
                  </w:tcMar>
                  <w:vAlign w:val="center"/>
                </w:tcPr>
                <w:p>
                  <w:pPr>
                    <w:pStyle w:val="66"/>
                    <w:bidi w:val="0"/>
                  </w:pPr>
                  <w:r>
                    <w:t>27.0</w:t>
                  </w:r>
                </w:p>
              </w:tc>
              <w:tc>
                <w:tcPr>
                  <w:tcW w:w="495" w:type="dxa"/>
                  <w:shd w:val="clear" w:color="auto" w:fill="auto"/>
                  <w:tcMar>
                    <w:top w:w="0" w:type="dxa"/>
                    <w:left w:w="0" w:type="dxa"/>
                    <w:bottom w:w="0" w:type="dxa"/>
                    <w:right w:w="0" w:type="dxa"/>
                  </w:tcMar>
                  <w:vAlign w:val="center"/>
                </w:tcPr>
                <w:p>
                  <w:pPr>
                    <w:pStyle w:val="66"/>
                    <w:bidi w:val="0"/>
                  </w:pPr>
                  <w:r>
                    <w:t>17.7</w:t>
                  </w:r>
                </w:p>
              </w:tc>
              <w:tc>
                <w:tcPr>
                  <w:tcW w:w="525" w:type="dxa"/>
                  <w:shd w:val="clear" w:color="auto" w:fill="auto"/>
                  <w:tcMar>
                    <w:top w:w="0" w:type="dxa"/>
                    <w:left w:w="0" w:type="dxa"/>
                    <w:bottom w:w="0" w:type="dxa"/>
                    <w:right w:w="0" w:type="dxa"/>
                  </w:tcMar>
                  <w:vAlign w:val="center"/>
                </w:tcPr>
                <w:p>
                  <w:pPr>
                    <w:pStyle w:val="66"/>
                    <w:bidi w:val="0"/>
                  </w:pPr>
                  <w:r>
                    <w:t>59.6</w:t>
                  </w:r>
                </w:p>
              </w:tc>
              <w:tc>
                <w:tcPr>
                  <w:tcW w:w="480" w:type="dxa"/>
                  <w:shd w:val="clear" w:color="auto" w:fill="auto"/>
                  <w:tcMar>
                    <w:top w:w="0" w:type="dxa"/>
                    <w:left w:w="0" w:type="dxa"/>
                    <w:bottom w:w="0" w:type="dxa"/>
                    <w:right w:w="0" w:type="dxa"/>
                  </w:tcMar>
                  <w:vAlign w:val="center"/>
                </w:tcPr>
                <w:p>
                  <w:pPr>
                    <w:pStyle w:val="66"/>
                    <w:bidi w:val="0"/>
                  </w:pPr>
                  <w:r>
                    <w:t>15.7</w:t>
                  </w:r>
                </w:p>
              </w:tc>
              <w:tc>
                <w:tcPr>
                  <w:tcW w:w="480" w:type="dxa"/>
                  <w:shd w:val="clear" w:color="auto" w:fill="auto"/>
                  <w:tcMar>
                    <w:top w:w="0" w:type="dxa"/>
                    <w:left w:w="0" w:type="dxa"/>
                    <w:bottom w:w="0" w:type="dxa"/>
                    <w:right w:w="0" w:type="dxa"/>
                  </w:tcMar>
                  <w:vAlign w:val="center"/>
                </w:tcPr>
                <w:p>
                  <w:pPr>
                    <w:pStyle w:val="66"/>
                    <w:bidi w:val="0"/>
                  </w:pPr>
                  <w:r>
                    <w:t>73.2</w:t>
                  </w:r>
                </w:p>
              </w:tc>
              <w:tc>
                <w:tcPr>
                  <w:tcW w:w="495" w:type="dxa"/>
                  <w:shd w:val="clear" w:color="auto" w:fill="auto"/>
                  <w:tcMar>
                    <w:top w:w="0" w:type="dxa"/>
                    <w:left w:w="0" w:type="dxa"/>
                    <w:bottom w:w="0" w:type="dxa"/>
                    <w:right w:w="0" w:type="dxa"/>
                  </w:tcMar>
                  <w:vAlign w:val="center"/>
                </w:tcPr>
                <w:p>
                  <w:pPr>
                    <w:pStyle w:val="66"/>
                    <w:bidi w:val="0"/>
                  </w:pPr>
                  <w:r>
                    <w:t>73.2</w:t>
                  </w:r>
                </w:p>
              </w:tc>
              <w:tc>
                <w:tcPr>
                  <w:tcW w:w="480" w:type="dxa"/>
                  <w:shd w:val="clear" w:color="auto" w:fill="auto"/>
                  <w:tcMar>
                    <w:top w:w="0" w:type="dxa"/>
                    <w:left w:w="0" w:type="dxa"/>
                    <w:bottom w:w="0" w:type="dxa"/>
                    <w:right w:w="0" w:type="dxa"/>
                  </w:tcMar>
                  <w:vAlign w:val="center"/>
                </w:tcPr>
                <w:p>
                  <w:pPr>
                    <w:pStyle w:val="66"/>
                    <w:bidi w:val="0"/>
                  </w:pPr>
                  <w:r>
                    <w:t>73.1</w:t>
                  </w:r>
                </w:p>
              </w:tc>
              <w:tc>
                <w:tcPr>
                  <w:tcW w:w="585" w:type="dxa"/>
                  <w:shd w:val="clear" w:color="auto" w:fill="auto"/>
                  <w:tcMar>
                    <w:top w:w="0" w:type="dxa"/>
                    <w:left w:w="0" w:type="dxa"/>
                    <w:bottom w:w="0" w:type="dxa"/>
                    <w:right w:w="0" w:type="dxa"/>
                  </w:tcMar>
                  <w:vAlign w:val="center"/>
                </w:tcPr>
                <w:p>
                  <w:pPr>
                    <w:pStyle w:val="66"/>
                    <w:bidi w:val="0"/>
                  </w:pPr>
                  <w:r>
                    <w:t>73.2</w:t>
                  </w:r>
                </w:p>
              </w:tc>
              <w:tc>
                <w:tcPr>
                  <w:tcW w:w="139" w:type="pct"/>
                  <w:vMerge w:val="continue"/>
                  <w:shd w:val="clear" w:color="auto" w:fill="auto"/>
                  <w:tcMar>
                    <w:top w:w="0" w:type="dxa"/>
                    <w:left w:w="0" w:type="dxa"/>
                    <w:bottom w:w="0" w:type="dxa"/>
                    <w:right w:w="0" w:type="dxa"/>
                  </w:tcMar>
                  <w:vAlign w:val="center"/>
                </w:tcPr>
                <w:p>
                  <w:pPr>
                    <w:pStyle w:val="66"/>
                    <w:bidi w:val="0"/>
                  </w:pPr>
                </w:p>
              </w:tc>
              <w:tc>
                <w:tcPr>
                  <w:tcW w:w="405" w:type="dxa"/>
                  <w:shd w:val="clear" w:color="auto" w:fill="auto"/>
                  <w:tcMar>
                    <w:top w:w="0" w:type="dxa"/>
                    <w:left w:w="0" w:type="dxa"/>
                    <w:bottom w:w="0" w:type="dxa"/>
                    <w:right w:w="0" w:type="dxa"/>
                  </w:tcMar>
                  <w:vAlign w:val="center"/>
                </w:tcPr>
                <w:p>
                  <w:pPr>
                    <w:pStyle w:val="66"/>
                    <w:bidi w:val="0"/>
                  </w:pPr>
                  <w:r>
                    <w:t>25.0</w:t>
                  </w:r>
                </w:p>
              </w:tc>
              <w:tc>
                <w:tcPr>
                  <w:tcW w:w="420" w:type="dxa"/>
                  <w:shd w:val="clear" w:color="auto" w:fill="auto"/>
                  <w:tcMar>
                    <w:top w:w="0" w:type="dxa"/>
                    <w:left w:w="0" w:type="dxa"/>
                    <w:bottom w:w="0" w:type="dxa"/>
                    <w:right w:w="0" w:type="dxa"/>
                  </w:tcMar>
                  <w:vAlign w:val="center"/>
                </w:tcPr>
                <w:p>
                  <w:pPr>
                    <w:pStyle w:val="66"/>
                    <w:bidi w:val="0"/>
                  </w:pPr>
                  <w:r>
                    <w:t>25.0</w:t>
                  </w:r>
                </w:p>
              </w:tc>
              <w:tc>
                <w:tcPr>
                  <w:tcW w:w="450" w:type="dxa"/>
                  <w:shd w:val="clear" w:color="auto" w:fill="auto"/>
                  <w:tcMar>
                    <w:top w:w="0" w:type="dxa"/>
                    <w:left w:w="0" w:type="dxa"/>
                    <w:bottom w:w="0" w:type="dxa"/>
                    <w:right w:w="0" w:type="dxa"/>
                  </w:tcMar>
                  <w:vAlign w:val="center"/>
                </w:tcPr>
                <w:p>
                  <w:pPr>
                    <w:pStyle w:val="66"/>
                    <w:bidi w:val="0"/>
                  </w:pPr>
                  <w:r>
                    <w:t>25.0</w:t>
                  </w:r>
                </w:p>
              </w:tc>
              <w:tc>
                <w:tcPr>
                  <w:tcW w:w="405" w:type="dxa"/>
                  <w:shd w:val="clear" w:color="auto" w:fill="auto"/>
                  <w:tcMar>
                    <w:top w:w="0" w:type="dxa"/>
                    <w:left w:w="0" w:type="dxa"/>
                    <w:bottom w:w="0" w:type="dxa"/>
                    <w:right w:w="0" w:type="dxa"/>
                  </w:tcMar>
                  <w:vAlign w:val="center"/>
                </w:tcPr>
                <w:p>
                  <w:pPr>
                    <w:pStyle w:val="66"/>
                    <w:bidi w:val="0"/>
                  </w:pPr>
                  <w:r>
                    <w:t>25.0</w:t>
                  </w:r>
                </w:p>
              </w:tc>
              <w:tc>
                <w:tcPr>
                  <w:tcW w:w="465" w:type="dxa"/>
                  <w:shd w:val="clear" w:color="auto" w:fill="auto"/>
                  <w:tcMar>
                    <w:top w:w="0" w:type="dxa"/>
                    <w:left w:w="0" w:type="dxa"/>
                    <w:bottom w:w="0" w:type="dxa"/>
                    <w:right w:w="0" w:type="dxa"/>
                  </w:tcMar>
                  <w:vAlign w:val="center"/>
                </w:tcPr>
                <w:p>
                  <w:pPr>
                    <w:pStyle w:val="66"/>
                    <w:bidi w:val="0"/>
                  </w:pPr>
                  <w:r>
                    <w:t>48.2</w:t>
                  </w:r>
                </w:p>
              </w:tc>
              <w:tc>
                <w:tcPr>
                  <w:tcW w:w="465" w:type="dxa"/>
                  <w:shd w:val="clear" w:color="auto" w:fill="auto"/>
                  <w:tcMar>
                    <w:top w:w="0" w:type="dxa"/>
                    <w:left w:w="0" w:type="dxa"/>
                    <w:bottom w:w="0" w:type="dxa"/>
                    <w:right w:w="0" w:type="dxa"/>
                  </w:tcMar>
                  <w:vAlign w:val="center"/>
                </w:tcPr>
                <w:p>
                  <w:pPr>
                    <w:pStyle w:val="66"/>
                    <w:bidi w:val="0"/>
                  </w:pPr>
                  <w:r>
                    <w:t>48.2</w:t>
                  </w:r>
                </w:p>
              </w:tc>
              <w:tc>
                <w:tcPr>
                  <w:tcW w:w="405" w:type="dxa"/>
                  <w:shd w:val="clear" w:color="auto" w:fill="auto"/>
                  <w:tcMar>
                    <w:top w:w="0" w:type="dxa"/>
                    <w:left w:w="0" w:type="dxa"/>
                    <w:bottom w:w="0" w:type="dxa"/>
                    <w:right w:w="0" w:type="dxa"/>
                  </w:tcMar>
                  <w:vAlign w:val="center"/>
                </w:tcPr>
                <w:p>
                  <w:pPr>
                    <w:pStyle w:val="66"/>
                    <w:bidi w:val="0"/>
                  </w:pPr>
                  <w:r>
                    <w:t>48.1</w:t>
                  </w:r>
                </w:p>
              </w:tc>
              <w:tc>
                <w:tcPr>
                  <w:tcW w:w="495" w:type="dxa"/>
                  <w:shd w:val="clear" w:color="auto" w:fill="auto"/>
                  <w:tcMar>
                    <w:top w:w="0" w:type="dxa"/>
                    <w:left w:w="0" w:type="dxa"/>
                    <w:bottom w:w="0" w:type="dxa"/>
                    <w:right w:w="0" w:type="dxa"/>
                  </w:tcMar>
                  <w:vAlign w:val="center"/>
                </w:tcPr>
                <w:p>
                  <w:pPr>
                    <w:pStyle w:val="66"/>
                    <w:bidi w:val="0"/>
                  </w:pPr>
                  <w:r>
                    <w:t>48.2</w:t>
                  </w:r>
                </w:p>
              </w:tc>
              <w:tc>
                <w:tcPr>
                  <w:tcW w:w="727" w:type="dxa"/>
                  <w:shd w:val="clear" w:color="auto" w:fill="auto"/>
                  <w:tcMar>
                    <w:top w:w="0" w:type="dxa"/>
                    <w:left w:w="0" w:type="dxa"/>
                    <w:bottom w:w="0" w:type="dxa"/>
                    <w:right w:w="0" w:type="dxa"/>
                  </w:tcMar>
                  <w:vAlign w:val="center"/>
                </w:tcPr>
                <w:p>
                  <w:pPr>
                    <w:pStyle w:val="66"/>
                    <w:bidi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52" w:type="pct"/>
                  <w:shd w:val="clear" w:color="auto" w:fill="auto"/>
                  <w:tcMar>
                    <w:top w:w="0" w:type="dxa"/>
                    <w:left w:w="0" w:type="dxa"/>
                    <w:bottom w:w="0" w:type="dxa"/>
                    <w:right w:w="0" w:type="dxa"/>
                  </w:tcMar>
                  <w:vAlign w:val="center"/>
                </w:tcPr>
                <w:p>
                  <w:pPr>
                    <w:pStyle w:val="66"/>
                    <w:bidi w:val="0"/>
                    <w:rPr>
                      <w:rFonts w:hint="eastAsia"/>
                      <w:lang w:val="en-US" w:eastAsia="zh-CN"/>
                    </w:rPr>
                  </w:pPr>
                  <w:r>
                    <w:rPr>
                      <w:rFonts w:hint="eastAsia"/>
                      <w:lang w:val="en-US" w:eastAsia="zh-CN"/>
                    </w:rPr>
                    <w:t>9</w:t>
                  </w:r>
                </w:p>
              </w:tc>
              <w:tc>
                <w:tcPr>
                  <w:tcW w:w="127" w:type="pct"/>
                  <w:vMerge w:val="continue"/>
                  <w:shd w:val="clear" w:color="auto" w:fill="auto"/>
                  <w:tcMar>
                    <w:top w:w="0" w:type="dxa"/>
                    <w:left w:w="0" w:type="dxa"/>
                    <w:bottom w:w="0" w:type="dxa"/>
                    <w:right w:w="0" w:type="dxa"/>
                  </w:tcMar>
                  <w:vAlign w:val="center"/>
                </w:tcPr>
                <w:p>
                  <w:pPr>
                    <w:pStyle w:val="66"/>
                    <w:bidi w:val="0"/>
                  </w:pPr>
                </w:p>
              </w:tc>
              <w:tc>
                <w:tcPr>
                  <w:tcW w:w="232" w:type="pct"/>
                  <w:shd w:val="clear" w:color="auto" w:fill="auto"/>
                  <w:tcMar>
                    <w:top w:w="0" w:type="dxa"/>
                    <w:left w:w="0" w:type="dxa"/>
                    <w:bottom w:w="0" w:type="dxa"/>
                    <w:right w:w="0" w:type="dxa"/>
                  </w:tcMar>
                  <w:vAlign w:val="center"/>
                </w:tcPr>
                <w:p>
                  <w:pPr>
                    <w:pStyle w:val="66"/>
                    <w:bidi w:val="0"/>
                    <w:rPr>
                      <w:rFonts w:hint="eastAsia"/>
                    </w:rPr>
                  </w:pPr>
                  <w:r>
                    <w:t>磁选机</w:t>
                  </w:r>
                  <w:r>
                    <w:rPr>
                      <w:rFonts w:hint="eastAsia"/>
                      <w:lang w:val="en-US" w:eastAsia="zh-CN"/>
                    </w:rPr>
                    <w:t>组</w:t>
                  </w:r>
                  <w:r>
                    <w:t>,4台（按点声源组预测）</w:t>
                  </w:r>
                </w:p>
              </w:tc>
              <w:tc>
                <w:tcPr>
                  <w:tcW w:w="225" w:type="pct"/>
                  <w:shd w:val="clear" w:color="auto" w:fill="auto"/>
                  <w:tcMar>
                    <w:top w:w="0" w:type="dxa"/>
                    <w:left w:w="0" w:type="dxa"/>
                    <w:bottom w:w="0" w:type="dxa"/>
                    <w:right w:w="0" w:type="dxa"/>
                  </w:tcMar>
                  <w:vAlign w:val="center"/>
                </w:tcPr>
                <w:p>
                  <w:pPr>
                    <w:pStyle w:val="66"/>
                    <w:bidi w:val="0"/>
                    <w:rPr>
                      <w:rFonts w:hint="default"/>
                    </w:rPr>
                  </w:pPr>
                  <w:r>
                    <w:rPr>
                      <w:rFonts w:hint="eastAsia"/>
                      <w:lang w:val="en-US" w:eastAsia="zh-CN"/>
                    </w:rPr>
                    <w:t>HMCX-600-2 四川 20240521</w:t>
                  </w:r>
                </w:p>
              </w:tc>
              <w:tc>
                <w:tcPr>
                  <w:tcW w:w="252" w:type="pct"/>
                  <w:shd w:val="clear" w:color="auto" w:fill="auto"/>
                  <w:tcMar>
                    <w:top w:w="0" w:type="dxa"/>
                    <w:left w:w="0" w:type="dxa"/>
                    <w:bottom w:w="0" w:type="dxa"/>
                    <w:right w:w="0" w:type="dxa"/>
                  </w:tcMar>
                  <w:vAlign w:val="center"/>
                </w:tcPr>
                <w:p>
                  <w:pPr>
                    <w:pStyle w:val="66"/>
                    <w:bidi w:val="0"/>
                    <w:rPr>
                      <w:rFonts w:hint="eastAsia" w:eastAsia="宋体"/>
                      <w:lang w:val="en-US" w:eastAsia="zh-CN"/>
                    </w:rPr>
                  </w:pPr>
                  <w:r>
                    <w:t>71（等效后：77.0</w:t>
                  </w:r>
                  <w:r>
                    <w:rPr>
                      <w:rFonts w:hint="eastAsia"/>
                      <w:lang w:eastAsia="zh-CN"/>
                    </w:rPr>
                    <w:t>）</w:t>
                  </w:r>
                </w:p>
              </w:tc>
              <w:tc>
                <w:tcPr>
                  <w:tcW w:w="328" w:type="pct"/>
                  <w:vMerge w:val="continue"/>
                  <w:shd w:val="clear" w:color="auto" w:fill="auto"/>
                  <w:tcMar>
                    <w:top w:w="0" w:type="dxa"/>
                    <w:left w:w="0" w:type="dxa"/>
                    <w:bottom w:w="0" w:type="dxa"/>
                    <w:right w:w="0" w:type="dxa"/>
                  </w:tcMar>
                  <w:vAlign w:val="center"/>
                </w:tcPr>
                <w:p>
                  <w:pPr>
                    <w:pStyle w:val="66"/>
                    <w:bidi w:val="0"/>
                    <w:rPr>
                      <w:rFonts w:hint="eastAsia"/>
                      <w:lang w:val="en-US" w:eastAsia="zh-CN"/>
                    </w:rPr>
                  </w:pPr>
                </w:p>
              </w:tc>
              <w:tc>
                <w:tcPr>
                  <w:tcW w:w="540" w:type="dxa"/>
                  <w:shd w:val="clear" w:color="auto" w:fill="auto"/>
                  <w:tcMar>
                    <w:top w:w="0" w:type="dxa"/>
                    <w:left w:w="0" w:type="dxa"/>
                    <w:bottom w:w="0" w:type="dxa"/>
                    <w:right w:w="0" w:type="dxa"/>
                  </w:tcMar>
                  <w:vAlign w:val="center"/>
                </w:tcPr>
                <w:p>
                  <w:pPr>
                    <w:pStyle w:val="66"/>
                    <w:bidi w:val="0"/>
                  </w:pPr>
                  <w:r>
                    <w:t>-9.3</w:t>
                  </w:r>
                </w:p>
              </w:tc>
              <w:tc>
                <w:tcPr>
                  <w:tcW w:w="555" w:type="dxa"/>
                  <w:shd w:val="clear" w:color="auto" w:fill="auto"/>
                  <w:tcMar>
                    <w:top w:w="0" w:type="dxa"/>
                    <w:left w:w="0" w:type="dxa"/>
                    <w:bottom w:w="0" w:type="dxa"/>
                    <w:right w:w="0" w:type="dxa"/>
                  </w:tcMar>
                  <w:vAlign w:val="center"/>
                </w:tcPr>
                <w:p>
                  <w:pPr>
                    <w:pStyle w:val="66"/>
                    <w:bidi w:val="0"/>
                  </w:pPr>
                  <w:r>
                    <w:t>4.8</w:t>
                  </w:r>
                </w:p>
              </w:tc>
              <w:tc>
                <w:tcPr>
                  <w:tcW w:w="476" w:type="dxa"/>
                  <w:shd w:val="clear" w:color="auto" w:fill="auto"/>
                  <w:tcMar>
                    <w:top w:w="0" w:type="dxa"/>
                    <w:left w:w="0" w:type="dxa"/>
                    <w:bottom w:w="0" w:type="dxa"/>
                    <w:right w:w="0" w:type="dxa"/>
                  </w:tcMar>
                  <w:vAlign w:val="center"/>
                </w:tcPr>
                <w:p>
                  <w:pPr>
                    <w:pStyle w:val="66"/>
                    <w:bidi w:val="0"/>
                  </w:pPr>
                  <w:r>
                    <w:t>1.2</w:t>
                  </w:r>
                </w:p>
              </w:tc>
              <w:tc>
                <w:tcPr>
                  <w:tcW w:w="525" w:type="dxa"/>
                  <w:shd w:val="clear" w:color="auto" w:fill="auto"/>
                  <w:tcMar>
                    <w:top w:w="0" w:type="dxa"/>
                    <w:left w:w="0" w:type="dxa"/>
                    <w:bottom w:w="0" w:type="dxa"/>
                    <w:right w:w="0" w:type="dxa"/>
                  </w:tcMar>
                  <w:vAlign w:val="center"/>
                </w:tcPr>
                <w:p>
                  <w:pPr>
                    <w:pStyle w:val="66"/>
                    <w:bidi w:val="0"/>
                  </w:pPr>
                  <w:r>
                    <w:t>49.4</w:t>
                  </w:r>
                </w:p>
              </w:tc>
              <w:tc>
                <w:tcPr>
                  <w:tcW w:w="495" w:type="dxa"/>
                  <w:shd w:val="clear" w:color="auto" w:fill="auto"/>
                  <w:tcMar>
                    <w:top w:w="0" w:type="dxa"/>
                    <w:left w:w="0" w:type="dxa"/>
                    <w:bottom w:w="0" w:type="dxa"/>
                    <w:right w:w="0" w:type="dxa"/>
                  </w:tcMar>
                  <w:vAlign w:val="center"/>
                </w:tcPr>
                <w:p>
                  <w:pPr>
                    <w:pStyle w:val="66"/>
                    <w:bidi w:val="0"/>
                  </w:pPr>
                  <w:r>
                    <w:t>20.6</w:t>
                  </w:r>
                </w:p>
              </w:tc>
              <w:tc>
                <w:tcPr>
                  <w:tcW w:w="525" w:type="dxa"/>
                  <w:shd w:val="clear" w:color="auto" w:fill="auto"/>
                  <w:tcMar>
                    <w:top w:w="0" w:type="dxa"/>
                    <w:left w:w="0" w:type="dxa"/>
                    <w:bottom w:w="0" w:type="dxa"/>
                    <w:right w:w="0" w:type="dxa"/>
                  </w:tcMar>
                  <w:vAlign w:val="center"/>
                </w:tcPr>
                <w:p>
                  <w:pPr>
                    <w:pStyle w:val="66"/>
                    <w:bidi w:val="0"/>
                  </w:pPr>
                  <w:r>
                    <w:t>37.2</w:t>
                  </w:r>
                </w:p>
              </w:tc>
              <w:tc>
                <w:tcPr>
                  <w:tcW w:w="480" w:type="dxa"/>
                  <w:shd w:val="clear" w:color="auto" w:fill="auto"/>
                  <w:tcMar>
                    <w:top w:w="0" w:type="dxa"/>
                    <w:left w:w="0" w:type="dxa"/>
                    <w:bottom w:w="0" w:type="dxa"/>
                    <w:right w:w="0" w:type="dxa"/>
                  </w:tcMar>
                  <w:vAlign w:val="center"/>
                </w:tcPr>
                <w:p>
                  <w:pPr>
                    <w:pStyle w:val="66"/>
                    <w:bidi w:val="0"/>
                  </w:pPr>
                  <w:r>
                    <w:t>12.9</w:t>
                  </w:r>
                </w:p>
              </w:tc>
              <w:tc>
                <w:tcPr>
                  <w:tcW w:w="480" w:type="dxa"/>
                  <w:shd w:val="clear" w:color="auto" w:fill="auto"/>
                  <w:tcMar>
                    <w:top w:w="0" w:type="dxa"/>
                    <w:left w:w="0" w:type="dxa"/>
                    <w:bottom w:w="0" w:type="dxa"/>
                    <w:right w:w="0" w:type="dxa"/>
                  </w:tcMar>
                  <w:vAlign w:val="center"/>
                </w:tcPr>
                <w:p>
                  <w:pPr>
                    <w:pStyle w:val="66"/>
                    <w:bidi w:val="0"/>
                  </w:pPr>
                  <w:r>
                    <w:t>64.1</w:t>
                  </w:r>
                </w:p>
              </w:tc>
              <w:tc>
                <w:tcPr>
                  <w:tcW w:w="495" w:type="dxa"/>
                  <w:shd w:val="clear" w:color="auto" w:fill="auto"/>
                  <w:tcMar>
                    <w:top w:w="0" w:type="dxa"/>
                    <w:left w:w="0" w:type="dxa"/>
                    <w:bottom w:w="0" w:type="dxa"/>
                    <w:right w:w="0" w:type="dxa"/>
                  </w:tcMar>
                  <w:vAlign w:val="center"/>
                </w:tcPr>
                <w:p>
                  <w:pPr>
                    <w:pStyle w:val="66"/>
                    <w:bidi w:val="0"/>
                  </w:pPr>
                  <w:r>
                    <w:t>64.2</w:t>
                  </w:r>
                </w:p>
              </w:tc>
              <w:tc>
                <w:tcPr>
                  <w:tcW w:w="480" w:type="dxa"/>
                  <w:shd w:val="clear" w:color="auto" w:fill="auto"/>
                  <w:tcMar>
                    <w:top w:w="0" w:type="dxa"/>
                    <w:left w:w="0" w:type="dxa"/>
                    <w:bottom w:w="0" w:type="dxa"/>
                    <w:right w:w="0" w:type="dxa"/>
                  </w:tcMar>
                  <w:vAlign w:val="center"/>
                </w:tcPr>
                <w:p>
                  <w:pPr>
                    <w:pStyle w:val="66"/>
                    <w:bidi w:val="0"/>
                  </w:pPr>
                  <w:r>
                    <w:t>64.1</w:t>
                  </w:r>
                </w:p>
              </w:tc>
              <w:tc>
                <w:tcPr>
                  <w:tcW w:w="585" w:type="dxa"/>
                  <w:shd w:val="clear" w:color="auto" w:fill="auto"/>
                  <w:tcMar>
                    <w:top w:w="0" w:type="dxa"/>
                    <w:left w:w="0" w:type="dxa"/>
                    <w:bottom w:w="0" w:type="dxa"/>
                    <w:right w:w="0" w:type="dxa"/>
                  </w:tcMar>
                  <w:vAlign w:val="center"/>
                </w:tcPr>
                <w:p>
                  <w:pPr>
                    <w:pStyle w:val="66"/>
                    <w:bidi w:val="0"/>
                  </w:pPr>
                  <w:r>
                    <w:t>64.2</w:t>
                  </w:r>
                </w:p>
              </w:tc>
              <w:tc>
                <w:tcPr>
                  <w:tcW w:w="139" w:type="pct"/>
                  <w:vMerge w:val="continue"/>
                  <w:shd w:val="clear" w:color="auto" w:fill="auto"/>
                  <w:tcMar>
                    <w:top w:w="0" w:type="dxa"/>
                    <w:left w:w="0" w:type="dxa"/>
                    <w:bottom w:w="0" w:type="dxa"/>
                    <w:right w:w="0" w:type="dxa"/>
                  </w:tcMar>
                  <w:vAlign w:val="center"/>
                </w:tcPr>
                <w:p>
                  <w:pPr>
                    <w:pStyle w:val="66"/>
                    <w:bidi w:val="0"/>
                  </w:pPr>
                </w:p>
              </w:tc>
              <w:tc>
                <w:tcPr>
                  <w:tcW w:w="405" w:type="dxa"/>
                  <w:shd w:val="clear" w:color="auto" w:fill="auto"/>
                  <w:tcMar>
                    <w:top w:w="0" w:type="dxa"/>
                    <w:left w:w="0" w:type="dxa"/>
                    <w:bottom w:w="0" w:type="dxa"/>
                    <w:right w:w="0" w:type="dxa"/>
                  </w:tcMar>
                  <w:vAlign w:val="center"/>
                </w:tcPr>
                <w:p>
                  <w:pPr>
                    <w:pStyle w:val="66"/>
                    <w:bidi w:val="0"/>
                  </w:pPr>
                  <w:r>
                    <w:t>25.0</w:t>
                  </w:r>
                </w:p>
              </w:tc>
              <w:tc>
                <w:tcPr>
                  <w:tcW w:w="420" w:type="dxa"/>
                  <w:shd w:val="clear" w:color="auto" w:fill="auto"/>
                  <w:tcMar>
                    <w:top w:w="0" w:type="dxa"/>
                    <w:left w:w="0" w:type="dxa"/>
                    <w:bottom w:w="0" w:type="dxa"/>
                    <w:right w:w="0" w:type="dxa"/>
                  </w:tcMar>
                  <w:vAlign w:val="center"/>
                </w:tcPr>
                <w:p>
                  <w:pPr>
                    <w:pStyle w:val="66"/>
                    <w:bidi w:val="0"/>
                  </w:pPr>
                  <w:r>
                    <w:t>25.0</w:t>
                  </w:r>
                </w:p>
              </w:tc>
              <w:tc>
                <w:tcPr>
                  <w:tcW w:w="450" w:type="dxa"/>
                  <w:shd w:val="clear" w:color="auto" w:fill="auto"/>
                  <w:tcMar>
                    <w:top w:w="0" w:type="dxa"/>
                    <w:left w:w="0" w:type="dxa"/>
                    <w:bottom w:w="0" w:type="dxa"/>
                    <w:right w:w="0" w:type="dxa"/>
                  </w:tcMar>
                  <w:vAlign w:val="center"/>
                </w:tcPr>
                <w:p>
                  <w:pPr>
                    <w:pStyle w:val="66"/>
                    <w:bidi w:val="0"/>
                  </w:pPr>
                  <w:r>
                    <w:t>25.0</w:t>
                  </w:r>
                </w:p>
              </w:tc>
              <w:tc>
                <w:tcPr>
                  <w:tcW w:w="405" w:type="dxa"/>
                  <w:shd w:val="clear" w:color="auto" w:fill="auto"/>
                  <w:tcMar>
                    <w:top w:w="0" w:type="dxa"/>
                    <w:left w:w="0" w:type="dxa"/>
                    <w:bottom w:w="0" w:type="dxa"/>
                    <w:right w:w="0" w:type="dxa"/>
                  </w:tcMar>
                  <w:vAlign w:val="center"/>
                </w:tcPr>
                <w:p>
                  <w:pPr>
                    <w:pStyle w:val="66"/>
                    <w:bidi w:val="0"/>
                  </w:pPr>
                  <w:r>
                    <w:t>25.0</w:t>
                  </w:r>
                </w:p>
              </w:tc>
              <w:tc>
                <w:tcPr>
                  <w:tcW w:w="465" w:type="dxa"/>
                  <w:shd w:val="clear" w:color="auto" w:fill="auto"/>
                  <w:tcMar>
                    <w:top w:w="0" w:type="dxa"/>
                    <w:left w:w="0" w:type="dxa"/>
                    <w:bottom w:w="0" w:type="dxa"/>
                    <w:right w:w="0" w:type="dxa"/>
                  </w:tcMar>
                  <w:vAlign w:val="center"/>
                </w:tcPr>
                <w:p>
                  <w:pPr>
                    <w:pStyle w:val="66"/>
                    <w:bidi w:val="0"/>
                  </w:pPr>
                  <w:r>
                    <w:t>39.1</w:t>
                  </w:r>
                </w:p>
              </w:tc>
              <w:tc>
                <w:tcPr>
                  <w:tcW w:w="465" w:type="dxa"/>
                  <w:shd w:val="clear" w:color="auto" w:fill="auto"/>
                  <w:tcMar>
                    <w:top w:w="0" w:type="dxa"/>
                    <w:left w:w="0" w:type="dxa"/>
                    <w:bottom w:w="0" w:type="dxa"/>
                    <w:right w:w="0" w:type="dxa"/>
                  </w:tcMar>
                  <w:vAlign w:val="center"/>
                </w:tcPr>
                <w:p>
                  <w:pPr>
                    <w:pStyle w:val="66"/>
                    <w:bidi w:val="0"/>
                  </w:pPr>
                  <w:r>
                    <w:t>39.2</w:t>
                  </w:r>
                </w:p>
              </w:tc>
              <w:tc>
                <w:tcPr>
                  <w:tcW w:w="405" w:type="dxa"/>
                  <w:shd w:val="clear" w:color="auto" w:fill="auto"/>
                  <w:tcMar>
                    <w:top w:w="0" w:type="dxa"/>
                    <w:left w:w="0" w:type="dxa"/>
                    <w:bottom w:w="0" w:type="dxa"/>
                    <w:right w:w="0" w:type="dxa"/>
                  </w:tcMar>
                  <w:vAlign w:val="center"/>
                </w:tcPr>
                <w:p>
                  <w:pPr>
                    <w:pStyle w:val="66"/>
                    <w:bidi w:val="0"/>
                  </w:pPr>
                  <w:r>
                    <w:t>39.1</w:t>
                  </w:r>
                </w:p>
              </w:tc>
              <w:tc>
                <w:tcPr>
                  <w:tcW w:w="495" w:type="dxa"/>
                  <w:shd w:val="clear" w:color="auto" w:fill="auto"/>
                  <w:tcMar>
                    <w:top w:w="0" w:type="dxa"/>
                    <w:left w:w="0" w:type="dxa"/>
                    <w:bottom w:w="0" w:type="dxa"/>
                    <w:right w:w="0" w:type="dxa"/>
                  </w:tcMar>
                  <w:vAlign w:val="center"/>
                </w:tcPr>
                <w:p>
                  <w:pPr>
                    <w:pStyle w:val="66"/>
                    <w:bidi w:val="0"/>
                  </w:pPr>
                  <w:r>
                    <w:t>39.2</w:t>
                  </w:r>
                </w:p>
              </w:tc>
              <w:tc>
                <w:tcPr>
                  <w:tcW w:w="727" w:type="dxa"/>
                  <w:shd w:val="clear" w:color="auto" w:fill="auto"/>
                  <w:tcMar>
                    <w:top w:w="0" w:type="dxa"/>
                    <w:left w:w="0" w:type="dxa"/>
                    <w:bottom w:w="0" w:type="dxa"/>
                    <w:right w:w="0" w:type="dxa"/>
                  </w:tcMar>
                  <w:vAlign w:val="center"/>
                </w:tcPr>
                <w:p>
                  <w:pPr>
                    <w:pStyle w:val="66"/>
                    <w:bidi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2" w:type="pct"/>
                  <w:shd w:val="clear" w:color="auto" w:fill="auto"/>
                  <w:tcMar>
                    <w:top w:w="0" w:type="dxa"/>
                    <w:left w:w="0" w:type="dxa"/>
                    <w:bottom w:w="0" w:type="dxa"/>
                    <w:right w:w="0" w:type="dxa"/>
                  </w:tcMar>
                  <w:vAlign w:val="center"/>
                </w:tcPr>
                <w:p>
                  <w:pPr>
                    <w:pStyle w:val="66"/>
                    <w:bidi w:val="0"/>
                    <w:rPr>
                      <w:rFonts w:hint="default"/>
                      <w:lang w:val="en-US" w:eastAsia="zh-CN"/>
                    </w:rPr>
                  </w:pPr>
                  <w:r>
                    <w:rPr>
                      <w:rFonts w:hint="eastAsia"/>
                      <w:lang w:val="en-US" w:eastAsia="zh-CN"/>
                    </w:rPr>
                    <w:t>10</w:t>
                  </w:r>
                </w:p>
              </w:tc>
              <w:tc>
                <w:tcPr>
                  <w:tcW w:w="127" w:type="pct"/>
                  <w:vMerge w:val="continue"/>
                  <w:shd w:val="clear" w:color="auto" w:fill="auto"/>
                  <w:tcMar>
                    <w:top w:w="0" w:type="dxa"/>
                    <w:left w:w="0" w:type="dxa"/>
                    <w:bottom w:w="0" w:type="dxa"/>
                    <w:right w:w="0" w:type="dxa"/>
                  </w:tcMar>
                  <w:vAlign w:val="center"/>
                </w:tcPr>
                <w:p>
                  <w:pPr>
                    <w:pStyle w:val="66"/>
                    <w:bidi w:val="0"/>
                  </w:pPr>
                </w:p>
              </w:tc>
              <w:tc>
                <w:tcPr>
                  <w:tcW w:w="232" w:type="pct"/>
                  <w:shd w:val="clear" w:color="auto" w:fill="auto"/>
                  <w:tcMar>
                    <w:top w:w="0" w:type="dxa"/>
                    <w:left w:w="0" w:type="dxa"/>
                    <w:bottom w:w="0" w:type="dxa"/>
                    <w:right w:w="0" w:type="dxa"/>
                  </w:tcMar>
                  <w:vAlign w:val="center"/>
                </w:tcPr>
                <w:p>
                  <w:pPr>
                    <w:pStyle w:val="66"/>
                    <w:bidi w:val="0"/>
                  </w:pPr>
                  <w:r>
                    <w:t>压饼机</w:t>
                  </w:r>
                  <w:r>
                    <w:rPr>
                      <w:rFonts w:hint="eastAsia"/>
                      <w:lang w:val="en-US" w:eastAsia="zh-CN"/>
                    </w:rPr>
                    <w:t>组</w:t>
                  </w:r>
                  <w:r>
                    <w:t>,4台（按点声源组预测</w:t>
                  </w:r>
                </w:p>
              </w:tc>
              <w:tc>
                <w:tcPr>
                  <w:tcW w:w="225" w:type="pct"/>
                  <w:shd w:val="clear" w:color="auto" w:fill="auto"/>
                  <w:tcMar>
                    <w:top w:w="0" w:type="dxa"/>
                    <w:left w:w="0" w:type="dxa"/>
                    <w:bottom w:w="0" w:type="dxa"/>
                    <w:right w:w="0" w:type="dxa"/>
                  </w:tcMar>
                  <w:vAlign w:val="center"/>
                </w:tcPr>
                <w:p>
                  <w:pPr>
                    <w:pStyle w:val="66"/>
                    <w:bidi w:val="0"/>
                    <w:rPr>
                      <w:rFonts w:hint="default"/>
                    </w:rPr>
                  </w:pPr>
                  <w:r>
                    <w:rPr>
                      <w:rFonts w:hint="eastAsia"/>
                      <w:lang w:val="en-US" w:eastAsia="zh-CN"/>
                    </w:rPr>
                    <w:t>H32-700 河南20250530</w:t>
                  </w:r>
                </w:p>
              </w:tc>
              <w:tc>
                <w:tcPr>
                  <w:tcW w:w="252" w:type="pct"/>
                  <w:shd w:val="clear" w:color="auto" w:fill="auto"/>
                  <w:tcMar>
                    <w:top w:w="0" w:type="dxa"/>
                    <w:left w:w="0" w:type="dxa"/>
                    <w:bottom w:w="0" w:type="dxa"/>
                    <w:right w:w="0" w:type="dxa"/>
                  </w:tcMar>
                  <w:vAlign w:val="center"/>
                </w:tcPr>
                <w:p>
                  <w:pPr>
                    <w:pStyle w:val="66"/>
                    <w:bidi w:val="0"/>
                    <w:rPr>
                      <w:rFonts w:hint="eastAsia" w:eastAsia="宋体"/>
                      <w:lang w:val="en-US" w:eastAsia="zh-CN"/>
                    </w:rPr>
                  </w:pPr>
                  <w:r>
                    <w:t>71（等效后：77.0</w:t>
                  </w:r>
                  <w:r>
                    <w:rPr>
                      <w:rFonts w:hint="eastAsia"/>
                      <w:lang w:eastAsia="zh-CN"/>
                    </w:rPr>
                    <w:t>）</w:t>
                  </w:r>
                </w:p>
              </w:tc>
              <w:tc>
                <w:tcPr>
                  <w:tcW w:w="328" w:type="pct"/>
                  <w:vMerge w:val="continue"/>
                  <w:shd w:val="clear" w:color="auto" w:fill="auto"/>
                  <w:tcMar>
                    <w:top w:w="0" w:type="dxa"/>
                    <w:left w:w="0" w:type="dxa"/>
                    <w:bottom w:w="0" w:type="dxa"/>
                    <w:right w:w="0" w:type="dxa"/>
                  </w:tcMar>
                  <w:vAlign w:val="center"/>
                </w:tcPr>
                <w:p>
                  <w:pPr>
                    <w:pStyle w:val="66"/>
                    <w:bidi w:val="0"/>
                    <w:rPr>
                      <w:rFonts w:hint="eastAsia"/>
                      <w:lang w:val="en-US" w:eastAsia="zh-CN"/>
                    </w:rPr>
                  </w:pPr>
                </w:p>
              </w:tc>
              <w:tc>
                <w:tcPr>
                  <w:tcW w:w="540" w:type="dxa"/>
                  <w:shd w:val="clear" w:color="auto" w:fill="auto"/>
                  <w:tcMar>
                    <w:top w:w="0" w:type="dxa"/>
                    <w:left w:w="0" w:type="dxa"/>
                    <w:bottom w:w="0" w:type="dxa"/>
                    <w:right w:w="0" w:type="dxa"/>
                  </w:tcMar>
                  <w:vAlign w:val="center"/>
                </w:tcPr>
                <w:p>
                  <w:pPr>
                    <w:pStyle w:val="66"/>
                    <w:bidi w:val="0"/>
                  </w:pPr>
                  <w:r>
                    <w:t>-14.6</w:t>
                  </w:r>
                </w:p>
              </w:tc>
              <w:tc>
                <w:tcPr>
                  <w:tcW w:w="555" w:type="dxa"/>
                  <w:shd w:val="clear" w:color="auto" w:fill="auto"/>
                  <w:tcMar>
                    <w:top w:w="0" w:type="dxa"/>
                    <w:left w:w="0" w:type="dxa"/>
                    <w:bottom w:w="0" w:type="dxa"/>
                    <w:right w:w="0" w:type="dxa"/>
                  </w:tcMar>
                  <w:vAlign w:val="center"/>
                </w:tcPr>
                <w:p>
                  <w:pPr>
                    <w:pStyle w:val="66"/>
                    <w:bidi w:val="0"/>
                  </w:pPr>
                  <w:r>
                    <w:t>2.1</w:t>
                  </w:r>
                </w:p>
              </w:tc>
              <w:tc>
                <w:tcPr>
                  <w:tcW w:w="476" w:type="dxa"/>
                  <w:shd w:val="clear" w:color="auto" w:fill="auto"/>
                  <w:tcMar>
                    <w:top w:w="0" w:type="dxa"/>
                    <w:left w:w="0" w:type="dxa"/>
                    <w:bottom w:w="0" w:type="dxa"/>
                    <w:right w:w="0" w:type="dxa"/>
                  </w:tcMar>
                  <w:vAlign w:val="center"/>
                </w:tcPr>
                <w:p>
                  <w:pPr>
                    <w:pStyle w:val="66"/>
                    <w:bidi w:val="0"/>
                  </w:pPr>
                  <w:r>
                    <w:t>1.2</w:t>
                  </w:r>
                </w:p>
              </w:tc>
              <w:tc>
                <w:tcPr>
                  <w:tcW w:w="525" w:type="dxa"/>
                  <w:shd w:val="clear" w:color="auto" w:fill="auto"/>
                  <w:tcMar>
                    <w:top w:w="0" w:type="dxa"/>
                    <w:left w:w="0" w:type="dxa"/>
                    <w:bottom w:w="0" w:type="dxa"/>
                    <w:right w:w="0" w:type="dxa"/>
                  </w:tcMar>
                  <w:vAlign w:val="center"/>
                </w:tcPr>
                <w:p>
                  <w:pPr>
                    <w:pStyle w:val="66"/>
                    <w:bidi w:val="0"/>
                  </w:pPr>
                  <w:r>
                    <w:t>54.3</w:t>
                  </w:r>
                </w:p>
              </w:tc>
              <w:tc>
                <w:tcPr>
                  <w:tcW w:w="495" w:type="dxa"/>
                  <w:shd w:val="clear" w:color="auto" w:fill="auto"/>
                  <w:tcMar>
                    <w:top w:w="0" w:type="dxa"/>
                    <w:left w:w="0" w:type="dxa"/>
                    <w:bottom w:w="0" w:type="dxa"/>
                    <w:right w:w="0" w:type="dxa"/>
                  </w:tcMar>
                  <w:vAlign w:val="center"/>
                </w:tcPr>
                <w:p>
                  <w:pPr>
                    <w:pStyle w:val="66"/>
                    <w:bidi w:val="0"/>
                  </w:pPr>
                  <w:r>
                    <w:t>17.3</w:t>
                  </w:r>
                </w:p>
              </w:tc>
              <w:tc>
                <w:tcPr>
                  <w:tcW w:w="525" w:type="dxa"/>
                  <w:shd w:val="clear" w:color="auto" w:fill="auto"/>
                  <w:tcMar>
                    <w:top w:w="0" w:type="dxa"/>
                    <w:left w:w="0" w:type="dxa"/>
                    <w:bottom w:w="0" w:type="dxa"/>
                    <w:right w:w="0" w:type="dxa"/>
                  </w:tcMar>
                  <w:vAlign w:val="center"/>
                </w:tcPr>
                <w:p>
                  <w:pPr>
                    <w:pStyle w:val="66"/>
                    <w:bidi w:val="0"/>
                  </w:pPr>
                  <w:r>
                    <w:t>32.3</w:t>
                  </w:r>
                </w:p>
              </w:tc>
              <w:tc>
                <w:tcPr>
                  <w:tcW w:w="480" w:type="dxa"/>
                  <w:shd w:val="clear" w:color="auto" w:fill="auto"/>
                  <w:tcMar>
                    <w:top w:w="0" w:type="dxa"/>
                    <w:left w:w="0" w:type="dxa"/>
                    <w:bottom w:w="0" w:type="dxa"/>
                    <w:right w:w="0" w:type="dxa"/>
                  </w:tcMar>
                  <w:vAlign w:val="center"/>
                </w:tcPr>
                <w:p>
                  <w:pPr>
                    <w:pStyle w:val="66"/>
                    <w:bidi w:val="0"/>
                  </w:pPr>
                  <w:r>
                    <w:t>16.3</w:t>
                  </w:r>
                </w:p>
              </w:tc>
              <w:tc>
                <w:tcPr>
                  <w:tcW w:w="480" w:type="dxa"/>
                  <w:shd w:val="clear" w:color="auto" w:fill="auto"/>
                  <w:tcMar>
                    <w:top w:w="0" w:type="dxa"/>
                    <w:left w:w="0" w:type="dxa"/>
                    <w:bottom w:w="0" w:type="dxa"/>
                    <w:right w:w="0" w:type="dxa"/>
                  </w:tcMar>
                  <w:vAlign w:val="center"/>
                </w:tcPr>
                <w:p>
                  <w:pPr>
                    <w:pStyle w:val="66"/>
                    <w:bidi w:val="0"/>
                  </w:pPr>
                  <w:r>
                    <w:t>62.1</w:t>
                  </w:r>
                </w:p>
              </w:tc>
              <w:tc>
                <w:tcPr>
                  <w:tcW w:w="495" w:type="dxa"/>
                  <w:shd w:val="clear" w:color="auto" w:fill="auto"/>
                  <w:tcMar>
                    <w:top w:w="0" w:type="dxa"/>
                    <w:left w:w="0" w:type="dxa"/>
                    <w:bottom w:w="0" w:type="dxa"/>
                    <w:right w:w="0" w:type="dxa"/>
                  </w:tcMar>
                  <w:vAlign w:val="center"/>
                </w:tcPr>
                <w:p>
                  <w:pPr>
                    <w:pStyle w:val="66"/>
                    <w:bidi w:val="0"/>
                  </w:pPr>
                  <w:r>
                    <w:t>62.2</w:t>
                  </w:r>
                </w:p>
              </w:tc>
              <w:tc>
                <w:tcPr>
                  <w:tcW w:w="480" w:type="dxa"/>
                  <w:shd w:val="clear" w:color="auto" w:fill="auto"/>
                  <w:tcMar>
                    <w:top w:w="0" w:type="dxa"/>
                    <w:left w:w="0" w:type="dxa"/>
                    <w:bottom w:w="0" w:type="dxa"/>
                    <w:right w:w="0" w:type="dxa"/>
                  </w:tcMar>
                  <w:vAlign w:val="center"/>
                </w:tcPr>
                <w:p>
                  <w:pPr>
                    <w:pStyle w:val="66"/>
                    <w:bidi w:val="0"/>
                  </w:pPr>
                  <w:r>
                    <w:t>62.1</w:t>
                  </w:r>
                </w:p>
              </w:tc>
              <w:tc>
                <w:tcPr>
                  <w:tcW w:w="585" w:type="dxa"/>
                  <w:shd w:val="clear" w:color="auto" w:fill="auto"/>
                  <w:tcMar>
                    <w:top w:w="0" w:type="dxa"/>
                    <w:left w:w="0" w:type="dxa"/>
                    <w:bottom w:w="0" w:type="dxa"/>
                    <w:right w:w="0" w:type="dxa"/>
                  </w:tcMar>
                  <w:vAlign w:val="center"/>
                </w:tcPr>
                <w:p>
                  <w:pPr>
                    <w:pStyle w:val="66"/>
                    <w:bidi w:val="0"/>
                  </w:pPr>
                  <w:r>
                    <w:t>62.2</w:t>
                  </w:r>
                </w:p>
              </w:tc>
              <w:tc>
                <w:tcPr>
                  <w:tcW w:w="139" w:type="pct"/>
                  <w:vMerge w:val="continue"/>
                  <w:shd w:val="clear" w:color="auto" w:fill="auto"/>
                  <w:tcMar>
                    <w:top w:w="0" w:type="dxa"/>
                    <w:left w:w="0" w:type="dxa"/>
                    <w:bottom w:w="0" w:type="dxa"/>
                    <w:right w:w="0" w:type="dxa"/>
                  </w:tcMar>
                  <w:vAlign w:val="center"/>
                </w:tcPr>
                <w:p>
                  <w:pPr>
                    <w:pStyle w:val="66"/>
                    <w:bidi w:val="0"/>
                  </w:pPr>
                </w:p>
              </w:tc>
              <w:tc>
                <w:tcPr>
                  <w:tcW w:w="405" w:type="dxa"/>
                  <w:shd w:val="clear" w:color="auto" w:fill="auto"/>
                  <w:tcMar>
                    <w:top w:w="0" w:type="dxa"/>
                    <w:left w:w="0" w:type="dxa"/>
                    <w:bottom w:w="0" w:type="dxa"/>
                    <w:right w:w="0" w:type="dxa"/>
                  </w:tcMar>
                  <w:vAlign w:val="center"/>
                </w:tcPr>
                <w:p>
                  <w:pPr>
                    <w:pStyle w:val="66"/>
                    <w:bidi w:val="0"/>
                  </w:pPr>
                  <w:r>
                    <w:t>25.0</w:t>
                  </w:r>
                </w:p>
              </w:tc>
              <w:tc>
                <w:tcPr>
                  <w:tcW w:w="420" w:type="dxa"/>
                  <w:shd w:val="clear" w:color="auto" w:fill="auto"/>
                  <w:tcMar>
                    <w:top w:w="0" w:type="dxa"/>
                    <w:left w:w="0" w:type="dxa"/>
                    <w:bottom w:w="0" w:type="dxa"/>
                    <w:right w:w="0" w:type="dxa"/>
                  </w:tcMar>
                  <w:vAlign w:val="center"/>
                </w:tcPr>
                <w:p>
                  <w:pPr>
                    <w:pStyle w:val="66"/>
                    <w:bidi w:val="0"/>
                  </w:pPr>
                  <w:r>
                    <w:t>25.0</w:t>
                  </w:r>
                </w:p>
              </w:tc>
              <w:tc>
                <w:tcPr>
                  <w:tcW w:w="450" w:type="dxa"/>
                  <w:shd w:val="clear" w:color="auto" w:fill="auto"/>
                  <w:tcMar>
                    <w:top w:w="0" w:type="dxa"/>
                    <w:left w:w="0" w:type="dxa"/>
                    <w:bottom w:w="0" w:type="dxa"/>
                    <w:right w:w="0" w:type="dxa"/>
                  </w:tcMar>
                  <w:vAlign w:val="center"/>
                </w:tcPr>
                <w:p>
                  <w:pPr>
                    <w:pStyle w:val="66"/>
                    <w:bidi w:val="0"/>
                  </w:pPr>
                  <w:r>
                    <w:t>25.0</w:t>
                  </w:r>
                </w:p>
              </w:tc>
              <w:tc>
                <w:tcPr>
                  <w:tcW w:w="405" w:type="dxa"/>
                  <w:shd w:val="clear" w:color="auto" w:fill="auto"/>
                  <w:tcMar>
                    <w:top w:w="0" w:type="dxa"/>
                    <w:left w:w="0" w:type="dxa"/>
                    <w:bottom w:w="0" w:type="dxa"/>
                    <w:right w:w="0" w:type="dxa"/>
                  </w:tcMar>
                  <w:vAlign w:val="center"/>
                </w:tcPr>
                <w:p>
                  <w:pPr>
                    <w:pStyle w:val="66"/>
                    <w:bidi w:val="0"/>
                  </w:pPr>
                  <w:r>
                    <w:t>25.0</w:t>
                  </w:r>
                </w:p>
              </w:tc>
              <w:tc>
                <w:tcPr>
                  <w:tcW w:w="465" w:type="dxa"/>
                  <w:shd w:val="clear" w:color="auto" w:fill="auto"/>
                  <w:tcMar>
                    <w:top w:w="0" w:type="dxa"/>
                    <w:left w:w="0" w:type="dxa"/>
                    <w:bottom w:w="0" w:type="dxa"/>
                    <w:right w:w="0" w:type="dxa"/>
                  </w:tcMar>
                  <w:vAlign w:val="center"/>
                </w:tcPr>
                <w:p>
                  <w:pPr>
                    <w:pStyle w:val="66"/>
                    <w:bidi w:val="0"/>
                  </w:pPr>
                  <w:r>
                    <w:t>37.1</w:t>
                  </w:r>
                </w:p>
              </w:tc>
              <w:tc>
                <w:tcPr>
                  <w:tcW w:w="465" w:type="dxa"/>
                  <w:shd w:val="clear" w:color="auto" w:fill="auto"/>
                  <w:tcMar>
                    <w:top w:w="0" w:type="dxa"/>
                    <w:left w:w="0" w:type="dxa"/>
                    <w:bottom w:w="0" w:type="dxa"/>
                    <w:right w:w="0" w:type="dxa"/>
                  </w:tcMar>
                  <w:vAlign w:val="center"/>
                </w:tcPr>
                <w:p>
                  <w:pPr>
                    <w:pStyle w:val="66"/>
                    <w:bidi w:val="0"/>
                  </w:pPr>
                  <w:r>
                    <w:t>37.2</w:t>
                  </w:r>
                </w:p>
              </w:tc>
              <w:tc>
                <w:tcPr>
                  <w:tcW w:w="405" w:type="dxa"/>
                  <w:shd w:val="clear" w:color="auto" w:fill="auto"/>
                  <w:tcMar>
                    <w:top w:w="0" w:type="dxa"/>
                    <w:left w:w="0" w:type="dxa"/>
                    <w:bottom w:w="0" w:type="dxa"/>
                    <w:right w:w="0" w:type="dxa"/>
                  </w:tcMar>
                  <w:vAlign w:val="center"/>
                </w:tcPr>
                <w:p>
                  <w:pPr>
                    <w:pStyle w:val="66"/>
                    <w:bidi w:val="0"/>
                  </w:pPr>
                  <w:r>
                    <w:t>37.1</w:t>
                  </w:r>
                </w:p>
              </w:tc>
              <w:tc>
                <w:tcPr>
                  <w:tcW w:w="495" w:type="dxa"/>
                  <w:shd w:val="clear" w:color="auto" w:fill="auto"/>
                  <w:tcMar>
                    <w:top w:w="0" w:type="dxa"/>
                    <w:left w:w="0" w:type="dxa"/>
                    <w:bottom w:w="0" w:type="dxa"/>
                    <w:right w:w="0" w:type="dxa"/>
                  </w:tcMar>
                  <w:vAlign w:val="center"/>
                </w:tcPr>
                <w:p>
                  <w:pPr>
                    <w:pStyle w:val="66"/>
                    <w:bidi w:val="0"/>
                  </w:pPr>
                  <w:r>
                    <w:t>37.2</w:t>
                  </w:r>
                </w:p>
              </w:tc>
              <w:tc>
                <w:tcPr>
                  <w:tcW w:w="727" w:type="dxa"/>
                  <w:shd w:val="clear" w:color="auto" w:fill="auto"/>
                  <w:tcMar>
                    <w:top w:w="0" w:type="dxa"/>
                    <w:left w:w="0" w:type="dxa"/>
                    <w:bottom w:w="0" w:type="dxa"/>
                    <w:right w:w="0" w:type="dxa"/>
                  </w:tcMar>
                  <w:vAlign w:val="center"/>
                </w:tcPr>
                <w:p>
                  <w:pPr>
                    <w:pStyle w:val="66"/>
                    <w:bidi w:val="0"/>
                  </w:pPr>
                  <w:r>
                    <w:t>1</w:t>
                  </w:r>
                </w:p>
              </w:tc>
            </w:tr>
            <w:bookmarkEnd w:id="18"/>
          </w:tbl>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snapToGrid w:val="0"/>
          <w:color w:val="auto"/>
          <w:sz w:val="30"/>
          <w:szCs w:val="30"/>
        </w:rPr>
        <w:sectPr>
          <w:footerReference r:id="rId7" w:type="default"/>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7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2" w:hRule="atLeast"/>
        </w:trPr>
        <w:tc>
          <w:tcPr>
            <w:tcW w:w="363" w:type="pct"/>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outlineLvl w:val="9"/>
              <w:rPr>
                <w:rFonts w:hint="default" w:ascii="Times New Roman" w:hAnsi="Times New Roman" w:eastAsia="黑体" w:cs="Times New Roman"/>
                <w:snapToGrid w:val="0"/>
                <w:color w:val="auto"/>
                <w:sz w:val="30"/>
                <w:szCs w:val="30"/>
                <w:vertAlign w:val="baseline"/>
              </w:rPr>
            </w:pPr>
          </w:p>
        </w:tc>
        <w:tc>
          <w:tcPr>
            <w:tcW w:w="4636" w:type="pct"/>
            <w:noWrap w:val="0"/>
            <w:vAlign w:val="top"/>
          </w:tcPr>
          <w:p>
            <w:pPr>
              <w:pStyle w:val="67"/>
              <w:bidi w:val="0"/>
              <w:rPr>
                <w:rFonts w:hint="default"/>
                <w:lang w:val="en-US" w:eastAsia="zh-CN"/>
              </w:rPr>
            </w:pPr>
            <w:r>
              <w:rPr>
                <w:rFonts w:hint="eastAsia"/>
                <w:lang w:val="en-US" w:eastAsia="zh-CN"/>
              </w:rPr>
              <w:t>3.3预测结果</w:t>
            </w:r>
          </w:p>
          <w:p>
            <w:pPr>
              <w:pStyle w:val="68"/>
              <w:bidi w:val="0"/>
              <w:rPr>
                <w:rFonts w:hint="default"/>
                <w:lang w:eastAsia="zh-CN"/>
              </w:rPr>
            </w:pPr>
            <w:r>
              <w:rPr>
                <w:rFonts w:hint="eastAsia"/>
                <w:lang w:val="en-US" w:eastAsia="zh-CN"/>
              </w:rPr>
              <w:t>通过预测模型计算，项目厂界噪声预测结果与达标分析详见下表。</w:t>
            </w:r>
          </w:p>
          <w:p>
            <w:pPr>
              <w:pStyle w:val="65"/>
              <w:bidi w:val="0"/>
              <w:rPr>
                <w:rFonts w:hint="default"/>
                <w:lang w:val="en-US" w:eastAsia="zh-CN"/>
              </w:rPr>
            </w:pPr>
            <w:r>
              <w:rPr>
                <w:rFonts w:hint="default"/>
                <w:lang w:eastAsia="zh-CN"/>
              </w:rPr>
              <w:t>表</w:t>
            </w:r>
            <w:r>
              <w:rPr>
                <w:rFonts w:hint="default"/>
                <w:lang w:val="en-US" w:eastAsia="zh-CN"/>
              </w:rPr>
              <w:t>4-</w:t>
            </w:r>
            <w:r>
              <w:rPr>
                <w:rFonts w:hint="eastAsia"/>
                <w:lang w:val="en-US" w:eastAsia="zh-CN"/>
              </w:rPr>
              <w:t>8</w:t>
            </w:r>
            <w:r>
              <w:rPr>
                <w:rFonts w:hint="default"/>
                <w:lang w:eastAsia="zh-CN"/>
              </w:rPr>
              <w:t xml:space="preserve">  </w:t>
            </w:r>
            <w:r>
              <w:rPr>
                <w:rFonts w:hint="eastAsia"/>
                <w:lang w:val="en-US" w:eastAsia="zh-CN"/>
              </w:rPr>
              <w:t xml:space="preserve">  </w:t>
            </w:r>
            <w:r>
              <w:rPr>
                <w:rFonts w:hint="default"/>
                <w:lang w:eastAsia="zh-CN"/>
              </w:rPr>
              <w:t>厂界噪声预测结果与达标分析表</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89"/>
              <w:gridCol w:w="722"/>
              <w:gridCol w:w="722"/>
              <w:gridCol w:w="725"/>
              <w:gridCol w:w="894"/>
              <w:gridCol w:w="1277"/>
              <w:gridCol w:w="1277"/>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exact"/>
                <w:jc w:val="center"/>
              </w:trPr>
              <w:tc>
                <w:tcPr>
                  <w:tcW w:w="644" w:type="pct"/>
                  <w:vMerge w:val="restart"/>
                  <w:shd w:val="clear" w:color="auto" w:fill="auto"/>
                  <w:vAlign w:val="center"/>
                </w:tcPr>
                <w:p>
                  <w:pPr>
                    <w:pStyle w:val="70"/>
                    <w:bidi w:val="0"/>
                  </w:pPr>
                  <w:r>
                    <w:t>预测方位</w:t>
                  </w:r>
                </w:p>
              </w:tc>
              <w:tc>
                <w:tcPr>
                  <w:tcW w:w="1412" w:type="pct"/>
                  <w:gridSpan w:val="3"/>
                  <w:shd w:val="clear" w:color="auto" w:fill="auto"/>
                  <w:vAlign w:val="center"/>
                </w:tcPr>
                <w:p>
                  <w:pPr>
                    <w:pStyle w:val="70"/>
                    <w:bidi w:val="0"/>
                  </w:pPr>
                  <w:r>
                    <w:rPr>
                      <w:rFonts w:hint="eastAsia"/>
                      <w:lang w:val="en-US" w:eastAsia="zh-CN"/>
                    </w:rPr>
                    <w:t>最大值点</w:t>
                  </w:r>
                  <w:r>
                    <w:t>空间相对位置/m</w:t>
                  </w:r>
                </w:p>
              </w:tc>
              <w:tc>
                <w:tcPr>
                  <w:tcW w:w="582" w:type="pct"/>
                  <w:vMerge w:val="restart"/>
                  <w:shd w:val="clear" w:color="auto" w:fill="auto"/>
                  <w:vAlign w:val="center"/>
                </w:tcPr>
                <w:p>
                  <w:pPr>
                    <w:pStyle w:val="70"/>
                    <w:bidi w:val="0"/>
                  </w:pPr>
                  <w:r>
                    <w:t>时段</w:t>
                  </w:r>
                </w:p>
              </w:tc>
              <w:tc>
                <w:tcPr>
                  <w:tcW w:w="831" w:type="pct"/>
                  <w:vMerge w:val="restart"/>
                  <w:shd w:val="clear" w:color="auto" w:fill="auto"/>
                  <w:vAlign w:val="center"/>
                </w:tcPr>
                <w:p>
                  <w:pPr>
                    <w:pStyle w:val="70"/>
                    <w:bidi w:val="0"/>
                  </w:pPr>
                  <w:r>
                    <w:rPr>
                      <w:rFonts w:hint="eastAsia"/>
                    </w:rPr>
                    <w:t>贡献值</w:t>
                  </w:r>
                  <w:r>
                    <w:t>（dB(A)）</w:t>
                  </w:r>
                </w:p>
              </w:tc>
              <w:tc>
                <w:tcPr>
                  <w:tcW w:w="831" w:type="pct"/>
                  <w:vMerge w:val="restart"/>
                  <w:shd w:val="clear" w:color="auto" w:fill="auto"/>
                  <w:vAlign w:val="center"/>
                </w:tcPr>
                <w:p>
                  <w:pPr>
                    <w:pStyle w:val="70"/>
                    <w:bidi w:val="0"/>
                  </w:pPr>
                  <w:r>
                    <w:t>标准限值（dB(A)）</w:t>
                  </w:r>
                </w:p>
              </w:tc>
              <w:tc>
                <w:tcPr>
                  <w:tcW w:w="696" w:type="pct"/>
                  <w:vMerge w:val="restart"/>
                  <w:shd w:val="clear" w:color="auto" w:fill="auto"/>
                  <w:vAlign w:val="center"/>
                </w:tcPr>
                <w:p>
                  <w:pPr>
                    <w:pStyle w:val="70"/>
                    <w:bidi w:val="0"/>
                  </w:pPr>
                  <w: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644" w:type="pct"/>
                  <w:vMerge w:val="continue"/>
                  <w:shd w:val="clear" w:color="auto" w:fill="auto"/>
                  <w:vAlign w:val="center"/>
                </w:tcPr>
                <w:p>
                  <w:pPr>
                    <w:pStyle w:val="70"/>
                    <w:bidi w:val="0"/>
                  </w:pPr>
                </w:p>
              </w:tc>
              <w:tc>
                <w:tcPr>
                  <w:tcW w:w="470" w:type="pct"/>
                  <w:shd w:val="clear" w:color="auto" w:fill="auto"/>
                  <w:vAlign w:val="center"/>
                </w:tcPr>
                <w:p>
                  <w:pPr>
                    <w:pStyle w:val="70"/>
                    <w:bidi w:val="0"/>
                  </w:pPr>
                  <w:r>
                    <w:t>X</w:t>
                  </w:r>
                </w:p>
              </w:tc>
              <w:tc>
                <w:tcPr>
                  <w:tcW w:w="470" w:type="pct"/>
                  <w:shd w:val="clear" w:color="auto" w:fill="auto"/>
                  <w:vAlign w:val="center"/>
                </w:tcPr>
                <w:p>
                  <w:pPr>
                    <w:pStyle w:val="70"/>
                    <w:bidi w:val="0"/>
                  </w:pPr>
                  <w:r>
                    <w:t>Y</w:t>
                  </w:r>
                </w:p>
              </w:tc>
              <w:tc>
                <w:tcPr>
                  <w:tcW w:w="472" w:type="pct"/>
                  <w:shd w:val="clear" w:color="auto" w:fill="auto"/>
                  <w:vAlign w:val="center"/>
                </w:tcPr>
                <w:p>
                  <w:pPr>
                    <w:pStyle w:val="70"/>
                    <w:bidi w:val="0"/>
                  </w:pPr>
                  <w:r>
                    <w:t>Z</w:t>
                  </w:r>
                </w:p>
              </w:tc>
              <w:tc>
                <w:tcPr>
                  <w:tcW w:w="582" w:type="pct"/>
                  <w:vMerge w:val="continue"/>
                  <w:shd w:val="clear" w:color="auto" w:fill="auto"/>
                  <w:vAlign w:val="center"/>
                </w:tcPr>
                <w:p>
                  <w:pPr>
                    <w:pStyle w:val="70"/>
                    <w:bidi w:val="0"/>
                  </w:pPr>
                </w:p>
              </w:tc>
              <w:tc>
                <w:tcPr>
                  <w:tcW w:w="831" w:type="pct"/>
                  <w:vMerge w:val="continue"/>
                  <w:shd w:val="clear" w:color="auto" w:fill="auto"/>
                  <w:vAlign w:val="center"/>
                </w:tcPr>
                <w:p>
                  <w:pPr>
                    <w:pStyle w:val="70"/>
                    <w:bidi w:val="0"/>
                  </w:pPr>
                </w:p>
              </w:tc>
              <w:tc>
                <w:tcPr>
                  <w:tcW w:w="831" w:type="pct"/>
                  <w:vMerge w:val="continue"/>
                  <w:shd w:val="clear" w:color="auto" w:fill="auto"/>
                  <w:vAlign w:val="center"/>
                </w:tcPr>
                <w:p>
                  <w:pPr>
                    <w:pStyle w:val="70"/>
                    <w:bidi w:val="0"/>
                  </w:pPr>
                </w:p>
              </w:tc>
              <w:tc>
                <w:tcPr>
                  <w:tcW w:w="696" w:type="pct"/>
                  <w:vMerge w:val="continue"/>
                  <w:shd w:val="clear" w:color="auto" w:fill="auto"/>
                  <w:vAlign w:val="center"/>
                </w:tcPr>
                <w:p>
                  <w:pPr>
                    <w:pStyle w:val="7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exact"/>
                <w:jc w:val="center"/>
              </w:trPr>
              <w:tc>
                <w:tcPr>
                  <w:tcW w:w="644" w:type="pct"/>
                  <w:vMerge w:val="restart"/>
                  <w:shd w:val="clear" w:color="auto" w:fill="auto"/>
                  <w:vAlign w:val="center"/>
                </w:tcPr>
                <w:p>
                  <w:pPr>
                    <w:pStyle w:val="70"/>
                    <w:bidi w:val="0"/>
                  </w:pPr>
                  <w:r>
                    <w:t>东侧</w:t>
                  </w:r>
                </w:p>
              </w:tc>
              <w:tc>
                <w:tcPr>
                  <w:tcW w:w="722" w:type="dxa"/>
                  <w:shd w:val="clear" w:color="auto" w:fill="auto"/>
                  <w:vAlign w:val="center"/>
                </w:tcPr>
                <w:p>
                  <w:pPr>
                    <w:pStyle w:val="70"/>
                    <w:bidi w:val="0"/>
                  </w:pPr>
                  <w:r>
                    <w:t>52</w:t>
                  </w:r>
                </w:p>
              </w:tc>
              <w:tc>
                <w:tcPr>
                  <w:tcW w:w="722" w:type="dxa"/>
                  <w:shd w:val="clear" w:color="auto" w:fill="auto"/>
                  <w:vAlign w:val="center"/>
                </w:tcPr>
                <w:p>
                  <w:pPr>
                    <w:pStyle w:val="70"/>
                    <w:bidi w:val="0"/>
                  </w:pPr>
                  <w:r>
                    <w:t>13</w:t>
                  </w:r>
                </w:p>
              </w:tc>
              <w:tc>
                <w:tcPr>
                  <w:tcW w:w="725" w:type="dxa"/>
                  <w:shd w:val="clear" w:color="auto" w:fill="auto"/>
                  <w:vAlign w:val="center"/>
                </w:tcPr>
                <w:p>
                  <w:pPr>
                    <w:pStyle w:val="70"/>
                    <w:bidi w:val="0"/>
                  </w:pPr>
                  <w:r>
                    <w:t>1.2</w:t>
                  </w:r>
                </w:p>
              </w:tc>
              <w:tc>
                <w:tcPr>
                  <w:tcW w:w="894" w:type="dxa"/>
                  <w:shd w:val="clear" w:color="auto" w:fill="auto"/>
                  <w:vAlign w:val="center"/>
                </w:tcPr>
                <w:p>
                  <w:pPr>
                    <w:pStyle w:val="70"/>
                    <w:bidi w:val="0"/>
                  </w:pPr>
                  <w:r>
                    <w:t>昼间</w:t>
                  </w:r>
                </w:p>
              </w:tc>
              <w:tc>
                <w:tcPr>
                  <w:tcW w:w="1277" w:type="dxa"/>
                  <w:shd w:val="clear" w:color="auto" w:fill="auto"/>
                  <w:vAlign w:val="center"/>
                </w:tcPr>
                <w:p>
                  <w:pPr>
                    <w:pStyle w:val="70"/>
                    <w:bidi w:val="0"/>
                  </w:pPr>
                  <w:r>
                    <w:t>42.5</w:t>
                  </w:r>
                </w:p>
              </w:tc>
              <w:tc>
                <w:tcPr>
                  <w:tcW w:w="1277" w:type="dxa"/>
                  <w:shd w:val="clear" w:color="auto" w:fill="auto"/>
                  <w:vAlign w:val="center"/>
                </w:tcPr>
                <w:p>
                  <w:pPr>
                    <w:pStyle w:val="70"/>
                    <w:bidi w:val="0"/>
                  </w:pPr>
                  <w:r>
                    <w:t>65</w:t>
                  </w:r>
                </w:p>
              </w:tc>
              <w:tc>
                <w:tcPr>
                  <w:tcW w:w="1069" w:type="dxa"/>
                  <w:shd w:val="clear" w:color="auto" w:fill="auto"/>
                  <w:vAlign w:val="center"/>
                </w:tcPr>
                <w:p>
                  <w:pPr>
                    <w:pStyle w:val="70"/>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exact"/>
                <w:jc w:val="center"/>
              </w:trPr>
              <w:tc>
                <w:tcPr>
                  <w:tcW w:w="644" w:type="pct"/>
                  <w:vMerge w:val="continue"/>
                  <w:shd w:val="clear" w:color="auto" w:fill="auto"/>
                  <w:vAlign w:val="center"/>
                </w:tcPr>
                <w:p>
                  <w:pPr>
                    <w:pStyle w:val="70"/>
                    <w:bidi w:val="0"/>
                  </w:pPr>
                  <w:r>
                    <w:t>东侧</w:t>
                  </w:r>
                </w:p>
              </w:tc>
              <w:tc>
                <w:tcPr>
                  <w:tcW w:w="722" w:type="dxa"/>
                  <w:shd w:val="clear" w:color="auto" w:fill="auto"/>
                  <w:vAlign w:val="center"/>
                </w:tcPr>
                <w:p>
                  <w:pPr>
                    <w:pStyle w:val="70"/>
                    <w:bidi w:val="0"/>
                  </w:pPr>
                  <w:r>
                    <w:t>52</w:t>
                  </w:r>
                </w:p>
              </w:tc>
              <w:tc>
                <w:tcPr>
                  <w:tcW w:w="722" w:type="dxa"/>
                  <w:shd w:val="clear" w:color="auto" w:fill="auto"/>
                  <w:vAlign w:val="center"/>
                </w:tcPr>
                <w:p>
                  <w:pPr>
                    <w:pStyle w:val="70"/>
                    <w:bidi w:val="0"/>
                  </w:pPr>
                  <w:r>
                    <w:t>13</w:t>
                  </w:r>
                </w:p>
              </w:tc>
              <w:tc>
                <w:tcPr>
                  <w:tcW w:w="725" w:type="dxa"/>
                  <w:shd w:val="clear" w:color="auto" w:fill="auto"/>
                  <w:vAlign w:val="center"/>
                </w:tcPr>
                <w:p>
                  <w:pPr>
                    <w:pStyle w:val="70"/>
                    <w:bidi w:val="0"/>
                  </w:pPr>
                  <w:r>
                    <w:t>1.2</w:t>
                  </w:r>
                </w:p>
              </w:tc>
              <w:tc>
                <w:tcPr>
                  <w:tcW w:w="894" w:type="dxa"/>
                  <w:shd w:val="clear" w:color="auto" w:fill="auto"/>
                  <w:vAlign w:val="center"/>
                </w:tcPr>
                <w:p>
                  <w:pPr>
                    <w:pStyle w:val="70"/>
                    <w:bidi w:val="0"/>
                  </w:pPr>
                  <w:r>
                    <w:t>夜间</w:t>
                  </w:r>
                </w:p>
              </w:tc>
              <w:tc>
                <w:tcPr>
                  <w:tcW w:w="1277" w:type="dxa"/>
                  <w:shd w:val="clear" w:color="auto" w:fill="auto"/>
                  <w:vAlign w:val="center"/>
                </w:tcPr>
                <w:p>
                  <w:pPr>
                    <w:pStyle w:val="70"/>
                    <w:bidi w:val="0"/>
                  </w:pPr>
                  <w:r>
                    <w:t>42.5</w:t>
                  </w:r>
                </w:p>
              </w:tc>
              <w:tc>
                <w:tcPr>
                  <w:tcW w:w="1277" w:type="dxa"/>
                  <w:shd w:val="clear" w:color="auto" w:fill="auto"/>
                  <w:vAlign w:val="center"/>
                </w:tcPr>
                <w:p>
                  <w:pPr>
                    <w:pStyle w:val="70"/>
                    <w:bidi w:val="0"/>
                  </w:pPr>
                  <w:r>
                    <w:t>55</w:t>
                  </w:r>
                </w:p>
              </w:tc>
              <w:tc>
                <w:tcPr>
                  <w:tcW w:w="1069" w:type="dxa"/>
                  <w:shd w:val="clear" w:color="auto" w:fill="auto"/>
                  <w:vAlign w:val="center"/>
                </w:tcPr>
                <w:p>
                  <w:pPr>
                    <w:pStyle w:val="70"/>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exact"/>
                <w:jc w:val="center"/>
              </w:trPr>
              <w:tc>
                <w:tcPr>
                  <w:tcW w:w="644" w:type="pct"/>
                  <w:vMerge w:val="restart"/>
                  <w:shd w:val="clear" w:color="auto" w:fill="auto"/>
                  <w:vAlign w:val="center"/>
                </w:tcPr>
                <w:p>
                  <w:pPr>
                    <w:pStyle w:val="70"/>
                    <w:bidi w:val="0"/>
                  </w:pPr>
                  <w:r>
                    <w:t>南侧</w:t>
                  </w:r>
                </w:p>
              </w:tc>
              <w:tc>
                <w:tcPr>
                  <w:tcW w:w="722" w:type="dxa"/>
                  <w:shd w:val="clear" w:color="auto" w:fill="auto"/>
                  <w:vAlign w:val="center"/>
                </w:tcPr>
                <w:p>
                  <w:pPr>
                    <w:pStyle w:val="70"/>
                    <w:bidi w:val="0"/>
                  </w:pPr>
                  <w:r>
                    <w:t>-3</w:t>
                  </w:r>
                </w:p>
              </w:tc>
              <w:tc>
                <w:tcPr>
                  <w:tcW w:w="722" w:type="dxa"/>
                  <w:shd w:val="clear" w:color="auto" w:fill="auto"/>
                  <w:vAlign w:val="center"/>
                </w:tcPr>
                <w:p>
                  <w:pPr>
                    <w:pStyle w:val="70"/>
                    <w:bidi w:val="0"/>
                  </w:pPr>
                  <w:r>
                    <w:t>-19.5</w:t>
                  </w:r>
                </w:p>
              </w:tc>
              <w:tc>
                <w:tcPr>
                  <w:tcW w:w="725" w:type="dxa"/>
                  <w:shd w:val="clear" w:color="auto" w:fill="auto"/>
                  <w:vAlign w:val="center"/>
                </w:tcPr>
                <w:p>
                  <w:pPr>
                    <w:pStyle w:val="70"/>
                    <w:bidi w:val="0"/>
                  </w:pPr>
                  <w:r>
                    <w:t>1.2</w:t>
                  </w:r>
                </w:p>
              </w:tc>
              <w:tc>
                <w:tcPr>
                  <w:tcW w:w="894" w:type="dxa"/>
                  <w:shd w:val="clear" w:color="auto" w:fill="auto"/>
                  <w:vAlign w:val="center"/>
                </w:tcPr>
                <w:p>
                  <w:pPr>
                    <w:pStyle w:val="70"/>
                    <w:bidi w:val="0"/>
                  </w:pPr>
                  <w:r>
                    <w:t>昼间</w:t>
                  </w:r>
                </w:p>
              </w:tc>
              <w:tc>
                <w:tcPr>
                  <w:tcW w:w="1277" w:type="dxa"/>
                  <w:shd w:val="clear" w:color="auto" w:fill="auto"/>
                  <w:vAlign w:val="center"/>
                </w:tcPr>
                <w:p>
                  <w:pPr>
                    <w:pStyle w:val="70"/>
                    <w:bidi w:val="0"/>
                  </w:pPr>
                  <w:r>
                    <w:t>54.1</w:t>
                  </w:r>
                </w:p>
              </w:tc>
              <w:tc>
                <w:tcPr>
                  <w:tcW w:w="1277" w:type="dxa"/>
                  <w:shd w:val="clear" w:color="auto" w:fill="auto"/>
                  <w:vAlign w:val="center"/>
                </w:tcPr>
                <w:p>
                  <w:pPr>
                    <w:pStyle w:val="70"/>
                    <w:bidi w:val="0"/>
                  </w:pPr>
                  <w:r>
                    <w:t>65</w:t>
                  </w:r>
                </w:p>
              </w:tc>
              <w:tc>
                <w:tcPr>
                  <w:tcW w:w="1069" w:type="dxa"/>
                  <w:shd w:val="clear" w:color="auto" w:fill="auto"/>
                  <w:vAlign w:val="center"/>
                </w:tcPr>
                <w:p>
                  <w:pPr>
                    <w:pStyle w:val="70"/>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644" w:type="pct"/>
                  <w:vMerge w:val="continue"/>
                  <w:shd w:val="clear" w:color="auto" w:fill="auto"/>
                  <w:vAlign w:val="center"/>
                </w:tcPr>
                <w:p>
                  <w:pPr>
                    <w:pStyle w:val="70"/>
                    <w:bidi w:val="0"/>
                  </w:pPr>
                  <w:r>
                    <w:t>南侧</w:t>
                  </w:r>
                </w:p>
              </w:tc>
              <w:tc>
                <w:tcPr>
                  <w:tcW w:w="722" w:type="dxa"/>
                  <w:shd w:val="clear" w:color="auto" w:fill="auto"/>
                  <w:vAlign w:val="center"/>
                </w:tcPr>
                <w:p>
                  <w:pPr>
                    <w:pStyle w:val="70"/>
                    <w:bidi w:val="0"/>
                  </w:pPr>
                  <w:r>
                    <w:t>-3</w:t>
                  </w:r>
                </w:p>
              </w:tc>
              <w:tc>
                <w:tcPr>
                  <w:tcW w:w="722" w:type="dxa"/>
                  <w:shd w:val="clear" w:color="auto" w:fill="auto"/>
                  <w:vAlign w:val="center"/>
                </w:tcPr>
                <w:p>
                  <w:pPr>
                    <w:pStyle w:val="70"/>
                    <w:bidi w:val="0"/>
                  </w:pPr>
                  <w:r>
                    <w:t>-19.5</w:t>
                  </w:r>
                </w:p>
              </w:tc>
              <w:tc>
                <w:tcPr>
                  <w:tcW w:w="725" w:type="dxa"/>
                  <w:shd w:val="clear" w:color="auto" w:fill="auto"/>
                  <w:vAlign w:val="center"/>
                </w:tcPr>
                <w:p>
                  <w:pPr>
                    <w:pStyle w:val="70"/>
                    <w:bidi w:val="0"/>
                  </w:pPr>
                  <w:r>
                    <w:t>1.2</w:t>
                  </w:r>
                </w:p>
              </w:tc>
              <w:tc>
                <w:tcPr>
                  <w:tcW w:w="894" w:type="dxa"/>
                  <w:shd w:val="clear" w:color="auto" w:fill="auto"/>
                  <w:vAlign w:val="center"/>
                </w:tcPr>
                <w:p>
                  <w:pPr>
                    <w:pStyle w:val="70"/>
                    <w:bidi w:val="0"/>
                  </w:pPr>
                  <w:r>
                    <w:t>夜间</w:t>
                  </w:r>
                </w:p>
              </w:tc>
              <w:tc>
                <w:tcPr>
                  <w:tcW w:w="1277" w:type="dxa"/>
                  <w:shd w:val="clear" w:color="auto" w:fill="auto"/>
                  <w:vAlign w:val="center"/>
                </w:tcPr>
                <w:p>
                  <w:pPr>
                    <w:pStyle w:val="70"/>
                    <w:bidi w:val="0"/>
                  </w:pPr>
                  <w:r>
                    <w:t>54.1</w:t>
                  </w:r>
                </w:p>
              </w:tc>
              <w:tc>
                <w:tcPr>
                  <w:tcW w:w="1277" w:type="dxa"/>
                  <w:shd w:val="clear" w:color="auto" w:fill="auto"/>
                  <w:vAlign w:val="center"/>
                </w:tcPr>
                <w:p>
                  <w:pPr>
                    <w:pStyle w:val="70"/>
                    <w:bidi w:val="0"/>
                  </w:pPr>
                  <w:r>
                    <w:t>55</w:t>
                  </w:r>
                </w:p>
              </w:tc>
              <w:tc>
                <w:tcPr>
                  <w:tcW w:w="1069" w:type="dxa"/>
                  <w:shd w:val="clear" w:color="auto" w:fill="auto"/>
                  <w:vAlign w:val="center"/>
                </w:tcPr>
                <w:p>
                  <w:pPr>
                    <w:pStyle w:val="70"/>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644" w:type="pct"/>
                  <w:vMerge w:val="restart"/>
                  <w:shd w:val="clear" w:color="auto" w:fill="auto"/>
                  <w:vAlign w:val="center"/>
                </w:tcPr>
                <w:p>
                  <w:pPr>
                    <w:pStyle w:val="70"/>
                    <w:bidi w:val="0"/>
                  </w:pPr>
                  <w:r>
                    <w:t>西侧</w:t>
                  </w:r>
                </w:p>
              </w:tc>
              <w:tc>
                <w:tcPr>
                  <w:tcW w:w="722" w:type="dxa"/>
                  <w:shd w:val="clear" w:color="auto" w:fill="auto"/>
                  <w:vAlign w:val="center"/>
                </w:tcPr>
                <w:p>
                  <w:pPr>
                    <w:pStyle w:val="70"/>
                    <w:bidi w:val="0"/>
                  </w:pPr>
                  <w:r>
                    <w:t>-49.9</w:t>
                  </w:r>
                </w:p>
              </w:tc>
              <w:tc>
                <w:tcPr>
                  <w:tcW w:w="722" w:type="dxa"/>
                  <w:shd w:val="clear" w:color="auto" w:fill="auto"/>
                  <w:vAlign w:val="center"/>
                </w:tcPr>
                <w:p>
                  <w:pPr>
                    <w:pStyle w:val="70"/>
                    <w:bidi w:val="0"/>
                  </w:pPr>
                  <w:r>
                    <w:t>4.7</w:t>
                  </w:r>
                </w:p>
              </w:tc>
              <w:tc>
                <w:tcPr>
                  <w:tcW w:w="725" w:type="dxa"/>
                  <w:shd w:val="clear" w:color="auto" w:fill="auto"/>
                  <w:vAlign w:val="center"/>
                </w:tcPr>
                <w:p>
                  <w:pPr>
                    <w:pStyle w:val="70"/>
                    <w:bidi w:val="0"/>
                  </w:pPr>
                  <w:r>
                    <w:t>1.2</w:t>
                  </w:r>
                </w:p>
              </w:tc>
              <w:tc>
                <w:tcPr>
                  <w:tcW w:w="894" w:type="dxa"/>
                  <w:shd w:val="clear" w:color="auto" w:fill="auto"/>
                  <w:vAlign w:val="center"/>
                </w:tcPr>
                <w:p>
                  <w:pPr>
                    <w:pStyle w:val="70"/>
                    <w:bidi w:val="0"/>
                  </w:pPr>
                  <w:r>
                    <w:t>昼间</w:t>
                  </w:r>
                </w:p>
              </w:tc>
              <w:tc>
                <w:tcPr>
                  <w:tcW w:w="1277" w:type="dxa"/>
                  <w:shd w:val="clear" w:color="auto" w:fill="auto"/>
                  <w:vAlign w:val="center"/>
                </w:tcPr>
                <w:p>
                  <w:pPr>
                    <w:pStyle w:val="70"/>
                    <w:bidi w:val="0"/>
                  </w:pPr>
                  <w:r>
                    <w:t>46.4</w:t>
                  </w:r>
                </w:p>
              </w:tc>
              <w:tc>
                <w:tcPr>
                  <w:tcW w:w="1277" w:type="dxa"/>
                  <w:shd w:val="clear" w:color="auto" w:fill="auto"/>
                  <w:vAlign w:val="center"/>
                </w:tcPr>
                <w:p>
                  <w:pPr>
                    <w:pStyle w:val="70"/>
                    <w:bidi w:val="0"/>
                  </w:pPr>
                  <w:r>
                    <w:t>65</w:t>
                  </w:r>
                </w:p>
              </w:tc>
              <w:tc>
                <w:tcPr>
                  <w:tcW w:w="1069" w:type="dxa"/>
                  <w:shd w:val="clear" w:color="auto" w:fill="auto"/>
                  <w:vAlign w:val="center"/>
                </w:tcPr>
                <w:p>
                  <w:pPr>
                    <w:pStyle w:val="70"/>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644" w:type="pct"/>
                  <w:vMerge w:val="continue"/>
                  <w:shd w:val="clear" w:color="auto" w:fill="auto"/>
                  <w:vAlign w:val="center"/>
                </w:tcPr>
                <w:p>
                  <w:pPr>
                    <w:pStyle w:val="70"/>
                    <w:bidi w:val="0"/>
                  </w:pPr>
                  <w:r>
                    <w:t>西侧</w:t>
                  </w:r>
                </w:p>
              </w:tc>
              <w:tc>
                <w:tcPr>
                  <w:tcW w:w="722" w:type="dxa"/>
                  <w:shd w:val="clear" w:color="auto" w:fill="auto"/>
                  <w:vAlign w:val="center"/>
                </w:tcPr>
                <w:p>
                  <w:pPr>
                    <w:pStyle w:val="70"/>
                    <w:bidi w:val="0"/>
                  </w:pPr>
                  <w:r>
                    <w:t>-49.9</w:t>
                  </w:r>
                </w:p>
              </w:tc>
              <w:tc>
                <w:tcPr>
                  <w:tcW w:w="722" w:type="dxa"/>
                  <w:shd w:val="clear" w:color="auto" w:fill="auto"/>
                  <w:vAlign w:val="center"/>
                </w:tcPr>
                <w:p>
                  <w:pPr>
                    <w:pStyle w:val="70"/>
                    <w:bidi w:val="0"/>
                  </w:pPr>
                  <w:r>
                    <w:t>4.7</w:t>
                  </w:r>
                </w:p>
              </w:tc>
              <w:tc>
                <w:tcPr>
                  <w:tcW w:w="725" w:type="dxa"/>
                  <w:shd w:val="clear" w:color="auto" w:fill="auto"/>
                  <w:vAlign w:val="center"/>
                </w:tcPr>
                <w:p>
                  <w:pPr>
                    <w:pStyle w:val="70"/>
                    <w:bidi w:val="0"/>
                  </w:pPr>
                  <w:r>
                    <w:t>1.2</w:t>
                  </w:r>
                </w:p>
              </w:tc>
              <w:tc>
                <w:tcPr>
                  <w:tcW w:w="894" w:type="dxa"/>
                  <w:shd w:val="clear" w:color="auto" w:fill="auto"/>
                  <w:vAlign w:val="center"/>
                </w:tcPr>
                <w:p>
                  <w:pPr>
                    <w:pStyle w:val="70"/>
                    <w:bidi w:val="0"/>
                  </w:pPr>
                  <w:r>
                    <w:t>夜间</w:t>
                  </w:r>
                </w:p>
              </w:tc>
              <w:tc>
                <w:tcPr>
                  <w:tcW w:w="1277" w:type="dxa"/>
                  <w:shd w:val="clear" w:color="auto" w:fill="auto"/>
                  <w:vAlign w:val="center"/>
                </w:tcPr>
                <w:p>
                  <w:pPr>
                    <w:pStyle w:val="70"/>
                    <w:bidi w:val="0"/>
                  </w:pPr>
                  <w:r>
                    <w:t>46.4</w:t>
                  </w:r>
                </w:p>
              </w:tc>
              <w:tc>
                <w:tcPr>
                  <w:tcW w:w="1277" w:type="dxa"/>
                  <w:shd w:val="clear" w:color="auto" w:fill="auto"/>
                  <w:vAlign w:val="center"/>
                </w:tcPr>
                <w:p>
                  <w:pPr>
                    <w:pStyle w:val="70"/>
                    <w:bidi w:val="0"/>
                  </w:pPr>
                  <w:r>
                    <w:t>55</w:t>
                  </w:r>
                </w:p>
              </w:tc>
              <w:tc>
                <w:tcPr>
                  <w:tcW w:w="1069" w:type="dxa"/>
                  <w:shd w:val="clear" w:color="auto" w:fill="auto"/>
                  <w:vAlign w:val="center"/>
                </w:tcPr>
                <w:p>
                  <w:pPr>
                    <w:pStyle w:val="70"/>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644" w:type="pct"/>
                  <w:vMerge w:val="restart"/>
                  <w:shd w:val="clear" w:color="auto" w:fill="auto"/>
                  <w:vAlign w:val="center"/>
                </w:tcPr>
                <w:p>
                  <w:pPr>
                    <w:pStyle w:val="70"/>
                    <w:bidi w:val="0"/>
                  </w:pPr>
                  <w:r>
                    <w:t>北侧</w:t>
                  </w:r>
                </w:p>
              </w:tc>
              <w:tc>
                <w:tcPr>
                  <w:tcW w:w="722" w:type="dxa"/>
                  <w:shd w:val="clear" w:color="auto" w:fill="auto"/>
                  <w:vAlign w:val="center"/>
                </w:tcPr>
                <w:p>
                  <w:pPr>
                    <w:pStyle w:val="70"/>
                    <w:bidi w:val="0"/>
                  </w:pPr>
                  <w:r>
                    <w:t>5.6</w:t>
                  </w:r>
                </w:p>
              </w:tc>
              <w:tc>
                <w:tcPr>
                  <w:tcW w:w="722" w:type="dxa"/>
                  <w:shd w:val="clear" w:color="auto" w:fill="auto"/>
                  <w:vAlign w:val="center"/>
                </w:tcPr>
                <w:p>
                  <w:pPr>
                    <w:pStyle w:val="70"/>
                    <w:bidi w:val="0"/>
                  </w:pPr>
                  <w:r>
                    <w:t>19.1</w:t>
                  </w:r>
                </w:p>
              </w:tc>
              <w:tc>
                <w:tcPr>
                  <w:tcW w:w="725" w:type="dxa"/>
                  <w:shd w:val="clear" w:color="auto" w:fill="auto"/>
                  <w:vAlign w:val="center"/>
                </w:tcPr>
                <w:p>
                  <w:pPr>
                    <w:pStyle w:val="70"/>
                    <w:bidi w:val="0"/>
                  </w:pPr>
                  <w:r>
                    <w:t>1.2</w:t>
                  </w:r>
                </w:p>
              </w:tc>
              <w:tc>
                <w:tcPr>
                  <w:tcW w:w="894" w:type="dxa"/>
                  <w:shd w:val="clear" w:color="auto" w:fill="auto"/>
                  <w:vAlign w:val="center"/>
                </w:tcPr>
                <w:p>
                  <w:pPr>
                    <w:pStyle w:val="70"/>
                    <w:bidi w:val="0"/>
                  </w:pPr>
                  <w:r>
                    <w:t>昼间</w:t>
                  </w:r>
                </w:p>
              </w:tc>
              <w:tc>
                <w:tcPr>
                  <w:tcW w:w="1277" w:type="dxa"/>
                  <w:shd w:val="clear" w:color="auto" w:fill="auto"/>
                  <w:vAlign w:val="center"/>
                </w:tcPr>
                <w:p>
                  <w:pPr>
                    <w:pStyle w:val="70"/>
                    <w:bidi w:val="0"/>
                  </w:pPr>
                  <w:r>
                    <w:t>54.6</w:t>
                  </w:r>
                </w:p>
              </w:tc>
              <w:tc>
                <w:tcPr>
                  <w:tcW w:w="1277" w:type="dxa"/>
                  <w:shd w:val="clear" w:color="auto" w:fill="auto"/>
                  <w:vAlign w:val="center"/>
                </w:tcPr>
                <w:p>
                  <w:pPr>
                    <w:pStyle w:val="70"/>
                    <w:bidi w:val="0"/>
                  </w:pPr>
                  <w:r>
                    <w:t>65</w:t>
                  </w:r>
                </w:p>
              </w:tc>
              <w:tc>
                <w:tcPr>
                  <w:tcW w:w="1069" w:type="dxa"/>
                  <w:shd w:val="clear" w:color="auto" w:fill="auto"/>
                  <w:vAlign w:val="center"/>
                </w:tcPr>
                <w:p>
                  <w:pPr>
                    <w:pStyle w:val="70"/>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644" w:type="pct"/>
                  <w:vMerge w:val="continue"/>
                  <w:shd w:val="clear" w:color="auto" w:fill="auto"/>
                  <w:vAlign w:val="center"/>
                </w:tcPr>
                <w:p>
                  <w:pPr>
                    <w:pStyle w:val="70"/>
                    <w:bidi w:val="0"/>
                  </w:pPr>
                  <w:r>
                    <w:t>北侧</w:t>
                  </w:r>
                </w:p>
              </w:tc>
              <w:tc>
                <w:tcPr>
                  <w:tcW w:w="722" w:type="dxa"/>
                  <w:shd w:val="clear" w:color="auto" w:fill="auto"/>
                  <w:vAlign w:val="center"/>
                </w:tcPr>
                <w:p>
                  <w:pPr>
                    <w:pStyle w:val="70"/>
                    <w:bidi w:val="0"/>
                  </w:pPr>
                  <w:r>
                    <w:t>5.6</w:t>
                  </w:r>
                </w:p>
              </w:tc>
              <w:tc>
                <w:tcPr>
                  <w:tcW w:w="722" w:type="dxa"/>
                  <w:shd w:val="clear" w:color="auto" w:fill="auto"/>
                  <w:vAlign w:val="center"/>
                </w:tcPr>
                <w:p>
                  <w:pPr>
                    <w:pStyle w:val="70"/>
                    <w:bidi w:val="0"/>
                  </w:pPr>
                  <w:r>
                    <w:t>19.1</w:t>
                  </w:r>
                </w:p>
              </w:tc>
              <w:tc>
                <w:tcPr>
                  <w:tcW w:w="725" w:type="dxa"/>
                  <w:shd w:val="clear" w:color="auto" w:fill="auto"/>
                  <w:vAlign w:val="center"/>
                </w:tcPr>
                <w:p>
                  <w:pPr>
                    <w:pStyle w:val="70"/>
                    <w:bidi w:val="0"/>
                  </w:pPr>
                  <w:r>
                    <w:t>1.2</w:t>
                  </w:r>
                </w:p>
              </w:tc>
              <w:tc>
                <w:tcPr>
                  <w:tcW w:w="894" w:type="dxa"/>
                  <w:shd w:val="clear" w:color="auto" w:fill="auto"/>
                  <w:vAlign w:val="center"/>
                </w:tcPr>
                <w:p>
                  <w:pPr>
                    <w:pStyle w:val="70"/>
                    <w:bidi w:val="0"/>
                  </w:pPr>
                  <w:r>
                    <w:t>夜间</w:t>
                  </w:r>
                </w:p>
              </w:tc>
              <w:tc>
                <w:tcPr>
                  <w:tcW w:w="1277" w:type="dxa"/>
                  <w:shd w:val="clear" w:color="auto" w:fill="auto"/>
                  <w:vAlign w:val="center"/>
                </w:tcPr>
                <w:p>
                  <w:pPr>
                    <w:pStyle w:val="70"/>
                    <w:bidi w:val="0"/>
                  </w:pPr>
                  <w:r>
                    <w:t>54.6</w:t>
                  </w:r>
                </w:p>
              </w:tc>
              <w:tc>
                <w:tcPr>
                  <w:tcW w:w="1277" w:type="dxa"/>
                  <w:shd w:val="clear" w:color="auto" w:fill="auto"/>
                  <w:vAlign w:val="center"/>
                </w:tcPr>
                <w:p>
                  <w:pPr>
                    <w:pStyle w:val="70"/>
                    <w:bidi w:val="0"/>
                  </w:pPr>
                  <w:r>
                    <w:t>55</w:t>
                  </w:r>
                </w:p>
              </w:tc>
              <w:tc>
                <w:tcPr>
                  <w:tcW w:w="1069" w:type="dxa"/>
                  <w:shd w:val="clear" w:color="auto" w:fill="auto"/>
                  <w:vAlign w:val="center"/>
                </w:tcPr>
                <w:p>
                  <w:pPr>
                    <w:pStyle w:val="70"/>
                    <w:bidi w:val="0"/>
                  </w:pPr>
                  <w:r>
                    <w:t>达标</w:t>
                  </w:r>
                </w:p>
              </w:tc>
            </w:tr>
          </w:tbl>
          <w:p>
            <w:pPr>
              <w:pStyle w:val="68"/>
              <w:bidi w:val="0"/>
              <w:rPr>
                <w:rFonts w:hint="default"/>
                <w:lang w:val="en-US" w:eastAsia="zh-CN"/>
              </w:rPr>
            </w:pPr>
            <w:r>
              <w:rPr>
                <w:rFonts w:hint="default"/>
                <w:lang w:eastAsia="zh-CN"/>
              </w:rPr>
              <w:t>由上表可知，正常工况下，项目厂界噪声满足《工业企业厂界环境噪声排放标准》(GB12348.2008)</w:t>
            </w:r>
            <w:r>
              <w:rPr>
                <w:rFonts w:hint="eastAsia"/>
                <w:lang w:val="en-US" w:eastAsia="zh-CN"/>
              </w:rPr>
              <w:t>3</w:t>
            </w:r>
            <w:r>
              <w:rPr>
                <w:rFonts w:hint="default"/>
                <w:lang w:eastAsia="zh-CN"/>
              </w:rPr>
              <w:t>类标准。</w:t>
            </w:r>
          </w:p>
          <w:p>
            <w:pPr>
              <w:pStyle w:val="68"/>
              <w:bidi w:val="0"/>
              <w:rPr>
                <w:rFonts w:hint="eastAsia"/>
              </w:rPr>
            </w:pPr>
            <w:r>
              <w:rPr>
                <w:rFonts w:hint="eastAsia"/>
              </w:rPr>
              <w:t>本项目周边无环境敏感目标，因此本项目运营期噪声影响主要表现为对厂区员工的影响。</w:t>
            </w:r>
          </w:p>
          <w:p>
            <w:pPr>
              <w:pStyle w:val="68"/>
              <w:bidi w:val="0"/>
              <w:rPr>
                <w:rFonts w:hint="default"/>
              </w:rPr>
            </w:pPr>
            <w:r>
              <w:rPr>
                <w:rFonts w:hint="eastAsia"/>
              </w:rPr>
              <w:t>本环评要求采取以下措施：</w:t>
            </w:r>
          </w:p>
          <w:p>
            <w:pPr>
              <w:pStyle w:val="68"/>
              <w:bidi w:val="0"/>
              <w:rPr>
                <w:rFonts w:hint="default"/>
              </w:rPr>
            </w:pPr>
            <w:r>
              <w:rPr>
                <w:rFonts w:hint="default"/>
                <w:lang w:eastAsia="zh-CN"/>
              </w:rPr>
              <w:t>（</w:t>
            </w:r>
            <w:r>
              <w:rPr>
                <w:rFonts w:hint="eastAsia"/>
                <w:lang w:val="en-US" w:eastAsia="zh-CN"/>
              </w:rPr>
              <w:t>1</w:t>
            </w:r>
            <w:r>
              <w:rPr>
                <w:rFonts w:hint="default"/>
                <w:lang w:eastAsia="zh-CN"/>
              </w:rPr>
              <w:t>）</w:t>
            </w:r>
            <w:r>
              <w:rPr>
                <w:rFonts w:hint="default"/>
              </w:rPr>
              <w:t>选用低噪声性能的施工机械，并定期进行润滑和保养，以保持设备在最佳运行状态下，减少噪声排放。</w:t>
            </w:r>
          </w:p>
          <w:p>
            <w:pPr>
              <w:widowControl w:val="0"/>
              <w:wordWrap w:val="0"/>
              <w:bidi w:val="0"/>
              <w:spacing w:line="520" w:lineRule="exact"/>
              <w:ind w:firstLine="420" w:firstLineChars="200"/>
              <w:jc w:val="both"/>
              <w:rPr>
                <w:rFonts w:hint="eastAsia" w:ascii="Times New Roman" w:hAnsi="Times New Roman" w:eastAsia="宋体" w:cs="Times New Roman"/>
                <w:kern w:val="2"/>
                <w:sz w:val="24"/>
                <w:szCs w:val="24"/>
                <w:highlight w:val="none"/>
                <w:lang w:val="en-US" w:eastAsia="zh-CN" w:bidi="ar-SA"/>
              </w:rPr>
            </w:pPr>
            <w:r>
              <w:rPr>
                <w:rFonts w:hint="default"/>
                <w:lang w:eastAsia="zh-CN"/>
              </w:rPr>
              <w:t>（</w:t>
            </w:r>
            <w:r>
              <w:rPr>
                <w:rFonts w:hint="eastAsia"/>
                <w:lang w:val="en-US" w:eastAsia="zh-CN"/>
              </w:rPr>
              <w:t>2</w:t>
            </w:r>
            <w:r>
              <w:rPr>
                <w:rFonts w:hint="default"/>
                <w:lang w:eastAsia="zh-CN"/>
              </w:rPr>
              <w:t>）</w:t>
            </w:r>
            <w:r>
              <w:rPr>
                <w:rFonts w:hint="eastAsia" w:ascii="Times New Roman" w:hAnsi="Times New Roman" w:eastAsia="宋体" w:cs="Times New Roman"/>
                <w:kern w:val="2"/>
                <w:sz w:val="24"/>
                <w:szCs w:val="24"/>
                <w:highlight w:val="none"/>
                <w:lang w:val="en-US" w:eastAsia="zh-CN" w:bidi="ar-SA"/>
              </w:rPr>
              <w:t>在总图布局上根据工艺流程要求，尽可能将高噪设备集中，还应根据高噪声设备所在位置，充分利用噪声的指向性，利用建筑物的阻隔效应，科学布置以保证厂界噪声达标。</w:t>
            </w:r>
          </w:p>
          <w:p>
            <w:pPr>
              <w:pStyle w:val="68"/>
              <w:bidi w:val="0"/>
              <w:rPr>
                <w:rFonts w:hint="default"/>
              </w:rPr>
            </w:pPr>
            <w:r>
              <w:rPr>
                <w:rFonts w:hint="default"/>
                <w:lang w:eastAsia="zh-CN"/>
              </w:rPr>
              <w:t>（</w:t>
            </w:r>
            <w:r>
              <w:rPr>
                <w:rFonts w:hint="eastAsia"/>
                <w:lang w:val="en-US" w:eastAsia="zh-CN"/>
              </w:rPr>
              <w:t>3</w:t>
            </w:r>
            <w:r>
              <w:rPr>
                <w:rFonts w:hint="default"/>
                <w:lang w:eastAsia="zh-CN"/>
              </w:rPr>
              <w:t>）</w:t>
            </w:r>
            <w:r>
              <w:rPr>
                <w:rFonts w:hint="eastAsia" w:ascii="Times New Roman" w:hAnsi="Times New Roman" w:eastAsia="宋体" w:cs="Times New Roman"/>
                <w:kern w:val="2"/>
                <w:sz w:val="24"/>
                <w:szCs w:val="24"/>
                <w:highlight w:val="none"/>
                <w:lang w:val="en-US" w:eastAsia="zh-CN" w:bidi="ar-SA"/>
              </w:rPr>
              <w:t>对高噪声设备采用基础减振、消声器、隔声罩等措施，以降低噪声。</w:t>
            </w:r>
          </w:p>
          <w:p>
            <w:pPr>
              <w:widowControl w:val="0"/>
              <w:wordWrap w:val="0"/>
              <w:bidi w:val="0"/>
              <w:spacing w:line="520" w:lineRule="exact"/>
              <w:ind w:firstLine="480" w:firstLineChars="200"/>
              <w:jc w:val="both"/>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w:t>
            </w:r>
            <w:r>
              <w:rPr>
                <w:rFonts w:hint="eastAsia" w:eastAsia="宋体" w:cs="Times New Roman"/>
                <w:kern w:val="2"/>
                <w:sz w:val="24"/>
                <w:szCs w:val="24"/>
                <w:highlight w:val="none"/>
                <w:lang w:val="en-US" w:eastAsia="zh-CN" w:bidi="ar-SA"/>
              </w:rPr>
              <w:t>4</w:t>
            </w:r>
            <w:r>
              <w:rPr>
                <w:rFonts w:hint="eastAsia" w:ascii="Times New Roman" w:hAnsi="Times New Roman" w:eastAsia="宋体" w:cs="Times New Roman"/>
                <w:kern w:val="2"/>
                <w:sz w:val="24"/>
                <w:szCs w:val="24"/>
                <w:highlight w:val="none"/>
                <w:lang w:val="en-US" w:eastAsia="zh-CN" w:bidi="ar-SA"/>
              </w:rPr>
              <w:t>）加强管理，经常对产噪设备的性能进行检查，保持设备平衡，以减少振动的产生，平时要对防噪设施经常维护，确保其发挥正常功能。</w:t>
            </w:r>
          </w:p>
          <w:p>
            <w:pPr>
              <w:pStyle w:val="75"/>
              <w:bidi w:val="0"/>
              <w:rPr>
                <w:rFonts w:hint="eastAsia"/>
              </w:rPr>
            </w:pPr>
            <w:r>
              <w:rPr>
                <w:rFonts w:hint="eastAsia"/>
                <w:lang w:val="en-US" w:eastAsia="zh-CN"/>
              </w:rPr>
              <w:t>3.4</w:t>
            </w:r>
            <w:r>
              <w:rPr>
                <w:rFonts w:hint="eastAsia"/>
              </w:rPr>
              <w:t>监测要求</w:t>
            </w:r>
          </w:p>
          <w:p>
            <w:pPr>
              <w:pStyle w:val="68"/>
              <w:bidi w:val="0"/>
              <w:rPr>
                <w:rFonts w:cs="Times New Roman"/>
              </w:rPr>
            </w:pPr>
            <w:r>
              <w:rPr>
                <w:rFonts w:hint="eastAsia"/>
              </w:rPr>
              <w:t>参照《排污单位自行监测技术指南 总则》（HJ819-2017）的相关要求，本项目噪声监测计划</w:t>
            </w:r>
            <w:r>
              <w:rPr>
                <w:rFonts w:hint="eastAsia"/>
                <w:lang w:val="en-US" w:eastAsia="zh-CN"/>
              </w:rPr>
              <w:t>详</w:t>
            </w:r>
            <w:r>
              <w:rPr>
                <w:rFonts w:hint="eastAsia"/>
                <w:lang w:eastAsia="zh-CN"/>
              </w:rPr>
              <w:t>见</w:t>
            </w:r>
            <w:r>
              <w:rPr>
                <w:rFonts w:hint="eastAsia"/>
                <w:lang w:val="en-US" w:eastAsia="zh-CN"/>
              </w:rPr>
              <w:t>下</w:t>
            </w:r>
            <w:r>
              <w:rPr>
                <w:rFonts w:hint="eastAsia"/>
                <w:lang w:eastAsia="zh-CN"/>
              </w:rPr>
              <w:t>表</w:t>
            </w:r>
            <w:r>
              <w:rPr>
                <w:rFonts w:hint="eastAsia"/>
              </w:rPr>
              <w:t>。</w:t>
            </w:r>
          </w:p>
          <w:p>
            <w:pPr>
              <w:pStyle w:val="65"/>
              <w:bidi w:val="0"/>
              <w:rPr>
                <w:rFonts w:hint="eastAsia"/>
                <w:lang w:val="en-US" w:eastAsia="zh-CN"/>
              </w:rPr>
            </w:pPr>
            <w:r>
              <w:rPr>
                <w:rFonts w:hint="eastAsia"/>
                <w:lang w:val="en-US" w:eastAsia="zh-CN"/>
              </w:rPr>
              <w:t>表4-9    噪声环境监测计划</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789"/>
              <w:gridCol w:w="1443"/>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pct"/>
                  <w:noWrap w:val="0"/>
                  <w:vAlign w:val="center"/>
                </w:tcPr>
                <w:p>
                  <w:pPr>
                    <w:pStyle w:val="66"/>
                    <w:bidi w:val="0"/>
                    <w:rPr>
                      <w:rFonts w:hint="default"/>
                    </w:rPr>
                  </w:pPr>
                  <w:r>
                    <w:rPr>
                      <w:rFonts w:hint="eastAsia"/>
                    </w:rPr>
                    <w:t>监测点位</w:t>
                  </w:r>
                </w:p>
              </w:tc>
              <w:tc>
                <w:tcPr>
                  <w:tcW w:w="1165" w:type="pct"/>
                  <w:noWrap w:val="0"/>
                  <w:vAlign w:val="center"/>
                </w:tcPr>
                <w:p>
                  <w:pPr>
                    <w:pStyle w:val="66"/>
                    <w:bidi w:val="0"/>
                    <w:rPr>
                      <w:rFonts w:hint="default"/>
                    </w:rPr>
                  </w:pPr>
                  <w:r>
                    <w:rPr>
                      <w:rFonts w:hint="eastAsia"/>
                    </w:rPr>
                    <w:t>监测项目</w:t>
                  </w:r>
                </w:p>
              </w:tc>
              <w:tc>
                <w:tcPr>
                  <w:tcW w:w="940" w:type="pct"/>
                  <w:noWrap w:val="0"/>
                  <w:vAlign w:val="center"/>
                </w:tcPr>
                <w:p>
                  <w:pPr>
                    <w:pStyle w:val="66"/>
                    <w:bidi w:val="0"/>
                    <w:rPr>
                      <w:rFonts w:hint="default"/>
                    </w:rPr>
                  </w:pPr>
                  <w:r>
                    <w:rPr>
                      <w:rFonts w:hint="default"/>
                    </w:rPr>
                    <w:t>监测频次</w:t>
                  </w:r>
                </w:p>
              </w:tc>
              <w:tc>
                <w:tcPr>
                  <w:tcW w:w="1910" w:type="pct"/>
                  <w:noWrap w:val="0"/>
                  <w:vAlign w:val="center"/>
                </w:tcPr>
                <w:p>
                  <w:pPr>
                    <w:pStyle w:val="66"/>
                    <w:bidi w:val="0"/>
                    <w:rPr>
                      <w:rFonts w:hint="default"/>
                    </w:rPr>
                  </w:pPr>
                  <w:r>
                    <w:rPr>
                      <w:rFonts w:hint="default"/>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pct"/>
                  <w:noWrap w:val="0"/>
                  <w:vAlign w:val="center"/>
                </w:tcPr>
                <w:p>
                  <w:pPr>
                    <w:pStyle w:val="66"/>
                    <w:bidi w:val="0"/>
                    <w:rPr>
                      <w:rFonts w:hint="default"/>
                    </w:rPr>
                  </w:pPr>
                  <w:r>
                    <w:rPr>
                      <w:rFonts w:hint="eastAsia"/>
                    </w:rPr>
                    <w:t>厂界外1米</w:t>
                  </w:r>
                </w:p>
              </w:tc>
              <w:tc>
                <w:tcPr>
                  <w:tcW w:w="1165" w:type="pct"/>
                  <w:noWrap w:val="0"/>
                  <w:vAlign w:val="center"/>
                </w:tcPr>
                <w:p>
                  <w:pPr>
                    <w:pStyle w:val="66"/>
                    <w:bidi w:val="0"/>
                    <w:rPr>
                      <w:rFonts w:hint="default"/>
                    </w:rPr>
                  </w:pPr>
                  <w:r>
                    <w:rPr>
                      <w:rFonts w:hint="eastAsia"/>
                    </w:rPr>
                    <w:t>连续等效A声级</w:t>
                  </w:r>
                </w:p>
              </w:tc>
              <w:tc>
                <w:tcPr>
                  <w:tcW w:w="940" w:type="pct"/>
                  <w:noWrap w:val="0"/>
                  <w:vAlign w:val="center"/>
                </w:tcPr>
                <w:p>
                  <w:pPr>
                    <w:pStyle w:val="66"/>
                    <w:bidi w:val="0"/>
                    <w:rPr>
                      <w:rFonts w:hint="default"/>
                    </w:rPr>
                  </w:pPr>
                  <w:r>
                    <w:rPr>
                      <w:rFonts w:hint="default"/>
                    </w:rPr>
                    <w:t>1次/</w:t>
                  </w:r>
                  <w:r>
                    <w:rPr>
                      <w:rFonts w:hint="eastAsia"/>
                    </w:rPr>
                    <w:t>季度</w:t>
                  </w:r>
                </w:p>
              </w:tc>
              <w:tc>
                <w:tcPr>
                  <w:tcW w:w="1910" w:type="pct"/>
                  <w:noWrap w:val="0"/>
                  <w:vAlign w:val="center"/>
                </w:tcPr>
                <w:p>
                  <w:pPr>
                    <w:pStyle w:val="66"/>
                    <w:bidi w:val="0"/>
                    <w:rPr>
                      <w:rFonts w:hint="default"/>
                    </w:rPr>
                  </w:pPr>
                  <w:r>
                    <w:rPr>
                      <w:rFonts w:hint="default"/>
                    </w:rPr>
                    <w:t>《工业企业厂界环境噪声排放标准》（GB12348-2008）中</w:t>
                  </w:r>
                  <w:r>
                    <w:rPr>
                      <w:rFonts w:hint="eastAsia"/>
                    </w:rPr>
                    <w:t>3</w:t>
                  </w:r>
                  <w:r>
                    <w:rPr>
                      <w:rFonts w:hint="default"/>
                    </w:rPr>
                    <w:t>类标准</w:t>
                  </w:r>
                </w:p>
              </w:tc>
            </w:tr>
          </w:tbl>
          <w:p>
            <w:pPr>
              <w:pStyle w:val="67"/>
              <w:bidi w:val="0"/>
              <w:rPr>
                <w:rFonts w:hint="default"/>
                <w:lang w:val="en-US" w:eastAsia="zh-CN"/>
              </w:rPr>
            </w:pPr>
            <w:r>
              <w:rPr>
                <w:rFonts w:hint="eastAsia"/>
                <w:lang w:val="en-US" w:eastAsia="zh-CN"/>
              </w:rPr>
              <w:t>4</w:t>
            </w:r>
            <w:r>
              <w:rPr>
                <w:rFonts w:hint="default"/>
                <w:lang w:val="en-US" w:eastAsia="zh-CN"/>
              </w:rPr>
              <w:t>.固体废弃物影响分析</w:t>
            </w:r>
          </w:p>
          <w:p>
            <w:pPr>
              <w:pStyle w:val="67"/>
              <w:bidi w:val="0"/>
              <w:rPr>
                <w:rFonts w:hint="default"/>
                <w:lang w:val="en-US" w:eastAsia="zh-CN"/>
              </w:rPr>
            </w:pPr>
            <w:r>
              <w:rPr>
                <w:rFonts w:hint="eastAsia"/>
                <w:lang w:val="en-US" w:eastAsia="zh-CN"/>
              </w:rPr>
              <w:t>4</w:t>
            </w:r>
            <w:r>
              <w:rPr>
                <w:rFonts w:hint="default"/>
                <w:lang w:val="en-US" w:eastAsia="zh-CN"/>
              </w:rPr>
              <w:t>.1固体废物产生情况和处置情况</w:t>
            </w:r>
          </w:p>
          <w:p>
            <w:pPr>
              <w:pStyle w:val="68"/>
              <w:bidi w:val="0"/>
              <w:rPr>
                <w:rFonts w:hint="default"/>
                <w:lang w:val="en-US" w:eastAsia="zh-CN"/>
              </w:rPr>
            </w:pPr>
            <w:r>
              <w:rPr>
                <w:rFonts w:hint="default"/>
                <w:lang w:val="en-US" w:eastAsia="zh-CN"/>
              </w:rPr>
              <w:t>本项目固体废弃物主要为</w:t>
            </w:r>
            <w:r>
              <w:rPr>
                <w:rFonts w:hint="eastAsia"/>
                <w:lang w:val="en-US" w:eastAsia="zh-CN"/>
              </w:rPr>
              <w:t>生活垃圾、</w:t>
            </w:r>
            <w:r>
              <w:rPr>
                <w:rFonts w:hint="default"/>
                <w:lang w:val="en-US" w:eastAsia="zh-CN"/>
              </w:rPr>
              <w:t>除尘系统收集的粉尘</w:t>
            </w:r>
            <w:r>
              <w:rPr>
                <w:rFonts w:hint="eastAsia"/>
                <w:lang w:val="en-US" w:eastAsia="zh-CN"/>
              </w:rPr>
              <w:t>、沉淀池中的沉渣、脱模剂废包装桶、除尘器滤袋、废混凝土渣、废钢、</w:t>
            </w:r>
            <w:r>
              <w:rPr>
                <w:rFonts w:hint="default"/>
                <w:lang w:val="en-US" w:eastAsia="zh-CN"/>
              </w:rPr>
              <w:t>废润滑油</w:t>
            </w:r>
            <w:r>
              <w:rPr>
                <w:rFonts w:hint="eastAsia"/>
                <w:lang w:val="en-US" w:eastAsia="zh-CN"/>
              </w:rPr>
              <w:t>等。</w:t>
            </w:r>
          </w:p>
          <w:p>
            <w:pPr>
              <w:pStyle w:val="68"/>
              <w:bidi w:val="0"/>
              <w:rPr>
                <w:rFonts w:hint="default"/>
                <w:lang w:val="en-US" w:eastAsia="zh-CN"/>
              </w:rPr>
            </w:pPr>
            <w:r>
              <w:rPr>
                <w:rFonts w:hint="eastAsia"/>
                <w:lang w:val="en-US" w:eastAsia="zh-CN"/>
              </w:rPr>
              <w:t>（1）</w:t>
            </w:r>
            <w:r>
              <w:rPr>
                <w:rFonts w:hint="default"/>
                <w:lang w:val="en-US" w:eastAsia="zh-CN"/>
              </w:rPr>
              <w:t>生活垃圾</w:t>
            </w:r>
          </w:p>
          <w:p>
            <w:pPr>
              <w:pStyle w:val="68"/>
              <w:bidi w:val="0"/>
              <w:rPr>
                <w:rFonts w:hint="default"/>
                <w:lang w:val="en-US" w:eastAsia="zh-CN"/>
              </w:rPr>
            </w:pPr>
            <w:r>
              <w:rPr>
                <w:rFonts w:hint="default"/>
                <w:lang w:val="en-US" w:eastAsia="zh-CN"/>
              </w:rPr>
              <w:t>本项目职工人数</w:t>
            </w:r>
            <w:r>
              <w:rPr>
                <w:rFonts w:hint="eastAsia"/>
                <w:lang w:val="en-US" w:eastAsia="zh-CN"/>
              </w:rPr>
              <w:t>30</w:t>
            </w:r>
            <w:r>
              <w:rPr>
                <w:rFonts w:hint="default"/>
                <w:lang w:val="en-US" w:eastAsia="zh-CN"/>
              </w:rPr>
              <w:t>人，生活垃圾按每人每天产生0.5kg/d计，则年产生量为</w:t>
            </w:r>
            <w:r>
              <w:rPr>
                <w:rFonts w:hint="eastAsia"/>
                <w:lang w:val="en-US" w:eastAsia="zh-CN"/>
              </w:rPr>
              <w:t>4.5</w:t>
            </w:r>
            <w:r>
              <w:rPr>
                <w:rFonts w:hint="default"/>
                <w:lang w:val="en-US" w:eastAsia="zh-CN"/>
              </w:rPr>
              <w:t>t/a，生活垃圾集中收集后交由环卫部门统一清运至垃圾处理站处理。</w:t>
            </w:r>
          </w:p>
          <w:p>
            <w:pPr>
              <w:pStyle w:val="68"/>
              <w:bidi w:val="0"/>
              <w:rPr>
                <w:rFonts w:hint="default"/>
                <w:lang w:val="en-US"/>
              </w:rPr>
            </w:pPr>
            <w:r>
              <w:rPr>
                <w:rFonts w:hint="default"/>
                <w:lang w:val="en-US" w:eastAsia="zh-CN"/>
              </w:rPr>
              <w:t>（</w:t>
            </w:r>
            <w:r>
              <w:rPr>
                <w:rFonts w:hint="eastAsia"/>
                <w:lang w:val="en-US" w:eastAsia="zh-CN"/>
              </w:rPr>
              <w:t>2</w:t>
            </w:r>
            <w:r>
              <w:rPr>
                <w:rFonts w:hint="default"/>
                <w:lang w:val="en-US" w:eastAsia="zh-CN"/>
              </w:rPr>
              <w:t>）</w:t>
            </w:r>
            <w:r>
              <w:rPr>
                <w:rFonts w:hint="eastAsia"/>
                <w:lang w:val="en-US" w:eastAsia="zh-CN"/>
              </w:rPr>
              <w:t>一般固废</w:t>
            </w:r>
          </w:p>
          <w:p>
            <w:pPr>
              <w:pStyle w:val="68"/>
              <w:bidi w:val="0"/>
              <w:rPr>
                <w:rFonts w:hint="default"/>
                <w:lang w:val="en-US" w:eastAsia="zh-CN"/>
              </w:rPr>
            </w:pPr>
            <w:r>
              <w:rPr>
                <w:rFonts w:hint="default"/>
                <w:lang w:val="en-US" w:eastAsia="zh-CN"/>
              </w:rPr>
              <w:t>①</w:t>
            </w:r>
            <w:r>
              <w:rPr>
                <w:rFonts w:hint="eastAsia"/>
                <w:lang w:val="en-US" w:eastAsia="zh-CN"/>
              </w:rPr>
              <w:t>除尘器收集的粉尘</w:t>
            </w:r>
          </w:p>
          <w:p>
            <w:pPr>
              <w:pStyle w:val="68"/>
              <w:bidi w:val="0"/>
              <w:rPr>
                <w:rFonts w:hint="eastAsia"/>
                <w:lang w:val="en-US" w:eastAsia="zh-CN"/>
              </w:rPr>
            </w:pPr>
            <w:r>
              <w:rPr>
                <w:rFonts w:hint="eastAsia"/>
                <w:lang w:val="en-US" w:eastAsia="zh-CN"/>
              </w:rPr>
              <w:t>除尘器收集的粉尘约为414t/a，收集的粉尘作为产品外售或回用于饼状硅生产环节，重新进行配料生产，不外排。</w:t>
            </w:r>
          </w:p>
          <w:p>
            <w:pPr>
              <w:pStyle w:val="68"/>
              <w:bidi w:val="0"/>
              <w:rPr>
                <w:rFonts w:hint="eastAsia"/>
                <w:lang w:val="en-US" w:eastAsia="zh-CN"/>
              </w:rPr>
            </w:pPr>
            <w:r>
              <w:rPr>
                <w:rFonts w:hint="default"/>
                <w:lang w:val="en-US" w:eastAsia="zh-CN"/>
              </w:rPr>
              <w:t>②</w:t>
            </w:r>
            <w:r>
              <w:rPr>
                <w:rFonts w:hint="eastAsia"/>
                <w:lang w:val="en-US" w:eastAsia="zh-CN"/>
              </w:rPr>
              <w:t>磁选机和强磁铁产生的铁粉</w:t>
            </w:r>
          </w:p>
          <w:p>
            <w:pPr>
              <w:pStyle w:val="68"/>
              <w:bidi w:val="0"/>
              <w:rPr>
                <w:rFonts w:hint="eastAsia"/>
                <w:lang w:val="en-US" w:eastAsia="zh-CN"/>
              </w:rPr>
            </w:pPr>
            <w:r>
              <w:rPr>
                <w:rFonts w:hint="eastAsia"/>
                <w:lang w:val="en-US" w:eastAsia="zh-CN"/>
              </w:rPr>
              <w:t>硅颗粒在破碎、筛分的过程中，可能混入铁等磁性杂质，磁选机利用磁场对磁性物质的吸附作用，可将这些杂质从硅颗粒中分离出来，从而降低硅颗粒中的杂质含量。铁粉产生总量约为150t/a，统一收集后定期外售综合利用。</w:t>
            </w:r>
          </w:p>
          <w:p>
            <w:pPr>
              <w:pStyle w:val="68"/>
              <w:bidi w:val="0"/>
              <w:rPr>
                <w:rFonts w:hint="eastAsia"/>
                <w:lang w:val="en-US" w:eastAsia="zh-CN"/>
              </w:rPr>
            </w:pPr>
            <w:r>
              <w:rPr>
                <w:rFonts w:hint="default"/>
                <w:lang w:val="en-US" w:eastAsia="zh-CN"/>
              </w:rPr>
              <w:t>③</w:t>
            </w:r>
            <w:r>
              <w:rPr>
                <w:rFonts w:hint="eastAsia"/>
                <w:lang w:val="en-US" w:eastAsia="zh-CN"/>
              </w:rPr>
              <w:t>废弃的原料包装袋</w:t>
            </w:r>
          </w:p>
          <w:p>
            <w:pPr>
              <w:pStyle w:val="68"/>
              <w:bidi w:val="0"/>
              <w:rPr>
                <w:rFonts w:hint="eastAsia"/>
                <w:lang w:val="en-US" w:eastAsia="zh-CN"/>
              </w:rPr>
            </w:pPr>
            <w:r>
              <w:rPr>
                <w:rFonts w:hint="eastAsia"/>
                <w:lang w:val="en-US" w:eastAsia="zh-CN"/>
              </w:rPr>
              <w:t>本项目废弃的原料包装袋（吨包袋），产生量约为2t/a，收集后交由供应商回收再利用。</w:t>
            </w:r>
          </w:p>
          <w:p>
            <w:pPr>
              <w:pStyle w:val="68"/>
              <w:bidi w:val="0"/>
              <w:rPr>
                <w:rFonts w:hint="default"/>
                <w:lang w:val="en-US" w:eastAsia="zh-CN"/>
              </w:rPr>
            </w:pPr>
            <w:r>
              <w:rPr>
                <w:rFonts w:hint="eastAsia"/>
                <w:lang w:val="en-US" w:eastAsia="zh-CN"/>
              </w:rPr>
              <w:t>④本项目在生产过程中，约1年1次进行除尘器布袋更换，本项目每次更换的量为0.04t/a，除尘器布袋定期由设备厂家进行更换回收。</w:t>
            </w:r>
          </w:p>
          <w:p>
            <w:pPr>
              <w:pStyle w:val="68"/>
              <w:bidi w:val="0"/>
              <w:rPr>
                <w:rFonts w:hint="eastAsia"/>
                <w:lang w:val="en-US" w:eastAsia="zh-CN"/>
              </w:rPr>
            </w:pPr>
            <w:r>
              <w:rPr>
                <w:rFonts w:hint="eastAsia"/>
                <w:lang w:val="en-US" w:eastAsia="zh-CN"/>
              </w:rPr>
              <w:t>（3）危险废物</w:t>
            </w:r>
          </w:p>
          <w:p>
            <w:pPr>
              <w:pStyle w:val="68"/>
              <w:bidi w:val="0"/>
              <w:rPr>
                <w:rFonts w:hint="eastAsia"/>
                <w:lang w:val="en-US" w:eastAsia="zh-CN"/>
              </w:rPr>
            </w:pPr>
            <w:r>
              <w:rPr>
                <w:rFonts w:hint="default"/>
                <w:lang w:val="en-US" w:eastAsia="zh-CN"/>
              </w:rPr>
              <w:t>①</w:t>
            </w:r>
            <w:r>
              <w:rPr>
                <w:rFonts w:hint="eastAsia"/>
                <w:lang w:val="en-US" w:eastAsia="zh-CN"/>
              </w:rPr>
              <w:t>废润滑油</w:t>
            </w:r>
          </w:p>
          <w:p>
            <w:pPr>
              <w:pStyle w:val="68"/>
              <w:bidi w:val="0"/>
              <w:rPr>
                <w:rFonts w:hint="default"/>
                <w:lang w:val="en-US" w:eastAsia="zh-CN"/>
              </w:rPr>
            </w:pPr>
            <w:r>
              <w:rPr>
                <w:rFonts w:hint="default"/>
                <w:lang w:val="en-US" w:eastAsia="zh-CN"/>
              </w:rPr>
              <w:t>项目设备需定期更换润滑油，根据企业提供的资料，润滑油更换量为0.</w:t>
            </w:r>
            <w:r>
              <w:rPr>
                <w:rFonts w:hint="eastAsia"/>
                <w:lang w:val="en-US" w:eastAsia="zh-CN"/>
              </w:rPr>
              <w:t>1</w:t>
            </w:r>
            <w:r>
              <w:rPr>
                <w:rFonts w:hint="default"/>
                <w:lang w:val="en-US" w:eastAsia="zh-CN"/>
              </w:rPr>
              <w:t>t/a。根据《国家危险废物名录》（202</w:t>
            </w:r>
            <w:r>
              <w:rPr>
                <w:rFonts w:hint="eastAsia"/>
                <w:lang w:val="en-US" w:eastAsia="zh-CN"/>
              </w:rPr>
              <w:t>5</w:t>
            </w:r>
            <w:r>
              <w:rPr>
                <w:rFonts w:hint="default"/>
                <w:lang w:val="en-US" w:eastAsia="zh-CN"/>
              </w:rPr>
              <w:t>年版）可知，废润滑油属于危险废物，废物类别为HW08废矿物油与含矿物油废物，危废代码：900-214-08（车辆、轮船及其它机械维修过程中产生的废发动机油、制动器油、自动变速器油、齿轮油等废润滑油）</w:t>
            </w:r>
            <w:r>
              <w:rPr>
                <w:rFonts w:hint="eastAsia"/>
                <w:lang w:val="en-US" w:eastAsia="zh-CN"/>
              </w:rPr>
              <w:t>，废润滑油暂存于危废贮存间内，委托有</w:t>
            </w:r>
            <w:r>
              <w:rPr>
                <w:rFonts w:hint="default"/>
                <w:lang w:val="en-US" w:eastAsia="zh-CN"/>
              </w:rPr>
              <w:t>危废处理资质的单位收集处置。</w:t>
            </w:r>
          </w:p>
          <w:p>
            <w:pPr>
              <w:pStyle w:val="68"/>
              <w:bidi w:val="0"/>
              <w:rPr>
                <w:rFonts w:hint="default"/>
                <w:lang w:val="en-US" w:eastAsia="zh-CN"/>
              </w:rPr>
            </w:pPr>
            <w:r>
              <w:rPr>
                <w:rFonts w:hint="default"/>
                <w:lang w:val="en-US" w:eastAsia="zh-CN"/>
              </w:rPr>
              <w:t>②</w:t>
            </w:r>
            <w:r>
              <w:rPr>
                <w:rFonts w:hint="eastAsia"/>
                <w:lang w:val="en-US" w:eastAsia="zh-CN"/>
              </w:rPr>
              <w:t>废润滑油桶</w:t>
            </w:r>
          </w:p>
          <w:p>
            <w:pPr>
              <w:pStyle w:val="68"/>
              <w:bidi w:val="0"/>
              <w:rPr>
                <w:rFonts w:hint="default"/>
                <w:lang w:val="en-US" w:eastAsia="zh-CN"/>
              </w:rPr>
            </w:pPr>
            <w:r>
              <w:rPr>
                <w:rFonts w:hint="default"/>
                <w:lang w:val="en-US" w:eastAsia="zh-CN"/>
              </w:rPr>
              <w:t>根据企业提供的资料，项目润滑油使用量为0.</w:t>
            </w:r>
            <w:r>
              <w:rPr>
                <w:rFonts w:hint="eastAsia"/>
                <w:lang w:val="en-US" w:eastAsia="zh-CN"/>
              </w:rPr>
              <w:t>1</w:t>
            </w:r>
            <w:r>
              <w:rPr>
                <w:rFonts w:hint="default"/>
                <w:lang w:val="en-US" w:eastAsia="zh-CN"/>
              </w:rPr>
              <w:t>t/a，包装为20kg/桶，则废润滑油桶产生量为</w:t>
            </w:r>
            <w:r>
              <w:rPr>
                <w:rFonts w:hint="eastAsia"/>
                <w:lang w:val="en-US" w:eastAsia="zh-CN"/>
              </w:rPr>
              <w:t>5</w:t>
            </w:r>
            <w:r>
              <w:rPr>
                <w:rFonts w:hint="default"/>
                <w:lang w:val="en-US" w:eastAsia="zh-CN"/>
              </w:rPr>
              <w:t>个（约重</w:t>
            </w:r>
            <w:r>
              <w:rPr>
                <w:rFonts w:hint="eastAsia"/>
                <w:lang w:val="en-US" w:eastAsia="zh-CN"/>
              </w:rPr>
              <w:t>0.01</w:t>
            </w:r>
            <w:r>
              <w:rPr>
                <w:rFonts w:hint="default"/>
                <w:lang w:val="en-US" w:eastAsia="zh-CN"/>
              </w:rPr>
              <w:t>t/a）。根据《国家危险废物名录》（202</w:t>
            </w:r>
            <w:r>
              <w:rPr>
                <w:rFonts w:hint="eastAsia"/>
                <w:lang w:val="en-US" w:eastAsia="zh-CN"/>
              </w:rPr>
              <w:t>5</w:t>
            </w:r>
            <w:r>
              <w:rPr>
                <w:rFonts w:hint="default"/>
                <w:lang w:val="en-US" w:eastAsia="zh-CN"/>
              </w:rPr>
              <w:t>年版）可知，废润滑油桶属于危险废物，危险废物类别：HW08，危险废物代码900-249-08</w:t>
            </w:r>
            <w:r>
              <w:rPr>
                <w:rFonts w:hint="eastAsia"/>
                <w:lang w:val="en-US" w:eastAsia="zh-CN"/>
              </w:rPr>
              <w:t>（</w:t>
            </w:r>
            <w:r>
              <w:rPr>
                <w:rFonts w:hint="default"/>
                <w:lang w:val="en-US" w:eastAsia="zh-CN"/>
              </w:rPr>
              <w:t>其他生产、销售、使用过程中产生的废矿物油及沾染矿物油的废弃包装物</w:t>
            </w:r>
            <w:r>
              <w:rPr>
                <w:rFonts w:hint="eastAsia"/>
                <w:lang w:val="en-US" w:eastAsia="zh-CN"/>
              </w:rPr>
              <w:t>）</w:t>
            </w:r>
            <w:r>
              <w:rPr>
                <w:rFonts w:hint="default"/>
                <w:lang w:val="en-US" w:eastAsia="zh-CN"/>
              </w:rPr>
              <w:t>，废润滑油桶暂存于</w:t>
            </w:r>
            <w:r>
              <w:rPr>
                <w:rFonts w:hint="eastAsia"/>
                <w:lang w:val="en-US" w:eastAsia="zh-CN"/>
              </w:rPr>
              <w:t>危废贮存间</w:t>
            </w:r>
            <w:r>
              <w:rPr>
                <w:rFonts w:hint="default"/>
                <w:lang w:val="en-US" w:eastAsia="zh-CN"/>
              </w:rPr>
              <w:t>内，委托有危废处理资质的单位收集处置。</w:t>
            </w:r>
          </w:p>
          <w:p>
            <w:pPr>
              <w:pStyle w:val="68"/>
              <w:bidi w:val="0"/>
              <w:rPr>
                <w:rFonts w:hint="default" w:ascii="Times New Roman" w:hAnsi="Times New Roman" w:eastAsia="宋体" w:cs="Times New Roman"/>
                <w:b w:val="0"/>
                <w:bCs w:val="0"/>
                <w:color w:val="auto"/>
                <w:sz w:val="24"/>
                <w:szCs w:val="24"/>
                <w:lang w:val="en-US" w:eastAsia="zh-CN"/>
              </w:rPr>
            </w:pPr>
            <w:r>
              <w:rPr>
                <w:rFonts w:hint="eastAsia"/>
                <w:lang w:val="en-US" w:eastAsia="zh-CN"/>
              </w:rPr>
              <w:t>本</w:t>
            </w:r>
            <w:r>
              <w:rPr>
                <w:rFonts w:hint="default" w:ascii="Times New Roman" w:hAnsi="Times New Roman" w:eastAsia="宋体" w:cs="Times New Roman"/>
                <w:b w:val="0"/>
                <w:bCs w:val="0"/>
                <w:color w:val="auto"/>
                <w:sz w:val="24"/>
                <w:szCs w:val="24"/>
                <w:lang w:val="en-US" w:eastAsia="zh-CN"/>
              </w:rPr>
              <w:t>项目固废产生明细</w:t>
            </w:r>
            <w:r>
              <w:rPr>
                <w:rFonts w:hint="eastAsia" w:cs="Times New Roman"/>
                <w:b w:val="0"/>
                <w:bCs w:val="0"/>
                <w:color w:val="auto"/>
                <w:sz w:val="24"/>
                <w:szCs w:val="24"/>
                <w:lang w:val="en-US" w:eastAsia="zh-CN"/>
              </w:rPr>
              <w:t>详</w:t>
            </w:r>
            <w:r>
              <w:rPr>
                <w:rFonts w:hint="default" w:ascii="Times New Roman" w:hAnsi="Times New Roman" w:eastAsia="宋体" w:cs="Times New Roman"/>
                <w:b w:val="0"/>
                <w:bCs w:val="0"/>
                <w:color w:val="auto"/>
                <w:sz w:val="24"/>
                <w:szCs w:val="24"/>
                <w:lang w:val="en-US" w:eastAsia="zh-CN"/>
              </w:rPr>
              <w:t>见下表。</w:t>
            </w:r>
          </w:p>
          <w:p>
            <w:pPr>
              <w:pStyle w:val="8"/>
              <w:keepNext w:val="0"/>
              <w:keepLines w:val="0"/>
              <w:pageBreakBefore w:val="0"/>
              <w:widowControl w:val="0"/>
              <w:kinsoku/>
              <w:wordWrap w:val="0"/>
              <w:overflowPunct/>
              <w:topLinePunct w:val="0"/>
              <w:autoSpaceDE/>
              <w:autoSpaceDN/>
              <w:bidi w:val="0"/>
              <w:adjustRightInd/>
              <w:snapToGrid/>
              <w:spacing w:line="240" w:lineRule="auto"/>
              <w:ind w:firstLine="420" w:firstLineChars="190"/>
              <w:contextualSpacing/>
              <w:jc w:val="center"/>
              <w:textAlignment w:val="auto"/>
              <w:rPr>
                <w:rFonts w:hint="default" w:ascii="Times New Roman" w:hAnsi="Times New Roman" w:eastAsia="宋体" w:cs="Times New Roman"/>
                <w:b w:val="0"/>
                <w:bCs w:val="0"/>
                <w:color w:val="auto"/>
                <w:sz w:val="24"/>
                <w:szCs w:val="24"/>
                <w:lang w:val="en-US" w:eastAsia="zh-CN"/>
              </w:rPr>
            </w:pPr>
            <w:r>
              <w:rPr>
                <w:rStyle w:val="50"/>
                <w:rFonts w:hint="default" w:ascii="Times New Roman" w:hAnsi="Times New Roman" w:eastAsia="宋体" w:cs="Times New Roman"/>
                <w:color w:val="auto"/>
                <w:sz w:val="21"/>
                <w:szCs w:val="21"/>
              </w:rPr>
              <w:t>表</w:t>
            </w:r>
            <w:r>
              <w:rPr>
                <w:rStyle w:val="50"/>
                <w:rFonts w:hint="default" w:ascii="Times New Roman" w:hAnsi="Times New Roman" w:eastAsia="宋体" w:cs="Times New Roman"/>
                <w:color w:val="auto"/>
                <w:sz w:val="21"/>
                <w:szCs w:val="21"/>
                <w:lang w:val="en-US" w:eastAsia="zh-CN"/>
              </w:rPr>
              <w:t>4-</w:t>
            </w:r>
            <w:r>
              <w:rPr>
                <w:rStyle w:val="50"/>
                <w:rFonts w:hint="eastAsia" w:eastAsia="宋体" w:cs="Times New Roman"/>
                <w:color w:val="auto"/>
                <w:sz w:val="21"/>
                <w:szCs w:val="21"/>
                <w:lang w:val="en-US" w:eastAsia="zh-CN"/>
              </w:rPr>
              <w:t xml:space="preserve">10  </w:t>
            </w:r>
            <w:r>
              <w:rPr>
                <w:rStyle w:val="50"/>
                <w:rFonts w:hint="default" w:ascii="Times New Roman" w:hAnsi="Times New Roman" w:eastAsia="宋体" w:cs="Times New Roman"/>
                <w:color w:val="auto"/>
                <w:sz w:val="21"/>
                <w:szCs w:val="21"/>
              </w:rPr>
              <w:t xml:space="preserve">  项目固体废物产生情况明细</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405"/>
              <w:gridCol w:w="936"/>
              <w:gridCol w:w="1313"/>
              <w:gridCol w:w="910"/>
              <w:gridCol w:w="731"/>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noWrap w:val="0"/>
                  <w:vAlign w:val="center"/>
                </w:tcPr>
                <w:p>
                  <w:pPr>
                    <w:pStyle w:val="66"/>
                    <w:bidi w:val="0"/>
                    <w:rPr>
                      <w:rFonts w:hint="default"/>
                      <w:lang w:val="en-US" w:eastAsia="zh-CN"/>
                    </w:rPr>
                  </w:pPr>
                  <w:r>
                    <w:rPr>
                      <w:rFonts w:hint="eastAsia"/>
                      <w:lang w:val="en-US" w:eastAsia="zh-CN"/>
                    </w:rPr>
                    <w:t>废物属性</w:t>
                  </w:r>
                </w:p>
              </w:tc>
              <w:tc>
                <w:tcPr>
                  <w:tcW w:w="915" w:type="pct"/>
                  <w:noWrap w:val="0"/>
                  <w:vAlign w:val="center"/>
                </w:tcPr>
                <w:p>
                  <w:pPr>
                    <w:pStyle w:val="66"/>
                    <w:bidi w:val="0"/>
                    <w:rPr>
                      <w:rFonts w:hint="default"/>
                      <w:lang w:val="en-US" w:eastAsia="zh-CN"/>
                    </w:rPr>
                  </w:pPr>
                  <w:r>
                    <w:rPr>
                      <w:rFonts w:hint="eastAsia"/>
                      <w:lang w:val="en-US" w:eastAsia="zh-CN"/>
                    </w:rPr>
                    <w:t>名称</w:t>
                  </w:r>
                </w:p>
              </w:tc>
              <w:tc>
                <w:tcPr>
                  <w:tcW w:w="610" w:type="pct"/>
                  <w:noWrap w:val="0"/>
                  <w:vAlign w:val="center"/>
                </w:tcPr>
                <w:p>
                  <w:pPr>
                    <w:pStyle w:val="66"/>
                    <w:bidi w:val="0"/>
                    <w:rPr>
                      <w:rFonts w:hint="default"/>
                      <w:lang w:val="en-US" w:eastAsia="zh-CN"/>
                    </w:rPr>
                  </w:pPr>
                  <w:r>
                    <w:rPr>
                      <w:rFonts w:hint="eastAsia"/>
                      <w:lang w:val="en-US" w:eastAsia="zh-CN"/>
                    </w:rPr>
                    <w:t>废物类别</w:t>
                  </w:r>
                </w:p>
              </w:tc>
              <w:tc>
                <w:tcPr>
                  <w:tcW w:w="855" w:type="pct"/>
                  <w:noWrap w:val="0"/>
                  <w:vAlign w:val="center"/>
                </w:tcPr>
                <w:p>
                  <w:pPr>
                    <w:pStyle w:val="66"/>
                    <w:bidi w:val="0"/>
                    <w:rPr>
                      <w:rFonts w:hint="default"/>
                      <w:lang w:val="en-US" w:eastAsia="zh-CN"/>
                    </w:rPr>
                  </w:pPr>
                  <w:r>
                    <w:rPr>
                      <w:rFonts w:hint="eastAsia"/>
                      <w:lang w:val="en-US" w:eastAsia="zh-CN"/>
                    </w:rPr>
                    <w:t>废物代码</w:t>
                  </w:r>
                </w:p>
              </w:tc>
              <w:tc>
                <w:tcPr>
                  <w:tcW w:w="593" w:type="pct"/>
                  <w:noWrap w:val="0"/>
                  <w:vAlign w:val="center"/>
                </w:tcPr>
                <w:p>
                  <w:pPr>
                    <w:pStyle w:val="66"/>
                    <w:bidi w:val="0"/>
                    <w:rPr>
                      <w:rFonts w:hint="default"/>
                      <w:lang w:val="en-US" w:eastAsia="zh-CN"/>
                    </w:rPr>
                  </w:pPr>
                  <w:r>
                    <w:rPr>
                      <w:rFonts w:hint="eastAsia"/>
                      <w:lang w:val="en-US" w:eastAsia="zh-CN"/>
                    </w:rPr>
                    <w:t>产生量（t/a）</w:t>
                  </w:r>
                </w:p>
              </w:tc>
              <w:tc>
                <w:tcPr>
                  <w:tcW w:w="476" w:type="pct"/>
                  <w:noWrap w:val="0"/>
                  <w:vAlign w:val="center"/>
                </w:tcPr>
                <w:p>
                  <w:pPr>
                    <w:pStyle w:val="66"/>
                    <w:bidi w:val="0"/>
                    <w:rPr>
                      <w:rFonts w:hint="eastAsia"/>
                      <w:lang w:val="en-US" w:eastAsia="zh-CN"/>
                    </w:rPr>
                  </w:pPr>
                  <w:r>
                    <w:rPr>
                      <w:rFonts w:hint="eastAsia"/>
                      <w:lang w:val="en-US" w:eastAsia="zh-CN"/>
                    </w:rPr>
                    <w:t>危险特性</w:t>
                  </w:r>
                </w:p>
              </w:tc>
              <w:tc>
                <w:tcPr>
                  <w:tcW w:w="1072" w:type="pct"/>
                  <w:noWrap w:val="0"/>
                  <w:vAlign w:val="center"/>
                </w:tcPr>
                <w:p>
                  <w:pPr>
                    <w:pStyle w:val="66"/>
                    <w:bidi w:val="0"/>
                    <w:rPr>
                      <w:rFonts w:hint="default"/>
                      <w:lang w:val="en-US" w:eastAsia="zh-CN"/>
                    </w:rPr>
                  </w:pPr>
                  <w:r>
                    <w:rPr>
                      <w:rFonts w:hint="eastAsia"/>
                      <w:lang w:val="en-US" w:eastAsia="zh-CN"/>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restart"/>
                  <w:noWrap w:val="0"/>
                  <w:vAlign w:val="center"/>
                </w:tcPr>
                <w:p>
                  <w:pPr>
                    <w:pStyle w:val="66"/>
                    <w:bidi w:val="0"/>
                    <w:rPr>
                      <w:rFonts w:hint="default"/>
                      <w:lang w:val="en-US" w:eastAsia="zh-CN"/>
                    </w:rPr>
                  </w:pPr>
                  <w:r>
                    <w:rPr>
                      <w:rFonts w:hint="eastAsia"/>
                      <w:lang w:val="en-US" w:eastAsia="zh-CN"/>
                    </w:rPr>
                    <w:t>一般固废</w:t>
                  </w:r>
                </w:p>
              </w:tc>
              <w:tc>
                <w:tcPr>
                  <w:tcW w:w="915" w:type="pct"/>
                  <w:noWrap w:val="0"/>
                  <w:vAlign w:val="center"/>
                </w:tcPr>
                <w:p>
                  <w:pPr>
                    <w:pStyle w:val="66"/>
                    <w:bidi w:val="0"/>
                    <w:rPr>
                      <w:rFonts w:hint="eastAsia"/>
                      <w:lang w:val="en-US" w:eastAsia="zh-CN"/>
                    </w:rPr>
                  </w:pPr>
                  <w:r>
                    <w:rPr>
                      <w:rFonts w:hint="default"/>
                    </w:rPr>
                    <w:t>除尘</w:t>
                  </w:r>
                  <w:r>
                    <w:rPr>
                      <w:rFonts w:hint="eastAsia"/>
                      <w:lang w:val="en-US" w:eastAsia="zh-CN"/>
                    </w:rPr>
                    <w:t>器</w:t>
                  </w:r>
                  <w:r>
                    <w:rPr>
                      <w:rFonts w:hint="default"/>
                    </w:rPr>
                    <w:t>收集</w:t>
                  </w:r>
                  <w:r>
                    <w:rPr>
                      <w:rFonts w:hint="eastAsia"/>
                      <w:lang w:val="en-US" w:eastAsia="zh-CN"/>
                    </w:rPr>
                    <w:t>的</w:t>
                  </w:r>
                  <w:r>
                    <w:rPr>
                      <w:rFonts w:hint="default"/>
                    </w:rPr>
                    <w:t>粉尘</w:t>
                  </w:r>
                </w:p>
              </w:tc>
              <w:tc>
                <w:tcPr>
                  <w:tcW w:w="610" w:type="pct"/>
                  <w:vMerge w:val="restart"/>
                  <w:noWrap w:val="0"/>
                  <w:vAlign w:val="center"/>
                </w:tcPr>
                <w:p>
                  <w:pPr>
                    <w:pStyle w:val="66"/>
                    <w:bidi w:val="0"/>
                    <w:rPr>
                      <w:rFonts w:hint="default"/>
                      <w:lang w:val="en-US" w:eastAsia="zh-CN"/>
                    </w:rPr>
                  </w:pPr>
                  <w:r>
                    <w:rPr>
                      <w:rFonts w:hint="eastAsia"/>
                      <w:lang w:val="en-US" w:eastAsia="zh-CN"/>
                    </w:rPr>
                    <w:t>SW17</w:t>
                  </w:r>
                </w:p>
              </w:tc>
              <w:tc>
                <w:tcPr>
                  <w:tcW w:w="855" w:type="pct"/>
                  <w:vMerge w:val="restart"/>
                  <w:noWrap w:val="0"/>
                  <w:vAlign w:val="center"/>
                </w:tcPr>
                <w:p>
                  <w:pPr>
                    <w:pStyle w:val="66"/>
                    <w:bidi w:val="0"/>
                    <w:rPr>
                      <w:rFonts w:hint="default"/>
                      <w:lang w:val="en-US" w:eastAsia="zh-CN"/>
                    </w:rPr>
                  </w:pPr>
                  <w:r>
                    <w:rPr>
                      <w:rFonts w:hint="default"/>
                      <w:lang w:val="en-US" w:eastAsia="zh-CN"/>
                    </w:rPr>
                    <w:t>900-099-S17</w:t>
                  </w:r>
                </w:p>
              </w:tc>
              <w:tc>
                <w:tcPr>
                  <w:tcW w:w="593" w:type="pct"/>
                  <w:noWrap w:val="0"/>
                  <w:vAlign w:val="center"/>
                </w:tcPr>
                <w:p>
                  <w:pPr>
                    <w:pStyle w:val="66"/>
                    <w:bidi w:val="0"/>
                    <w:rPr>
                      <w:rFonts w:hint="default"/>
                      <w:lang w:val="en-US" w:eastAsia="zh-CN"/>
                    </w:rPr>
                  </w:pPr>
                  <w:r>
                    <w:rPr>
                      <w:rFonts w:hint="eastAsia"/>
                      <w:lang w:val="en-US" w:eastAsia="zh-CN"/>
                    </w:rPr>
                    <w:t>414</w:t>
                  </w:r>
                </w:p>
              </w:tc>
              <w:tc>
                <w:tcPr>
                  <w:tcW w:w="476" w:type="pct"/>
                  <w:noWrap w:val="0"/>
                  <w:vAlign w:val="center"/>
                </w:tcPr>
                <w:p>
                  <w:pPr>
                    <w:pStyle w:val="66"/>
                    <w:bidi w:val="0"/>
                    <w:rPr>
                      <w:rFonts w:hint="default"/>
                      <w:lang w:val="en-US" w:eastAsia="zh-CN"/>
                    </w:rPr>
                  </w:pPr>
                  <w:r>
                    <w:rPr>
                      <w:rFonts w:hint="default"/>
                      <w:lang w:val="en-US" w:eastAsia="zh-CN"/>
                    </w:rPr>
                    <w:t>/</w:t>
                  </w:r>
                </w:p>
              </w:tc>
              <w:tc>
                <w:tcPr>
                  <w:tcW w:w="1072" w:type="pct"/>
                  <w:noWrap w:val="0"/>
                  <w:vAlign w:val="center"/>
                </w:tcPr>
                <w:p>
                  <w:pPr>
                    <w:keepNext w:val="0"/>
                    <w:keepLines w:val="0"/>
                    <w:widowControl/>
                    <w:suppressLineNumbers w:val="0"/>
                    <w:spacing w:before="0" w:beforeAutospacing="0" w:after="0" w:afterAutospacing="0"/>
                    <w:ind w:left="0" w:right="0"/>
                    <w:jc w:val="both"/>
                    <w:rPr>
                      <w:rFonts w:hint="default"/>
                      <w:lang w:val="en-US" w:eastAsia="zh-CN"/>
                    </w:rPr>
                  </w:pPr>
                  <w:r>
                    <w:rPr>
                      <w:rFonts w:hint="eastAsia" w:ascii="宋体" w:hAnsi="宋体" w:eastAsia="宋体" w:cs="宋体"/>
                      <w:kern w:val="2"/>
                      <w:sz w:val="21"/>
                      <w:szCs w:val="21"/>
                      <w:lang w:val="en-US" w:eastAsia="zh-CN" w:bidi="ar"/>
                    </w:rPr>
                    <w:t>布袋除尘器收集的粉尘作为产品外售或回用于饼状硅生产环节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continue"/>
                  <w:noWrap w:val="0"/>
                  <w:vAlign w:val="center"/>
                </w:tcPr>
                <w:p>
                  <w:pPr>
                    <w:pStyle w:val="66"/>
                    <w:bidi w:val="0"/>
                    <w:rPr>
                      <w:rFonts w:hint="default"/>
                      <w:lang w:val="en-US" w:eastAsia="zh-CN"/>
                    </w:rPr>
                  </w:pPr>
                </w:p>
              </w:tc>
              <w:tc>
                <w:tcPr>
                  <w:tcW w:w="915" w:type="pct"/>
                  <w:noWrap w:val="0"/>
                  <w:vAlign w:val="center"/>
                </w:tcPr>
                <w:p>
                  <w:pPr>
                    <w:pStyle w:val="66"/>
                    <w:bidi w:val="0"/>
                    <w:rPr>
                      <w:rFonts w:hint="default"/>
                      <w:lang w:val="en-US" w:eastAsia="zh-CN"/>
                    </w:rPr>
                  </w:pPr>
                  <w:r>
                    <w:rPr>
                      <w:rFonts w:hint="eastAsia"/>
                      <w:lang w:val="en-US" w:eastAsia="zh-CN"/>
                    </w:rPr>
                    <w:t>磁选机和强磁铁产生的铁粉</w:t>
                  </w:r>
                </w:p>
              </w:tc>
              <w:tc>
                <w:tcPr>
                  <w:tcW w:w="610" w:type="pct"/>
                  <w:vMerge w:val="continue"/>
                  <w:noWrap w:val="0"/>
                  <w:vAlign w:val="center"/>
                </w:tcPr>
                <w:p>
                  <w:pPr>
                    <w:pStyle w:val="66"/>
                    <w:bidi w:val="0"/>
                    <w:rPr>
                      <w:rFonts w:hint="eastAsia"/>
                      <w:lang w:val="en-US" w:eastAsia="zh-CN"/>
                    </w:rPr>
                  </w:pPr>
                </w:p>
              </w:tc>
              <w:tc>
                <w:tcPr>
                  <w:tcW w:w="855" w:type="pct"/>
                  <w:vMerge w:val="continue"/>
                  <w:noWrap w:val="0"/>
                  <w:vAlign w:val="center"/>
                </w:tcPr>
                <w:p>
                  <w:pPr>
                    <w:pStyle w:val="66"/>
                    <w:bidi w:val="0"/>
                    <w:rPr>
                      <w:rFonts w:hint="eastAsia"/>
                      <w:lang w:val="en-US" w:eastAsia="zh-CN"/>
                    </w:rPr>
                  </w:pPr>
                </w:p>
              </w:tc>
              <w:tc>
                <w:tcPr>
                  <w:tcW w:w="593" w:type="pct"/>
                  <w:noWrap w:val="0"/>
                  <w:vAlign w:val="center"/>
                </w:tcPr>
                <w:p>
                  <w:pPr>
                    <w:pStyle w:val="66"/>
                    <w:bidi w:val="0"/>
                    <w:rPr>
                      <w:rFonts w:hint="default"/>
                      <w:lang w:val="en-US" w:eastAsia="zh-CN"/>
                    </w:rPr>
                  </w:pPr>
                  <w:r>
                    <w:rPr>
                      <w:rFonts w:hint="eastAsia"/>
                      <w:lang w:val="en-US" w:eastAsia="zh-CN"/>
                    </w:rPr>
                    <w:t>150</w:t>
                  </w:r>
                </w:p>
              </w:tc>
              <w:tc>
                <w:tcPr>
                  <w:tcW w:w="476" w:type="pct"/>
                  <w:noWrap w:val="0"/>
                  <w:vAlign w:val="center"/>
                </w:tcPr>
                <w:p>
                  <w:pPr>
                    <w:pStyle w:val="66"/>
                    <w:bidi w:val="0"/>
                    <w:rPr>
                      <w:rFonts w:hint="default"/>
                      <w:lang w:val="en-US" w:eastAsia="zh-CN"/>
                    </w:rPr>
                  </w:pPr>
                  <w:r>
                    <w:rPr>
                      <w:rFonts w:hint="default"/>
                      <w:lang w:val="en-US" w:eastAsia="zh-CN"/>
                    </w:rPr>
                    <w:t>/</w:t>
                  </w:r>
                </w:p>
              </w:tc>
              <w:tc>
                <w:tcPr>
                  <w:tcW w:w="1072" w:type="pct"/>
                  <w:noWrap w:val="0"/>
                  <w:vAlign w:val="center"/>
                </w:tcPr>
                <w:p>
                  <w:pPr>
                    <w:pStyle w:val="66"/>
                    <w:bidi w:val="0"/>
                    <w:rPr>
                      <w:rFonts w:hint="eastAsia"/>
                      <w:lang w:val="en-US" w:eastAsia="zh-CN"/>
                    </w:rPr>
                  </w:pPr>
                  <w:r>
                    <w:rPr>
                      <w:rFonts w:hint="eastAsia"/>
                      <w:lang w:val="en-US" w:eastAsia="zh-CN"/>
                    </w:rPr>
                    <w:t>收集后定期外售综合利用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continue"/>
                  <w:noWrap w:val="0"/>
                  <w:vAlign w:val="center"/>
                </w:tcPr>
                <w:p>
                  <w:pPr>
                    <w:pStyle w:val="66"/>
                    <w:bidi w:val="0"/>
                    <w:rPr>
                      <w:rFonts w:hint="eastAsia"/>
                      <w:lang w:val="en-US" w:eastAsia="zh-CN"/>
                    </w:rPr>
                  </w:pPr>
                </w:p>
              </w:tc>
              <w:tc>
                <w:tcPr>
                  <w:tcW w:w="915" w:type="pct"/>
                  <w:shd w:val="clear" w:color="auto" w:fill="auto"/>
                  <w:noWrap w:val="0"/>
                  <w:vAlign w:val="center"/>
                </w:tcPr>
                <w:p>
                  <w:pPr>
                    <w:pStyle w:val="66"/>
                    <w:bidi w:val="0"/>
                    <w:rPr>
                      <w:rFonts w:hint="eastAsia"/>
                      <w:lang w:val="en-US" w:eastAsia="zh-CN"/>
                    </w:rPr>
                  </w:pPr>
                  <w:r>
                    <w:rPr>
                      <w:rFonts w:hint="eastAsia"/>
                      <w:lang w:val="en-US" w:eastAsia="zh-CN"/>
                    </w:rPr>
                    <w:t>废弃的原料包装袋</w:t>
                  </w:r>
                </w:p>
              </w:tc>
              <w:tc>
                <w:tcPr>
                  <w:tcW w:w="610" w:type="pct"/>
                  <w:vMerge w:val="continue"/>
                  <w:shd w:val="clear" w:color="auto" w:fill="auto"/>
                  <w:noWrap w:val="0"/>
                  <w:vAlign w:val="center"/>
                </w:tcPr>
                <w:p>
                  <w:pPr>
                    <w:pStyle w:val="66"/>
                    <w:bidi w:val="0"/>
                    <w:rPr>
                      <w:rFonts w:hint="eastAsia"/>
                      <w:lang w:val="en-US" w:eastAsia="zh-CN"/>
                    </w:rPr>
                  </w:pPr>
                </w:p>
              </w:tc>
              <w:tc>
                <w:tcPr>
                  <w:tcW w:w="855" w:type="pct"/>
                  <w:vMerge w:val="continue"/>
                  <w:shd w:val="clear" w:color="auto" w:fill="auto"/>
                  <w:noWrap w:val="0"/>
                  <w:vAlign w:val="center"/>
                </w:tcPr>
                <w:p>
                  <w:pPr>
                    <w:pStyle w:val="66"/>
                    <w:bidi w:val="0"/>
                    <w:rPr>
                      <w:rFonts w:hint="default"/>
                      <w:lang w:val="en-US" w:eastAsia="zh-CN"/>
                    </w:rPr>
                  </w:pPr>
                </w:p>
              </w:tc>
              <w:tc>
                <w:tcPr>
                  <w:tcW w:w="593" w:type="pct"/>
                  <w:shd w:val="clear" w:color="auto" w:fill="auto"/>
                  <w:noWrap w:val="0"/>
                  <w:vAlign w:val="center"/>
                </w:tcPr>
                <w:p>
                  <w:pPr>
                    <w:pStyle w:val="66"/>
                    <w:bidi w:val="0"/>
                    <w:rPr>
                      <w:rFonts w:hint="default"/>
                      <w:lang w:val="en-US" w:eastAsia="zh-CN"/>
                    </w:rPr>
                  </w:pPr>
                  <w:r>
                    <w:rPr>
                      <w:rFonts w:hint="eastAsia"/>
                      <w:lang w:val="en-US" w:eastAsia="zh-CN"/>
                    </w:rPr>
                    <w:t>2</w:t>
                  </w:r>
                </w:p>
              </w:tc>
              <w:tc>
                <w:tcPr>
                  <w:tcW w:w="476" w:type="pct"/>
                  <w:shd w:val="clear" w:color="auto" w:fill="auto"/>
                  <w:noWrap w:val="0"/>
                  <w:vAlign w:val="center"/>
                </w:tcPr>
                <w:p>
                  <w:pPr>
                    <w:pStyle w:val="66"/>
                    <w:bidi w:val="0"/>
                    <w:rPr>
                      <w:rFonts w:hint="default"/>
                      <w:lang w:val="en-US" w:eastAsia="zh-CN"/>
                    </w:rPr>
                  </w:pPr>
                  <w:r>
                    <w:rPr>
                      <w:rFonts w:hint="default"/>
                      <w:lang w:val="en-US" w:eastAsia="zh-CN"/>
                    </w:rPr>
                    <w:t>/</w:t>
                  </w:r>
                </w:p>
              </w:tc>
              <w:tc>
                <w:tcPr>
                  <w:tcW w:w="1072" w:type="pct"/>
                  <w:shd w:val="clear" w:color="auto" w:fill="auto"/>
                  <w:noWrap w:val="0"/>
                  <w:vAlign w:val="center"/>
                </w:tcPr>
                <w:p>
                  <w:pPr>
                    <w:pStyle w:val="66"/>
                    <w:bidi w:val="0"/>
                    <w:rPr>
                      <w:rFonts w:hint="eastAsia"/>
                      <w:lang w:val="en-US" w:eastAsia="zh-CN"/>
                    </w:rPr>
                  </w:pPr>
                  <w:r>
                    <w:rPr>
                      <w:rFonts w:hint="eastAsia"/>
                      <w:lang w:val="en-US" w:eastAsia="zh-CN"/>
                    </w:rPr>
                    <w:t>收集后交由供应商回收再利用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continue"/>
                  <w:noWrap w:val="0"/>
                  <w:vAlign w:val="center"/>
                </w:tcPr>
                <w:p>
                  <w:pPr>
                    <w:pStyle w:val="66"/>
                    <w:bidi w:val="0"/>
                    <w:rPr>
                      <w:rFonts w:hint="eastAsia"/>
                      <w:lang w:val="en-US" w:eastAsia="zh-CN"/>
                    </w:rPr>
                  </w:pPr>
                </w:p>
              </w:tc>
              <w:tc>
                <w:tcPr>
                  <w:tcW w:w="915" w:type="pct"/>
                  <w:shd w:val="clear" w:color="auto" w:fill="auto"/>
                  <w:noWrap w:val="0"/>
                  <w:vAlign w:val="center"/>
                </w:tcPr>
                <w:p>
                  <w:pPr>
                    <w:pStyle w:val="70"/>
                    <w:spacing w:beforeLines="0" w:afterLines="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废布袋</w:t>
                  </w:r>
                </w:p>
              </w:tc>
              <w:tc>
                <w:tcPr>
                  <w:tcW w:w="610" w:type="pct"/>
                  <w:shd w:val="clear" w:color="auto" w:fill="auto"/>
                  <w:noWrap w:val="0"/>
                  <w:vAlign w:val="center"/>
                </w:tcPr>
                <w:p>
                  <w:pPr>
                    <w:pStyle w:val="70"/>
                    <w:spacing w:beforeLines="0" w:afterLines="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SW59</w:t>
                  </w:r>
                </w:p>
              </w:tc>
              <w:tc>
                <w:tcPr>
                  <w:tcW w:w="855" w:type="pct"/>
                  <w:shd w:val="clear" w:color="auto" w:fill="auto"/>
                  <w:noWrap w:val="0"/>
                  <w:vAlign w:val="center"/>
                </w:tcPr>
                <w:p>
                  <w:pPr>
                    <w:pStyle w:val="70"/>
                    <w:spacing w:beforeLines="0" w:afterLines="0"/>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900-009-S59</w:t>
                  </w:r>
                </w:p>
              </w:tc>
              <w:tc>
                <w:tcPr>
                  <w:tcW w:w="593" w:type="pct"/>
                  <w:shd w:val="clear" w:color="auto" w:fill="auto"/>
                  <w:noWrap w:val="0"/>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0.04</w:t>
                  </w:r>
                </w:p>
              </w:tc>
              <w:tc>
                <w:tcPr>
                  <w:tcW w:w="476" w:type="pct"/>
                  <w:shd w:val="clear" w:color="auto" w:fill="auto"/>
                  <w:noWrap w:val="0"/>
                  <w:vAlign w:val="center"/>
                </w:tcPr>
                <w:p>
                  <w:pPr>
                    <w:pStyle w:val="66"/>
                    <w:bidi w:val="0"/>
                    <w:rPr>
                      <w:rFonts w:hint="default"/>
                      <w:lang w:val="en-US" w:eastAsia="zh-CN"/>
                    </w:rPr>
                  </w:pPr>
                  <w:r>
                    <w:rPr>
                      <w:rFonts w:hint="eastAsia"/>
                      <w:lang w:val="en-US" w:eastAsia="zh-CN"/>
                    </w:rPr>
                    <w:t>/</w:t>
                  </w:r>
                </w:p>
              </w:tc>
              <w:tc>
                <w:tcPr>
                  <w:tcW w:w="1072" w:type="pct"/>
                  <w:shd w:val="clear" w:color="auto" w:fill="auto"/>
                  <w:noWrap w:val="0"/>
                  <w:vAlign w:val="center"/>
                </w:tcPr>
                <w:p>
                  <w:pPr>
                    <w:pStyle w:val="66"/>
                    <w:bidi w:val="0"/>
                    <w:rPr>
                      <w:rFonts w:hint="eastAsia"/>
                      <w:lang w:val="en-US" w:eastAsia="zh-CN"/>
                    </w:rPr>
                  </w:pPr>
                  <w:r>
                    <w:rPr>
                      <w:rFonts w:hint="eastAsia"/>
                      <w:sz w:val="21"/>
                      <w:szCs w:val="21"/>
                      <w:lang w:val="en-US" w:eastAsia="zh-CN"/>
                    </w:rPr>
                    <w:t>设备厂家定期更换并回收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restart"/>
                  <w:noWrap w:val="0"/>
                  <w:vAlign w:val="center"/>
                </w:tcPr>
                <w:p>
                  <w:pPr>
                    <w:pStyle w:val="66"/>
                    <w:bidi w:val="0"/>
                    <w:rPr>
                      <w:rFonts w:hint="eastAsia"/>
                      <w:lang w:val="en-US" w:eastAsia="zh-CN"/>
                    </w:rPr>
                  </w:pPr>
                  <w:r>
                    <w:rPr>
                      <w:rFonts w:hint="eastAsia"/>
                      <w:lang w:val="en-US" w:eastAsia="zh-CN"/>
                    </w:rPr>
                    <w:t>危险废物</w:t>
                  </w:r>
                </w:p>
              </w:tc>
              <w:tc>
                <w:tcPr>
                  <w:tcW w:w="915" w:type="pct"/>
                  <w:noWrap w:val="0"/>
                  <w:vAlign w:val="center"/>
                </w:tcPr>
                <w:p>
                  <w:pPr>
                    <w:pStyle w:val="66"/>
                    <w:bidi w:val="0"/>
                    <w:rPr>
                      <w:rFonts w:hint="eastAsia"/>
                      <w:lang w:val="en-US" w:eastAsia="zh-CN"/>
                    </w:rPr>
                  </w:pPr>
                  <w:r>
                    <w:rPr>
                      <w:rFonts w:hint="eastAsia"/>
                      <w:lang w:val="en-US" w:eastAsia="zh-CN"/>
                    </w:rPr>
                    <w:t>废润滑油</w:t>
                  </w:r>
                </w:p>
              </w:tc>
              <w:tc>
                <w:tcPr>
                  <w:tcW w:w="610" w:type="pct"/>
                  <w:noWrap w:val="0"/>
                  <w:vAlign w:val="center"/>
                </w:tcPr>
                <w:p>
                  <w:pPr>
                    <w:pStyle w:val="66"/>
                    <w:bidi w:val="0"/>
                    <w:rPr>
                      <w:rFonts w:hint="default"/>
                      <w:lang w:val="en-US" w:eastAsia="zh-CN"/>
                    </w:rPr>
                  </w:pPr>
                  <w:r>
                    <w:rPr>
                      <w:rFonts w:hint="default"/>
                      <w:lang w:val="en-US" w:eastAsia="zh-CN"/>
                    </w:rPr>
                    <w:t>HW08</w:t>
                  </w:r>
                </w:p>
              </w:tc>
              <w:tc>
                <w:tcPr>
                  <w:tcW w:w="855" w:type="pct"/>
                  <w:noWrap w:val="0"/>
                  <w:vAlign w:val="center"/>
                </w:tcPr>
                <w:p>
                  <w:pPr>
                    <w:pStyle w:val="66"/>
                    <w:bidi w:val="0"/>
                    <w:rPr>
                      <w:rFonts w:hint="default"/>
                      <w:lang w:val="en-US" w:eastAsia="zh-CN"/>
                    </w:rPr>
                  </w:pPr>
                  <w:r>
                    <w:rPr>
                      <w:rFonts w:hint="default"/>
                      <w:lang w:val="en-US" w:eastAsia="zh-CN"/>
                    </w:rPr>
                    <w:t>900-214-08</w:t>
                  </w:r>
                </w:p>
              </w:tc>
              <w:tc>
                <w:tcPr>
                  <w:tcW w:w="593" w:type="pct"/>
                  <w:noWrap w:val="0"/>
                  <w:vAlign w:val="center"/>
                </w:tcPr>
                <w:p>
                  <w:pPr>
                    <w:pStyle w:val="66"/>
                    <w:bidi w:val="0"/>
                    <w:rPr>
                      <w:rFonts w:hint="default"/>
                      <w:lang w:val="en-US" w:eastAsia="zh-CN"/>
                    </w:rPr>
                  </w:pPr>
                  <w:r>
                    <w:rPr>
                      <w:rFonts w:hint="eastAsia"/>
                      <w:lang w:val="en-US" w:eastAsia="zh-CN"/>
                    </w:rPr>
                    <w:t>0.1</w:t>
                  </w:r>
                </w:p>
              </w:tc>
              <w:tc>
                <w:tcPr>
                  <w:tcW w:w="476" w:type="pct"/>
                  <w:noWrap w:val="0"/>
                  <w:vAlign w:val="center"/>
                </w:tcPr>
                <w:p>
                  <w:pPr>
                    <w:pStyle w:val="66"/>
                    <w:bidi w:val="0"/>
                    <w:rPr>
                      <w:rFonts w:hint="default"/>
                      <w:lang w:val="en-US" w:eastAsia="zh-CN"/>
                    </w:rPr>
                  </w:pPr>
                  <w:r>
                    <w:rPr>
                      <w:rFonts w:hint="default"/>
                      <w:lang w:val="en-US" w:eastAsia="zh-CN"/>
                    </w:rPr>
                    <w:t>T，I</w:t>
                  </w:r>
                </w:p>
              </w:tc>
              <w:tc>
                <w:tcPr>
                  <w:tcW w:w="1072" w:type="pct"/>
                  <w:vMerge w:val="restart"/>
                  <w:noWrap w:val="0"/>
                  <w:vAlign w:val="center"/>
                </w:tcPr>
                <w:p>
                  <w:pPr>
                    <w:pStyle w:val="66"/>
                    <w:bidi w:val="0"/>
                    <w:rPr>
                      <w:rFonts w:hint="eastAsia"/>
                      <w:lang w:val="en-US" w:eastAsia="zh-CN"/>
                    </w:rPr>
                  </w:pPr>
                  <w:r>
                    <w:rPr>
                      <w:rFonts w:hint="eastAsia"/>
                      <w:lang w:val="en-US" w:eastAsia="zh-CN"/>
                    </w:rPr>
                    <w:t>暂存于危险废物贮存点处，由有资质单位处理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vMerge w:val="continue"/>
                  <w:noWrap w:val="0"/>
                  <w:vAlign w:val="center"/>
                </w:tcPr>
                <w:p>
                  <w:pPr>
                    <w:pStyle w:val="66"/>
                    <w:bidi w:val="0"/>
                    <w:rPr>
                      <w:rFonts w:hint="eastAsia"/>
                      <w:lang w:val="en-US" w:eastAsia="zh-CN"/>
                    </w:rPr>
                  </w:pPr>
                </w:p>
              </w:tc>
              <w:tc>
                <w:tcPr>
                  <w:tcW w:w="915" w:type="pct"/>
                  <w:noWrap w:val="0"/>
                  <w:vAlign w:val="center"/>
                </w:tcPr>
                <w:p>
                  <w:pPr>
                    <w:pStyle w:val="66"/>
                    <w:bidi w:val="0"/>
                    <w:rPr>
                      <w:rFonts w:hint="default"/>
                      <w:lang w:val="en-US" w:eastAsia="zh-CN"/>
                    </w:rPr>
                  </w:pPr>
                  <w:r>
                    <w:rPr>
                      <w:rFonts w:hint="eastAsia"/>
                      <w:lang w:val="en-US" w:eastAsia="zh-CN"/>
                    </w:rPr>
                    <w:t>废润滑油桶</w:t>
                  </w:r>
                </w:p>
              </w:tc>
              <w:tc>
                <w:tcPr>
                  <w:tcW w:w="610" w:type="pct"/>
                  <w:shd w:val="clear" w:color="auto" w:fill="auto"/>
                  <w:noWrap w:val="0"/>
                  <w:vAlign w:val="center"/>
                </w:tcPr>
                <w:p>
                  <w:pPr>
                    <w:pStyle w:val="66"/>
                    <w:bidi w:val="0"/>
                    <w:rPr>
                      <w:rFonts w:hint="default" w:ascii="Times New Roman" w:hAnsi="Times New Roman" w:eastAsia="宋体" w:cs="宋体"/>
                      <w:kern w:val="0"/>
                      <w:sz w:val="21"/>
                      <w:szCs w:val="21"/>
                      <w:lang w:val="en-US" w:eastAsia="zh-CN" w:bidi="ar-SA"/>
                    </w:rPr>
                  </w:pPr>
                  <w:r>
                    <w:rPr>
                      <w:rFonts w:hint="default"/>
                      <w:lang w:val="en-US" w:eastAsia="zh-CN"/>
                    </w:rPr>
                    <w:t>HW08</w:t>
                  </w:r>
                </w:p>
              </w:tc>
              <w:tc>
                <w:tcPr>
                  <w:tcW w:w="855" w:type="pct"/>
                  <w:shd w:val="clear" w:color="auto" w:fill="auto"/>
                  <w:noWrap w:val="0"/>
                  <w:vAlign w:val="center"/>
                </w:tcPr>
                <w:p>
                  <w:pPr>
                    <w:pStyle w:val="66"/>
                    <w:bidi w:val="0"/>
                    <w:rPr>
                      <w:rFonts w:hint="default" w:ascii="Times New Roman" w:hAnsi="Times New Roman" w:eastAsia="宋体" w:cs="宋体"/>
                      <w:kern w:val="0"/>
                      <w:sz w:val="21"/>
                      <w:szCs w:val="21"/>
                      <w:lang w:val="en-US" w:eastAsia="zh-CN" w:bidi="ar-SA"/>
                    </w:rPr>
                  </w:pPr>
                  <w:r>
                    <w:rPr>
                      <w:rFonts w:hint="default"/>
                      <w:lang w:val="en-US" w:eastAsia="zh-CN"/>
                    </w:rPr>
                    <w:t>900-</w:t>
                  </w:r>
                  <w:r>
                    <w:rPr>
                      <w:rFonts w:hint="eastAsia"/>
                      <w:lang w:val="en-US" w:eastAsia="zh-CN"/>
                    </w:rPr>
                    <w:t>249</w:t>
                  </w:r>
                  <w:r>
                    <w:rPr>
                      <w:rFonts w:hint="default"/>
                      <w:lang w:val="en-US" w:eastAsia="zh-CN"/>
                    </w:rPr>
                    <w:t>-08</w:t>
                  </w:r>
                </w:p>
              </w:tc>
              <w:tc>
                <w:tcPr>
                  <w:tcW w:w="593" w:type="pct"/>
                  <w:shd w:val="clear" w:color="auto" w:fill="auto"/>
                  <w:noWrap w:val="0"/>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0.01</w:t>
                  </w:r>
                </w:p>
              </w:tc>
              <w:tc>
                <w:tcPr>
                  <w:tcW w:w="476" w:type="pct"/>
                  <w:noWrap w:val="0"/>
                  <w:vAlign w:val="center"/>
                </w:tcPr>
                <w:p>
                  <w:pPr>
                    <w:pStyle w:val="66"/>
                    <w:bidi w:val="0"/>
                    <w:rPr>
                      <w:rFonts w:hint="default"/>
                      <w:lang w:val="en-US" w:eastAsia="zh-CN"/>
                    </w:rPr>
                  </w:pPr>
                  <w:r>
                    <w:rPr>
                      <w:rFonts w:hint="default"/>
                      <w:lang w:val="en-US" w:eastAsia="zh-CN"/>
                    </w:rPr>
                    <w:t>T，I</w:t>
                  </w:r>
                </w:p>
              </w:tc>
              <w:tc>
                <w:tcPr>
                  <w:tcW w:w="1072" w:type="pct"/>
                  <w:vMerge w:val="continue"/>
                  <w:noWrap w:val="0"/>
                  <w:vAlign w:val="center"/>
                </w:tcPr>
                <w:p>
                  <w:pPr>
                    <w:pStyle w:val="66"/>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noWrap w:val="0"/>
                  <w:vAlign w:val="center"/>
                </w:tcPr>
                <w:p>
                  <w:pPr>
                    <w:pStyle w:val="66"/>
                    <w:bidi w:val="0"/>
                    <w:rPr>
                      <w:rFonts w:hint="default"/>
                      <w:lang w:val="en-US" w:eastAsia="zh-CN"/>
                    </w:rPr>
                  </w:pPr>
                  <w:r>
                    <w:rPr>
                      <w:rFonts w:hint="eastAsia"/>
                      <w:lang w:val="en-US" w:eastAsia="zh-CN"/>
                    </w:rPr>
                    <w:t>生活垃圾</w:t>
                  </w:r>
                </w:p>
              </w:tc>
              <w:tc>
                <w:tcPr>
                  <w:tcW w:w="915" w:type="pct"/>
                  <w:noWrap w:val="0"/>
                  <w:vAlign w:val="center"/>
                </w:tcPr>
                <w:p>
                  <w:pPr>
                    <w:pStyle w:val="66"/>
                    <w:bidi w:val="0"/>
                    <w:rPr>
                      <w:rFonts w:hint="default"/>
                      <w:lang w:val="en-US" w:eastAsia="zh-CN"/>
                    </w:rPr>
                  </w:pPr>
                  <w:r>
                    <w:rPr>
                      <w:rFonts w:hint="eastAsia"/>
                      <w:lang w:val="en-US" w:eastAsia="zh-CN"/>
                    </w:rPr>
                    <w:t>生活垃圾</w:t>
                  </w:r>
                </w:p>
              </w:tc>
              <w:tc>
                <w:tcPr>
                  <w:tcW w:w="610" w:type="pct"/>
                  <w:noWrap w:val="0"/>
                  <w:vAlign w:val="center"/>
                </w:tcPr>
                <w:p>
                  <w:pPr>
                    <w:pStyle w:val="66"/>
                    <w:bidi w:val="0"/>
                    <w:rPr>
                      <w:rFonts w:hint="eastAsia"/>
                      <w:lang w:val="en-US" w:eastAsia="zh-CN"/>
                    </w:rPr>
                  </w:pPr>
                  <w:r>
                    <w:rPr>
                      <w:rFonts w:hint="eastAsia"/>
                      <w:lang w:val="en-US" w:eastAsia="zh-CN"/>
                    </w:rPr>
                    <w:t>SW61</w:t>
                  </w:r>
                </w:p>
                <w:p>
                  <w:pPr>
                    <w:pStyle w:val="66"/>
                    <w:bidi w:val="0"/>
                    <w:rPr>
                      <w:rFonts w:hint="eastAsia"/>
                      <w:lang w:val="en-US" w:eastAsia="zh-CN"/>
                    </w:rPr>
                  </w:pPr>
                  <w:r>
                    <w:rPr>
                      <w:rFonts w:hint="eastAsia"/>
                      <w:lang w:val="en-US" w:eastAsia="zh-CN"/>
                    </w:rPr>
                    <w:t>SW62</w:t>
                  </w:r>
                </w:p>
              </w:tc>
              <w:tc>
                <w:tcPr>
                  <w:tcW w:w="855" w:type="pct"/>
                  <w:noWrap w:val="0"/>
                  <w:vAlign w:val="center"/>
                </w:tcPr>
                <w:p>
                  <w:pPr>
                    <w:pStyle w:val="66"/>
                    <w:bidi w:val="0"/>
                    <w:rPr>
                      <w:rFonts w:hint="eastAsia"/>
                      <w:lang w:val="en-US" w:eastAsia="zh-CN"/>
                    </w:rPr>
                  </w:pPr>
                  <w:r>
                    <w:rPr>
                      <w:rFonts w:hint="eastAsia"/>
                      <w:lang w:val="en-US" w:eastAsia="zh-CN"/>
                    </w:rPr>
                    <w:t>900-001-S61</w:t>
                  </w:r>
                </w:p>
                <w:p>
                  <w:pPr>
                    <w:pStyle w:val="66"/>
                    <w:bidi w:val="0"/>
                    <w:rPr>
                      <w:rFonts w:hint="eastAsia"/>
                      <w:lang w:val="en-US" w:eastAsia="zh-CN"/>
                    </w:rPr>
                  </w:pPr>
                  <w:r>
                    <w:rPr>
                      <w:rFonts w:hint="eastAsia"/>
                      <w:lang w:val="en-US" w:eastAsia="zh-CN"/>
                    </w:rPr>
                    <w:t>900-001-S62</w:t>
                  </w:r>
                </w:p>
                <w:p>
                  <w:pPr>
                    <w:pStyle w:val="66"/>
                    <w:bidi w:val="0"/>
                    <w:rPr>
                      <w:rFonts w:hint="eastAsia"/>
                      <w:lang w:val="en-US" w:eastAsia="zh-CN"/>
                    </w:rPr>
                  </w:pPr>
                  <w:r>
                    <w:rPr>
                      <w:rFonts w:hint="eastAsia"/>
                      <w:lang w:val="en-US" w:eastAsia="zh-CN"/>
                    </w:rPr>
                    <w:t>900-002-S62</w:t>
                  </w:r>
                </w:p>
              </w:tc>
              <w:tc>
                <w:tcPr>
                  <w:tcW w:w="593" w:type="pct"/>
                  <w:noWrap w:val="0"/>
                  <w:vAlign w:val="center"/>
                </w:tcPr>
                <w:p>
                  <w:pPr>
                    <w:pStyle w:val="66"/>
                    <w:bidi w:val="0"/>
                    <w:rPr>
                      <w:rFonts w:hint="default"/>
                      <w:lang w:val="en-US" w:eastAsia="zh-CN"/>
                    </w:rPr>
                  </w:pPr>
                  <w:r>
                    <w:rPr>
                      <w:rFonts w:hint="eastAsia"/>
                      <w:lang w:val="en-US" w:eastAsia="zh-CN"/>
                    </w:rPr>
                    <w:t>4.5</w:t>
                  </w:r>
                </w:p>
              </w:tc>
              <w:tc>
                <w:tcPr>
                  <w:tcW w:w="476" w:type="pct"/>
                  <w:noWrap w:val="0"/>
                  <w:vAlign w:val="center"/>
                </w:tcPr>
                <w:p>
                  <w:pPr>
                    <w:pStyle w:val="66"/>
                    <w:bidi w:val="0"/>
                    <w:rPr>
                      <w:rFonts w:hint="default"/>
                      <w:lang w:val="en-US" w:eastAsia="zh-CN"/>
                    </w:rPr>
                  </w:pPr>
                  <w:r>
                    <w:rPr>
                      <w:rFonts w:hint="default"/>
                      <w:lang w:val="en-US" w:eastAsia="zh-CN"/>
                    </w:rPr>
                    <w:t>/</w:t>
                  </w:r>
                </w:p>
              </w:tc>
              <w:tc>
                <w:tcPr>
                  <w:tcW w:w="1072" w:type="pct"/>
                  <w:noWrap w:val="0"/>
                  <w:vAlign w:val="center"/>
                </w:tcPr>
                <w:p>
                  <w:pPr>
                    <w:pStyle w:val="66"/>
                    <w:bidi w:val="0"/>
                    <w:rPr>
                      <w:rFonts w:hint="eastAsia"/>
                      <w:lang w:val="en-US" w:eastAsia="zh-CN"/>
                    </w:rPr>
                  </w:pPr>
                  <w:r>
                    <w:rPr>
                      <w:rFonts w:hint="eastAsia"/>
                      <w:lang w:val="en-US" w:eastAsia="zh-CN"/>
                    </w:rPr>
                    <w:t>交环卫部门定时清运处理</w:t>
                  </w:r>
                </w:p>
              </w:tc>
            </w:tr>
          </w:tbl>
          <w:p>
            <w:pPr>
              <w:pStyle w:val="68"/>
              <w:bidi w:val="0"/>
              <w:rPr>
                <w:rFonts w:hint="default"/>
              </w:rPr>
            </w:pPr>
            <w:r>
              <w:rPr>
                <w:rFonts w:hint="default"/>
              </w:rPr>
              <w:t>综上所述，本项目</w:t>
            </w:r>
            <w:r>
              <w:rPr>
                <w:rFonts w:hint="eastAsia"/>
                <w:lang w:eastAsia="zh-CN"/>
              </w:rPr>
              <w:t>固体废物</w:t>
            </w:r>
            <w:r>
              <w:rPr>
                <w:rFonts w:hint="default"/>
              </w:rPr>
              <w:t>得到</w:t>
            </w:r>
            <w:r>
              <w:rPr>
                <w:rFonts w:hint="eastAsia"/>
                <w:lang w:eastAsia="zh-CN"/>
              </w:rPr>
              <w:t>有效</w:t>
            </w:r>
            <w:r>
              <w:rPr>
                <w:rFonts w:hint="default"/>
              </w:rPr>
              <w:t>处置，对周围环境影响较小。</w:t>
            </w:r>
          </w:p>
          <w:p>
            <w:pPr>
              <w:pStyle w:val="67"/>
              <w:bidi w:val="0"/>
              <w:rPr>
                <w:rFonts w:hint="eastAsia"/>
                <w:lang w:val="en-US" w:eastAsia="zh-CN"/>
              </w:rPr>
            </w:pPr>
            <w:r>
              <w:rPr>
                <w:rFonts w:hint="eastAsia"/>
                <w:lang w:val="en-US" w:eastAsia="zh-CN"/>
              </w:rPr>
              <w:t>4.2危险固废包装及储存场所环境影响分析</w:t>
            </w:r>
          </w:p>
          <w:p>
            <w:pPr>
              <w:pStyle w:val="68"/>
              <w:bidi w:val="0"/>
              <w:rPr>
                <w:rFonts w:hint="eastAsia"/>
                <w:lang w:val="en-US" w:eastAsia="zh-CN"/>
              </w:rPr>
            </w:pPr>
            <w:r>
              <w:rPr>
                <w:rFonts w:hint="eastAsia"/>
                <w:lang w:val="en-US" w:eastAsia="zh-CN"/>
              </w:rPr>
              <w:t>厂区拟建一座10m</w:t>
            </w:r>
            <w:r>
              <w:rPr>
                <w:rFonts w:hint="eastAsia"/>
                <w:vertAlign w:val="superscript"/>
                <w:lang w:val="en-US" w:eastAsia="zh-CN"/>
              </w:rPr>
              <w:t>2</w:t>
            </w:r>
            <w:r>
              <w:rPr>
                <w:rFonts w:hint="eastAsia"/>
                <w:lang w:val="en-US" w:eastAsia="zh-CN"/>
              </w:rPr>
              <w:t>危险废物贮存点用于危险废物的收集暂存。厂区产生的固体废物将按环评提出的污染防治措施进行收集、暂存、处置或利用。</w:t>
            </w:r>
          </w:p>
          <w:p>
            <w:pPr>
              <w:pStyle w:val="68"/>
              <w:bidi w:val="0"/>
              <w:rPr>
                <w:rFonts w:hint="eastAsia"/>
                <w:lang w:val="en-US" w:eastAsia="zh-CN"/>
              </w:rPr>
            </w:pPr>
            <w:r>
              <w:rPr>
                <w:rFonts w:hint="eastAsia"/>
                <w:lang w:val="en-US" w:eastAsia="zh-CN"/>
              </w:rPr>
              <w:t>根据《危险废物贮存污染控制标准》（GB18597-2023）中3.8可知，贮存点的定义为“HJ1259 规定的纳入危险废物登记管理单位的，用于同一生产经营场所专门贮存危险废物的场所;或产生危险废物的单位设置于生产线附近，用于暂时贮存以便于中转其产生的危险废物的场所”。由6.2.3可知，贮存易产生粉尘、VOCs、酸雾、有毒有害大气污染物和刺激性气味气体的危险废物贮存库，应设置气体收集装置和气体净化设施；气体净化设施的排气筒高度应符合GB16297要求。</w:t>
            </w:r>
          </w:p>
          <w:p>
            <w:pPr>
              <w:pStyle w:val="68"/>
              <w:bidi w:val="0"/>
              <w:rPr>
                <w:rFonts w:hint="eastAsia"/>
                <w:lang w:val="en-US" w:eastAsia="zh-CN"/>
              </w:rPr>
            </w:pPr>
            <w:r>
              <w:rPr>
                <w:rFonts w:hint="eastAsia"/>
                <w:lang w:val="en-US" w:eastAsia="zh-CN"/>
              </w:rPr>
              <w:t>综上，本项目设置的危险废物贮存设施为一个贮存点，并非贮存库，因此无须设置废气处理设施。</w:t>
            </w:r>
          </w:p>
          <w:p>
            <w:pPr>
              <w:pStyle w:val="68"/>
              <w:bidi w:val="0"/>
              <w:rPr>
                <w:rFonts w:hint="eastAsia"/>
                <w:lang w:val="en-US" w:eastAsia="zh-CN"/>
              </w:rPr>
            </w:pPr>
            <w:r>
              <w:rPr>
                <w:rFonts w:hint="eastAsia"/>
                <w:lang w:val="en-US" w:eastAsia="zh-CN"/>
              </w:rPr>
              <w:t>（1）贮存点环境管理要求</w:t>
            </w:r>
          </w:p>
          <w:p>
            <w:pPr>
              <w:pStyle w:val="68"/>
              <w:bidi w:val="0"/>
              <w:rPr>
                <w:rFonts w:hint="default"/>
                <w:lang w:val="en-US" w:eastAsia="zh-CN"/>
              </w:rPr>
            </w:pPr>
            <w:r>
              <w:rPr>
                <w:rFonts w:hint="default"/>
                <w:lang w:val="en-US" w:eastAsia="zh-CN"/>
              </w:rPr>
              <w:t>①贮存点应具有固定的区域边界，并应采取与其他区域进行隔离的措施。</w:t>
            </w:r>
          </w:p>
          <w:p>
            <w:pPr>
              <w:pStyle w:val="68"/>
              <w:bidi w:val="0"/>
              <w:rPr>
                <w:rFonts w:hint="default"/>
                <w:lang w:val="en-US" w:eastAsia="zh-CN"/>
              </w:rPr>
            </w:pPr>
            <w:r>
              <w:rPr>
                <w:rFonts w:hint="default"/>
                <w:lang w:val="en-US" w:eastAsia="zh-CN"/>
              </w:rPr>
              <w:t>②贮存点应采取防风、防雨、防晒和防止危险废物流失、扬散等措施</w:t>
            </w:r>
            <w:r>
              <w:rPr>
                <w:rFonts w:hint="eastAsia"/>
                <w:lang w:val="en-US" w:eastAsia="zh-CN"/>
              </w:rPr>
              <w:t>。</w:t>
            </w:r>
          </w:p>
          <w:p>
            <w:pPr>
              <w:pStyle w:val="68"/>
              <w:bidi w:val="0"/>
              <w:rPr>
                <w:rFonts w:hint="default"/>
                <w:lang w:val="en-US" w:eastAsia="zh-CN"/>
              </w:rPr>
            </w:pPr>
            <w:r>
              <w:rPr>
                <w:rFonts w:hint="default"/>
                <w:lang w:val="en-US" w:eastAsia="zh-CN"/>
              </w:rPr>
              <w:t>③贮存点贮存的危险废物应置于容器或包装物中，不应直接散堆。</w:t>
            </w:r>
          </w:p>
          <w:p>
            <w:pPr>
              <w:pStyle w:val="68"/>
              <w:bidi w:val="0"/>
              <w:rPr>
                <w:rFonts w:hint="eastAsia"/>
                <w:lang w:val="en-US" w:eastAsia="zh-CN"/>
              </w:rPr>
            </w:pPr>
            <w:r>
              <w:rPr>
                <w:rFonts w:hint="eastAsia"/>
                <w:lang w:val="en-US" w:eastAsia="zh-CN"/>
              </w:rPr>
              <w:t>④贮存点应根据危险废物的形态、物理化学性质、包装形式等，采取防渗、防漏等污染防治措施或采用具有相应功能的装置。</w:t>
            </w:r>
          </w:p>
          <w:p>
            <w:pPr>
              <w:pStyle w:val="68"/>
              <w:bidi w:val="0"/>
              <w:rPr>
                <w:rFonts w:hint="default"/>
                <w:lang w:val="en-US" w:eastAsia="zh-CN"/>
              </w:rPr>
            </w:pPr>
            <w:r>
              <w:rPr>
                <w:rFonts w:hint="eastAsia"/>
                <w:lang w:val="en-US" w:eastAsia="zh-CN"/>
              </w:rPr>
              <w:t>⑤贮存点应及时清运贮存的危险废物，实时贮存量不应超过3吨。</w:t>
            </w:r>
          </w:p>
          <w:p>
            <w:pPr>
              <w:pStyle w:val="68"/>
              <w:bidi w:val="0"/>
              <w:rPr>
                <w:rFonts w:hint="default"/>
                <w:lang w:val="en-US" w:eastAsia="zh-CN"/>
              </w:rPr>
            </w:pPr>
            <w:r>
              <w:rPr>
                <w:rFonts w:hint="eastAsia"/>
                <w:lang w:val="en-US" w:eastAsia="zh-CN"/>
              </w:rPr>
              <w:t>（2）贮存设施污染控制要求</w:t>
            </w:r>
          </w:p>
          <w:p>
            <w:pPr>
              <w:pStyle w:val="68"/>
              <w:bidi w:val="0"/>
              <w:rPr>
                <w:rFonts w:hint="default"/>
                <w:lang w:val="en-US" w:eastAsia="zh-CN"/>
              </w:rPr>
            </w:pPr>
            <w:r>
              <w:rPr>
                <w:rFonts w:hint="default"/>
                <w:lang w:val="en-US" w:eastAsia="zh-CN"/>
              </w:rPr>
              <w:t>①贮存设施应根据危险废物的形态、物理化学性质、包装形式和污染物迁移途径，采取必要的防风、防晒、防雨、防漏、防渗、防腐以及其他环境污染防治措施，不应露天堆放危险废物。</w:t>
            </w:r>
          </w:p>
          <w:p>
            <w:pPr>
              <w:pStyle w:val="68"/>
              <w:bidi w:val="0"/>
              <w:rPr>
                <w:rFonts w:hint="default"/>
                <w:lang w:val="en-US" w:eastAsia="zh-CN"/>
              </w:rPr>
            </w:pPr>
            <w:r>
              <w:rPr>
                <w:rFonts w:hint="default"/>
                <w:lang w:val="en-US" w:eastAsia="zh-CN"/>
              </w:rPr>
              <w:t>②贮存设施应根据危险废物的类别、数量、形态、物理化学性质和污染防治等要求设置必要的贮存分区，避免不相容的危险废物接触、混合。</w:t>
            </w:r>
          </w:p>
          <w:p>
            <w:pPr>
              <w:pStyle w:val="68"/>
              <w:bidi w:val="0"/>
              <w:rPr>
                <w:rFonts w:hint="default"/>
                <w:lang w:val="en-US" w:eastAsia="zh-CN"/>
              </w:rPr>
            </w:pPr>
            <w:r>
              <w:rPr>
                <w:rFonts w:hint="default"/>
                <w:lang w:val="en-US" w:eastAsia="zh-CN"/>
              </w:rPr>
              <w:t>③贮存设施或贮存分区内地面、墙面裙脚、堵截泄漏的围堰、接触危险废物的隔板和墙体等应采用坚固的材料建造，表面无裂缝。</w:t>
            </w:r>
          </w:p>
          <w:p>
            <w:pPr>
              <w:pStyle w:val="68"/>
              <w:bidi w:val="0"/>
              <w:rPr>
                <w:rFonts w:hint="eastAsia"/>
                <w:lang w:val="en-US" w:eastAsia="zh-CN"/>
              </w:rPr>
            </w:pPr>
            <w:r>
              <w:rPr>
                <w:rFonts w:hint="eastAsia"/>
                <w:lang w:val="en-US" w:eastAsia="zh-CN"/>
              </w:rPr>
              <w:t>④贮存设施地面与裙角应采取表面防渗措施，即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vertAlign w:val="superscript"/>
                <w:lang w:val="en-US" w:eastAsia="zh-CN"/>
              </w:rPr>
              <w:t>-7</w:t>
            </w:r>
            <w:r>
              <w:rPr>
                <w:rFonts w:hint="eastAsia"/>
                <w:lang w:val="en-US" w:eastAsia="zh-CN"/>
              </w:rPr>
              <w:t>cm/s)，或至少2mm厚高密度聚乙烯膜等人工防渗材料(渗透系数不大于10</w:t>
            </w:r>
            <w:r>
              <w:rPr>
                <w:rFonts w:hint="eastAsia"/>
                <w:vertAlign w:val="superscript"/>
                <w:lang w:val="en-US" w:eastAsia="zh-CN"/>
              </w:rPr>
              <w:t>-10</w:t>
            </w:r>
            <w:r>
              <w:rPr>
                <w:rFonts w:hint="eastAsia"/>
                <w:lang w:val="en-US" w:eastAsia="zh-CN"/>
              </w:rPr>
              <w:t>cm/s)，或其他防渗性能等效的材料。</w:t>
            </w:r>
          </w:p>
          <w:p>
            <w:pPr>
              <w:pStyle w:val="68"/>
              <w:bidi w:val="0"/>
              <w:rPr>
                <w:rFonts w:hint="eastAsia"/>
                <w:lang w:val="en-US" w:eastAsia="zh-CN"/>
              </w:rPr>
            </w:pPr>
            <w:r>
              <w:rPr>
                <w:rFonts w:hint="eastAsia"/>
                <w:lang w:val="en-US" w:eastAsia="zh-CN"/>
              </w:rPr>
              <w:t>⑤同一贮存设施宜采用相同的防渗、防腐工艺（包括防渗、防腐结构或材料），防渗、防腐材料应覆盖所有可能与废物及其渗滤液、渗漏液等接触的构筑物表面；采用不同防渗、防腐工艺应分别建设贮存分区。</w:t>
            </w:r>
          </w:p>
          <w:p>
            <w:pPr>
              <w:widowControl w:val="0"/>
              <w:bidi w:val="0"/>
              <w:spacing w:line="520" w:lineRule="exact"/>
              <w:ind w:firstLine="480" w:firstLineChars="200"/>
              <w:jc w:val="both"/>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w:t>
            </w:r>
            <w:r>
              <w:rPr>
                <w:rFonts w:hint="eastAsia" w:cs="宋体"/>
                <w:kern w:val="2"/>
                <w:sz w:val="24"/>
                <w:szCs w:val="24"/>
                <w:highlight w:val="none"/>
                <w:lang w:val="en-US" w:eastAsia="zh-CN" w:bidi="ar-SA"/>
              </w:rPr>
              <w:t>3</w:t>
            </w:r>
            <w:r>
              <w:rPr>
                <w:rFonts w:hint="eastAsia" w:ascii="Times New Roman" w:hAnsi="Times New Roman" w:eastAsia="宋体" w:cs="宋体"/>
                <w:kern w:val="2"/>
                <w:sz w:val="24"/>
                <w:szCs w:val="24"/>
                <w:highlight w:val="none"/>
                <w:lang w:val="en-US" w:eastAsia="zh-CN" w:bidi="ar-SA"/>
              </w:rPr>
              <w:t>）危险废物运输措施</w:t>
            </w:r>
          </w:p>
          <w:p>
            <w:pPr>
              <w:widowControl w:val="0"/>
              <w:bidi w:val="0"/>
              <w:spacing w:line="520" w:lineRule="exact"/>
              <w:ind w:firstLine="480" w:firstLineChars="200"/>
              <w:jc w:val="both"/>
              <w:rPr>
                <w:rFonts w:hint="default" w:ascii="Times New Roman" w:hAnsi="Times New Roman" w:eastAsia="宋体" w:cs="宋体"/>
                <w:kern w:val="2"/>
                <w:sz w:val="24"/>
                <w:szCs w:val="24"/>
                <w:highlight w:val="none"/>
                <w:lang w:val="en-US" w:eastAsia="zh-CN" w:bidi="ar-SA"/>
              </w:rPr>
            </w:pPr>
            <w:r>
              <w:rPr>
                <w:rFonts w:hint="default" w:ascii="Times New Roman" w:hAnsi="Times New Roman" w:eastAsia="宋体" w:cs="宋体"/>
                <w:kern w:val="2"/>
                <w:sz w:val="24"/>
                <w:szCs w:val="24"/>
                <w:highlight w:val="none"/>
                <w:lang w:val="en-US" w:eastAsia="zh-CN" w:bidi="ar-SA"/>
              </w:rPr>
              <w:t>防止运输过程中危险废物的污染损害是防止危险废物污染损害的主要环节之一。在运输过程中，如果管理不当或未采取适当的污染防治和安全防护措施，则极易造成污染。我国每年都发生危险废物运输事故，并造成了严重的污染危害。因此，必须对危险废物的运输加以控制和管理。运输危险废物，必须同时符合两个要求，一是必须采取防止污染环境的措施，符合环境保护的要求，做到无害化的运输；二是必须将所运输的危险废物作为危险货物对待，遵守国家有关危险货物运输管理的规定，符合危险货物运输的安全防护要求，做到安全运输。具体的防治污染环境的措施有：</w:t>
            </w:r>
          </w:p>
          <w:p>
            <w:pPr>
              <w:widowControl w:val="0"/>
              <w:bidi w:val="0"/>
              <w:spacing w:line="520" w:lineRule="exact"/>
              <w:ind w:firstLine="480" w:firstLineChars="200"/>
              <w:jc w:val="both"/>
              <w:rPr>
                <w:rFonts w:hint="default" w:ascii="Times New Roman" w:hAnsi="Times New Roman" w:eastAsia="宋体" w:cs="宋体"/>
                <w:kern w:val="2"/>
                <w:sz w:val="24"/>
                <w:szCs w:val="24"/>
                <w:highlight w:val="none"/>
                <w:lang w:val="en-US" w:eastAsia="zh-CN" w:bidi="ar-SA"/>
              </w:rPr>
            </w:pPr>
            <w:r>
              <w:rPr>
                <w:rFonts w:hint="default" w:ascii="Times New Roman" w:hAnsi="Times New Roman" w:eastAsia="宋体" w:cs="宋体"/>
                <w:kern w:val="2"/>
                <w:sz w:val="24"/>
                <w:szCs w:val="24"/>
                <w:highlight w:val="none"/>
                <w:lang w:val="en-US" w:eastAsia="zh-CN" w:bidi="ar-SA"/>
              </w:rPr>
              <w:t>①对运输危险废物的设施和设备应当加强管理和维护，保证其正常运行和使用</w:t>
            </w:r>
            <w:r>
              <w:rPr>
                <w:rFonts w:hint="eastAsia" w:ascii="Times New Roman" w:hAnsi="Times New Roman" w:eastAsia="宋体" w:cs="宋体"/>
                <w:kern w:val="2"/>
                <w:sz w:val="24"/>
                <w:szCs w:val="24"/>
                <w:highlight w:val="none"/>
                <w:lang w:val="en-US" w:eastAsia="zh-CN" w:bidi="ar-SA"/>
              </w:rPr>
              <w:t>。</w:t>
            </w:r>
          </w:p>
          <w:p>
            <w:pPr>
              <w:widowControl w:val="0"/>
              <w:bidi w:val="0"/>
              <w:spacing w:line="520" w:lineRule="exact"/>
              <w:ind w:firstLine="480" w:firstLineChars="200"/>
              <w:jc w:val="both"/>
              <w:rPr>
                <w:rFonts w:hint="default" w:ascii="Times New Roman" w:hAnsi="Times New Roman" w:eastAsia="宋体" w:cs="宋体"/>
                <w:kern w:val="2"/>
                <w:sz w:val="24"/>
                <w:szCs w:val="24"/>
                <w:highlight w:val="none"/>
                <w:lang w:val="en-US" w:eastAsia="zh-CN" w:bidi="ar-SA"/>
              </w:rPr>
            </w:pPr>
            <w:r>
              <w:rPr>
                <w:rFonts w:hint="default" w:ascii="Times New Roman" w:hAnsi="Times New Roman" w:eastAsia="宋体" w:cs="宋体"/>
                <w:kern w:val="2"/>
                <w:sz w:val="24"/>
                <w:szCs w:val="24"/>
                <w:highlight w:val="none"/>
                <w:lang w:val="en-US" w:eastAsia="zh-CN" w:bidi="ar-SA"/>
              </w:rPr>
              <w:t>②不能混合运输性质不相容而又未经安全性处置的危险废物</w:t>
            </w:r>
            <w:r>
              <w:rPr>
                <w:rFonts w:hint="eastAsia" w:ascii="Times New Roman" w:hAnsi="Times New Roman" w:eastAsia="宋体" w:cs="宋体"/>
                <w:kern w:val="2"/>
                <w:sz w:val="24"/>
                <w:szCs w:val="24"/>
                <w:highlight w:val="none"/>
                <w:lang w:val="en-US" w:eastAsia="zh-CN" w:bidi="ar-SA"/>
              </w:rPr>
              <w:t>。</w:t>
            </w:r>
          </w:p>
          <w:p>
            <w:pPr>
              <w:widowControl w:val="0"/>
              <w:bidi w:val="0"/>
              <w:spacing w:line="520" w:lineRule="exact"/>
              <w:ind w:firstLine="480" w:firstLineChars="200"/>
              <w:jc w:val="both"/>
              <w:rPr>
                <w:rFonts w:hint="default" w:ascii="Times New Roman" w:hAnsi="Times New Roman" w:eastAsia="宋体" w:cs="宋体"/>
                <w:kern w:val="2"/>
                <w:sz w:val="24"/>
                <w:szCs w:val="24"/>
                <w:highlight w:val="none"/>
                <w:lang w:val="en-US" w:eastAsia="zh-CN" w:bidi="ar-SA"/>
              </w:rPr>
            </w:pPr>
            <w:r>
              <w:rPr>
                <w:rFonts w:hint="default" w:ascii="Times New Roman" w:hAnsi="Times New Roman" w:eastAsia="宋体" w:cs="宋体"/>
                <w:kern w:val="2"/>
                <w:sz w:val="24"/>
                <w:szCs w:val="24"/>
                <w:highlight w:val="none"/>
                <w:lang w:val="en-US" w:eastAsia="zh-CN" w:bidi="ar-SA"/>
              </w:rPr>
              <w:t>③禁止将危险废物与旅客在同一运输工具上载运</w:t>
            </w:r>
            <w:r>
              <w:rPr>
                <w:rFonts w:hint="eastAsia" w:ascii="Times New Roman" w:hAnsi="Times New Roman" w:eastAsia="宋体" w:cs="宋体"/>
                <w:kern w:val="2"/>
                <w:sz w:val="24"/>
                <w:szCs w:val="24"/>
                <w:highlight w:val="none"/>
                <w:lang w:val="en-US" w:eastAsia="zh-CN" w:bidi="ar-SA"/>
              </w:rPr>
              <w:t>。</w:t>
            </w:r>
          </w:p>
          <w:p>
            <w:pPr>
              <w:widowControl w:val="0"/>
              <w:bidi w:val="0"/>
              <w:spacing w:line="520" w:lineRule="exact"/>
              <w:ind w:firstLine="480" w:firstLineChars="200"/>
              <w:jc w:val="both"/>
              <w:rPr>
                <w:rFonts w:hint="default" w:ascii="Times New Roman" w:hAnsi="Times New Roman" w:eastAsia="宋体" w:cs="宋体"/>
                <w:kern w:val="2"/>
                <w:sz w:val="24"/>
                <w:szCs w:val="24"/>
                <w:highlight w:val="none"/>
                <w:lang w:val="en-US" w:eastAsia="zh-CN" w:bidi="ar-SA"/>
              </w:rPr>
            </w:pPr>
            <w:r>
              <w:rPr>
                <w:rFonts w:hint="default" w:ascii="Times New Roman" w:hAnsi="Times New Roman" w:eastAsia="宋体" w:cs="宋体"/>
                <w:kern w:val="2"/>
                <w:sz w:val="24"/>
                <w:szCs w:val="24"/>
                <w:highlight w:val="none"/>
                <w:lang w:val="en-US" w:eastAsia="zh-CN" w:bidi="ar-SA"/>
              </w:rPr>
              <w:t>④运输危险废物的设施和设备在转作他用时，必须经过消除污染的处理，方可使用</w:t>
            </w:r>
            <w:r>
              <w:rPr>
                <w:rFonts w:hint="eastAsia" w:ascii="Times New Roman" w:hAnsi="Times New Roman" w:eastAsia="宋体" w:cs="宋体"/>
                <w:kern w:val="2"/>
                <w:sz w:val="24"/>
                <w:szCs w:val="24"/>
                <w:highlight w:val="none"/>
                <w:lang w:val="en-US" w:eastAsia="zh-CN" w:bidi="ar-SA"/>
              </w:rPr>
              <w:t>。</w:t>
            </w:r>
          </w:p>
          <w:p>
            <w:pPr>
              <w:widowControl w:val="0"/>
              <w:bidi w:val="0"/>
              <w:spacing w:line="520" w:lineRule="exact"/>
              <w:ind w:firstLine="480" w:firstLineChars="200"/>
              <w:jc w:val="both"/>
              <w:rPr>
                <w:rFonts w:hint="default" w:ascii="Times New Roman" w:hAnsi="Times New Roman" w:eastAsia="宋体" w:cs="宋体"/>
                <w:kern w:val="2"/>
                <w:sz w:val="24"/>
                <w:szCs w:val="24"/>
                <w:highlight w:val="none"/>
                <w:lang w:val="en-US" w:eastAsia="zh-CN" w:bidi="ar-SA"/>
              </w:rPr>
            </w:pPr>
            <w:r>
              <w:rPr>
                <w:rFonts w:hint="default" w:ascii="Times New Roman" w:hAnsi="Times New Roman" w:eastAsia="宋体" w:cs="宋体"/>
                <w:kern w:val="2"/>
                <w:sz w:val="24"/>
                <w:szCs w:val="24"/>
                <w:highlight w:val="none"/>
                <w:lang w:val="en-US" w:eastAsia="zh-CN" w:bidi="ar-SA"/>
              </w:rPr>
              <w:t>⑤运输危险废物的人员，应当接受专业培训；经考核合格后，方可从事运输危险废物的工作</w:t>
            </w:r>
            <w:r>
              <w:rPr>
                <w:rFonts w:hint="eastAsia" w:ascii="Times New Roman" w:hAnsi="Times New Roman" w:eastAsia="宋体" w:cs="宋体"/>
                <w:kern w:val="2"/>
                <w:sz w:val="24"/>
                <w:szCs w:val="24"/>
                <w:highlight w:val="none"/>
                <w:lang w:val="en-US" w:eastAsia="zh-CN" w:bidi="ar-SA"/>
              </w:rPr>
              <w:t>。</w:t>
            </w:r>
          </w:p>
          <w:p>
            <w:pPr>
              <w:widowControl w:val="0"/>
              <w:bidi w:val="0"/>
              <w:spacing w:line="520" w:lineRule="exact"/>
              <w:ind w:firstLine="480" w:firstLineChars="200"/>
              <w:jc w:val="both"/>
              <w:rPr>
                <w:rFonts w:hint="default" w:ascii="Times New Roman" w:hAnsi="Times New Roman" w:eastAsia="宋体" w:cs="宋体"/>
                <w:kern w:val="2"/>
                <w:sz w:val="24"/>
                <w:szCs w:val="24"/>
                <w:highlight w:val="none"/>
                <w:lang w:val="en-US" w:eastAsia="zh-CN" w:bidi="ar-SA"/>
              </w:rPr>
            </w:pPr>
            <w:r>
              <w:rPr>
                <w:rFonts w:hint="default" w:ascii="Times New Roman" w:hAnsi="Times New Roman" w:eastAsia="宋体" w:cs="宋体"/>
                <w:kern w:val="2"/>
                <w:sz w:val="24"/>
                <w:szCs w:val="24"/>
                <w:highlight w:val="none"/>
                <w:lang w:val="en-US" w:eastAsia="zh-CN" w:bidi="ar-SA"/>
              </w:rPr>
              <w:t>⑥运输危险废物的单位应当制定在发生意外事故时采取的应急措施和防范措施</w:t>
            </w:r>
            <w:r>
              <w:rPr>
                <w:rFonts w:hint="eastAsia" w:ascii="Times New Roman" w:hAnsi="Times New Roman" w:eastAsia="宋体" w:cs="宋体"/>
                <w:kern w:val="2"/>
                <w:sz w:val="24"/>
                <w:szCs w:val="24"/>
                <w:highlight w:val="none"/>
                <w:lang w:val="en-US" w:eastAsia="zh-CN" w:bidi="ar-SA"/>
              </w:rPr>
              <w:t>。</w:t>
            </w:r>
          </w:p>
          <w:p>
            <w:pPr>
              <w:widowControl w:val="0"/>
              <w:bidi w:val="0"/>
              <w:spacing w:line="520" w:lineRule="exact"/>
              <w:ind w:firstLine="480" w:firstLineChars="200"/>
              <w:jc w:val="both"/>
              <w:rPr>
                <w:rFonts w:hint="eastAsia" w:ascii="Times New Roman" w:hAnsi="Times New Roman" w:eastAsia="宋体" w:cs="宋体"/>
                <w:kern w:val="2"/>
                <w:sz w:val="24"/>
                <w:szCs w:val="24"/>
                <w:highlight w:val="none"/>
                <w:lang w:val="en-US" w:eastAsia="zh-CN" w:bidi="ar-SA"/>
              </w:rPr>
            </w:pPr>
            <w:r>
              <w:rPr>
                <w:rFonts w:hint="default" w:ascii="Times New Roman" w:hAnsi="Times New Roman" w:eastAsia="宋体" w:cs="宋体"/>
                <w:kern w:val="2"/>
                <w:sz w:val="24"/>
                <w:szCs w:val="24"/>
                <w:highlight w:val="none"/>
                <w:lang w:val="en-US" w:eastAsia="zh-CN" w:bidi="ar-SA"/>
              </w:rPr>
              <w:t>⑦运输时，发生突发性事故必须立即采取措施消除或者减轻对环境的污染危害，及时通报给附近的单位和居民，并向事故发生地县级以上人民政府环境保护行政主管部门和有关部门报告，接受调查处理。</w:t>
            </w:r>
          </w:p>
          <w:p>
            <w:pPr>
              <w:pStyle w:val="67"/>
              <w:bidi w:val="0"/>
              <w:rPr>
                <w:rFonts w:hint="default"/>
                <w:lang w:val="en-US" w:eastAsia="zh-CN"/>
              </w:rPr>
            </w:pPr>
            <w:r>
              <w:rPr>
                <w:rFonts w:hint="eastAsia"/>
                <w:lang w:val="en-US" w:eastAsia="zh-CN"/>
              </w:rPr>
              <w:t>5.地下水、土壤环境影响和保护措施</w:t>
            </w:r>
          </w:p>
          <w:p>
            <w:pPr>
              <w:pStyle w:val="68"/>
              <w:bidi w:val="0"/>
              <w:rPr>
                <w:rFonts w:hint="eastAsia"/>
                <w:lang w:val="en-US" w:eastAsia="zh-CN"/>
              </w:rPr>
            </w:pPr>
            <w:r>
              <w:rPr>
                <w:rFonts w:hint="eastAsia"/>
                <w:lang w:val="en-US" w:eastAsia="zh-CN"/>
              </w:rPr>
              <w:t>（1）污染物类型</w:t>
            </w:r>
          </w:p>
          <w:p>
            <w:pPr>
              <w:pStyle w:val="68"/>
              <w:bidi w:val="0"/>
              <w:rPr>
                <w:rFonts w:hint="eastAsia"/>
                <w:lang w:val="en-US" w:eastAsia="zh-CN"/>
              </w:rPr>
            </w:pPr>
            <w:r>
              <w:rPr>
                <w:rFonts w:hint="eastAsia"/>
                <w:lang w:val="en-US" w:eastAsia="zh-CN"/>
              </w:rPr>
              <w:t>本项目地下水、土壤影响主要为污染影响型。</w:t>
            </w:r>
          </w:p>
          <w:p>
            <w:pPr>
              <w:pStyle w:val="68"/>
              <w:bidi w:val="0"/>
              <w:rPr>
                <w:rFonts w:hint="eastAsia"/>
                <w:lang w:val="en-US" w:eastAsia="zh-CN"/>
              </w:rPr>
            </w:pPr>
            <w:r>
              <w:rPr>
                <w:rFonts w:hint="eastAsia"/>
                <w:lang w:val="en-US" w:eastAsia="zh-CN"/>
              </w:rPr>
              <w:t>本项目采取分区防渗，营运期正常工况下无污染途径，非正常工况对周边地下水、土壤环境主要影响途径为：废润滑油发生泄漏，防渗破裂垂直入渗对地下水、土壤产生影响。</w:t>
            </w:r>
          </w:p>
          <w:p>
            <w:pPr>
              <w:pStyle w:val="68"/>
              <w:bidi w:val="0"/>
              <w:rPr>
                <w:rFonts w:hint="eastAsia"/>
                <w:lang w:val="en-US" w:eastAsia="zh-CN"/>
              </w:rPr>
            </w:pPr>
            <w:r>
              <w:rPr>
                <w:rFonts w:hint="eastAsia"/>
                <w:lang w:val="en-US" w:eastAsia="zh-CN"/>
              </w:rPr>
              <w:t>（2）污染途径</w:t>
            </w:r>
          </w:p>
          <w:p>
            <w:pPr>
              <w:pStyle w:val="68"/>
              <w:bidi w:val="0"/>
              <w:rPr>
                <w:rFonts w:hint="default"/>
                <w:lang w:val="en-US" w:eastAsia="zh-CN"/>
              </w:rPr>
            </w:pPr>
            <w:r>
              <w:rPr>
                <w:rFonts w:hint="eastAsia"/>
                <w:lang w:val="en-US" w:eastAsia="zh-CN"/>
              </w:rPr>
              <w:t>本项目污染物若管理不当，废润滑油会通过“跑冒滴漏”的方式渗入地下，本项目可通过分区管控、设置重点防渗区和采取安全的运输措施等切断其污染途径。</w:t>
            </w:r>
          </w:p>
          <w:p>
            <w:pPr>
              <w:pStyle w:val="68"/>
              <w:bidi w:val="0"/>
              <w:rPr>
                <w:rFonts w:hint="default"/>
                <w:lang w:val="en-US" w:eastAsia="zh-CN"/>
              </w:rPr>
            </w:pPr>
            <w:r>
              <w:rPr>
                <w:rFonts w:hint="default"/>
                <w:lang w:val="en-US" w:eastAsia="zh-CN"/>
              </w:rPr>
              <w:t>（</w:t>
            </w:r>
            <w:r>
              <w:rPr>
                <w:rFonts w:hint="eastAsia"/>
                <w:lang w:val="en-US" w:eastAsia="zh-CN"/>
              </w:rPr>
              <w:t>3</w:t>
            </w:r>
            <w:r>
              <w:rPr>
                <w:rFonts w:hint="default"/>
                <w:lang w:val="en-US" w:eastAsia="zh-CN"/>
              </w:rPr>
              <w:t>）控制措施</w:t>
            </w:r>
          </w:p>
          <w:p>
            <w:pPr>
              <w:pStyle w:val="68"/>
              <w:bidi w:val="0"/>
              <w:rPr>
                <w:rFonts w:hint="eastAsia"/>
                <w:lang w:val="en-US" w:eastAsia="zh-CN"/>
              </w:rPr>
            </w:pPr>
            <w:r>
              <w:rPr>
                <w:rFonts w:hint="default"/>
                <w:lang w:val="en-US" w:eastAsia="zh-CN"/>
              </w:rPr>
              <w:t>根据厂址各生产、生活功能单元可能产生污染的地区，对厂区可能</w:t>
            </w:r>
            <w:r>
              <w:rPr>
                <w:rFonts w:hint="eastAsia"/>
                <w:lang w:val="en-US" w:eastAsia="zh-CN"/>
              </w:rPr>
              <w:t>泄漏</w:t>
            </w:r>
            <w:r>
              <w:rPr>
                <w:rFonts w:hint="default"/>
                <w:lang w:val="en-US" w:eastAsia="zh-CN"/>
              </w:rPr>
              <w:t>污染物的地面进行防渗处理，可有效防止污染物渗入地下</w:t>
            </w:r>
            <w:r>
              <w:rPr>
                <w:rFonts w:hint="eastAsia"/>
                <w:lang w:val="en-US" w:eastAsia="zh-CN"/>
              </w:rPr>
              <w:t>。</w:t>
            </w:r>
            <w:r>
              <w:rPr>
                <w:rFonts w:hint="default"/>
                <w:lang w:val="en-US" w:eastAsia="zh-CN"/>
              </w:rPr>
              <w:t>并及时地将</w:t>
            </w:r>
            <w:r>
              <w:rPr>
                <w:rFonts w:hint="eastAsia"/>
                <w:lang w:val="en-US" w:eastAsia="zh-CN"/>
              </w:rPr>
              <w:t>泄漏</w:t>
            </w:r>
            <w:r>
              <w:rPr>
                <w:rFonts w:hint="default"/>
                <w:lang w:val="en-US" w:eastAsia="zh-CN"/>
              </w:rPr>
              <w:t>、渗漏的污染物收集并进行集中处理。根据厂区各建筑物功能，</w:t>
            </w:r>
            <w:r>
              <w:rPr>
                <w:rFonts w:hint="eastAsia"/>
                <w:lang w:val="en-US" w:eastAsia="zh-CN"/>
              </w:rPr>
              <w:t>将厂区设计为简单防渗区。</w:t>
            </w:r>
          </w:p>
          <w:p>
            <w:pPr>
              <w:pStyle w:val="68"/>
              <w:bidi w:val="0"/>
              <w:rPr>
                <w:rFonts w:hint="eastAsia"/>
                <w:lang w:val="en-US" w:eastAsia="zh-CN"/>
              </w:rPr>
            </w:pPr>
            <w:r>
              <w:rPr>
                <w:rFonts w:hint="eastAsia"/>
                <w:lang w:val="en-US" w:eastAsia="zh-CN"/>
              </w:rPr>
              <w:t>简单防渗区：项目区主体工程生产厂房及辅助工程等为简单防渗区，地面硬化，满足简单防渗要求。</w:t>
            </w:r>
          </w:p>
          <w:p>
            <w:pPr>
              <w:pStyle w:val="68"/>
              <w:bidi w:val="0"/>
              <w:rPr>
                <w:rFonts w:hint="eastAsia"/>
                <w:shd w:val="clear"/>
                <w:lang w:val="en-US" w:eastAsia="zh-CN"/>
              </w:rPr>
            </w:pPr>
            <w:r>
              <w:rPr>
                <w:rFonts w:hint="eastAsia"/>
                <w:lang w:val="en-US" w:eastAsia="zh-CN"/>
              </w:rPr>
              <w:t>重点防渗区：危险废物贮存点为重点防渗区，</w:t>
            </w:r>
            <w:r>
              <w:rPr>
                <w:rFonts w:hint="eastAsia"/>
                <w:shd w:val="clear"/>
                <w:lang w:val="en-US" w:eastAsia="zh-CN"/>
              </w:rPr>
              <w:t>贮存设施地面与裙角应采取表面防渗措施，即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shd w:val="clear"/>
                <w:vertAlign w:val="superscript"/>
                <w:lang w:val="en-US" w:eastAsia="zh-CN"/>
              </w:rPr>
              <w:t>-7</w:t>
            </w:r>
            <w:r>
              <w:rPr>
                <w:rFonts w:hint="eastAsia"/>
                <w:shd w:val="clear"/>
                <w:lang w:val="en-US" w:eastAsia="zh-CN"/>
              </w:rPr>
              <w:t>cm/s)，或至少2mm厚高密度聚乙烯膜等人工防渗材料(渗透系数不大于10</w:t>
            </w:r>
            <w:r>
              <w:rPr>
                <w:rFonts w:hint="eastAsia"/>
                <w:shd w:val="clear"/>
                <w:vertAlign w:val="superscript"/>
                <w:lang w:val="en-US" w:eastAsia="zh-CN"/>
              </w:rPr>
              <w:t>-10</w:t>
            </w:r>
            <w:r>
              <w:rPr>
                <w:rFonts w:hint="eastAsia"/>
                <w:shd w:val="clear"/>
                <w:lang w:val="en-US" w:eastAsia="zh-CN"/>
              </w:rPr>
              <w:t>cm/s)，或其他防渗性能等效的材料。</w:t>
            </w:r>
          </w:p>
          <w:p>
            <w:pPr>
              <w:pStyle w:val="68"/>
              <w:bidi w:val="0"/>
              <w:rPr>
                <w:rFonts w:hint="default"/>
                <w:lang w:val="en-US" w:eastAsia="zh-CN"/>
              </w:rPr>
            </w:pPr>
            <w:r>
              <w:rPr>
                <w:rFonts w:hint="default"/>
                <w:lang w:val="en-US" w:eastAsia="zh-CN"/>
              </w:rPr>
              <w:t>（</w:t>
            </w:r>
            <w:r>
              <w:rPr>
                <w:rFonts w:hint="eastAsia"/>
                <w:lang w:val="en-US" w:eastAsia="zh-CN"/>
              </w:rPr>
              <w:t>4</w:t>
            </w:r>
            <w:r>
              <w:rPr>
                <w:rFonts w:hint="default"/>
                <w:lang w:val="en-US" w:eastAsia="zh-CN"/>
              </w:rPr>
              <w:t>）跟踪监测要求</w:t>
            </w:r>
          </w:p>
          <w:p>
            <w:pPr>
              <w:pStyle w:val="68"/>
              <w:bidi w:val="0"/>
              <w:rPr>
                <w:rFonts w:hint="default"/>
                <w:lang w:val="en-US" w:eastAsia="zh-CN"/>
              </w:rPr>
            </w:pPr>
            <w:r>
              <w:rPr>
                <w:rFonts w:hint="default"/>
                <w:lang w:val="en-US" w:eastAsia="zh-CN"/>
              </w:rPr>
              <w:t>本项目在采取落实上述防控措施后，基本不会通过渗透的途径进入地下水、土壤环境。因此，本评价不提出地下水、土壤跟踪监测要求。</w:t>
            </w:r>
          </w:p>
          <w:p>
            <w:pPr>
              <w:widowControl w:val="0"/>
              <w:bidi w:val="0"/>
              <w:spacing w:line="520" w:lineRule="exact"/>
              <w:jc w:val="both"/>
              <w:rPr>
                <w:rFonts w:hint="eastAsia" w:ascii="Times New Roman" w:hAnsi="Times New Roman" w:eastAsia="宋体" w:cs="宋体"/>
                <w:b/>
                <w:kern w:val="2"/>
                <w:sz w:val="24"/>
                <w:szCs w:val="24"/>
                <w:highlight w:val="none"/>
                <w:lang w:val="en-US" w:eastAsia="zh-CN" w:bidi="ar-SA"/>
              </w:rPr>
            </w:pPr>
            <w:r>
              <w:rPr>
                <w:rFonts w:hint="eastAsia" w:ascii="Times New Roman" w:hAnsi="Times New Roman" w:eastAsia="宋体" w:cs="宋体"/>
                <w:b/>
                <w:kern w:val="2"/>
                <w:sz w:val="24"/>
                <w:szCs w:val="24"/>
                <w:highlight w:val="none"/>
                <w:lang w:val="en-US" w:eastAsia="zh-CN" w:bidi="ar-SA"/>
              </w:rPr>
              <w:t>6.生态环境影响和保护措施</w:t>
            </w:r>
          </w:p>
          <w:p>
            <w:pPr>
              <w:widowControl w:val="0"/>
              <w:wordWrap w:val="0"/>
              <w:bidi w:val="0"/>
              <w:spacing w:line="520" w:lineRule="exact"/>
              <w:ind w:firstLine="480" w:firstLineChars="200"/>
              <w:jc w:val="both"/>
              <w:rPr>
                <w:rFonts w:hint="eastAsia"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根据《建设项目环境影响报告表编制技术指南（污染影响类）（试行）》</w:t>
            </w:r>
            <w:r>
              <w:rPr>
                <w:rFonts w:hint="eastAsia" w:ascii="Times New Roman" w:hAnsi="Times New Roman" w:eastAsia="宋体" w:cs="Times New Roman"/>
                <w:kern w:val="2"/>
                <w:sz w:val="24"/>
                <w:szCs w:val="24"/>
                <w:highlight w:val="none"/>
                <w:lang w:val="en-US" w:eastAsia="zh-CN" w:bidi="ar-SA"/>
              </w:rPr>
              <w:t>，本项目在园区内且用地范围内不含有生态环境保护目标，因此不开展生态调查和评价。</w:t>
            </w:r>
          </w:p>
          <w:p>
            <w:pPr>
              <w:pStyle w:val="67"/>
              <w:bidi w:val="0"/>
              <w:rPr>
                <w:rFonts w:hint="eastAsia"/>
                <w:lang w:val="en-US" w:eastAsia="zh-CN"/>
              </w:rPr>
            </w:pPr>
            <w:r>
              <w:rPr>
                <w:rFonts w:hint="eastAsia"/>
                <w:lang w:val="en-US" w:eastAsia="zh-CN"/>
              </w:rPr>
              <w:t>7.环境风险分析</w:t>
            </w:r>
          </w:p>
          <w:p>
            <w:pPr>
              <w:pStyle w:val="67"/>
              <w:bidi w:val="0"/>
              <w:rPr>
                <w:rFonts w:hint="eastAsia"/>
                <w:lang w:val="en-US" w:eastAsia="zh-CN"/>
              </w:rPr>
            </w:pPr>
            <w:r>
              <w:rPr>
                <w:rFonts w:hint="eastAsia"/>
                <w:lang w:val="en-US" w:eastAsia="zh-CN"/>
              </w:rPr>
              <w:t>7.1</w:t>
            </w:r>
            <w:r>
              <w:rPr>
                <w:rFonts w:hint="default"/>
                <w:lang w:val="en-US" w:eastAsia="zh-CN"/>
              </w:rPr>
              <w:t>物质风险识别范围</w:t>
            </w:r>
          </w:p>
          <w:p>
            <w:pPr>
              <w:pStyle w:val="68"/>
              <w:bidi w:val="0"/>
              <w:rPr>
                <w:rFonts w:hint="eastAsia"/>
                <w:lang w:val="en-US" w:eastAsia="zh-CN"/>
              </w:rPr>
            </w:pPr>
            <w:r>
              <w:rPr>
                <w:rFonts w:hint="eastAsia"/>
                <w:lang w:val="en-US" w:eastAsia="zh-CN"/>
              </w:rPr>
              <w:t>物质风险调查包括主要原材料及辅助材料、最终产品、“三废”污染物、火灾和爆炸等伴生/次生的危险物质。经调查，本项目废润滑油属于《建设项目环境风险评价技术导则》（HJ169-2018）中的油类物质。危险化学品中重大危险源辨识调查结果详见下表。</w:t>
            </w:r>
          </w:p>
          <w:p>
            <w:pPr>
              <w:pStyle w:val="65"/>
              <w:bidi w:val="0"/>
              <w:rPr>
                <w:rFonts w:hint="eastAsia"/>
                <w:lang w:val="en-US" w:eastAsia="zh-CN"/>
              </w:rPr>
            </w:pPr>
            <w:r>
              <w:rPr>
                <w:rFonts w:hint="eastAsia"/>
                <w:lang w:val="en-US" w:eastAsia="zh-CN"/>
              </w:rPr>
              <w:t>表4-11    风险源调查结果一览表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378"/>
              <w:gridCol w:w="919"/>
              <w:gridCol w:w="966"/>
              <w:gridCol w:w="949"/>
              <w:gridCol w:w="1590"/>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noWrap w:val="0"/>
                  <w:vAlign w:val="center"/>
                </w:tcPr>
                <w:p>
                  <w:pPr>
                    <w:widowControl w:val="0"/>
                    <w:bidi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序号</w:t>
                  </w:r>
                </w:p>
              </w:tc>
              <w:tc>
                <w:tcPr>
                  <w:tcW w:w="897" w:type="pct"/>
                  <w:noWrap w:val="0"/>
                  <w:vAlign w:val="center"/>
                </w:tcPr>
                <w:p>
                  <w:pPr>
                    <w:widowControl w:val="0"/>
                    <w:bidi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危险物质</w:t>
                  </w:r>
                </w:p>
              </w:tc>
              <w:tc>
                <w:tcPr>
                  <w:tcW w:w="598" w:type="pct"/>
                  <w:noWrap w:val="0"/>
                  <w:vAlign w:val="center"/>
                </w:tcPr>
                <w:p>
                  <w:pPr>
                    <w:widowControl w:val="0"/>
                    <w:bidi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临界量</w:t>
                  </w:r>
                  <w:r>
                    <w:rPr>
                      <w:rFonts w:hint="eastAsia" w:ascii="Times New Roman" w:hAnsi="Times New Roman" w:eastAsia="宋体" w:cs="Times New Roman"/>
                      <w:kern w:val="2"/>
                      <w:sz w:val="21"/>
                      <w:szCs w:val="21"/>
                      <w:lang w:val="en-US" w:eastAsia="zh-CN" w:bidi="ar-SA"/>
                    </w:rPr>
                    <w:t>（t）</w:t>
                  </w:r>
                </w:p>
              </w:tc>
              <w:tc>
                <w:tcPr>
                  <w:tcW w:w="629" w:type="pct"/>
                  <w:noWrap w:val="0"/>
                  <w:vAlign w:val="center"/>
                </w:tcPr>
                <w:p>
                  <w:pPr>
                    <w:widowControl w:val="0"/>
                    <w:bidi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最大储存量</w:t>
                  </w:r>
                  <w:r>
                    <w:rPr>
                      <w:rFonts w:hint="eastAsia" w:ascii="Times New Roman" w:hAnsi="Times New Roman" w:eastAsia="宋体" w:cs="Times New Roman"/>
                      <w:kern w:val="2"/>
                      <w:sz w:val="21"/>
                      <w:szCs w:val="21"/>
                      <w:lang w:val="en-US" w:eastAsia="zh-CN" w:bidi="ar-SA"/>
                    </w:rPr>
                    <w:t>（t）</w:t>
                  </w:r>
                </w:p>
              </w:tc>
              <w:tc>
                <w:tcPr>
                  <w:tcW w:w="618" w:type="pct"/>
                  <w:noWrap w:val="0"/>
                  <w:vAlign w:val="center"/>
                </w:tcPr>
                <w:p>
                  <w:pPr>
                    <w:widowControl w:val="0"/>
                    <w:bidi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Q值</w:t>
                  </w:r>
                </w:p>
              </w:tc>
              <w:tc>
                <w:tcPr>
                  <w:tcW w:w="1035" w:type="pct"/>
                  <w:noWrap w:val="0"/>
                  <w:vAlign w:val="center"/>
                </w:tcPr>
                <w:p>
                  <w:pPr>
                    <w:widowControl w:val="0"/>
                    <w:bidi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分布场所</w:t>
                  </w:r>
                </w:p>
              </w:tc>
              <w:tc>
                <w:tcPr>
                  <w:tcW w:w="797" w:type="pct"/>
                  <w:noWrap w:val="0"/>
                  <w:vAlign w:val="center"/>
                </w:tcPr>
                <w:p>
                  <w:pPr>
                    <w:widowControl w:val="0"/>
                    <w:bidi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风险类型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22" w:type="pct"/>
                  <w:noWrap w:val="0"/>
                  <w:vAlign w:val="center"/>
                </w:tcPr>
                <w:p>
                  <w:pPr>
                    <w:widowControl w:val="0"/>
                    <w:bidi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897" w:type="pct"/>
                  <w:noWrap w:val="0"/>
                  <w:vAlign w:val="center"/>
                </w:tcPr>
                <w:p>
                  <w:pPr>
                    <w:widowControl w:val="0"/>
                    <w:bidi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废</w:t>
                  </w:r>
                  <w:r>
                    <w:rPr>
                      <w:rFonts w:hint="eastAsia" w:ascii="Times New Roman" w:hAnsi="Times New Roman" w:eastAsia="宋体" w:cs="Times New Roman"/>
                      <w:kern w:val="2"/>
                      <w:sz w:val="21"/>
                      <w:szCs w:val="21"/>
                      <w:lang w:val="en-US" w:eastAsia="zh-CN" w:bidi="ar-SA"/>
                    </w:rPr>
                    <w:t>润滑油</w:t>
                  </w:r>
                </w:p>
              </w:tc>
              <w:tc>
                <w:tcPr>
                  <w:tcW w:w="598" w:type="pct"/>
                  <w:noWrap w:val="0"/>
                  <w:vAlign w:val="center"/>
                </w:tcPr>
                <w:p>
                  <w:pPr>
                    <w:widowControl w:val="0"/>
                    <w:bidi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2500</w:t>
                  </w:r>
                </w:p>
              </w:tc>
              <w:tc>
                <w:tcPr>
                  <w:tcW w:w="629" w:type="pct"/>
                  <w:noWrap w:val="0"/>
                  <w:vAlign w:val="center"/>
                </w:tcPr>
                <w:p>
                  <w:pPr>
                    <w:widowControl w:val="0"/>
                    <w:bidi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0.10</w:t>
                  </w:r>
                </w:p>
              </w:tc>
              <w:tc>
                <w:tcPr>
                  <w:tcW w:w="618" w:type="pct"/>
                  <w:noWrap w:val="0"/>
                  <w:vAlign w:val="center"/>
                </w:tcPr>
                <w:p>
                  <w:pPr>
                    <w:widowControl w:val="0"/>
                    <w:bidi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w:t>
                  </w:r>
                  <w:r>
                    <w:rPr>
                      <w:rFonts w:hint="default" w:ascii="Times New Roman" w:hAnsi="Times New Roman" w:eastAsia="宋体"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10</w:t>
                  </w:r>
                  <w:r>
                    <w:rPr>
                      <w:rFonts w:hint="eastAsia" w:ascii="Times New Roman" w:hAnsi="Times New Roman" w:eastAsia="宋体" w:cs="Times New Roman"/>
                      <w:kern w:val="2"/>
                      <w:sz w:val="21"/>
                      <w:szCs w:val="21"/>
                      <w:vertAlign w:val="superscript"/>
                      <w:lang w:val="en-US" w:eastAsia="zh-CN" w:bidi="ar-SA"/>
                    </w:rPr>
                    <w:t>-5</w:t>
                  </w:r>
                </w:p>
              </w:tc>
              <w:tc>
                <w:tcPr>
                  <w:tcW w:w="1035" w:type="pct"/>
                  <w:noWrap w:val="0"/>
                  <w:vAlign w:val="center"/>
                </w:tcPr>
                <w:p>
                  <w:pPr>
                    <w:widowControl w:val="0"/>
                    <w:bidi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危险废物</w:t>
                  </w:r>
                  <w:r>
                    <w:rPr>
                      <w:rFonts w:hint="eastAsia" w:ascii="Times New Roman" w:hAnsi="Times New Roman" w:eastAsia="宋体" w:cs="Times New Roman"/>
                      <w:kern w:val="2"/>
                      <w:sz w:val="21"/>
                      <w:szCs w:val="21"/>
                      <w:lang w:val="en-US" w:eastAsia="zh-CN" w:bidi="ar-SA"/>
                    </w:rPr>
                    <w:t>贮存</w:t>
                  </w:r>
                  <w:r>
                    <w:rPr>
                      <w:rFonts w:hint="eastAsia" w:cs="Times New Roman"/>
                      <w:kern w:val="2"/>
                      <w:sz w:val="21"/>
                      <w:szCs w:val="21"/>
                      <w:lang w:val="en-US" w:eastAsia="zh-CN" w:bidi="ar-SA"/>
                    </w:rPr>
                    <w:t>点</w:t>
                  </w:r>
                </w:p>
              </w:tc>
              <w:tc>
                <w:tcPr>
                  <w:tcW w:w="797" w:type="pct"/>
                  <w:noWrap w:val="0"/>
                  <w:vAlign w:val="center"/>
                </w:tcPr>
                <w:p>
                  <w:pPr>
                    <w:widowControl w:val="0"/>
                    <w:bidi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火灾、</w:t>
                  </w:r>
                  <w:r>
                    <w:rPr>
                      <w:rFonts w:hint="eastAsia" w:cs="Times New Roman"/>
                      <w:kern w:val="2"/>
                      <w:sz w:val="21"/>
                      <w:szCs w:val="21"/>
                      <w:lang w:val="en-US" w:eastAsia="zh-CN" w:bidi="ar-SA"/>
                    </w:rPr>
                    <w:t>泄漏</w:t>
                  </w:r>
                </w:p>
              </w:tc>
            </w:tr>
          </w:tbl>
          <w:p>
            <w:pPr>
              <w:pStyle w:val="68"/>
              <w:keepNext w:val="0"/>
              <w:keepLines w:val="0"/>
              <w:pageBreakBefore w:val="0"/>
              <w:widowControl w:val="0"/>
              <w:kinsoku/>
              <w:wordWrap w:val="0"/>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根据Q=w</w:t>
            </w:r>
            <w:r>
              <w:rPr>
                <w:rFonts w:hint="eastAsia"/>
                <w:vertAlign w:val="subscript"/>
                <w:lang w:val="en-US" w:eastAsia="zh-CN"/>
              </w:rPr>
              <w:t>1</w:t>
            </w:r>
            <w:r>
              <w:rPr>
                <w:rFonts w:hint="eastAsia"/>
                <w:lang w:val="en-US" w:eastAsia="zh-CN"/>
              </w:rPr>
              <w:t>/W</w:t>
            </w:r>
            <w:r>
              <w:rPr>
                <w:rFonts w:hint="eastAsia"/>
                <w:vertAlign w:val="subscript"/>
                <w:lang w:val="en-US" w:eastAsia="zh-CN"/>
              </w:rPr>
              <w:t>1</w:t>
            </w:r>
            <w:r>
              <w:rPr>
                <w:rFonts w:hint="eastAsia"/>
                <w:vertAlign w:val="baseline"/>
                <w:lang w:val="en-US" w:eastAsia="zh-CN"/>
              </w:rPr>
              <w:t>可知，本项目</w:t>
            </w:r>
            <w:r>
              <w:rPr>
                <w:rFonts w:hint="eastAsia" w:ascii="Times New Roman" w:hAnsi="Times New Roman" w:eastAsia="宋体" w:cs="Times New Roman"/>
                <w:kern w:val="2"/>
                <w:sz w:val="21"/>
                <w:szCs w:val="21"/>
                <w:lang w:val="en-US" w:eastAsia="zh-CN" w:bidi="ar-SA"/>
              </w:rPr>
              <w:t>Q值为</w:t>
            </w:r>
            <w:r>
              <w:rPr>
                <w:rFonts w:hint="eastAsia"/>
                <w:lang w:val="en-US" w:eastAsia="zh-CN"/>
              </w:rPr>
              <w:t>4</w:t>
            </w:r>
            <w:r>
              <w:rPr>
                <w:rFonts w:hint="default"/>
                <w:lang w:val="en-US" w:eastAsia="zh-CN"/>
              </w:rPr>
              <w:t>×</w:t>
            </w:r>
            <w:r>
              <w:rPr>
                <w:rFonts w:hint="eastAsia"/>
                <w:lang w:val="en-US" w:eastAsia="zh-CN"/>
              </w:rPr>
              <w:t>10</w:t>
            </w:r>
            <w:r>
              <w:rPr>
                <w:rFonts w:hint="eastAsia"/>
                <w:vertAlign w:val="superscript"/>
                <w:lang w:val="en-US" w:eastAsia="zh-CN"/>
              </w:rPr>
              <w:t>-5</w:t>
            </w:r>
            <w:r>
              <w:rPr>
                <w:rFonts w:hint="default"/>
                <w:lang w:val="en-US" w:eastAsia="zh-CN"/>
              </w:rPr>
              <w:t>&lt;1，该项目环境风险潜势为Ⅰ。</w:t>
            </w:r>
          </w:p>
          <w:p>
            <w:pPr>
              <w:pStyle w:val="74"/>
              <w:bidi w:val="0"/>
            </w:pPr>
            <w:r>
              <w:rPr>
                <w:rFonts w:hint="eastAsia"/>
                <w:lang w:val="en-US" w:eastAsia="zh-CN"/>
              </w:rPr>
              <w:t>7.2</w:t>
            </w:r>
            <w:r>
              <w:rPr>
                <w:rFonts w:hint="eastAsia"/>
              </w:rPr>
              <w:t>环境风险源影响途径</w:t>
            </w:r>
          </w:p>
          <w:p>
            <w:pPr>
              <w:pStyle w:val="49"/>
              <w:bidi w:val="0"/>
              <w:rPr>
                <w:rFonts w:hint="eastAsia"/>
                <w:highlight w:val="none"/>
              </w:rPr>
            </w:pPr>
            <w:r>
              <w:rPr>
                <w:rFonts w:hint="eastAsia"/>
                <w:highlight w:val="none"/>
              </w:rPr>
              <w:t>油品泄漏事故：项目生产过程中涉及的危险品有废</w:t>
            </w:r>
            <w:r>
              <w:rPr>
                <w:rFonts w:hint="eastAsia"/>
                <w:highlight w:val="none"/>
                <w:lang w:val="en-US" w:eastAsia="zh-CN"/>
              </w:rPr>
              <w:t>润滑油</w:t>
            </w:r>
            <w:r>
              <w:rPr>
                <w:rFonts w:hint="eastAsia"/>
                <w:highlight w:val="none"/>
              </w:rPr>
              <w:t>。当储存设施发生破损造成泄漏，可能会污染周围土壤和地下水，污染的土壤不仅会造成植物的死亡，而且土壤层吸附的油品还会随着下渗补充到地下水。</w:t>
            </w:r>
          </w:p>
          <w:p>
            <w:pPr>
              <w:pStyle w:val="49"/>
              <w:bidi w:val="0"/>
              <w:rPr>
                <w:rFonts w:hint="eastAsia"/>
                <w:highlight w:val="none"/>
              </w:rPr>
            </w:pPr>
            <w:r>
              <w:rPr>
                <w:rFonts w:hint="eastAsia"/>
                <w:highlight w:val="none"/>
              </w:rPr>
              <w:t>火灾爆炸事故</w:t>
            </w:r>
            <w:r>
              <w:rPr>
                <w:rFonts w:hint="eastAsia"/>
                <w:highlight w:val="none"/>
                <w:lang w:eastAsia="zh-CN"/>
              </w:rPr>
              <w:t>引发的伴生</w:t>
            </w:r>
            <w:r>
              <w:rPr>
                <w:rFonts w:hint="eastAsia"/>
                <w:highlight w:val="none"/>
                <w:lang w:val="en-US" w:eastAsia="zh-CN"/>
              </w:rPr>
              <w:t>/次生污染</w:t>
            </w:r>
            <w:r>
              <w:rPr>
                <w:rFonts w:hint="eastAsia"/>
                <w:highlight w:val="none"/>
              </w:rPr>
              <w:t>：废</w:t>
            </w:r>
            <w:r>
              <w:rPr>
                <w:rFonts w:hint="eastAsia"/>
                <w:highlight w:val="none"/>
                <w:lang w:val="en-US" w:eastAsia="zh-CN"/>
              </w:rPr>
              <w:t>润滑油</w:t>
            </w:r>
            <w:r>
              <w:rPr>
                <w:rFonts w:hint="eastAsia"/>
                <w:highlight w:val="none"/>
              </w:rPr>
              <w:t>具有易燃易爆的危险特性</w:t>
            </w:r>
            <w:r>
              <w:rPr>
                <w:rFonts w:hint="eastAsia"/>
                <w:highlight w:val="none"/>
                <w:lang w:eastAsia="zh-CN"/>
              </w:rPr>
              <w:t>；</w:t>
            </w:r>
            <w:r>
              <w:rPr>
                <w:rFonts w:hint="eastAsia"/>
                <w:highlight w:val="none"/>
                <w:lang w:val="en-US" w:eastAsia="zh-CN"/>
              </w:rPr>
              <w:t>硅粉与空气混合后遇见明火容易形成爆炸，发生火灾爆炸事故后</w:t>
            </w:r>
            <w:r>
              <w:rPr>
                <w:rFonts w:hint="eastAsia"/>
                <w:highlight w:val="none"/>
              </w:rPr>
              <w:t>随着燃烧氧化，会产生伴生/次生产物，主要为不完全燃烧产生的CO和烟尘等污染物会对大气造成较大影响，从而造成二次污染。</w:t>
            </w:r>
          </w:p>
          <w:p>
            <w:pPr>
              <w:pStyle w:val="49"/>
              <w:bidi w:val="0"/>
              <w:rPr>
                <w:rFonts w:hint="eastAsia"/>
                <w:highlight w:val="none"/>
              </w:rPr>
            </w:pPr>
            <w:r>
              <w:rPr>
                <w:rFonts w:hint="eastAsia"/>
                <w:highlight w:val="none"/>
                <w:lang w:val="en-US" w:eastAsia="zh-CN"/>
              </w:rPr>
              <w:t>危险废物贮存点</w:t>
            </w:r>
            <w:r>
              <w:rPr>
                <w:rFonts w:hint="eastAsia"/>
                <w:highlight w:val="none"/>
              </w:rPr>
              <w:t>管理风险：</w:t>
            </w:r>
            <w:r>
              <w:rPr>
                <w:rFonts w:hint="eastAsia"/>
                <w:highlight w:val="none"/>
                <w:lang w:val="en-US" w:eastAsia="zh-CN"/>
              </w:rPr>
              <w:t>危险废物贮存点</w:t>
            </w:r>
            <w:r>
              <w:rPr>
                <w:rFonts w:hint="eastAsia"/>
                <w:highlight w:val="none"/>
              </w:rPr>
              <w:t>防渗层破损或破裂，且在收集和转运过程中若管理不当，容易导致危险废物渗漏和洒落至地面，并可能进入地表及地下水体，对土壤和水环境造成污染。</w:t>
            </w:r>
          </w:p>
          <w:p>
            <w:pPr>
              <w:pStyle w:val="68"/>
              <w:bidi w:val="0"/>
              <w:rPr>
                <w:rFonts w:hint="eastAsia"/>
                <w:lang w:val="en-US" w:eastAsia="zh-CN"/>
              </w:rPr>
            </w:pPr>
            <w:r>
              <w:rPr>
                <w:rFonts w:hint="eastAsia"/>
                <w:lang w:val="en-US" w:eastAsia="zh-CN"/>
              </w:rPr>
              <w:t>环保设施危险性：本项目配套废气系统出现故障而导致不能正常运作，导致颗粒物未经处理而直接向大气排放。</w:t>
            </w:r>
          </w:p>
          <w:p>
            <w:pPr>
              <w:pStyle w:val="74"/>
              <w:bidi w:val="0"/>
            </w:pPr>
            <w:r>
              <w:rPr>
                <w:rFonts w:hint="eastAsia"/>
                <w:lang w:val="en-US" w:eastAsia="zh-CN"/>
              </w:rPr>
              <w:t>7.3</w:t>
            </w:r>
            <w:r>
              <w:rPr>
                <w:rFonts w:hint="eastAsia"/>
              </w:rPr>
              <w:t>环境</w:t>
            </w:r>
            <w:r>
              <w:t>风险防范措施</w:t>
            </w:r>
          </w:p>
          <w:p>
            <w:pPr>
              <w:pStyle w:val="68"/>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为</w:t>
            </w:r>
            <w:r>
              <w:rPr>
                <w:rFonts w:hint="eastAsia"/>
                <w:lang w:val="en-US" w:eastAsia="zh-CN"/>
              </w:rPr>
              <w:t>杜绝</w:t>
            </w:r>
            <w:r>
              <w:rPr>
                <w:rFonts w:hint="eastAsia"/>
              </w:rPr>
              <w:t>油类物质</w:t>
            </w:r>
            <w:r>
              <w:rPr>
                <w:rFonts w:hint="eastAsia"/>
                <w:lang w:eastAsia="zh-CN"/>
              </w:rPr>
              <w:t>泄漏</w:t>
            </w:r>
            <w:r>
              <w:rPr>
                <w:rFonts w:hint="eastAsia"/>
              </w:rPr>
              <w:t>等引起的火灾事故，提出以下环境风险防范措施及应急要求：</w:t>
            </w:r>
          </w:p>
          <w:p>
            <w:pPr>
              <w:pStyle w:val="68"/>
              <w:bidi w:val="0"/>
              <w:rPr>
                <w:rFonts w:hint="eastAsia"/>
              </w:rPr>
            </w:pPr>
            <w:r>
              <w:rPr>
                <w:rFonts w:hint="default"/>
              </w:rPr>
              <w:t>①</w:t>
            </w:r>
            <w:r>
              <w:rPr>
                <w:rFonts w:hint="eastAsia"/>
              </w:rPr>
              <w:t>成立专门的责任机构，保证事故发生时组织相关力量及时控制事故的危害，在第一时间，有序有效地控制事故污染，把事故危害减小到</w:t>
            </w:r>
            <w:r>
              <w:rPr>
                <w:rFonts w:hint="eastAsia"/>
                <w:lang w:eastAsia="zh-CN"/>
              </w:rPr>
              <w:t>最小</w:t>
            </w:r>
            <w:r>
              <w:rPr>
                <w:rFonts w:hint="eastAsia"/>
              </w:rPr>
              <w:t>。</w:t>
            </w:r>
          </w:p>
          <w:p>
            <w:pPr>
              <w:pStyle w:val="68"/>
              <w:bidi w:val="0"/>
              <w:rPr>
                <w:rFonts w:hint="eastAsia"/>
              </w:rPr>
            </w:pPr>
            <w:r>
              <w:rPr>
                <w:rFonts w:hint="default"/>
              </w:rPr>
              <w:t>②</w:t>
            </w:r>
            <w:r>
              <w:rPr>
                <w:rFonts w:hint="eastAsia"/>
              </w:rPr>
              <w:t>健全各项制度，强化安全管理意识，加强用电设备及线路的检修和管理。</w:t>
            </w:r>
          </w:p>
          <w:p>
            <w:pPr>
              <w:pStyle w:val="68"/>
              <w:bidi w:val="0"/>
              <w:rPr>
                <w:rFonts w:hint="eastAsia"/>
              </w:rPr>
            </w:pPr>
            <w:r>
              <w:rPr>
                <w:rFonts w:hint="default"/>
              </w:rPr>
              <w:t>③</w:t>
            </w:r>
            <w:r>
              <w:rPr>
                <w:rFonts w:hint="eastAsia"/>
              </w:rPr>
              <w:t>严格按照消防安全部门要求，配置消防设施。</w:t>
            </w:r>
          </w:p>
          <w:p>
            <w:pPr>
              <w:pStyle w:val="68"/>
              <w:bidi w:val="0"/>
              <w:rPr>
                <w:rFonts w:hint="eastAsia"/>
              </w:rPr>
            </w:pPr>
            <w:r>
              <w:rPr>
                <w:rFonts w:hint="default"/>
              </w:rPr>
              <w:t>④</w:t>
            </w:r>
            <w:r>
              <w:rPr>
                <w:rFonts w:hint="eastAsia"/>
              </w:rPr>
              <w:t>油类物质等易燃易爆物品存储远离火源。在采取以上措施后，可有效降低风险发生的概率。</w:t>
            </w:r>
          </w:p>
          <w:p>
            <w:pPr>
              <w:pStyle w:val="68"/>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为减少项目废气处理设施非正常工况导致颗粒物超标排放对周边环境的影响，提出以下环境风险防范措施及应急要求：</w:t>
            </w:r>
          </w:p>
          <w:p>
            <w:pPr>
              <w:pStyle w:val="68"/>
              <w:bidi w:val="0"/>
              <w:rPr>
                <w:rFonts w:hint="eastAsia"/>
              </w:rPr>
            </w:pPr>
            <w:r>
              <w:rPr>
                <w:rFonts w:hint="default"/>
              </w:rPr>
              <w:t>①</w:t>
            </w:r>
            <w:r>
              <w:rPr>
                <w:rFonts w:hint="eastAsia"/>
              </w:rPr>
              <w:t>制定环保设备运行维护制度，并派专人进行管理，定期对环保设备进行点检维护。</w:t>
            </w:r>
          </w:p>
          <w:p>
            <w:pPr>
              <w:pStyle w:val="68"/>
              <w:bidi w:val="0"/>
              <w:rPr>
                <w:rFonts w:hint="eastAsia"/>
              </w:rPr>
            </w:pPr>
            <w:r>
              <w:rPr>
                <w:rFonts w:hint="default"/>
              </w:rPr>
              <w:t>②</w:t>
            </w:r>
            <w:r>
              <w:rPr>
                <w:rFonts w:hint="eastAsia"/>
              </w:rPr>
              <w:t>定期对风机的运行情况进行检查记录，一旦发现运行异常，立即对相应的生产设备进行停产，并对风机设备进行维修。</w:t>
            </w:r>
          </w:p>
          <w:p>
            <w:pPr>
              <w:pStyle w:val="68"/>
              <w:bidi w:val="0"/>
              <w:rPr>
                <w:rFonts w:hint="eastAsia"/>
              </w:rPr>
            </w:pPr>
            <w:r>
              <w:rPr>
                <w:rFonts w:hint="default"/>
              </w:rPr>
              <w:t>③</w:t>
            </w:r>
            <w:r>
              <w:rPr>
                <w:rFonts w:hint="eastAsia"/>
              </w:rPr>
              <w:t>对</w:t>
            </w:r>
            <w:r>
              <w:rPr>
                <w:rFonts w:hint="eastAsia"/>
                <w:lang w:val="en-US" w:eastAsia="zh-CN"/>
              </w:rPr>
              <w:t>环保</w:t>
            </w:r>
            <w:r>
              <w:rPr>
                <w:rFonts w:hint="eastAsia"/>
              </w:rPr>
              <w:t>装置进行定期检查，确保废气处理效率，若发现破损、损坏或堵塞严重，应立即进行更换，确保其处理效率。</w:t>
            </w:r>
          </w:p>
          <w:p>
            <w:pPr>
              <w:pStyle w:val="68"/>
              <w:bidi w:val="0"/>
              <w:rPr>
                <w:rFonts w:hint="default"/>
                <w:lang w:val="en-US" w:eastAsia="zh-CN"/>
              </w:rPr>
            </w:pPr>
            <w:r>
              <w:rPr>
                <w:rFonts w:hint="eastAsia"/>
                <w:lang w:val="en-US" w:eastAsia="zh-CN"/>
              </w:rPr>
              <w:t>（3）</w:t>
            </w:r>
            <w:r>
              <w:rPr>
                <w:rFonts w:hint="default"/>
                <w:lang w:val="en-US" w:eastAsia="zh-CN"/>
              </w:rPr>
              <w:t>为杜绝硅粉等引发的火灾</w:t>
            </w:r>
            <w:r>
              <w:rPr>
                <w:rFonts w:hint="eastAsia"/>
                <w:lang w:val="en-US" w:eastAsia="zh-CN"/>
              </w:rPr>
              <w:t>爆炸</w:t>
            </w:r>
            <w:r>
              <w:rPr>
                <w:rFonts w:hint="default"/>
                <w:lang w:val="en-US" w:eastAsia="zh-CN"/>
              </w:rPr>
              <w:t>事故，保障环境安全与人员健康，特制定以下环境风险防范措施及应急要求：</w:t>
            </w:r>
          </w:p>
          <w:p>
            <w:pPr>
              <w:pStyle w:val="68"/>
              <w:bidi w:val="0"/>
              <w:rPr>
                <w:rFonts w:hint="eastAsia"/>
                <w:lang w:val="en-US" w:eastAsia="zh-CN"/>
              </w:rPr>
            </w:pPr>
            <w:r>
              <w:rPr>
                <w:rFonts w:hint="default"/>
              </w:rPr>
              <w:t>①</w:t>
            </w:r>
            <w:r>
              <w:rPr>
                <w:rFonts w:hint="eastAsia"/>
                <w:lang w:val="en-US" w:eastAsia="zh-CN"/>
              </w:rPr>
              <w:t>生产车间需符合防火、防爆要求，远离火源、热源及易燃易爆物品。</w:t>
            </w:r>
          </w:p>
          <w:p>
            <w:pPr>
              <w:pStyle w:val="68"/>
              <w:bidi w:val="0"/>
              <w:rPr>
                <w:rFonts w:hint="default"/>
              </w:rPr>
            </w:pPr>
            <w:r>
              <w:rPr>
                <w:rFonts w:hint="default"/>
              </w:rPr>
              <w:t>②车间内的电气设备必须符合防爆要求，避免因电气火花引发火灾事故。定期对电气设备进行检查、维护和保养，及时更换老化、损坏的设备和线路。</w:t>
            </w:r>
          </w:p>
          <w:p>
            <w:pPr>
              <w:pStyle w:val="68"/>
              <w:bidi w:val="0"/>
              <w:rPr>
                <w:rFonts w:hint="default" w:eastAsia="宋体"/>
                <w:lang w:val="en-US" w:eastAsia="zh-CN"/>
              </w:rPr>
            </w:pPr>
            <w:r>
              <w:rPr>
                <w:rFonts w:hint="default"/>
              </w:rPr>
              <w:t>③</w:t>
            </w:r>
            <w:r>
              <w:rPr>
                <w:rFonts w:hint="eastAsia"/>
                <w:lang w:val="en-US" w:eastAsia="zh-CN"/>
              </w:rPr>
              <w:t>在生产过程中，如进行破碎、筛分等可能产生硅粉飞扬的操作时，应采取密闭措施，并配备相应的除尘设备，及时收集硅粉，防止其在车间内积聚。</w:t>
            </w:r>
          </w:p>
        </w:tc>
      </w:tr>
    </w:tbl>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黑体" w:cs="Times New Roman"/>
          <w:snapToGrid w:val="0"/>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五、</w:t>
      </w:r>
      <w:bookmarkStart w:id="20" w:name="_Hlk54167917"/>
      <w:r>
        <w:rPr>
          <w:rFonts w:hint="default" w:ascii="Times New Roman" w:hAnsi="Times New Roman" w:eastAsia="黑体" w:cs="Times New Roman"/>
          <w:snapToGrid w:val="0"/>
          <w:color w:val="auto"/>
          <w:sz w:val="30"/>
          <w:szCs w:val="30"/>
        </w:rPr>
        <w:t>环境保护措施监督检查清单</w:t>
      </w:r>
      <w:bookmarkEnd w:id="20"/>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696"/>
        <w:gridCol w:w="1260"/>
        <w:gridCol w:w="2115"/>
        <w:gridCol w:w="12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00" w:type="dxa"/>
            <w:tcBorders>
              <w:tl2br w:val="single" w:color="auto" w:sz="4" w:space="0"/>
            </w:tcBorders>
            <w:noWrap w:val="0"/>
            <w:vAlign w:val="center"/>
          </w:tcPr>
          <w:p>
            <w:pPr>
              <w:adjustRightInd w:val="0"/>
              <w:snapToGrid w:val="0"/>
              <w:spacing w:line="240" w:lineRule="auto"/>
              <w:ind w:firstLine="420" w:firstLineChars="20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内</w:t>
            </w:r>
            <w:r>
              <w:rPr>
                <w:rFonts w:hint="default" w:ascii="Times New Roman" w:hAnsi="Times New Roman" w:eastAsia="宋体" w:cs="Times New Roman"/>
                <w:color w:val="auto"/>
                <w:sz w:val="21"/>
                <w:szCs w:val="21"/>
              </w:rPr>
              <w:t>容</w:t>
            </w:r>
          </w:p>
          <w:p>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要素</w:t>
            </w:r>
          </w:p>
        </w:tc>
        <w:tc>
          <w:tcPr>
            <w:tcW w:w="2696" w:type="dxa"/>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编号、名称</w:t>
            </w:r>
            <w:r>
              <w:rPr>
                <w:rFonts w:hint="default" w:ascii="Times New Roman" w:hAnsi="Times New Roman" w:eastAsia="宋体" w:cs="Times New Roman"/>
                <w:color w:val="auto"/>
                <w:sz w:val="21"/>
                <w:szCs w:val="21"/>
                <w:lang w:eastAsia="zh-CN"/>
              </w:rPr>
              <w:t>）</w:t>
            </w:r>
          </w:p>
        </w:tc>
        <w:tc>
          <w:tcPr>
            <w:tcW w:w="1260" w:type="dxa"/>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污染物项目</w:t>
            </w:r>
          </w:p>
        </w:tc>
        <w:tc>
          <w:tcPr>
            <w:tcW w:w="2115" w:type="dxa"/>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环境保护措施</w:t>
            </w:r>
          </w:p>
        </w:tc>
        <w:tc>
          <w:tcPr>
            <w:tcW w:w="1251" w:type="dxa"/>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大气环境</w:t>
            </w:r>
          </w:p>
        </w:tc>
        <w:tc>
          <w:tcPr>
            <w:tcW w:w="2696" w:type="dxa"/>
            <w:shd w:val="clear" w:color="auto" w:fill="auto"/>
            <w:noWrap w:val="0"/>
            <w:vAlign w:val="center"/>
          </w:tcPr>
          <w:p>
            <w:pPr>
              <w:pStyle w:val="66"/>
              <w:bidi w:val="0"/>
              <w:rPr>
                <w:rFonts w:hint="default" w:ascii="Times New Roman" w:hAnsi="Times New Roman" w:eastAsia="宋体" w:cs="宋体"/>
                <w:kern w:val="0"/>
                <w:sz w:val="21"/>
                <w:szCs w:val="21"/>
                <w:lang w:val="en-US" w:eastAsia="zh-CN" w:bidi="ar-SA"/>
              </w:rPr>
            </w:pPr>
            <w:r>
              <w:rPr>
                <w:rFonts w:hint="eastAsia" w:cs="宋体"/>
                <w:kern w:val="0"/>
                <w:sz w:val="21"/>
                <w:szCs w:val="21"/>
                <w:lang w:val="en-US" w:eastAsia="zh-CN" w:bidi="ar-SA"/>
              </w:rPr>
              <w:t>1#生产线一级破碎、二级破碎、筛分、三级破碎废气（DA001）</w:t>
            </w:r>
          </w:p>
        </w:tc>
        <w:tc>
          <w:tcPr>
            <w:tcW w:w="1260" w:type="dxa"/>
            <w:shd w:val="clear" w:color="auto" w:fill="auto"/>
            <w:noWrap w:val="0"/>
            <w:vAlign w:val="center"/>
          </w:tcPr>
          <w:p>
            <w:pPr>
              <w:pStyle w:val="66"/>
              <w:bidi w:val="0"/>
              <w:rPr>
                <w:rFonts w:hint="default" w:ascii="Times New Roman" w:hAnsi="Times New Roman" w:eastAsia="宋体" w:cs="宋体"/>
                <w:kern w:val="0"/>
                <w:sz w:val="21"/>
                <w:szCs w:val="21"/>
                <w:lang w:val="en-US" w:eastAsia="zh-CN" w:bidi="ar-SA"/>
              </w:rPr>
            </w:pPr>
            <w:r>
              <w:rPr>
                <w:rFonts w:hint="eastAsia"/>
                <w:lang w:val="en-US" w:eastAsia="zh-CN"/>
              </w:rPr>
              <w:t>颗粒物</w:t>
            </w:r>
          </w:p>
        </w:tc>
        <w:tc>
          <w:tcPr>
            <w:tcW w:w="2115" w:type="dxa"/>
            <w:shd w:val="clear" w:color="auto" w:fill="auto"/>
            <w:noWrap w:val="0"/>
            <w:vAlign w:val="center"/>
          </w:tcPr>
          <w:p>
            <w:pPr>
              <w:pStyle w:val="66"/>
              <w:bidi w:val="0"/>
              <w:rPr>
                <w:rFonts w:hint="default" w:ascii="Times New Roman" w:hAnsi="Times New Roman" w:eastAsia="宋体" w:cs="宋体"/>
                <w:kern w:val="0"/>
                <w:sz w:val="21"/>
                <w:szCs w:val="21"/>
                <w:lang w:val="en-US" w:eastAsia="zh-CN" w:bidi="ar-SA"/>
              </w:rPr>
            </w:pPr>
            <w:r>
              <w:rPr>
                <w:rFonts w:hint="eastAsia" w:cs="宋体"/>
                <w:kern w:val="0"/>
                <w:sz w:val="21"/>
                <w:szCs w:val="21"/>
                <w:lang w:val="en-US" w:eastAsia="zh-CN" w:bidi="ar-SA"/>
              </w:rPr>
              <w:t>布袋除尘器+15m排气筒</w:t>
            </w:r>
          </w:p>
        </w:tc>
        <w:tc>
          <w:tcPr>
            <w:tcW w:w="1251" w:type="dxa"/>
            <w:vMerge w:val="restart"/>
            <w:shd w:val="clear" w:color="auto" w:fill="auto"/>
            <w:noWrap w:val="0"/>
            <w:vAlign w:val="center"/>
          </w:tcPr>
          <w:p>
            <w:pPr>
              <w:pStyle w:val="42"/>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highlight w:val="none"/>
                <w:lang w:val="en-US" w:eastAsia="zh-CN"/>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696" w:type="dxa"/>
            <w:shd w:val="clear" w:color="auto" w:fill="auto"/>
            <w:noWrap w:val="0"/>
            <w:vAlign w:val="center"/>
          </w:tcPr>
          <w:p>
            <w:pPr>
              <w:pStyle w:val="66"/>
              <w:bidi w:val="0"/>
              <w:rPr>
                <w:rFonts w:hint="eastAsia" w:cs="宋体"/>
                <w:kern w:val="0"/>
                <w:sz w:val="21"/>
                <w:szCs w:val="21"/>
                <w:lang w:val="en-US" w:eastAsia="zh-CN" w:bidi="ar-SA"/>
              </w:rPr>
            </w:pPr>
            <w:r>
              <w:rPr>
                <w:rFonts w:hint="eastAsia" w:cs="宋体"/>
                <w:kern w:val="0"/>
                <w:sz w:val="21"/>
                <w:szCs w:val="21"/>
                <w:lang w:val="en-US" w:eastAsia="zh-CN" w:bidi="ar-SA"/>
              </w:rPr>
              <w:t>2#生产线一级破碎、二级破碎、筛分、三级破碎废气（DA002）</w:t>
            </w:r>
          </w:p>
        </w:tc>
        <w:tc>
          <w:tcPr>
            <w:tcW w:w="1260" w:type="dxa"/>
            <w:shd w:val="clear" w:color="auto" w:fill="auto"/>
            <w:noWrap w:val="0"/>
            <w:vAlign w:val="center"/>
          </w:tcPr>
          <w:p>
            <w:pPr>
              <w:pStyle w:val="66"/>
              <w:bidi w:val="0"/>
              <w:rPr>
                <w:rFonts w:hint="eastAsia"/>
                <w:lang w:val="en-US" w:eastAsia="zh-CN"/>
              </w:rPr>
            </w:pPr>
            <w:r>
              <w:rPr>
                <w:rFonts w:hint="eastAsia"/>
                <w:lang w:val="en-US" w:eastAsia="zh-CN"/>
              </w:rPr>
              <w:t>颗粒物</w:t>
            </w:r>
          </w:p>
        </w:tc>
        <w:tc>
          <w:tcPr>
            <w:tcW w:w="2115" w:type="dxa"/>
            <w:shd w:val="clear" w:color="auto" w:fill="auto"/>
            <w:noWrap w:val="0"/>
            <w:vAlign w:val="center"/>
          </w:tcPr>
          <w:p>
            <w:pPr>
              <w:pStyle w:val="66"/>
              <w:bidi w:val="0"/>
              <w:rPr>
                <w:rFonts w:hint="eastAsia" w:cs="宋体"/>
                <w:kern w:val="0"/>
                <w:sz w:val="21"/>
                <w:szCs w:val="21"/>
                <w:lang w:val="en-US" w:eastAsia="zh-CN" w:bidi="ar-SA"/>
              </w:rPr>
            </w:pPr>
            <w:r>
              <w:rPr>
                <w:rFonts w:hint="eastAsia" w:cs="宋体"/>
                <w:kern w:val="0"/>
                <w:sz w:val="21"/>
                <w:szCs w:val="21"/>
                <w:lang w:val="en-US" w:eastAsia="zh-CN" w:bidi="ar-SA"/>
              </w:rPr>
              <w:t>布袋除尘器+15m排气筒</w:t>
            </w:r>
          </w:p>
        </w:tc>
        <w:tc>
          <w:tcPr>
            <w:tcW w:w="1251" w:type="dxa"/>
            <w:vMerge w:val="continue"/>
            <w:shd w:val="clear" w:color="auto" w:fill="auto"/>
            <w:noWrap w:val="0"/>
            <w:vAlign w:val="center"/>
          </w:tcPr>
          <w:p>
            <w:pPr>
              <w:pStyle w:val="42"/>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eastAsia"/>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696" w:type="dxa"/>
            <w:shd w:val="clear" w:color="auto" w:fill="auto"/>
            <w:noWrap w:val="0"/>
            <w:vAlign w:val="center"/>
          </w:tcPr>
          <w:p>
            <w:pPr>
              <w:pStyle w:val="66"/>
              <w:bidi w:val="0"/>
              <w:rPr>
                <w:rFonts w:hint="eastAsia" w:cs="宋体"/>
                <w:kern w:val="0"/>
                <w:sz w:val="21"/>
                <w:szCs w:val="21"/>
                <w:lang w:val="en-US" w:eastAsia="zh-CN" w:bidi="ar-SA"/>
              </w:rPr>
            </w:pPr>
            <w:r>
              <w:rPr>
                <w:rFonts w:hint="eastAsia" w:cs="宋体"/>
                <w:kern w:val="0"/>
                <w:sz w:val="21"/>
                <w:szCs w:val="21"/>
                <w:lang w:val="en-US" w:eastAsia="zh-CN" w:bidi="ar-SA"/>
              </w:rPr>
              <w:t>3#生产线一级破碎、二级破碎、筛分、三级破碎废气（DA003）</w:t>
            </w:r>
          </w:p>
        </w:tc>
        <w:tc>
          <w:tcPr>
            <w:tcW w:w="1260" w:type="dxa"/>
            <w:shd w:val="clear" w:color="auto" w:fill="auto"/>
            <w:noWrap w:val="0"/>
            <w:vAlign w:val="center"/>
          </w:tcPr>
          <w:p>
            <w:pPr>
              <w:pStyle w:val="66"/>
              <w:bidi w:val="0"/>
              <w:rPr>
                <w:rFonts w:hint="eastAsia"/>
                <w:lang w:val="en-US" w:eastAsia="zh-CN"/>
              </w:rPr>
            </w:pPr>
            <w:r>
              <w:rPr>
                <w:rFonts w:hint="eastAsia"/>
                <w:lang w:val="en-US" w:eastAsia="zh-CN"/>
              </w:rPr>
              <w:t>颗粒物</w:t>
            </w:r>
          </w:p>
        </w:tc>
        <w:tc>
          <w:tcPr>
            <w:tcW w:w="2115" w:type="dxa"/>
            <w:shd w:val="clear" w:color="auto" w:fill="auto"/>
            <w:noWrap w:val="0"/>
            <w:vAlign w:val="center"/>
          </w:tcPr>
          <w:p>
            <w:pPr>
              <w:pStyle w:val="66"/>
              <w:bidi w:val="0"/>
              <w:rPr>
                <w:rFonts w:hint="eastAsia" w:cs="宋体"/>
                <w:kern w:val="0"/>
                <w:sz w:val="21"/>
                <w:szCs w:val="21"/>
                <w:lang w:val="en-US" w:eastAsia="zh-CN" w:bidi="ar-SA"/>
              </w:rPr>
            </w:pPr>
            <w:r>
              <w:rPr>
                <w:rFonts w:hint="eastAsia" w:cs="宋体"/>
                <w:kern w:val="0"/>
                <w:sz w:val="21"/>
                <w:szCs w:val="21"/>
                <w:lang w:val="en-US" w:eastAsia="zh-CN" w:bidi="ar-SA"/>
              </w:rPr>
              <w:t>布袋除尘器+15m排气筒</w:t>
            </w:r>
          </w:p>
        </w:tc>
        <w:tc>
          <w:tcPr>
            <w:tcW w:w="1251" w:type="dxa"/>
            <w:vMerge w:val="continue"/>
            <w:shd w:val="clear" w:color="auto" w:fill="auto"/>
            <w:noWrap w:val="0"/>
            <w:vAlign w:val="center"/>
          </w:tcPr>
          <w:p>
            <w:pPr>
              <w:pStyle w:val="42"/>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eastAsia"/>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696" w:type="dxa"/>
            <w:shd w:val="clear" w:color="auto" w:fill="auto"/>
            <w:noWrap w:val="0"/>
            <w:vAlign w:val="center"/>
          </w:tcPr>
          <w:p>
            <w:pPr>
              <w:pStyle w:val="66"/>
              <w:bidi w:val="0"/>
              <w:rPr>
                <w:rFonts w:hint="eastAsia" w:cs="宋体"/>
                <w:kern w:val="0"/>
                <w:sz w:val="21"/>
                <w:szCs w:val="21"/>
                <w:lang w:val="en-US" w:eastAsia="zh-CN" w:bidi="ar-SA"/>
              </w:rPr>
            </w:pPr>
            <w:r>
              <w:rPr>
                <w:rFonts w:hint="eastAsia" w:cs="宋体"/>
                <w:kern w:val="0"/>
                <w:sz w:val="21"/>
                <w:szCs w:val="21"/>
                <w:lang w:val="en-US" w:eastAsia="zh-CN" w:bidi="ar-SA"/>
              </w:rPr>
              <w:t>4#生产线一级破碎、二级破碎、筛分、三级破碎废气（DA004）</w:t>
            </w:r>
          </w:p>
        </w:tc>
        <w:tc>
          <w:tcPr>
            <w:tcW w:w="1260" w:type="dxa"/>
            <w:shd w:val="clear" w:color="auto" w:fill="auto"/>
            <w:noWrap w:val="0"/>
            <w:vAlign w:val="center"/>
          </w:tcPr>
          <w:p>
            <w:pPr>
              <w:pStyle w:val="66"/>
              <w:bidi w:val="0"/>
              <w:rPr>
                <w:rFonts w:hint="eastAsia"/>
                <w:lang w:val="en-US" w:eastAsia="zh-CN"/>
              </w:rPr>
            </w:pPr>
            <w:r>
              <w:rPr>
                <w:rFonts w:hint="eastAsia"/>
                <w:lang w:val="en-US" w:eastAsia="zh-CN"/>
              </w:rPr>
              <w:t>颗粒物</w:t>
            </w:r>
          </w:p>
        </w:tc>
        <w:tc>
          <w:tcPr>
            <w:tcW w:w="2115" w:type="dxa"/>
            <w:shd w:val="clear" w:color="auto" w:fill="auto"/>
            <w:noWrap w:val="0"/>
            <w:vAlign w:val="center"/>
          </w:tcPr>
          <w:p>
            <w:pPr>
              <w:pStyle w:val="66"/>
              <w:bidi w:val="0"/>
              <w:rPr>
                <w:rFonts w:hint="eastAsia" w:cs="宋体"/>
                <w:kern w:val="0"/>
                <w:sz w:val="21"/>
                <w:szCs w:val="21"/>
                <w:lang w:val="en-US" w:eastAsia="zh-CN" w:bidi="ar-SA"/>
              </w:rPr>
            </w:pPr>
            <w:r>
              <w:rPr>
                <w:rFonts w:hint="eastAsia" w:cs="宋体"/>
                <w:kern w:val="0"/>
                <w:sz w:val="21"/>
                <w:szCs w:val="21"/>
                <w:lang w:val="en-US" w:eastAsia="zh-CN" w:bidi="ar-SA"/>
              </w:rPr>
              <w:t>布袋除尘器+15m排气筒</w:t>
            </w:r>
          </w:p>
        </w:tc>
        <w:tc>
          <w:tcPr>
            <w:tcW w:w="1251" w:type="dxa"/>
            <w:vMerge w:val="continue"/>
            <w:shd w:val="clear" w:color="auto" w:fill="auto"/>
            <w:noWrap w:val="0"/>
            <w:vAlign w:val="center"/>
          </w:tcPr>
          <w:p>
            <w:pPr>
              <w:pStyle w:val="42"/>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eastAsia"/>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696" w:type="dxa"/>
            <w:shd w:val="clear" w:color="auto" w:fill="auto"/>
            <w:noWrap w:val="0"/>
            <w:vAlign w:val="center"/>
          </w:tcPr>
          <w:p>
            <w:pPr>
              <w:pStyle w:val="66"/>
              <w:bidi w:val="0"/>
              <w:rPr>
                <w:rFonts w:hint="eastAsia" w:ascii="Times New Roman" w:hAnsi="Times New Roman" w:eastAsia="宋体" w:cs="宋体"/>
                <w:kern w:val="0"/>
                <w:sz w:val="21"/>
                <w:szCs w:val="21"/>
                <w:lang w:val="en-US" w:eastAsia="zh-CN" w:bidi="ar-SA"/>
              </w:rPr>
            </w:pPr>
            <w:r>
              <w:rPr>
                <w:rFonts w:hint="eastAsia"/>
                <w:lang w:val="en-US" w:eastAsia="zh-CN"/>
              </w:rPr>
              <w:t>输送粉尘</w:t>
            </w:r>
          </w:p>
        </w:tc>
        <w:tc>
          <w:tcPr>
            <w:tcW w:w="1260" w:type="dxa"/>
            <w:shd w:val="clear" w:color="auto" w:fill="auto"/>
            <w:noWrap w:val="0"/>
            <w:vAlign w:val="center"/>
          </w:tcPr>
          <w:p>
            <w:pPr>
              <w:pStyle w:val="66"/>
              <w:bidi w:val="0"/>
              <w:rPr>
                <w:rFonts w:hint="default" w:ascii="Times New Roman" w:hAnsi="Times New Roman" w:eastAsia="宋体" w:cs="宋体"/>
                <w:kern w:val="0"/>
                <w:sz w:val="21"/>
                <w:szCs w:val="21"/>
                <w:lang w:val="en-US" w:eastAsia="zh-CN" w:bidi="ar-SA"/>
              </w:rPr>
            </w:pPr>
            <w:r>
              <w:rPr>
                <w:rFonts w:hint="eastAsia"/>
                <w:lang w:val="en-US" w:eastAsia="zh-CN"/>
              </w:rPr>
              <w:t>颗粒物</w:t>
            </w:r>
          </w:p>
        </w:tc>
        <w:tc>
          <w:tcPr>
            <w:tcW w:w="2115" w:type="dxa"/>
            <w:shd w:val="clear" w:color="auto" w:fill="auto"/>
            <w:noWrap w:val="0"/>
            <w:vAlign w:val="center"/>
          </w:tcPr>
          <w:p>
            <w:pPr>
              <w:pStyle w:val="66"/>
              <w:bidi w:val="0"/>
              <w:rPr>
                <w:rFonts w:hint="default" w:ascii="Times New Roman" w:hAnsi="Times New Roman" w:eastAsia="宋体" w:cs="宋体"/>
                <w:kern w:val="0"/>
                <w:sz w:val="21"/>
                <w:szCs w:val="21"/>
                <w:lang w:val="en-US" w:eastAsia="zh-CN" w:bidi="ar-SA"/>
              </w:rPr>
            </w:pPr>
            <w:r>
              <w:rPr>
                <w:rFonts w:hint="eastAsia"/>
                <w:lang w:val="en-US" w:eastAsia="zh-CN"/>
              </w:rPr>
              <w:t>输送皮带密闭</w:t>
            </w:r>
          </w:p>
        </w:tc>
        <w:tc>
          <w:tcPr>
            <w:tcW w:w="1251" w:type="dxa"/>
            <w:vMerge w:val="continue"/>
            <w:shd w:val="clear" w:color="auto" w:fill="auto"/>
            <w:noWrap w:val="0"/>
            <w:vAlign w:val="center"/>
          </w:tcPr>
          <w:p>
            <w:pPr>
              <w:pStyle w:val="42"/>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696" w:type="dxa"/>
            <w:shd w:val="clear" w:color="auto" w:fill="auto"/>
            <w:noWrap w:val="0"/>
            <w:vAlign w:val="center"/>
          </w:tcPr>
          <w:p>
            <w:pPr>
              <w:pStyle w:val="42"/>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投料粉尘</w:t>
            </w:r>
          </w:p>
        </w:tc>
        <w:tc>
          <w:tcPr>
            <w:tcW w:w="1260" w:type="dxa"/>
            <w:shd w:val="clear" w:color="auto" w:fill="auto"/>
            <w:noWrap w:val="0"/>
            <w:vAlign w:val="center"/>
          </w:tcPr>
          <w:p>
            <w:pPr>
              <w:pStyle w:val="42"/>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2115" w:type="dxa"/>
            <w:shd w:val="clear" w:color="auto" w:fill="auto"/>
            <w:noWrap w:val="0"/>
            <w:vAlign w:val="center"/>
          </w:tcPr>
          <w:p>
            <w:pPr>
              <w:pStyle w:val="42"/>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厂房密闭+洒水降尘</w:t>
            </w:r>
          </w:p>
        </w:tc>
        <w:tc>
          <w:tcPr>
            <w:tcW w:w="1251" w:type="dxa"/>
            <w:vMerge w:val="continue"/>
            <w:shd w:val="clear" w:color="auto" w:fill="auto"/>
            <w:noWrap w:val="0"/>
            <w:vAlign w:val="center"/>
          </w:tcPr>
          <w:p>
            <w:pPr>
              <w:pStyle w:val="42"/>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696" w:type="dxa"/>
            <w:shd w:val="clear" w:color="auto" w:fill="auto"/>
            <w:noWrap w:val="0"/>
            <w:vAlign w:val="center"/>
          </w:tcPr>
          <w:p>
            <w:pPr>
              <w:pStyle w:val="42"/>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堆场粉尘</w:t>
            </w:r>
          </w:p>
        </w:tc>
        <w:tc>
          <w:tcPr>
            <w:tcW w:w="1260" w:type="dxa"/>
            <w:shd w:val="clear" w:color="auto" w:fill="auto"/>
            <w:noWrap w:val="0"/>
            <w:vAlign w:val="center"/>
          </w:tcPr>
          <w:p>
            <w:pPr>
              <w:pStyle w:val="42"/>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2115" w:type="dxa"/>
            <w:shd w:val="clear" w:color="auto" w:fill="auto"/>
            <w:noWrap w:val="0"/>
            <w:vAlign w:val="center"/>
          </w:tcPr>
          <w:p>
            <w:pPr>
              <w:pStyle w:val="42"/>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厂房密闭</w:t>
            </w:r>
          </w:p>
        </w:tc>
        <w:tc>
          <w:tcPr>
            <w:tcW w:w="1251" w:type="dxa"/>
            <w:vMerge w:val="continue"/>
            <w:shd w:val="clear" w:color="auto" w:fill="auto"/>
            <w:noWrap w:val="0"/>
            <w:vAlign w:val="center"/>
          </w:tcPr>
          <w:p>
            <w:pPr>
              <w:pStyle w:val="42"/>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地表水环境</w:t>
            </w:r>
          </w:p>
        </w:tc>
        <w:tc>
          <w:tcPr>
            <w:tcW w:w="2696"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生活污水</w:t>
            </w:r>
          </w:p>
        </w:tc>
        <w:tc>
          <w:tcPr>
            <w:tcW w:w="1260" w:type="dxa"/>
            <w:vMerge w:val="restart"/>
            <w:shd w:val="clear" w:color="auto" w:fill="auto"/>
            <w:noWrap w:val="0"/>
            <w:vAlign w:val="center"/>
          </w:tcPr>
          <w:p>
            <w:pPr>
              <w:pStyle w:val="42"/>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COD、BOD</w:t>
            </w:r>
            <w:r>
              <w:rPr>
                <w:rFonts w:hint="default" w:ascii="Times New Roman" w:hAnsi="Times New Roman" w:eastAsia="宋体" w:cs="Times New Roman"/>
                <w:color w:val="auto"/>
                <w:sz w:val="21"/>
                <w:szCs w:val="21"/>
                <w:highlight w:val="none"/>
                <w:vertAlign w:val="subscript"/>
              </w:rPr>
              <w:t>5</w:t>
            </w:r>
            <w:r>
              <w:rPr>
                <w:rFonts w:hint="default" w:ascii="Times New Roman" w:hAnsi="Times New Roman" w:eastAsia="宋体" w:cs="Times New Roman"/>
                <w:color w:val="auto"/>
                <w:sz w:val="21"/>
                <w:szCs w:val="21"/>
                <w:highlight w:val="none"/>
              </w:rPr>
              <w:t>、SS、NH</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-N</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动植物油</w:t>
            </w:r>
          </w:p>
        </w:tc>
        <w:tc>
          <w:tcPr>
            <w:tcW w:w="2115" w:type="dxa"/>
            <w:shd w:val="clear" w:color="auto" w:fill="auto"/>
            <w:noWrap w:val="0"/>
            <w:vAlign w:val="center"/>
          </w:tcPr>
          <w:p>
            <w:pPr>
              <w:pStyle w:val="42"/>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shd w:val="clear"/>
                <w:lang w:val="en-US" w:eastAsia="zh-CN"/>
              </w:rPr>
              <w:t>生活污水</w:t>
            </w:r>
            <w:r>
              <w:rPr>
                <w:rFonts w:hint="eastAsia" w:cs="Times New Roman"/>
                <w:color w:val="auto"/>
                <w:sz w:val="21"/>
                <w:szCs w:val="21"/>
                <w:highlight w:val="none"/>
                <w:shd w:val="clear"/>
                <w:lang w:val="en-US" w:eastAsia="zh-CN"/>
              </w:rPr>
              <w:t>先经化粪池预处理，再通过园区排水管网排入若羌县城乡污水处理厂进行集中处理</w:t>
            </w:r>
          </w:p>
        </w:tc>
        <w:tc>
          <w:tcPr>
            <w:tcW w:w="1251" w:type="dxa"/>
            <w:vMerge w:val="restart"/>
            <w:shd w:val="clear" w:color="auto" w:fill="auto"/>
            <w:noWrap w:val="0"/>
            <w:vAlign w:val="center"/>
          </w:tcPr>
          <w:p>
            <w:pPr>
              <w:pStyle w:val="42"/>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p>
        </w:tc>
        <w:tc>
          <w:tcPr>
            <w:tcW w:w="2696"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生产废水</w:t>
            </w:r>
          </w:p>
        </w:tc>
        <w:tc>
          <w:tcPr>
            <w:tcW w:w="1260" w:type="dxa"/>
            <w:vMerge w:val="continue"/>
            <w:shd w:val="clear" w:color="auto" w:fill="auto"/>
            <w:noWrap w:val="0"/>
            <w:vAlign w:val="center"/>
          </w:tcPr>
          <w:p>
            <w:pPr>
              <w:pStyle w:val="42"/>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2115" w:type="dxa"/>
            <w:shd w:val="clear" w:color="auto" w:fill="auto"/>
            <w:noWrap w:val="0"/>
            <w:vAlign w:val="center"/>
          </w:tcPr>
          <w:p>
            <w:pPr>
              <w:pStyle w:val="42"/>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洒水降尘用水蒸发逸散，不外排</w:t>
            </w:r>
          </w:p>
        </w:tc>
        <w:tc>
          <w:tcPr>
            <w:tcW w:w="1251" w:type="dxa"/>
            <w:vMerge w:val="continue"/>
            <w:shd w:val="clear" w:color="auto" w:fill="auto"/>
            <w:noWrap w:val="0"/>
            <w:vAlign w:val="center"/>
          </w:tcPr>
          <w:p>
            <w:pPr>
              <w:pStyle w:val="42"/>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w:t>
            </w:r>
          </w:p>
        </w:tc>
        <w:tc>
          <w:tcPr>
            <w:tcW w:w="2696"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设备噪声</w:t>
            </w:r>
          </w:p>
        </w:tc>
        <w:tc>
          <w:tcPr>
            <w:tcW w:w="126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2115" w:type="dxa"/>
            <w:shd w:val="clear" w:color="auto" w:fill="auto"/>
            <w:noWrap w:val="0"/>
            <w:vAlign w:val="center"/>
          </w:tcPr>
          <w:p>
            <w:pPr>
              <w:pStyle w:val="42"/>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合理布置产噪设备，优化设备选型，设置基础减振，加强设备的检修和维护</w:t>
            </w:r>
            <w:r>
              <w:rPr>
                <w:rFonts w:hint="default" w:ascii="Times New Roman" w:hAnsi="Times New Roman" w:eastAsia="宋体" w:cs="Times New Roman"/>
                <w:color w:val="auto"/>
                <w:sz w:val="21"/>
                <w:szCs w:val="21"/>
                <w:lang w:eastAsia="zh-CN"/>
              </w:rPr>
              <w:t>。</w:t>
            </w:r>
          </w:p>
        </w:tc>
        <w:tc>
          <w:tcPr>
            <w:tcW w:w="1251" w:type="dxa"/>
            <w:shd w:val="clear" w:color="auto" w:fill="auto"/>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《工业企业厂界环境噪声排放标准》（GB12348—2008）</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2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电磁辐射</w:t>
            </w:r>
          </w:p>
        </w:tc>
        <w:tc>
          <w:tcPr>
            <w:tcW w:w="2696"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6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1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51"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固体废物</w:t>
            </w:r>
          </w:p>
        </w:tc>
        <w:tc>
          <w:tcPr>
            <w:tcW w:w="7322" w:type="dxa"/>
            <w:gridSpan w:val="4"/>
            <w:shd w:val="clear" w:color="auto" w:fill="auto"/>
            <w:noWrap w:val="0"/>
            <w:vAlign w:val="center"/>
          </w:tcPr>
          <w:p>
            <w:pPr>
              <w:pStyle w:val="68"/>
              <w:bidi w:val="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本</w:t>
            </w:r>
            <w:r>
              <w:rPr>
                <w:rFonts w:hint="default" w:ascii="Times New Roman" w:hAnsi="Times New Roman" w:eastAsia="宋体" w:cs="Times New Roman"/>
                <w:kern w:val="2"/>
                <w:sz w:val="21"/>
                <w:szCs w:val="21"/>
                <w:lang w:val="en-US" w:eastAsia="zh-CN" w:bidi="ar-SA"/>
              </w:rPr>
              <w:t>项目</w:t>
            </w:r>
            <w:r>
              <w:rPr>
                <w:rFonts w:hint="eastAsia" w:ascii="Times New Roman" w:hAnsi="Times New Roman" w:eastAsia="宋体" w:cs="Times New Roman"/>
                <w:kern w:val="2"/>
                <w:sz w:val="21"/>
                <w:szCs w:val="21"/>
                <w:lang w:val="en-US" w:eastAsia="zh-CN" w:bidi="ar-SA"/>
              </w:rPr>
              <w:t>除尘器收集的粉尘作为产品外售或回用于饼状硅生产环节；磁选机</w:t>
            </w:r>
            <w:r>
              <w:rPr>
                <w:rFonts w:hint="eastAsia" w:cs="Times New Roman"/>
                <w:kern w:val="2"/>
                <w:sz w:val="21"/>
                <w:szCs w:val="21"/>
                <w:lang w:val="en-US" w:eastAsia="zh-CN" w:bidi="ar-SA"/>
              </w:rPr>
              <w:t>和强磁铁</w:t>
            </w:r>
            <w:r>
              <w:rPr>
                <w:rFonts w:hint="eastAsia" w:ascii="Times New Roman" w:hAnsi="Times New Roman" w:eastAsia="宋体" w:cs="Times New Roman"/>
                <w:kern w:val="2"/>
                <w:sz w:val="21"/>
                <w:szCs w:val="21"/>
                <w:lang w:val="en-US" w:eastAsia="zh-CN" w:bidi="ar-SA"/>
              </w:rPr>
              <w:t>产生的铁粉收集后外售综合利用；</w:t>
            </w:r>
            <w:r>
              <w:rPr>
                <w:rFonts w:hint="eastAsia" w:cs="Times New Roman"/>
                <w:kern w:val="2"/>
                <w:sz w:val="21"/>
                <w:szCs w:val="21"/>
                <w:lang w:val="en-US" w:eastAsia="zh-CN" w:bidi="ar-SA"/>
              </w:rPr>
              <w:t>废布袋定期由设备厂家更换回收处理；</w:t>
            </w:r>
            <w:r>
              <w:rPr>
                <w:rFonts w:hint="eastAsia" w:ascii="Times New Roman" w:hAnsi="Times New Roman" w:eastAsia="宋体" w:cs="Times New Roman"/>
                <w:kern w:val="2"/>
                <w:sz w:val="21"/>
                <w:szCs w:val="21"/>
                <w:lang w:val="en-US" w:eastAsia="zh-CN" w:bidi="ar-SA"/>
              </w:rPr>
              <w:t>废弃的原料包装袋收集后交由供应商回收再利用；生活垃圾集中收集后由环卫部门定期清运处理；废润滑油和废润滑油桶暂存危险废物贮存</w:t>
            </w:r>
            <w:r>
              <w:rPr>
                <w:rFonts w:hint="eastAsia" w:cs="Times New Roman"/>
                <w:kern w:val="2"/>
                <w:sz w:val="21"/>
                <w:szCs w:val="21"/>
                <w:lang w:val="en-US" w:eastAsia="zh-CN" w:bidi="ar-SA"/>
              </w:rPr>
              <w:t>点处</w:t>
            </w:r>
            <w:r>
              <w:rPr>
                <w:rFonts w:hint="eastAsia" w:ascii="Times New Roman" w:hAnsi="Times New Roman" w:eastAsia="宋体" w:cs="Times New Roman"/>
                <w:kern w:val="2"/>
                <w:sz w:val="21"/>
                <w:szCs w:val="21"/>
                <w:lang w:val="en-US" w:eastAsia="zh-CN" w:bidi="ar-SA"/>
              </w:rPr>
              <w:t>并定期委托有资质的单位进行拉运处理。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土壤及</w:t>
            </w:r>
            <w:r>
              <w:rPr>
                <w:rFonts w:hint="default" w:ascii="Times New Roman" w:hAnsi="Times New Roman" w:eastAsia="宋体" w:cs="Times New Roman"/>
                <w:color w:val="auto"/>
                <w:sz w:val="21"/>
                <w:szCs w:val="21"/>
                <w:lang w:val="en-US" w:eastAsia="zh-CN"/>
              </w:rPr>
              <w:t>地下</w:t>
            </w:r>
            <w:r>
              <w:rPr>
                <w:rFonts w:hint="default" w:ascii="Times New Roman" w:hAnsi="Times New Roman" w:eastAsia="宋体" w:cs="Times New Roman"/>
                <w:color w:val="auto"/>
                <w:sz w:val="21"/>
                <w:szCs w:val="21"/>
              </w:rPr>
              <w:t>水污染防治措施</w:t>
            </w:r>
          </w:p>
        </w:tc>
        <w:tc>
          <w:tcPr>
            <w:tcW w:w="7322" w:type="dxa"/>
            <w:gridSpan w:val="4"/>
            <w:noWrap w:val="0"/>
            <w:vAlign w:val="center"/>
          </w:tcPr>
          <w:p>
            <w:pPr>
              <w:pStyle w:val="68"/>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划分为简单防渗区和重点防渗区，防渗区则应按照不同分区要求，采取不同等级的防渗措施，并确保其可靠性和有效性。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2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生态保护措施</w:t>
            </w:r>
          </w:p>
        </w:tc>
        <w:tc>
          <w:tcPr>
            <w:tcW w:w="732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环境风险</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防范措施</w:t>
            </w:r>
          </w:p>
        </w:tc>
        <w:tc>
          <w:tcPr>
            <w:tcW w:w="7322" w:type="dxa"/>
            <w:gridSpan w:val="4"/>
            <w:noWrap w:val="0"/>
            <w:vAlign w:val="center"/>
          </w:tcPr>
          <w:p>
            <w:pPr>
              <w:pStyle w:val="68"/>
              <w:keepNext w:val="0"/>
              <w:keepLines w:val="0"/>
              <w:pageBreakBefore w:val="0"/>
              <w:widowControl w:val="0"/>
              <w:kinsoku/>
              <w:wordWrap w:val="0"/>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Cs w:val="21"/>
              </w:rPr>
            </w:pPr>
            <w:r>
              <w:rPr>
                <w:rFonts w:hint="default" w:ascii="Times New Roman" w:hAnsi="Times New Roman" w:eastAsia="宋体" w:cs="Times New Roman"/>
                <w:kern w:val="2"/>
                <w:sz w:val="21"/>
                <w:szCs w:val="21"/>
                <w:lang w:val="en-US" w:eastAsia="zh-CN" w:bidi="ar-SA"/>
              </w:rPr>
              <w:t>项目总图布置符合《工业企业总平面设计规范》(GB50178-93)、《建筑设计防火规范》</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GB50016-2006）等有关规定，满足生产工艺要求，同时满足安全、消防等有关标准规范的要求；生产区域应进行一般防渗处理，杜绝因出现“跑、冒、滴、漏”等问题造成土壤和地下水污染；规范操作流程，加强环境管理，加强员工的责任心和主观能动性；建立一套完善的安全管理制度，执行工业安全卫生、劳动保护、环保、消防等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3" w:hRule="atLeast"/>
          <w:jc w:val="center"/>
        </w:trPr>
        <w:tc>
          <w:tcPr>
            <w:tcW w:w="12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cs="Times New Roman"/>
                <w:sz w:val="21"/>
                <w:szCs w:val="21"/>
                <w:lang w:val="en-US" w:eastAsia="zh-CN"/>
              </w:rPr>
              <w:t>其他环境要求</w:t>
            </w:r>
          </w:p>
        </w:tc>
        <w:tc>
          <w:tcPr>
            <w:tcW w:w="7322" w:type="dxa"/>
            <w:gridSpan w:val="4"/>
            <w:noWrap w:val="0"/>
            <w:vAlign w:val="center"/>
          </w:tcPr>
          <w:p>
            <w:pPr>
              <w:widowControl/>
              <w:wordWrap w:val="0"/>
              <w:bidi w:val="0"/>
              <w:snapToGrid w:val="0"/>
              <w:spacing w:line="520" w:lineRule="exact"/>
              <w:jc w:val="left"/>
              <w:rPr>
                <w:rFonts w:hint="eastAsia" w:ascii="Times New Roman" w:hAnsi="Times New Roman" w:eastAsia="宋体" w:cs="Times New Roman"/>
                <w:b/>
                <w:kern w:val="0"/>
                <w:sz w:val="21"/>
                <w:szCs w:val="21"/>
                <w:lang w:val="en-US" w:eastAsia="zh-CN" w:bidi="ar-SA"/>
              </w:rPr>
            </w:pPr>
            <w:r>
              <w:rPr>
                <w:rFonts w:hint="eastAsia" w:ascii="Times New Roman" w:hAnsi="Times New Roman" w:eastAsia="宋体" w:cs="Times New Roman"/>
                <w:b/>
                <w:kern w:val="0"/>
                <w:sz w:val="21"/>
                <w:szCs w:val="21"/>
                <w:lang w:val="en-US" w:eastAsia="zh-CN" w:bidi="ar-SA"/>
              </w:rPr>
              <w:t>1.管理制度</w:t>
            </w:r>
          </w:p>
          <w:p>
            <w:pPr>
              <w:widowControl w:val="0"/>
              <w:wordWrap w:val="0"/>
              <w:bidi w:val="0"/>
              <w:spacing w:line="520" w:lineRule="exact"/>
              <w:ind w:firstLine="420" w:firstLineChars="20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为了缓解建设项目生产运行期对环境构成的不良影响，在采取环保治理工程措施解决建设项目环境影响的同时，必须制定全面的企业环境管理计划，配备专职环保人员1-2名，负责环境监督管理工作，同时要加强对管理人员的环保培训，不断提高管理水平。企业排污发生重大变化、污染治理设施改变或生产运行计划改变等都必须向当地环保部门申报，经审批同意后方可实施。对污染治理设施和管理必须与生产经营活动一起纳入企业的日常管理中，要建立岗位责任制，制定操作规程，建立管理台账。</w:t>
            </w:r>
          </w:p>
          <w:p>
            <w:pPr>
              <w:widowControl/>
              <w:wordWrap w:val="0"/>
              <w:bidi w:val="0"/>
              <w:snapToGrid w:val="0"/>
              <w:spacing w:line="520" w:lineRule="exact"/>
              <w:jc w:val="left"/>
              <w:rPr>
                <w:rFonts w:hint="eastAsia" w:ascii="Times New Roman" w:hAnsi="Times New Roman" w:eastAsia="宋体" w:cs="Times New Roman"/>
                <w:b/>
                <w:kern w:val="0"/>
                <w:sz w:val="21"/>
                <w:szCs w:val="21"/>
                <w:lang w:val="en-US" w:eastAsia="zh-CN" w:bidi="ar-SA"/>
              </w:rPr>
            </w:pPr>
            <w:r>
              <w:rPr>
                <w:rFonts w:hint="eastAsia" w:ascii="Times New Roman" w:hAnsi="Times New Roman" w:eastAsia="宋体" w:cs="Times New Roman"/>
                <w:b/>
                <w:kern w:val="0"/>
                <w:sz w:val="21"/>
                <w:szCs w:val="21"/>
                <w:lang w:val="en-US" w:eastAsia="zh-CN" w:bidi="ar-SA"/>
              </w:rPr>
              <w:t>2.排放口信息化、规范化</w:t>
            </w:r>
          </w:p>
          <w:p>
            <w:pPr>
              <w:widowControl w:val="0"/>
              <w:wordWrap w:val="0"/>
              <w:bidi w:val="0"/>
              <w:spacing w:line="520" w:lineRule="exact"/>
              <w:ind w:firstLine="420" w:firstLineChars="20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按照《排污单位污染物排放口二维码标识技术规范》(HJ1297-2023)，规范排污口二维码标识制作与赋码。明确二维码需集成排污单位基本信息（名称、统一社会信用代码等）、排放口信息（类型、编号、污染物种类等），实现扫码查询排放口全流程管理数据；规范二维码张贴位置于排放口显著、便于扫码处，保障标识唯一、信息准确、使用便捷。</w:t>
            </w:r>
          </w:p>
          <w:p>
            <w:pPr>
              <w:widowControl w:val="0"/>
              <w:wordWrap w:val="0"/>
              <w:bidi w:val="0"/>
              <w:spacing w:line="520" w:lineRule="exact"/>
              <w:ind w:firstLine="420" w:firstLineChars="2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依据《危险废物识别标志设置技术规范》(HJ1276-2022)，细化危险废物贮存</w:t>
            </w:r>
            <w:r>
              <w:rPr>
                <w:rFonts w:hint="eastAsia" w:cs="Times New Roman"/>
                <w:kern w:val="2"/>
                <w:sz w:val="21"/>
                <w:szCs w:val="21"/>
                <w:lang w:val="en-US" w:eastAsia="zh-CN" w:bidi="ar-SA"/>
              </w:rPr>
              <w:t>设施</w:t>
            </w:r>
            <w:r>
              <w:rPr>
                <w:rFonts w:hint="default" w:ascii="Times New Roman" w:hAnsi="Times New Roman" w:eastAsia="宋体" w:cs="Times New Roman"/>
                <w:kern w:val="2"/>
                <w:sz w:val="21"/>
                <w:szCs w:val="21"/>
                <w:lang w:val="en-US" w:eastAsia="zh-CN" w:bidi="ar-SA"/>
              </w:rPr>
              <w:t>识别标志。规范标志样式（形状、颜色、图形符号等），按要求设置警示标志与信息牌，信息牌涵盖危险废物产生环节、类别、数量、去向、责任人等内容；将标志设置于贮存间入口醒目处及危险废物容器/包装显著位置，确保标志清晰、持久，强化危险废物管理辨识度与监管追溯性。</w:t>
            </w:r>
          </w:p>
          <w:p>
            <w:pPr>
              <w:widowControl w:val="0"/>
              <w:wordWrap w:val="0"/>
              <w:bidi w:val="0"/>
              <w:spacing w:line="520" w:lineRule="exact"/>
              <w:ind w:firstLine="420" w:firstLineChars="2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对照《环境保护图形标志-排放口(源)》(GB15562.1-1995)和《环境保护图形标志—固体废物贮存(处置)场》(GB15562.2-1995)修改单，核查并调整排放口（源）、固体废物贮存（处置）场图形标志。落实标志尺寸、颜色规范，更新标志辅助文字表述，使其与最新管理要求、污染物名称规范适配，保障图形标志合规、直观，精准传递环境管理信息。</w:t>
            </w:r>
          </w:p>
          <w:p>
            <w:pPr>
              <w:widowControl w:val="0"/>
              <w:wordWrap w:val="0"/>
              <w:bidi w:val="0"/>
              <w:spacing w:line="520" w:lineRule="exact"/>
              <w:ind w:firstLine="420" w:firstLineChars="2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环境保护图形标志详见下表。</w:t>
            </w:r>
          </w:p>
          <w:p>
            <w:pPr>
              <w:widowControl w:val="0"/>
              <w:bidi w:val="0"/>
              <w:jc w:val="center"/>
              <w:rPr>
                <w:rFonts w:hint="default" w:ascii="Times New Roman" w:hAnsi="Times New Roman" w:eastAsia="宋体" w:cs="Times New Roman"/>
                <w:b/>
                <w:bCs/>
                <w:kern w:val="0"/>
                <w:sz w:val="21"/>
                <w:szCs w:val="21"/>
                <w:lang w:val="en-US" w:eastAsia="zh-CN" w:bidi="ar-SA"/>
              </w:rPr>
            </w:pPr>
            <w:r>
              <w:rPr>
                <w:rFonts w:hint="eastAsia" w:ascii="Times New Roman" w:hAnsi="Times New Roman" w:eastAsia="宋体" w:cs="Times New Roman"/>
                <w:b/>
                <w:bCs/>
                <w:kern w:val="0"/>
                <w:sz w:val="21"/>
                <w:szCs w:val="21"/>
                <w:lang w:val="en-US" w:eastAsia="zh-CN" w:bidi="ar-SA"/>
              </w:rPr>
              <w:t>表5-1    环境保护图形符号一览表</w:t>
            </w:r>
          </w:p>
          <w:tbl>
            <w:tblPr>
              <w:tblStyle w:val="23"/>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0"/>
              <w:gridCol w:w="1792"/>
              <w:gridCol w:w="1998"/>
              <w:gridCol w:w="1092"/>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437" w:type="pct"/>
                  <w:tcBorders>
                    <w:tl2br w:val="nil"/>
                    <w:tr2bl w:val="nil"/>
                  </w:tcBorders>
                  <w:vAlign w:val="center"/>
                </w:tcPr>
                <w:p>
                  <w:pPr>
                    <w:pStyle w:val="70"/>
                    <w:bidi w:val="0"/>
                    <w:rPr>
                      <w:rFonts w:hint="default"/>
                    </w:rPr>
                  </w:pPr>
                  <w:r>
                    <w:rPr>
                      <w:rFonts w:hint="default"/>
                    </w:rPr>
                    <w:t>序号</w:t>
                  </w:r>
                </w:p>
              </w:tc>
              <w:tc>
                <w:tcPr>
                  <w:tcW w:w="1263" w:type="pct"/>
                  <w:tcBorders>
                    <w:tl2br w:val="nil"/>
                    <w:tr2bl w:val="nil"/>
                  </w:tcBorders>
                  <w:vAlign w:val="center"/>
                </w:tcPr>
                <w:p>
                  <w:pPr>
                    <w:pStyle w:val="70"/>
                    <w:bidi w:val="0"/>
                    <w:rPr>
                      <w:rFonts w:hint="default"/>
                    </w:rPr>
                  </w:pPr>
                  <w:r>
                    <w:rPr>
                      <w:rFonts w:hint="default"/>
                    </w:rPr>
                    <w:t>提示图形符号</w:t>
                  </w:r>
                </w:p>
              </w:tc>
              <w:tc>
                <w:tcPr>
                  <w:tcW w:w="1408" w:type="pct"/>
                  <w:tcBorders>
                    <w:tl2br w:val="nil"/>
                    <w:tr2bl w:val="nil"/>
                  </w:tcBorders>
                  <w:vAlign w:val="center"/>
                </w:tcPr>
                <w:p>
                  <w:pPr>
                    <w:pStyle w:val="70"/>
                    <w:bidi w:val="0"/>
                    <w:rPr>
                      <w:rFonts w:hint="default"/>
                    </w:rPr>
                  </w:pPr>
                  <w:r>
                    <w:rPr>
                      <w:rFonts w:hint="default"/>
                    </w:rPr>
                    <w:t>警告图形符号</w:t>
                  </w:r>
                </w:p>
              </w:tc>
              <w:tc>
                <w:tcPr>
                  <w:tcW w:w="770" w:type="pct"/>
                  <w:tcBorders>
                    <w:tl2br w:val="nil"/>
                    <w:tr2bl w:val="nil"/>
                  </w:tcBorders>
                  <w:vAlign w:val="center"/>
                </w:tcPr>
                <w:p>
                  <w:pPr>
                    <w:pStyle w:val="70"/>
                    <w:bidi w:val="0"/>
                    <w:rPr>
                      <w:rFonts w:hint="default"/>
                    </w:rPr>
                  </w:pPr>
                  <w:r>
                    <w:rPr>
                      <w:rFonts w:hint="default"/>
                    </w:rPr>
                    <w:t>名称</w:t>
                  </w:r>
                </w:p>
              </w:tc>
              <w:tc>
                <w:tcPr>
                  <w:tcW w:w="1120" w:type="pct"/>
                  <w:tcBorders>
                    <w:tl2br w:val="nil"/>
                    <w:tr2bl w:val="nil"/>
                  </w:tcBorders>
                  <w:vAlign w:val="center"/>
                </w:tcPr>
                <w:p>
                  <w:pPr>
                    <w:pStyle w:val="70"/>
                    <w:bidi w:val="0"/>
                    <w:rPr>
                      <w:rFonts w:hint="default"/>
                    </w:rPr>
                  </w:pPr>
                  <w:r>
                    <w:rPr>
                      <w:rFonts w:hint="default"/>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7" w:type="pct"/>
                  <w:tcBorders>
                    <w:tl2br w:val="nil"/>
                    <w:tr2bl w:val="nil"/>
                  </w:tcBorders>
                  <w:vAlign w:val="center"/>
                </w:tcPr>
                <w:p>
                  <w:pPr>
                    <w:pStyle w:val="70"/>
                    <w:bidi w:val="0"/>
                    <w:rPr>
                      <w:rFonts w:hint="eastAsia"/>
                      <w:lang w:val="en-US" w:eastAsia="zh-CN"/>
                    </w:rPr>
                  </w:pPr>
                  <w:r>
                    <w:rPr>
                      <w:rFonts w:hint="eastAsia"/>
                      <w:lang w:val="en-US" w:eastAsia="zh-CN"/>
                    </w:rPr>
                    <w:t>1</w:t>
                  </w:r>
                </w:p>
              </w:tc>
              <w:tc>
                <w:tcPr>
                  <w:tcW w:w="1263" w:type="pct"/>
                  <w:tcBorders>
                    <w:tl2br w:val="nil"/>
                    <w:tr2bl w:val="nil"/>
                  </w:tcBorders>
                  <w:vAlign w:val="center"/>
                </w:tcPr>
                <w:p>
                  <w:pPr>
                    <w:pStyle w:val="70"/>
                    <w:bidi w:val="0"/>
                    <w:rPr>
                      <w:rFonts w:hint="default"/>
                    </w:rPr>
                  </w:pPr>
                  <w:r>
                    <w:rPr>
                      <w:rFonts w:hint="default"/>
                    </w:rPr>
                    <w:drawing>
                      <wp:inline distT="0" distB="0" distL="114300" distR="114300">
                        <wp:extent cx="1006475" cy="1005840"/>
                        <wp:effectExtent l="0" t="0" r="14605"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4"/>
                                <a:stretch>
                                  <a:fillRect/>
                                </a:stretch>
                              </pic:blipFill>
                              <pic:spPr>
                                <a:xfrm>
                                  <a:off x="0" y="0"/>
                                  <a:ext cx="1006475" cy="1005840"/>
                                </a:xfrm>
                                <a:prstGeom prst="rect">
                                  <a:avLst/>
                                </a:prstGeom>
                                <a:noFill/>
                                <a:ln>
                                  <a:noFill/>
                                </a:ln>
                              </pic:spPr>
                            </pic:pic>
                          </a:graphicData>
                        </a:graphic>
                      </wp:inline>
                    </w:drawing>
                  </w:r>
                </w:p>
              </w:tc>
              <w:tc>
                <w:tcPr>
                  <w:tcW w:w="1408" w:type="pct"/>
                  <w:tcBorders>
                    <w:tl2br w:val="nil"/>
                    <w:tr2bl w:val="nil"/>
                  </w:tcBorders>
                  <w:vAlign w:val="center"/>
                </w:tcPr>
                <w:p>
                  <w:pPr>
                    <w:pStyle w:val="70"/>
                    <w:bidi w:val="0"/>
                    <w:rPr>
                      <w:rFonts w:hint="default"/>
                    </w:rPr>
                  </w:pPr>
                  <w:r>
                    <w:rPr>
                      <w:rFonts w:hint="default"/>
                    </w:rPr>
                    <w:drawing>
                      <wp:inline distT="0" distB="0" distL="114300" distR="114300">
                        <wp:extent cx="1008380" cy="817880"/>
                        <wp:effectExtent l="0" t="0" r="12700" b="508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5"/>
                                <a:stretch>
                                  <a:fillRect/>
                                </a:stretch>
                              </pic:blipFill>
                              <pic:spPr>
                                <a:xfrm>
                                  <a:off x="0" y="0"/>
                                  <a:ext cx="1008380" cy="817880"/>
                                </a:xfrm>
                                <a:prstGeom prst="rect">
                                  <a:avLst/>
                                </a:prstGeom>
                                <a:noFill/>
                                <a:ln>
                                  <a:noFill/>
                                </a:ln>
                              </pic:spPr>
                            </pic:pic>
                          </a:graphicData>
                        </a:graphic>
                      </wp:inline>
                    </w:drawing>
                  </w:r>
                </w:p>
              </w:tc>
              <w:tc>
                <w:tcPr>
                  <w:tcW w:w="770" w:type="pct"/>
                  <w:tcBorders>
                    <w:tl2br w:val="nil"/>
                    <w:tr2bl w:val="nil"/>
                  </w:tcBorders>
                  <w:vAlign w:val="center"/>
                </w:tcPr>
                <w:p>
                  <w:pPr>
                    <w:pStyle w:val="70"/>
                    <w:bidi w:val="0"/>
                    <w:rPr>
                      <w:rFonts w:hint="default"/>
                    </w:rPr>
                  </w:pPr>
                  <w:r>
                    <w:rPr>
                      <w:rFonts w:hint="default"/>
                    </w:rPr>
                    <w:t>一般固体废物</w:t>
                  </w:r>
                </w:p>
              </w:tc>
              <w:tc>
                <w:tcPr>
                  <w:tcW w:w="1120" w:type="pct"/>
                  <w:tcBorders>
                    <w:tl2br w:val="nil"/>
                    <w:tr2bl w:val="nil"/>
                  </w:tcBorders>
                  <w:vAlign w:val="center"/>
                </w:tcPr>
                <w:p>
                  <w:pPr>
                    <w:pStyle w:val="70"/>
                    <w:bidi w:val="0"/>
                    <w:rPr>
                      <w:rFonts w:hint="default"/>
                    </w:rPr>
                  </w:pPr>
                  <w:r>
                    <w:rPr>
                      <w:rFonts w:hint="default"/>
                    </w:rPr>
                    <w:t>表示一般固体废物贮存、处置场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7" w:type="pct"/>
                  <w:tcBorders>
                    <w:tl2br w:val="nil"/>
                    <w:tr2bl w:val="nil"/>
                  </w:tcBorders>
                  <w:vAlign w:val="center"/>
                </w:tcPr>
                <w:p>
                  <w:pPr>
                    <w:pStyle w:val="70"/>
                    <w:bidi w:val="0"/>
                    <w:rPr>
                      <w:rFonts w:hint="default"/>
                      <w:lang w:val="en-US" w:eastAsia="zh-CN"/>
                    </w:rPr>
                  </w:pPr>
                  <w:r>
                    <w:rPr>
                      <w:rFonts w:hint="eastAsia"/>
                    </w:rPr>
                    <w:t>2</w:t>
                  </w:r>
                </w:p>
              </w:tc>
              <w:tc>
                <w:tcPr>
                  <w:tcW w:w="1263" w:type="pct"/>
                  <w:tcBorders>
                    <w:tl2br w:val="nil"/>
                    <w:tr2bl w:val="nil"/>
                  </w:tcBorders>
                  <w:vAlign w:val="center"/>
                </w:tcPr>
                <w:p>
                  <w:pPr>
                    <w:pStyle w:val="70"/>
                    <w:bidi w:val="0"/>
                    <w:rPr>
                      <w:rFonts w:hint="default"/>
                    </w:rPr>
                  </w:pPr>
                  <w:r>
                    <w:rPr>
                      <w:rFonts w:hint="default"/>
                    </w:rPr>
                    <w:drawing>
                      <wp:inline distT="0" distB="0" distL="114300" distR="114300">
                        <wp:extent cx="1005840" cy="914400"/>
                        <wp:effectExtent l="0" t="0" r="0" b="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6"/>
                                <a:stretch>
                                  <a:fillRect/>
                                </a:stretch>
                              </pic:blipFill>
                              <pic:spPr>
                                <a:xfrm>
                                  <a:off x="0" y="0"/>
                                  <a:ext cx="1005840" cy="914400"/>
                                </a:xfrm>
                                <a:prstGeom prst="rect">
                                  <a:avLst/>
                                </a:prstGeom>
                                <a:noFill/>
                                <a:ln>
                                  <a:noFill/>
                                </a:ln>
                              </pic:spPr>
                            </pic:pic>
                          </a:graphicData>
                        </a:graphic>
                      </wp:inline>
                    </w:drawing>
                  </w:r>
                </w:p>
              </w:tc>
              <w:tc>
                <w:tcPr>
                  <w:tcW w:w="1408" w:type="pct"/>
                  <w:tcBorders>
                    <w:tl2br w:val="nil"/>
                    <w:tr2bl w:val="nil"/>
                  </w:tcBorders>
                  <w:vAlign w:val="center"/>
                </w:tcPr>
                <w:p>
                  <w:pPr>
                    <w:pStyle w:val="70"/>
                    <w:bidi w:val="0"/>
                    <w:rPr>
                      <w:rFonts w:hint="default"/>
                    </w:rPr>
                  </w:pPr>
                  <w:r>
                    <w:rPr>
                      <w:rFonts w:hint="default"/>
                    </w:rPr>
                    <w:drawing>
                      <wp:inline distT="0" distB="0" distL="114300" distR="114300">
                        <wp:extent cx="1003935" cy="821690"/>
                        <wp:effectExtent l="0" t="0" r="1905" b="127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17"/>
                                <a:stretch>
                                  <a:fillRect/>
                                </a:stretch>
                              </pic:blipFill>
                              <pic:spPr>
                                <a:xfrm>
                                  <a:off x="0" y="0"/>
                                  <a:ext cx="1003935" cy="821690"/>
                                </a:xfrm>
                                <a:prstGeom prst="rect">
                                  <a:avLst/>
                                </a:prstGeom>
                                <a:noFill/>
                                <a:ln>
                                  <a:noFill/>
                                </a:ln>
                              </pic:spPr>
                            </pic:pic>
                          </a:graphicData>
                        </a:graphic>
                      </wp:inline>
                    </w:drawing>
                  </w:r>
                </w:p>
              </w:tc>
              <w:tc>
                <w:tcPr>
                  <w:tcW w:w="770" w:type="pct"/>
                  <w:tcBorders>
                    <w:tl2br w:val="nil"/>
                    <w:tr2bl w:val="nil"/>
                  </w:tcBorders>
                  <w:vAlign w:val="center"/>
                </w:tcPr>
                <w:p>
                  <w:pPr>
                    <w:pStyle w:val="70"/>
                    <w:bidi w:val="0"/>
                    <w:rPr>
                      <w:rFonts w:hint="default"/>
                    </w:rPr>
                  </w:pPr>
                  <w:r>
                    <w:rPr>
                      <w:rFonts w:hint="default"/>
                    </w:rPr>
                    <w:t>噪声源</w:t>
                  </w:r>
                </w:p>
              </w:tc>
              <w:tc>
                <w:tcPr>
                  <w:tcW w:w="1120" w:type="pct"/>
                  <w:tcBorders>
                    <w:tl2br w:val="nil"/>
                    <w:tr2bl w:val="nil"/>
                  </w:tcBorders>
                  <w:vAlign w:val="center"/>
                </w:tcPr>
                <w:p>
                  <w:pPr>
                    <w:pStyle w:val="70"/>
                    <w:bidi w:val="0"/>
                    <w:rPr>
                      <w:rFonts w:hint="default"/>
                    </w:rPr>
                  </w:pPr>
                  <w:r>
                    <w:rPr>
                      <w:rFonts w:hint="default"/>
                    </w:rPr>
                    <w:t>表示噪声向外环境排放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7" w:type="pct"/>
                  <w:tcBorders>
                    <w:tl2br w:val="nil"/>
                    <w:tr2bl w:val="nil"/>
                  </w:tcBorders>
                  <w:vAlign w:val="center"/>
                </w:tcPr>
                <w:p>
                  <w:pPr>
                    <w:pStyle w:val="70"/>
                    <w:bidi w:val="0"/>
                    <w:rPr>
                      <w:rFonts w:hint="default"/>
                      <w:lang w:val="en-US" w:eastAsia="zh-CN"/>
                    </w:rPr>
                  </w:pPr>
                  <w:r>
                    <w:rPr>
                      <w:rFonts w:hint="eastAsia"/>
                    </w:rPr>
                    <w:t>3</w:t>
                  </w:r>
                </w:p>
              </w:tc>
              <w:tc>
                <w:tcPr>
                  <w:tcW w:w="1263" w:type="pct"/>
                  <w:tcBorders>
                    <w:tl2br w:val="nil"/>
                    <w:tr2bl w:val="nil"/>
                  </w:tcBorders>
                  <w:vAlign w:val="center"/>
                </w:tcPr>
                <w:p>
                  <w:pPr>
                    <w:pStyle w:val="70"/>
                    <w:bidi w:val="0"/>
                    <w:rPr>
                      <w:rFonts w:hint="default"/>
                    </w:rPr>
                  </w:pPr>
                  <w:r>
                    <w:rPr>
                      <w:rFonts w:hint="default"/>
                    </w:rPr>
                    <w:drawing>
                      <wp:inline distT="0" distB="0" distL="114300" distR="114300">
                        <wp:extent cx="962025" cy="1200150"/>
                        <wp:effectExtent l="0" t="0" r="13335"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stretch>
                                  <a:fillRect/>
                                </a:stretch>
                              </pic:blipFill>
                              <pic:spPr>
                                <a:xfrm>
                                  <a:off x="0" y="0"/>
                                  <a:ext cx="962025" cy="1200150"/>
                                </a:xfrm>
                                <a:prstGeom prst="rect">
                                  <a:avLst/>
                                </a:prstGeom>
                                <a:noFill/>
                                <a:ln>
                                  <a:noFill/>
                                </a:ln>
                              </pic:spPr>
                            </pic:pic>
                          </a:graphicData>
                        </a:graphic>
                      </wp:inline>
                    </w:drawing>
                  </w:r>
                </w:p>
              </w:tc>
              <w:tc>
                <w:tcPr>
                  <w:tcW w:w="1408" w:type="pct"/>
                  <w:tcBorders>
                    <w:tl2br w:val="nil"/>
                    <w:tr2bl w:val="nil"/>
                  </w:tcBorders>
                  <w:vAlign w:val="center"/>
                </w:tcPr>
                <w:p>
                  <w:pPr>
                    <w:pStyle w:val="70"/>
                    <w:bidi w:val="0"/>
                    <w:rPr>
                      <w:rFonts w:hint="default"/>
                    </w:rPr>
                  </w:pPr>
                  <w:r>
                    <w:rPr>
                      <w:rFonts w:hint="default"/>
                    </w:rPr>
                    <w:drawing>
                      <wp:inline distT="0" distB="0" distL="114300" distR="114300">
                        <wp:extent cx="1019175" cy="1171575"/>
                        <wp:effectExtent l="0" t="0" r="1905" b="190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9"/>
                                <a:stretch>
                                  <a:fillRect/>
                                </a:stretch>
                              </pic:blipFill>
                              <pic:spPr>
                                <a:xfrm>
                                  <a:off x="0" y="0"/>
                                  <a:ext cx="1019175" cy="1171575"/>
                                </a:xfrm>
                                <a:prstGeom prst="rect">
                                  <a:avLst/>
                                </a:prstGeom>
                                <a:noFill/>
                                <a:ln>
                                  <a:noFill/>
                                </a:ln>
                              </pic:spPr>
                            </pic:pic>
                          </a:graphicData>
                        </a:graphic>
                      </wp:inline>
                    </w:drawing>
                  </w:r>
                </w:p>
              </w:tc>
              <w:tc>
                <w:tcPr>
                  <w:tcW w:w="770" w:type="pct"/>
                  <w:tcBorders>
                    <w:tl2br w:val="nil"/>
                    <w:tr2bl w:val="nil"/>
                  </w:tcBorders>
                  <w:vAlign w:val="center"/>
                </w:tcPr>
                <w:p>
                  <w:pPr>
                    <w:pStyle w:val="70"/>
                    <w:bidi w:val="0"/>
                    <w:rPr>
                      <w:rFonts w:hint="default"/>
                    </w:rPr>
                  </w:pPr>
                  <w:r>
                    <w:rPr>
                      <w:rFonts w:hint="eastAsia"/>
                    </w:rPr>
                    <w:t>废气排放口</w:t>
                  </w:r>
                </w:p>
              </w:tc>
              <w:tc>
                <w:tcPr>
                  <w:tcW w:w="1120" w:type="pct"/>
                  <w:tcBorders>
                    <w:tl2br w:val="nil"/>
                    <w:tr2bl w:val="nil"/>
                  </w:tcBorders>
                  <w:vAlign w:val="center"/>
                </w:tcPr>
                <w:p>
                  <w:pPr>
                    <w:pStyle w:val="70"/>
                    <w:bidi w:val="0"/>
                    <w:rPr>
                      <w:rFonts w:hint="default"/>
                    </w:rPr>
                  </w:pPr>
                  <w:r>
                    <w:rPr>
                      <w:rFonts w:hint="default"/>
                    </w:rPr>
                    <w:t>表示</w:t>
                  </w:r>
                  <w:r>
                    <w:rPr>
                      <w:rFonts w:hint="eastAsia"/>
                    </w:rPr>
                    <w:t>废气</w:t>
                  </w:r>
                  <w:r>
                    <w:rPr>
                      <w:rFonts w:hint="default"/>
                    </w:rPr>
                    <w:t>向外环境排放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7" w:type="pct"/>
                  <w:tcBorders>
                    <w:tl2br w:val="nil"/>
                    <w:tr2bl w:val="nil"/>
                  </w:tcBorders>
                  <w:vAlign w:val="center"/>
                </w:tcPr>
                <w:p>
                  <w:pPr>
                    <w:pStyle w:val="70"/>
                    <w:bidi w:val="0"/>
                    <w:rPr>
                      <w:rFonts w:hint="eastAsia"/>
                      <w:lang w:val="en-US" w:eastAsia="zh-CN"/>
                    </w:rPr>
                  </w:pPr>
                  <w:r>
                    <w:rPr>
                      <w:rFonts w:hint="eastAsia"/>
                      <w:lang w:val="en-US" w:eastAsia="zh-CN"/>
                    </w:rPr>
                    <w:t>4</w:t>
                  </w:r>
                </w:p>
              </w:tc>
              <w:tc>
                <w:tcPr>
                  <w:tcW w:w="1263" w:type="pct"/>
                  <w:tcBorders>
                    <w:tl2br w:val="nil"/>
                    <w:tr2bl w:val="nil"/>
                  </w:tcBorders>
                  <w:vAlign w:val="center"/>
                </w:tcPr>
                <w:p>
                  <w:pPr>
                    <w:pStyle w:val="70"/>
                    <w:bidi w:val="0"/>
                    <w:rPr>
                      <w:rFonts w:hint="default"/>
                      <w:lang w:val="en-US" w:eastAsia="zh-CN"/>
                    </w:rPr>
                  </w:pPr>
                  <w:r>
                    <w:rPr>
                      <w:rFonts w:hint="eastAsia"/>
                    </w:rPr>
                    <w:drawing>
                      <wp:inline distT="0" distB="0" distL="114300" distR="114300">
                        <wp:extent cx="897255" cy="912495"/>
                        <wp:effectExtent l="0" t="0" r="1905" b="190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20"/>
                                <a:stretch>
                                  <a:fillRect/>
                                </a:stretch>
                              </pic:blipFill>
                              <pic:spPr>
                                <a:xfrm>
                                  <a:off x="0" y="0"/>
                                  <a:ext cx="897255" cy="912495"/>
                                </a:xfrm>
                                <a:prstGeom prst="rect">
                                  <a:avLst/>
                                </a:prstGeom>
                                <a:noFill/>
                                <a:ln>
                                  <a:noFill/>
                                </a:ln>
                              </pic:spPr>
                            </pic:pic>
                          </a:graphicData>
                        </a:graphic>
                      </wp:inline>
                    </w:drawing>
                  </w:r>
                </w:p>
              </w:tc>
              <w:tc>
                <w:tcPr>
                  <w:tcW w:w="1408" w:type="pct"/>
                  <w:tcBorders>
                    <w:tl2br w:val="nil"/>
                    <w:tr2bl w:val="nil"/>
                  </w:tcBorders>
                  <w:vAlign w:val="center"/>
                </w:tcPr>
                <w:p>
                  <w:pPr>
                    <w:pStyle w:val="70"/>
                    <w:bidi w:val="0"/>
                    <w:rPr>
                      <w:rFonts w:hint="default"/>
                      <w:lang w:val="en-US" w:eastAsia="zh-CN"/>
                    </w:rPr>
                  </w:pPr>
                  <w:r>
                    <w:rPr>
                      <w:rFonts w:hint="eastAsia"/>
                    </w:rPr>
                    <w:drawing>
                      <wp:inline distT="0" distB="0" distL="114300" distR="114300">
                        <wp:extent cx="1035050" cy="877570"/>
                        <wp:effectExtent l="0" t="0" r="1270" b="635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21"/>
                                <a:stretch>
                                  <a:fillRect/>
                                </a:stretch>
                              </pic:blipFill>
                              <pic:spPr>
                                <a:xfrm>
                                  <a:off x="0" y="0"/>
                                  <a:ext cx="1035050" cy="877570"/>
                                </a:xfrm>
                                <a:prstGeom prst="rect">
                                  <a:avLst/>
                                </a:prstGeom>
                                <a:noFill/>
                                <a:ln>
                                  <a:noFill/>
                                </a:ln>
                              </pic:spPr>
                            </pic:pic>
                          </a:graphicData>
                        </a:graphic>
                      </wp:inline>
                    </w:drawing>
                  </w:r>
                </w:p>
              </w:tc>
              <w:tc>
                <w:tcPr>
                  <w:tcW w:w="770" w:type="pct"/>
                  <w:tcBorders>
                    <w:tl2br w:val="nil"/>
                    <w:tr2bl w:val="nil"/>
                  </w:tcBorders>
                  <w:vAlign w:val="center"/>
                </w:tcPr>
                <w:p>
                  <w:pPr>
                    <w:pStyle w:val="70"/>
                    <w:bidi w:val="0"/>
                    <w:rPr>
                      <w:rFonts w:hint="eastAsia"/>
                      <w:lang w:val="en-US" w:eastAsia="zh-CN"/>
                    </w:rPr>
                  </w:pPr>
                  <w:r>
                    <w:rPr>
                      <w:rFonts w:hint="eastAsia"/>
                    </w:rPr>
                    <w:t>污水排放口</w:t>
                  </w:r>
                </w:p>
              </w:tc>
              <w:tc>
                <w:tcPr>
                  <w:tcW w:w="1120" w:type="pct"/>
                  <w:tcBorders>
                    <w:tl2br w:val="nil"/>
                    <w:tr2bl w:val="nil"/>
                  </w:tcBorders>
                  <w:vAlign w:val="center"/>
                </w:tcPr>
                <w:p>
                  <w:pPr>
                    <w:pStyle w:val="70"/>
                    <w:bidi w:val="0"/>
                    <w:rPr>
                      <w:rFonts w:hint="default"/>
                      <w:lang w:val="en-US" w:eastAsia="zh-CN"/>
                    </w:rPr>
                  </w:pPr>
                  <w:r>
                    <w:rPr>
                      <w:rFonts w:hint="eastAsia"/>
                    </w:rPr>
                    <w:t>表示污水向外环境排放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7" w:type="pct"/>
                  <w:tcBorders>
                    <w:tl2br w:val="nil"/>
                    <w:tr2bl w:val="nil"/>
                  </w:tcBorders>
                  <w:vAlign w:val="center"/>
                </w:tcPr>
                <w:p>
                  <w:pPr>
                    <w:pStyle w:val="70"/>
                    <w:bidi w:val="0"/>
                    <w:rPr>
                      <w:rFonts w:hint="eastAsia"/>
                      <w:lang w:val="en-US" w:eastAsia="zh-CN"/>
                    </w:rPr>
                  </w:pPr>
                  <w:r>
                    <w:rPr>
                      <w:rFonts w:hint="eastAsia"/>
                      <w:lang w:val="en-US" w:eastAsia="zh-CN"/>
                    </w:rPr>
                    <w:t>5</w:t>
                  </w:r>
                </w:p>
              </w:tc>
              <w:tc>
                <w:tcPr>
                  <w:tcW w:w="1263" w:type="pct"/>
                  <w:tcBorders>
                    <w:tl2br w:val="nil"/>
                    <w:tr2bl w:val="nil"/>
                  </w:tcBorders>
                  <w:vAlign w:val="center"/>
                </w:tcPr>
                <w:p>
                  <w:pPr>
                    <w:pStyle w:val="70"/>
                    <w:bidi w:val="0"/>
                    <w:rPr>
                      <w:rFonts w:hint="default"/>
                    </w:rPr>
                  </w:pPr>
                </w:p>
              </w:tc>
              <w:tc>
                <w:tcPr>
                  <w:tcW w:w="1408" w:type="pct"/>
                  <w:tcBorders>
                    <w:tl2br w:val="nil"/>
                    <w:tr2bl w:val="nil"/>
                  </w:tcBorders>
                  <w:vAlign w:val="center"/>
                </w:tcPr>
                <w:p>
                  <w:pPr>
                    <w:pStyle w:val="70"/>
                    <w:bidi w:val="0"/>
                    <w:rPr>
                      <w:rFonts w:hint="default"/>
                      <w:lang w:val="en-US" w:eastAsia="zh-CN"/>
                    </w:rPr>
                  </w:pPr>
                  <w:r>
                    <w:rPr>
                      <w:rFonts w:hint="eastAsia"/>
                    </w:rPr>
                    <w:drawing>
                      <wp:inline distT="0" distB="0" distL="114300" distR="114300">
                        <wp:extent cx="1144905" cy="1012825"/>
                        <wp:effectExtent l="0" t="0" r="13335" b="825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22"/>
                                <a:stretch>
                                  <a:fillRect/>
                                </a:stretch>
                              </pic:blipFill>
                              <pic:spPr>
                                <a:xfrm>
                                  <a:off x="0" y="0"/>
                                  <a:ext cx="1144905" cy="1012825"/>
                                </a:xfrm>
                                <a:prstGeom prst="rect">
                                  <a:avLst/>
                                </a:prstGeom>
                                <a:noFill/>
                                <a:ln>
                                  <a:noFill/>
                                </a:ln>
                              </pic:spPr>
                            </pic:pic>
                          </a:graphicData>
                        </a:graphic>
                      </wp:inline>
                    </w:drawing>
                  </w:r>
                </w:p>
              </w:tc>
              <w:tc>
                <w:tcPr>
                  <w:tcW w:w="770" w:type="pct"/>
                  <w:tcBorders>
                    <w:tl2br w:val="nil"/>
                    <w:tr2bl w:val="nil"/>
                  </w:tcBorders>
                  <w:vAlign w:val="center"/>
                </w:tcPr>
                <w:p>
                  <w:pPr>
                    <w:pStyle w:val="70"/>
                    <w:bidi w:val="0"/>
                    <w:rPr>
                      <w:rFonts w:hint="eastAsia"/>
                      <w:lang w:val="en-US" w:eastAsia="zh-CN"/>
                    </w:rPr>
                  </w:pPr>
                  <w:r>
                    <w:rPr>
                      <w:rFonts w:hint="eastAsia"/>
                    </w:rPr>
                    <w:t>危废暂存间</w:t>
                  </w:r>
                </w:p>
              </w:tc>
              <w:tc>
                <w:tcPr>
                  <w:tcW w:w="1120" w:type="pct"/>
                  <w:tcBorders>
                    <w:tl2br w:val="nil"/>
                    <w:tr2bl w:val="nil"/>
                  </w:tcBorders>
                  <w:vAlign w:val="center"/>
                </w:tcPr>
                <w:p>
                  <w:pPr>
                    <w:pStyle w:val="70"/>
                    <w:bidi w:val="0"/>
                    <w:rPr>
                      <w:rFonts w:hint="default"/>
                      <w:lang w:val="en-US" w:eastAsia="zh-CN"/>
                    </w:rPr>
                  </w:pPr>
                  <w:r>
                    <w:rPr>
                      <w:rFonts w:hint="eastAsia"/>
                    </w:rPr>
                    <w:t>表示危险废物贮存、处置场</w:t>
                  </w:r>
                </w:p>
              </w:tc>
            </w:tr>
          </w:tbl>
          <w:p>
            <w:pPr>
              <w:widowControl/>
              <w:wordWrap w:val="0"/>
              <w:bidi w:val="0"/>
              <w:snapToGrid w:val="0"/>
              <w:spacing w:line="520" w:lineRule="exact"/>
              <w:jc w:val="left"/>
              <w:rPr>
                <w:rFonts w:hint="default" w:ascii="Times New Roman" w:hAnsi="Times New Roman" w:eastAsia="宋体" w:cs="Times New Roman"/>
                <w:b/>
                <w:kern w:val="0"/>
                <w:sz w:val="21"/>
                <w:szCs w:val="21"/>
                <w:lang w:val="en-US" w:eastAsia="zh-CN" w:bidi="ar-SA"/>
              </w:rPr>
            </w:pPr>
            <w:r>
              <w:rPr>
                <w:rFonts w:hint="eastAsia" w:ascii="Times New Roman" w:hAnsi="Times New Roman" w:eastAsia="宋体" w:cs="Times New Roman"/>
                <w:b/>
                <w:kern w:val="0"/>
                <w:sz w:val="21"/>
                <w:szCs w:val="21"/>
                <w:lang w:val="en-US" w:eastAsia="zh-CN" w:bidi="ar-SA"/>
              </w:rPr>
              <w:t>3</w:t>
            </w:r>
            <w:r>
              <w:rPr>
                <w:rFonts w:hint="default" w:ascii="Times New Roman" w:hAnsi="Times New Roman" w:eastAsia="宋体" w:cs="Times New Roman"/>
                <w:b/>
                <w:kern w:val="0"/>
                <w:sz w:val="21"/>
                <w:szCs w:val="21"/>
                <w:lang w:val="en-US" w:eastAsia="zh-CN" w:bidi="ar-SA"/>
              </w:rPr>
              <w:t>.竣工环境保护验收要求</w:t>
            </w:r>
          </w:p>
          <w:p>
            <w:pPr>
              <w:widowControl w:val="0"/>
              <w:wordWrap w:val="0"/>
              <w:bidi w:val="0"/>
              <w:spacing w:line="520" w:lineRule="exact"/>
              <w:ind w:firstLine="420" w:firstLineChars="2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依据《建设项目竣工环境保护验收暂行办法》，结合项目环境影响报告表及其批准文件、相关环境保护标准与技术规范，本项目竣工环境保护验收工作按以下流程开展：建设单位按要求建成环境保护设施，且自动监控设备已实现联网并稳定运行，取得合格监测报告后，组织专家对污染防治设施进行验收。经核查，厂内排污口及危险废物贮存</w:t>
            </w:r>
            <w:r>
              <w:rPr>
                <w:rFonts w:hint="eastAsia" w:cs="Times New Roman"/>
                <w:kern w:val="2"/>
                <w:sz w:val="21"/>
                <w:szCs w:val="21"/>
                <w:lang w:val="en-US" w:eastAsia="zh-CN" w:bidi="ar-SA"/>
              </w:rPr>
              <w:t>设施</w:t>
            </w:r>
            <w:r>
              <w:rPr>
                <w:rFonts w:hint="default" w:ascii="Times New Roman" w:hAnsi="Times New Roman" w:eastAsia="宋体" w:cs="Times New Roman"/>
                <w:kern w:val="2"/>
                <w:sz w:val="21"/>
                <w:szCs w:val="21"/>
                <w:lang w:val="en-US" w:eastAsia="zh-CN" w:bidi="ar-SA"/>
              </w:rPr>
              <w:t>的标识标牌清晰规范，监测孔与采样平台设置符合相关技术要求，污染防治设施验收合格。验收组在此基础上形成验收意见并签字确认，经验收合格后，本项目方可正式投入运行。</w:t>
            </w:r>
          </w:p>
          <w:p>
            <w:pPr>
              <w:pStyle w:val="68"/>
              <w:bidi w:val="0"/>
              <w:ind w:left="0" w:leftChars="0" w:firstLine="0" w:firstLineChars="0"/>
              <w:rPr>
                <w:rFonts w:hint="default"/>
                <w:lang w:val="en-US" w:eastAsia="zh-CN"/>
              </w:rPr>
            </w:pPr>
          </w:p>
          <w:p>
            <w:pPr>
              <w:pStyle w:val="68"/>
              <w:bidi w:val="0"/>
              <w:ind w:left="0" w:leftChars="0" w:firstLine="0" w:firstLineChars="0"/>
              <w:rPr>
                <w:rFonts w:hint="default"/>
                <w:lang w:val="en-US" w:eastAsia="zh-CN"/>
              </w:rPr>
            </w:pPr>
          </w:p>
          <w:p>
            <w:pPr>
              <w:pStyle w:val="68"/>
              <w:bidi w:val="0"/>
              <w:ind w:left="0" w:leftChars="0" w:firstLine="0" w:firstLineChars="0"/>
              <w:rPr>
                <w:rFonts w:hint="default"/>
                <w:lang w:val="en-US" w:eastAsia="zh-CN"/>
              </w:rPr>
            </w:pPr>
          </w:p>
          <w:p>
            <w:pPr>
              <w:pStyle w:val="68"/>
              <w:bidi w:val="0"/>
              <w:ind w:left="0" w:leftChars="0" w:firstLine="0" w:firstLineChars="0"/>
              <w:rPr>
                <w:rFonts w:hint="default"/>
                <w:lang w:val="en-US" w:eastAsia="zh-CN"/>
              </w:rPr>
            </w:pPr>
          </w:p>
          <w:p>
            <w:pPr>
              <w:pStyle w:val="68"/>
              <w:bidi w:val="0"/>
              <w:ind w:left="0" w:leftChars="0" w:firstLine="0" w:firstLineChars="0"/>
              <w:rPr>
                <w:rFonts w:hint="default"/>
                <w:lang w:val="en-US" w:eastAsia="zh-CN"/>
              </w:rPr>
            </w:pPr>
          </w:p>
          <w:p>
            <w:pPr>
              <w:pStyle w:val="68"/>
              <w:bidi w:val="0"/>
              <w:ind w:left="0" w:leftChars="0" w:firstLine="0" w:firstLineChars="0"/>
              <w:rPr>
                <w:rFonts w:hint="default"/>
                <w:lang w:val="en-US" w:eastAsia="zh-CN"/>
              </w:rPr>
            </w:pPr>
          </w:p>
          <w:p>
            <w:pPr>
              <w:pStyle w:val="68"/>
              <w:bidi w:val="0"/>
              <w:ind w:left="0" w:leftChars="0" w:firstLine="0" w:firstLineChars="0"/>
              <w:rPr>
                <w:rFonts w:hint="default"/>
                <w:lang w:val="en-US" w:eastAsia="zh-CN"/>
              </w:rPr>
            </w:pPr>
          </w:p>
          <w:p>
            <w:pPr>
              <w:pStyle w:val="68"/>
              <w:bidi w:val="0"/>
              <w:ind w:left="0" w:leftChars="0" w:firstLine="0" w:firstLineChars="0"/>
              <w:rPr>
                <w:rFonts w:hint="default"/>
                <w:lang w:val="en-US" w:eastAsia="zh-CN"/>
              </w:rPr>
            </w:pPr>
          </w:p>
          <w:p>
            <w:pPr>
              <w:pStyle w:val="68"/>
              <w:bidi w:val="0"/>
              <w:ind w:left="0" w:leftChars="0" w:firstLine="0" w:firstLineChars="0"/>
              <w:rPr>
                <w:rFonts w:hint="default"/>
                <w:lang w:val="en-US" w:eastAsia="zh-CN"/>
              </w:rPr>
            </w:pPr>
          </w:p>
          <w:p>
            <w:pPr>
              <w:pStyle w:val="68"/>
              <w:bidi w:val="0"/>
              <w:ind w:left="0" w:leftChars="0" w:firstLine="0" w:firstLineChars="0"/>
              <w:rPr>
                <w:rFonts w:hint="default"/>
                <w:lang w:val="en-US" w:eastAsia="zh-CN"/>
              </w:rPr>
            </w:pPr>
          </w:p>
          <w:p>
            <w:pPr>
              <w:pStyle w:val="68"/>
              <w:bidi w:val="0"/>
              <w:ind w:left="0" w:leftChars="0" w:firstLine="0" w:firstLineChars="0"/>
              <w:rPr>
                <w:rFonts w:hint="default"/>
                <w:lang w:val="en-US" w:eastAsia="zh-CN"/>
              </w:rPr>
            </w:pPr>
          </w:p>
          <w:p>
            <w:pPr>
              <w:pStyle w:val="68"/>
              <w:bidi w:val="0"/>
              <w:ind w:left="0" w:leftChars="0" w:firstLine="0" w:firstLineChars="0"/>
              <w:rPr>
                <w:rFonts w:hint="default"/>
                <w:lang w:val="en-US" w:eastAsia="zh-CN"/>
              </w:rPr>
            </w:pPr>
          </w:p>
          <w:p>
            <w:pPr>
              <w:pStyle w:val="68"/>
              <w:bidi w:val="0"/>
              <w:ind w:left="0" w:leftChars="0" w:firstLine="0" w:firstLineChars="0"/>
              <w:rPr>
                <w:rFonts w:hint="default"/>
                <w:lang w:val="en-US" w:eastAsia="zh-CN"/>
              </w:rPr>
            </w:pPr>
          </w:p>
          <w:p>
            <w:pPr>
              <w:pStyle w:val="68"/>
              <w:bidi w:val="0"/>
              <w:ind w:left="0" w:leftChars="0" w:firstLine="0" w:firstLineChars="0"/>
              <w:rPr>
                <w:rFonts w:hint="default"/>
                <w:lang w:val="en-US" w:eastAsia="zh-CN"/>
              </w:rPr>
            </w:pPr>
          </w:p>
          <w:p>
            <w:pPr>
              <w:pStyle w:val="68"/>
              <w:bidi w:val="0"/>
              <w:ind w:left="0" w:leftChars="0" w:firstLine="0" w:firstLineChars="0"/>
              <w:rPr>
                <w:rFonts w:hint="default"/>
                <w:lang w:val="en-US" w:eastAsia="zh-CN"/>
              </w:rPr>
            </w:pPr>
          </w:p>
        </w:tc>
      </w:tr>
    </w:tbl>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黑体" w:cs="Times New Roman"/>
          <w:snapToGrid w:val="0"/>
          <w:color w:val="auto"/>
          <w:sz w:val="30"/>
          <w:szCs w:val="30"/>
        </w:rPr>
      </w:pPr>
      <w:r>
        <w:rPr>
          <w:rFonts w:hint="default" w:ascii="Times New Roman" w:hAnsi="Times New Roman" w:cs="Times New Roman"/>
          <w:snapToGrid w:val="0"/>
          <w:color w:val="auto"/>
        </w:rPr>
        <w:br w:type="page"/>
      </w:r>
      <w:r>
        <w:rPr>
          <w:rFonts w:hint="default" w:ascii="Times New Roman" w:hAnsi="Times New Roman" w:eastAsia="黑体" w:cs="Times New Roman"/>
          <w:snapToGrid w:val="0"/>
          <w:color w:val="auto"/>
          <w:sz w:val="30"/>
          <w:szCs w:val="30"/>
        </w:rPr>
        <w:t>六、结论</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56" w:hRule="atLeast"/>
          <w:jc w:val="center"/>
        </w:trPr>
        <w:tc>
          <w:tcPr>
            <w:tcW w:w="886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cs="Times New Roman"/>
                <w:color w:val="auto"/>
                <w:sz w:val="24"/>
              </w:rPr>
            </w:pPr>
            <w:r>
              <w:rPr>
                <w:rFonts w:hint="default" w:ascii="Times New Roman" w:hAnsi="Times New Roman" w:eastAsia="宋体" w:cs="Times New Roman"/>
                <w:color w:val="auto"/>
                <w:sz w:val="24"/>
                <w:szCs w:val="24"/>
                <w:lang w:eastAsia="zh-CN"/>
              </w:rPr>
              <w:t>项目生产运营会产生噪声、废水、废气及固体废物，经评价分析，在全面落实本报告提出的各项环保措施和建议的基础上，落实本项目的污染防治对策，加强环保管理，确保环保设施的正常高效运行，则环境污染可基本得到控制，做到污染物达标排放，对周围环境影响不大。因此，从环保角度而言本项目的建设是可行的。</w:t>
            </w:r>
          </w:p>
        </w:tc>
      </w:tr>
    </w:tbl>
    <w:p>
      <w:pPr>
        <w:rPr>
          <w:rFonts w:hint="default" w:ascii="Times New Roman" w:hAnsi="Times New Roman" w:cs="Times New Roman"/>
          <w:color w:val="auto"/>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0"/>
        <w:adjustRightInd w:val="0"/>
        <w:snapToGrid w:val="0"/>
        <w:spacing w:before="0" w:beforeAutospacing="0" w:after="0" w:afterAutospacing="0" w:line="360" w:lineRule="auto"/>
        <w:outlineLvl w:val="0"/>
        <w:rPr>
          <w:rFonts w:hint="default" w:ascii="黑体" w:hAnsi="黑体" w:eastAsia="黑体"/>
          <w:snapToGrid w:val="0"/>
          <w:sz w:val="32"/>
          <w:szCs w:val="32"/>
          <w:highlight w:val="none"/>
          <w:lang w:val="en-US" w:eastAsia="zh-CN"/>
        </w:rPr>
      </w:pPr>
      <w:r>
        <w:rPr>
          <w:rFonts w:hint="default" w:ascii="黑体" w:hAnsi="黑体" w:eastAsia="黑体"/>
          <w:snapToGrid w:val="0"/>
          <w:sz w:val="32"/>
          <w:szCs w:val="32"/>
          <w:highlight w:val="none"/>
          <w:lang w:val="en-US" w:eastAsia="zh-CN"/>
        </w:rPr>
        <w:t>附表</w:t>
      </w:r>
    </w:p>
    <w:p>
      <w:pPr>
        <w:pStyle w:val="20"/>
        <w:adjustRightInd w:val="0"/>
        <w:snapToGrid w:val="0"/>
        <w:spacing w:before="0" w:beforeAutospacing="0" w:after="0" w:afterAutospacing="0" w:line="360" w:lineRule="auto"/>
        <w:jc w:val="center"/>
        <w:outlineLvl w:val="0"/>
        <w:rPr>
          <w:rFonts w:hint="default" w:ascii="黑体" w:hAnsi="黑体" w:eastAsia="黑体"/>
          <w:snapToGrid w:val="0"/>
          <w:sz w:val="32"/>
          <w:szCs w:val="32"/>
          <w:highlight w:val="none"/>
        </w:rPr>
      </w:pPr>
      <w:r>
        <w:rPr>
          <w:rFonts w:hint="default" w:ascii="黑体" w:hAnsi="黑体" w:eastAsia="黑体"/>
          <w:snapToGrid w:val="0"/>
          <w:sz w:val="32"/>
          <w:szCs w:val="32"/>
          <w:highlight w:val="none"/>
        </w:rPr>
        <w:t>建设项目污染物排放量汇总表</w:t>
      </w:r>
    </w:p>
    <w:tbl>
      <w:tblPr>
        <w:tblStyle w:val="23"/>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937"/>
        <w:gridCol w:w="1428"/>
        <w:gridCol w:w="1272"/>
        <w:gridCol w:w="1502"/>
        <w:gridCol w:w="1650"/>
        <w:gridCol w:w="1533"/>
        <w:gridCol w:w="1917"/>
        <w:gridCol w:w="1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28" w:type="dxa"/>
            <w:tcBorders>
              <w:tl2br w:val="single" w:color="auto" w:sz="4" w:space="0"/>
            </w:tcBorders>
            <w:noWrap w:val="0"/>
            <w:tcMar>
              <w:left w:w="28" w:type="dxa"/>
              <w:right w:w="28" w:type="dxa"/>
            </w:tcMar>
            <w:vAlign w:val="center"/>
          </w:tcPr>
          <w:p>
            <w:pPr>
              <w:pStyle w:val="30"/>
              <w:spacing w:beforeLines="0" w:afterLines="0" w:line="240" w:lineRule="auto"/>
              <w:jc w:val="right"/>
              <w:rPr>
                <w:rFonts w:hint="eastAsia" w:ascii="黑体" w:hAnsi="黑体" w:eastAsia="黑体" w:cs="黑体"/>
                <w:snapToGrid w:val="0"/>
                <w:color w:val="000000"/>
                <w:spacing w:val="-6"/>
                <w:kern w:val="21"/>
                <w:szCs w:val="21"/>
                <w:highlight w:val="none"/>
              </w:rPr>
            </w:pPr>
            <w:r>
              <w:rPr>
                <w:rFonts w:hint="eastAsia" w:ascii="黑体" w:hAnsi="黑体" w:eastAsia="黑体" w:cs="黑体"/>
                <w:snapToGrid w:val="0"/>
                <w:color w:val="000000"/>
                <w:spacing w:val="-6"/>
                <w:kern w:val="21"/>
                <w:szCs w:val="21"/>
                <w:highlight w:val="none"/>
              </w:rPr>
              <w:t>项目</w:t>
            </w:r>
          </w:p>
          <w:p>
            <w:pPr>
              <w:pStyle w:val="30"/>
              <w:spacing w:beforeLines="0" w:afterLines="0" w:line="240" w:lineRule="auto"/>
              <w:jc w:val="left"/>
              <w:rPr>
                <w:rFonts w:hint="default" w:ascii="Times New Roman" w:hAnsi="Times New Roman" w:cs="Times New Roman" w:eastAsiaTheme="minorEastAsia"/>
                <w:snapToGrid w:val="0"/>
                <w:color w:val="000000"/>
                <w:spacing w:val="-6"/>
                <w:kern w:val="21"/>
                <w:szCs w:val="21"/>
                <w:highlight w:val="none"/>
              </w:rPr>
            </w:pPr>
            <w:r>
              <w:rPr>
                <w:rFonts w:hint="eastAsia" w:ascii="黑体" w:hAnsi="黑体" w:eastAsia="黑体" w:cs="黑体"/>
                <w:snapToGrid w:val="0"/>
                <w:color w:val="000000"/>
                <w:spacing w:val="-6"/>
                <w:kern w:val="21"/>
                <w:szCs w:val="21"/>
                <w:highlight w:val="none"/>
              </w:rPr>
              <w:t>分类</w:t>
            </w:r>
          </w:p>
        </w:tc>
        <w:tc>
          <w:tcPr>
            <w:tcW w:w="1937" w:type="dxa"/>
            <w:noWrap w:val="0"/>
            <w:tcMar>
              <w:left w:w="28" w:type="dxa"/>
              <w:right w:w="28" w:type="dxa"/>
            </w:tcMar>
            <w:vAlign w:val="center"/>
          </w:tcPr>
          <w:p>
            <w:pPr>
              <w:pStyle w:val="30"/>
              <w:spacing w:beforeLines="0" w:afterLines="0" w:line="240" w:lineRule="auto"/>
              <w:rPr>
                <w:rFonts w:hint="eastAsia" w:ascii="黑体" w:hAnsi="黑体" w:eastAsia="黑体" w:cs="黑体"/>
                <w:snapToGrid w:val="0"/>
                <w:color w:val="000000"/>
                <w:spacing w:val="-6"/>
                <w:kern w:val="21"/>
                <w:szCs w:val="21"/>
                <w:highlight w:val="none"/>
              </w:rPr>
            </w:pPr>
            <w:r>
              <w:rPr>
                <w:rFonts w:hint="eastAsia" w:ascii="黑体" w:hAnsi="黑体" w:eastAsia="黑体" w:cs="黑体"/>
                <w:snapToGrid w:val="0"/>
                <w:color w:val="000000"/>
                <w:spacing w:val="-6"/>
                <w:kern w:val="21"/>
                <w:szCs w:val="21"/>
                <w:highlight w:val="none"/>
              </w:rPr>
              <w:t>污染物名称</w:t>
            </w:r>
          </w:p>
        </w:tc>
        <w:tc>
          <w:tcPr>
            <w:tcW w:w="1428" w:type="dxa"/>
            <w:noWrap w:val="0"/>
            <w:tcMar>
              <w:left w:w="28" w:type="dxa"/>
              <w:right w:w="28" w:type="dxa"/>
            </w:tcMar>
            <w:vAlign w:val="center"/>
          </w:tcPr>
          <w:p>
            <w:pPr>
              <w:pStyle w:val="30"/>
              <w:spacing w:beforeLines="0" w:afterLines="0" w:line="240" w:lineRule="auto"/>
              <w:rPr>
                <w:rFonts w:hint="eastAsia" w:ascii="黑体" w:hAnsi="黑体" w:eastAsia="黑体" w:cs="黑体"/>
                <w:snapToGrid w:val="0"/>
                <w:color w:val="000000"/>
                <w:spacing w:val="-6"/>
                <w:kern w:val="21"/>
                <w:szCs w:val="21"/>
                <w:highlight w:val="none"/>
              </w:rPr>
            </w:pPr>
            <w:r>
              <w:rPr>
                <w:rFonts w:hint="eastAsia" w:ascii="黑体" w:hAnsi="黑体" w:eastAsia="黑体" w:cs="黑体"/>
                <w:snapToGrid w:val="0"/>
                <w:color w:val="000000"/>
                <w:spacing w:val="-6"/>
                <w:kern w:val="21"/>
                <w:szCs w:val="21"/>
                <w:highlight w:val="none"/>
              </w:rPr>
              <w:t>现有工程</w:t>
            </w:r>
          </w:p>
          <w:p>
            <w:pPr>
              <w:pStyle w:val="30"/>
              <w:spacing w:beforeLines="0" w:afterLines="0" w:line="240" w:lineRule="auto"/>
              <w:rPr>
                <w:rFonts w:hint="eastAsia" w:ascii="黑体" w:hAnsi="黑体" w:eastAsia="黑体" w:cs="黑体"/>
                <w:snapToGrid w:val="0"/>
                <w:color w:val="000000"/>
                <w:spacing w:val="-6"/>
                <w:kern w:val="21"/>
                <w:szCs w:val="21"/>
                <w:highlight w:val="none"/>
              </w:rPr>
            </w:pPr>
            <w:r>
              <w:rPr>
                <w:rFonts w:hint="eastAsia" w:ascii="黑体" w:hAnsi="黑体" w:eastAsia="黑体" w:cs="黑体"/>
                <w:snapToGrid w:val="0"/>
                <w:color w:val="000000"/>
                <w:spacing w:val="-6"/>
                <w:kern w:val="21"/>
                <w:szCs w:val="21"/>
                <w:highlight w:val="none"/>
              </w:rPr>
              <w:t>排放量（固体废物产生量）</w:t>
            </w:r>
            <w:r>
              <w:rPr>
                <w:rFonts w:hint="eastAsia" w:ascii="黑体" w:hAnsi="黑体" w:eastAsia="黑体" w:cs="黑体"/>
                <w:snapToGrid w:val="0"/>
                <w:color w:val="000000"/>
                <w:spacing w:val="-6"/>
                <w:kern w:val="21"/>
                <w:szCs w:val="21"/>
                <w:highlight w:val="none"/>
              </w:rPr>
              <w:fldChar w:fldCharType="begin"/>
            </w:r>
            <w:r>
              <w:rPr>
                <w:rFonts w:hint="eastAsia" w:ascii="黑体" w:hAnsi="黑体" w:eastAsia="黑体" w:cs="黑体"/>
                <w:snapToGrid w:val="0"/>
                <w:color w:val="000000"/>
                <w:spacing w:val="-6"/>
                <w:kern w:val="21"/>
                <w:szCs w:val="21"/>
                <w:highlight w:val="none"/>
              </w:rPr>
              <w:instrText xml:space="preserve"> = 1 \* GB3 \* MERGEFORMAT </w:instrText>
            </w:r>
            <w:r>
              <w:rPr>
                <w:rFonts w:hint="eastAsia" w:ascii="黑体" w:hAnsi="黑体" w:eastAsia="黑体" w:cs="黑体"/>
                <w:snapToGrid w:val="0"/>
                <w:color w:val="000000"/>
                <w:spacing w:val="-6"/>
                <w:kern w:val="21"/>
                <w:szCs w:val="21"/>
                <w:highlight w:val="none"/>
              </w:rPr>
              <w:fldChar w:fldCharType="separate"/>
            </w:r>
            <w:r>
              <w:rPr>
                <w:rFonts w:hint="eastAsia" w:ascii="黑体" w:hAnsi="黑体" w:eastAsia="黑体" w:cs="黑体"/>
                <w:kern w:val="2"/>
                <w:szCs w:val="21"/>
                <w:highlight w:val="none"/>
              </w:rPr>
              <w:t>①</w:t>
            </w:r>
            <w:r>
              <w:rPr>
                <w:rFonts w:hint="eastAsia" w:ascii="黑体" w:hAnsi="黑体" w:eastAsia="黑体" w:cs="黑体"/>
                <w:snapToGrid w:val="0"/>
                <w:color w:val="000000"/>
                <w:spacing w:val="-6"/>
                <w:kern w:val="21"/>
                <w:szCs w:val="21"/>
                <w:highlight w:val="none"/>
              </w:rPr>
              <w:fldChar w:fldCharType="end"/>
            </w:r>
          </w:p>
        </w:tc>
        <w:tc>
          <w:tcPr>
            <w:tcW w:w="1272" w:type="dxa"/>
            <w:noWrap w:val="0"/>
            <w:tcMar>
              <w:left w:w="28" w:type="dxa"/>
              <w:right w:w="28" w:type="dxa"/>
            </w:tcMar>
            <w:vAlign w:val="center"/>
          </w:tcPr>
          <w:p>
            <w:pPr>
              <w:pStyle w:val="30"/>
              <w:spacing w:beforeLines="0" w:afterLines="0" w:line="240" w:lineRule="auto"/>
              <w:rPr>
                <w:rFonts w:hint="eastAsia" w:ascii="黑体" w:hAnsi="黑体" w:eastAsia="黑体" w:cs="黑体"/>
                <w:snapToGrid w:val="0"/>
                <w:color w:val="000000"/>
                <w:spacing w:val="-6"/>
                <w:kern w:val="21"/>
                <w:szCs w:val="21"/>
                <w:highlight w:val="none"/>
              </w:rPr>
            </w:pPr>
            <w:r>
              <w:rPr>
                <w:rFonts w:hint="eastAsia" w:ascii="黑体" w:hAnsi="黑体" w:eastAsia="黑体" w:cs="黑体"/>
                <w:snapToGrid w:val="0"/>
                <w:color w:val="000000"/>
                <w:spacing w:val="-6"/>
                <w:kern w:val="21"/>
                <w:szCs w:val="21"/>
                <w:highlight w:val="none"/>
              </w:rPr>
              <w:t>现有工程</w:t>
            </w:r>
          </w:p>
          <w:p>
            <w:pPr>
              <w:pStyle w:val="30"/>
              <w:spacing w:beforeLines="0" w:afterLines="0" w:line="240" w:lineRule="auto"/>
              <w:rPr>
                <w:rFonts w:hint="eastAsia" w:ascii="黑体" w:hAnsi="黑体" w:eastAsia="黑体" w:cs="黑体"/>
                <w:snapToGrid w:val="0"/>
                <w:color w:val="000000"/>
                <w:spacing w:val="-6"/>
                <w:kern w:val="21"/>
                <w:szCs w:val="21"/>
                <w:highlight w:val="none"/>
              </w:rPr>
            </w:pPr>
            <w:r>
              <w:rPr>
                <w:rFonts w:hint="eastAsia" w:ascii="黑体" w:hAnsi="黑体" w:eastAsia="黑体" w:cs="黑体"/>
                <w:snapToGrid w:val="0"/>
                <w:color w:val="000000"/>
                <w:spacing w:val="-6"/>
                <w:kern w:val="21"/>
                <w:szCs w:val="21"/>
                <w:highlight w:val="none"/>
              </w:rPr>
              <w:t>许可排放量</w:t>
            </w:r>
          </w:p>
          <w:p>
            <w:pPr>
              <w:pStyle w:val="30"/>
              <w:spacing w:beforeLines="0" w:afterLines="0"/>
              <w:rPr>
                <w:rFonts w:hint="eastAsia" w:ascii="黑体" w:hAnsi="黑体" w:eastAsia="黑体" w:cs="黑体"/>
                <w:snapToGrid w:val="0"/>
                <w:color w:val="000000"/>
                <w:spacing w:val="-6"/>
                <w:kern w:val="21"/>
                <w:szCs w:val="21"/>
                <w:highlight w:val="none"/>
              </w:rPr>
            </w:pPr>
            <w:r>
              <w:rPr>
                <w:rFonts w:hint="eastAsia" w:ascii="黑体" w:hAnsi="黑体" w:eastAsia="黑体" w:cs="黑体"/>
                <w:snapToGrid w:val="0"/>
                <w:color w:val="000000"/>
                <w:spacing w:val="-6"/>
                <w:kern w:val="21"/>
                <w:szCs w:val="21"/>
                <w:highlight w:val="none"/>
              </w:rPr>
              <w:fldChar w:fldCharType="begin"/>
            </w:r>
            <w:r>
              <w:rPr>
                <w:rFonts w:hint="eastAsia" w:ascii="黑体" w:hAnsi="黑体" w:eastAsia="黑体" w:cs="黑体"/>
                <w:snapToGrid w:val="0"/>
                <w:color w:val="000000"/>
                <w:spacing w:val="-6"/>
                <w:kern w:val="21"/>
                <w:szCs w:val="21"/>
                <w:highlight w:val="none"/>
              </w:rPr>
              <w:instrText xml:space="preserve"> = 2 \* GB3 \* MERGEFORMAT </w:instrText>
            </w:r>
            <w:r>
              <w:rPr>
                <w:rFonts w:hint="eastAsia" w:ascii="黑体" w:hAnsi="黑体" w:eastAsia="黑体" w:cs="黑体"/>
                <w:snapToGrid w:val="0"/>
                <w:color w:val="000000"/>
                <w:spacing w:val="-6"/>
                <w:kern w:val="21"/>
                <w:szCs w:val="21"/>
                <w:highlight w:val="none"/>
              </w:rPr>
              <w:fldChar w:fldCharType="separate"/>
            </w:r>
            <w:r>
              <w:rPr>
                <w:rFonts w:hint="eastAsia" w:ascii="黑体" w:hAnsi="黑体" w:eastAsia="黑体" w:cs="黑体"/>
                <w:snapToGrid w:val="0"/>
                <w:color w:val="000000"/>
                <w:spacing w:val="-6"/>
                <w:kern w:val="21"/>
                <w:szCs w:val="21"/>
                <w:highlight w:val="none"/>
              </w:rPr>
              <w:t>②</w:t>
            </w:r>
            <w:r>
              <w:rPr>
                <w:rFonts w:hint="eastAsia" w:ascii="黑体" w:hAnsi="黑体" w:eastAsia="黑体" w:cs="黑体"/>
                <w:snapToGrid w:val="0"/>
                <w:color w:val="000000"/>
                <w:spacing w:val="-6"/>
                <w:kern w:val="21"/>
                <w:szCs w:val="21"/>
                <w:highlight w:val="none"/>
              </w:rPr>
              <w:fldChar w:fldCharType="end"/>
            </w:r>
          </w:p>
        </w:tc>
        <w:tc>
          <w:tcPr>
            <w:tcW w:w="1502" w:type="dxa"/>
            <w:noWrap w:val="0"/>
            <w:tcMar>
              <w:left w:w="28" w:type="dxa"/>
              <w:right w:w="28" w:type="dxa"/>
            </w:tcMar>
            <w:vAlign w:val="center"/>
          </w:tcPr>
          <w:p>
            <w:pPr>
              <w:pStyle w:val="30"/>
              <w:spacing w:beforeLines="0" w:afterLines="0" w:line="240" w:lineRule="auto"/>
              <w:rPr>
                <w:rFonts w:hint="eastAsia" w:ascii="黑体" w:hAnsi="黑体" w:eastAsia="黑体" w:cs="黑体"/>
                <w:snapToGrid w:val="0"/>
                <w:color w:val="000000"/>
                <w:spacing w:val="-6"/>
                <w:kern w:val="21"/>
                <w:szCs w:val="21"/>
                <w:highlight w:val="none"/>
              </w:rPr>
            </w:pPr>
            <w:r>
              <w:rPr>
                <w:rFonts w:hint="eastAsia" w:ascii="黑体" w:hAnsi="黑体" w:eastAsia="黑体" w:cs="黑体"/>
                <w:snapToGrid w:val="0"/>
                <w:color w:val="000000"/>
                <w:spacing w:val="-6"/>
                <w:kern w:val="21"/>
                <w:szCs w:val="21"/>
                <w:highlight w:val="none"/>
              </w:rPr>
              <w:t>在建工程</w:t>
            </w:r>
          </w:p>
          <w:p>
            <w:pPr>
              <w:pStyle w:val="30"/>
              <w:spacing w:beforeLines="0" w:afterLines="0" w:line="240" w:lineRule="auto"/>
              <w:rPr>
                <w:rFonts w:hint="eastAsia" w:ascii="黑体" w:hAnsi="黑体" w:eastAsia="黑体" w:cs="黑体"/>
                <w:snapToGrid w:val="0"/>
                <w:color w:val="000000"/>
                <w:spacing w:val="-6"/>
                <w:kern w:val="21"/>
                <w:szCs w:val="21"/>
                <w:highlight w:val="none"/>
              </w:rPr>
            </w:pPr>
            <w:r>
              <w:rPr>
                <w:rFonts w:hint="eastAsia" w:ascii="黑体" w:hAnsi="黑体" w:eastAsia="黑体" w:cs="黑体"/>
                <w:snapToGrid w:val="0"/>
                <w:color w:val="000000"/>
                <w:spacing w:val="-6"/>
                <w:kern w:val="21"/>
                <w:szCs w:val="21"/>
                <w:highlight w:val="none"/>
              </w:rPr>
              <w:t>排放量（固体废物产生量）</w:t>
            </w:r>
            <w:r>
              <w:rPr>
                <w:rFonts w:hint="eastAsia" w:ascii="黑体" w:hAnsi="黑体" w:eastAsia="黑体" w:cs="黑体"/>
                <w:snapToGrid w:val="0"/>
                <w:color w:val="000000"/>
                <w:spacing w:val="-6"/>
                <w:kern w:val="21"/>
                <w:szCs w:val="21"/>
                <w:highlight w:val="none"/>
              </w:rPr>
              <w:fldChar w:fldCharType="begin"/>
            </w:r>
            <w:r>
              <w:rPr>
                <w:rFonts w:hint="eastAsia" w:ascii="黑体" w:hAnsi="黑体" w:eastAsia="黑体" w:cs="黑体"/>
                <w:snapToGrid w:val="0"/>
                <w:color w:val="000000"/>
                <w:spacing w:val="-6"/>
                <w:kern w:val="21"/>
                <w:szCs w:val="21"/>
                <w:highlight w:val="none"/>
              </w:rPr>
              <w:instrText xml:space="preserve"> = 3 \* GB3 \* MERGEFORMAT </w:instrText>
            </w:r>
            <w:r>
              <w:rPr>
                <w:rFonts w:hint="eastAsia" w:ascii="黑体" w:hAnsi="黑体" w:eastAsia="黑体" w:cs="黑体"/>
                <w:snapToGrid w:val="0"/>
                <w:color w:val="000000"/>
                <w:spacing w:val="-6"/>
                <w:kern w:val="21"/>
                <w:szCs w:val="21"/>
                <w:highlight w:val="none"/>
              </w:rPr>
              <w:fldChar w:fldCharType="separate"/>
            </w:r>
            <w:r>
              <w:rPr>
                <w:rFonts w:hint="eastAsia" w:ascii="黑体" w:hAnsi="黑体" w:eastAsia="黑体" w:cs="黑体"/>
                <w:kern w:val="2"/>
                <w:szCs w:val="21"/>
                <w:highlight w:val="none"/>
              </w:rPr>
              <w:t>③</w:t>
            </w:r>
            <w:r>
              <w:rPr>
                <w:rFonts w:hint="eastAsia" w:ascii="黑体" w:hAnsi="黑体" w:eastAsia="黑体" w:cs="黑体"/>
                <w:snapToGrid w:val="0"/>
                <w:color w:val="000000"/>
                <w:spacing w:val="-6"/>
                <w:kern w:val="21"/>
                <w:szCs w:val="21"/>
                <w:highlight w:val="none"/>
              </w:rPr>
              <w:fldChar w:fldCharType="end"/>
            </w:r>
          </w:p>
        </w:tc>
        <w:tc>
          <w:tcPr>
            <w:tcW w:w="1650" w:type="dxa"/>
            <w:noWrap w:val="0"/>
            <w:tcMar>
              <w:left w:w="28" w:type="dxa"/>
              <w:right w:w="28" w:type="dxa"/>
            </w:tcMar>
            <w:vAlign w:val="center"/>
          </w:tcPr>
          <w:p>
            <w:pPr>
              <w:pStyle w:val="30"/>
              <w:spacing w:beforeLines="0" w:afterLines="0" w:line="240" w:lineRule="auto"/>
              <w:rPr>
                <w:rFonts w:hint="eastAsia" w:ascii="黑体" w:hAnsi="黑体" w:eastAsia="黑体" w:cs="黑体"/>
                <w:snapToGrid w:val="0"/>
                <w:color w:val="000000"/>
                <w:spacing w:val="-6"/>
                <w:kern w:val="21"/>
                <w:szCs w:val="21"/>
                <w:highlight w:val="none"/>
              </w:rPr>
            </w:pPr>
            <w:r>
              <w:rPr>
                <w:rFonts w:hint="eastAsia" w:ascii="黑体" w:hAnsi="黑体" w:eastAsia="黑体" w:cs="黑体"/>
                <w:snapToGrid w:val="0"/>
                <w:color w:val="000000"/>
                <w:spacing w:val="-6"/>
                <w:kern w:val="21"/>
                <w:szCs w:val="21"/>
                <w:highlight w:val="none"/>
              </w:rPr>
              <w:t>本项目</w:t>
            </w:r>
          </w:p>
          <w:p>
            <w:pPr>
              <w:pStyle w:val="30"/>
              <w:spacing w:beforeLines="0" w:afterLines="0" w:line="240" w:lineRule="auto"/>
              <w:rPr>
                <w:rFonts w:hint="eastAsia" w:ascii="黑体" w:hAnsi="黑体" w:eastAsia="黑体" w:cs="黑体"/>
                <w:snapToGrid w:val="0"/>
                <w:color w:val="000000"/>
                <w:spacing w:val="-6"/>
                <w:kern w:val="21"/>
                <w:szCs w:val="21"/>
                <w:highlight w:val="none"/>
              </w:rPr>
            </w:pPr>
            <w:r>
              <w:rPr>
                <w:rFonts w:hint="eastAsia" w:ascii="黑体" w:hAnsi="黑体" w:eastAsia="黑体" w:cs="黑体"/>
                <w:snapToGrid w:val="0"/>
                <w:color w:val="000000"/>
                <w:spacing w:val="-6"/>
                <w:kern w:val="21"/>
                <w:szCs w:val="21"/>
                <w:highlight w:val="none"/>
              </w:rPr>
              <w:t>排放量（固体废物产生量）</w:t>
            </w:r>
            <w:r>
              <w:rPr>
                <w:rFonts w:hint="eastAsia" w:ascii="黑体" w:hAnsi="黑体" w:eastAsia="黑体" w:cs="黑体"/>
                <w:snapToGrid w:val="0"/>
                <w:color w:val="000000"/>
                <w:spacing w:val="-6"/>
                <w:kern w:val="21"/>
                <w:szCs w:val="21"/>
                <w:highlight w:val="none"/>
              </w:rPr>
              <w:fldChar w:fldCharType="begin"/>
            </w:r>
            <w:r>
              <w:rPr>
                <w:rFonts w:hint="eastAsia" w:ascii="黑体" w:hAnsi="黑体" w:eastAsia="黑体" w:cs="黑体"/>
                <w:snapToGrid w:val="0"/>
                <w:color w:val="000000"/>
                <w:spacing w:val="-6"/>
                <w:kern w:val="21"/>
                <w:szCs w:val="21"/>
                <w:highlight w:val="none"/>
              </w:rPr>
              <w:instrText xml:space="preserve"> = 4 \* GB3 \* MERGEFORMAT </w:instrText>
            </w:r>
            <w:r>
              <w:rPr>
                <w:rFonts w:hint="eastAsia" w:ascii="黑体" w:hAnsi="黑体" w:eastAsia="黑体" w:cs="黑体"/>
                <w:snapToGrid w:val="0"/>
                <w:color w:val="000000"/>
                <w:spacing w:val="-6"/>
                <w:kern w:val="21"/>
                <w:szCs w:val="21"/>
                <w:highlight w:val="none"/>
              </w:rPr>
              <w:fldChar w:fldCharType="separate"/>
            </w:r>
            <w:r>
              <w:rPr>
                <w:rFonts w:hint="eastAsia" w:ascii="黑体" w:hAnsi="黑体" w:eastAsia="黑体" w:cs="黑体"/>
                <w:kern w:val="2"/>
                <w:szCs w:val="21"/>
                <w:highlight w:val="none"/>
              </w:rPr>
              <w:t>④</w:t>
            </w:r>
            <w:r>
              <w:rPr>
                <w:rFonts w:hint="eastAsia" w:ascii="黑体" w:hAnsi="黑体" w:eastAsia="黑体" w:cs="黑体"/>
                <w:snapToGrid w:val="0"/>
                <w:color w:val="000000"/>
                <w:spacing w:val="-6"/>
                <w:kern w:val="21"/>
                <w:szCs w:val="21"/>
                <w:highlight w:val="none"/>
              </w:rPr>
              <w:fldChar w:fldCharType="end"/>
            </w:r>
          </w:p>
        </w:tc>
        <w:tc>
          <w:tcPr>
            <w:tcW w:w="1533" w:type="dxa"/>
            <w:noWrap w:val="0"/>
            <w:tcMar>
              <w:left w:w="28" w:type="dxa"/>
              <w:right w:w="28" w:type="dxa"/>
            </w:tcMar>
            <w:vAlign w:val="center"/>
          </w:tcPr>
          <w:p>
            <w:pPr>
              <w:pStyle w:val="30"/>
              <w:spacing w:beforeLines="0" w:afterLines="0" w:line="240" w:lineRule="auto"/>
              <w:rPr>
                <w:rFonts w:hint="eastAsia" w:ascii="黑体" w:hAnsi="黑体" w:eastAsia="黑体" w:cs="黑体"/>
                <w:snapToGrid w:val="0"/>
                <w:color w:val="000000"/>
                <w:spacing w:val="-16"/>
                <w:kern w:val="21"/>
                <w:szCs w:val="21"/>
                <w:highlight w:val="none"/>
              </w:rPr>
            </w:pPr>
            <w:r>
              <w:rPr>
                <w:rFonts w:hint="eastAsia" w:ascii="黑体" w:hAnsi="黑体" w:eastAsia="黑体" w:cs="黑体"/>
                <w:snapToGrid w:val="0"/>
                <w:color w:val="000000"/>
                <w:spacing w:val="-16"/>
                <w:kern w:val="21"/>
                <w:szCs w:val="21"/>
                <w:highlight w:val="none"/>
              </w:rPr>
              <w:t>以新带老削减量</w:t>
            </w:r>
          </w:p>
          <w:p>
            <w:pPr>
              <w:pStyle w:val="30"/>
              <w:spacing w:beforeLines="0" w:afterLines="0" w:line="240" w:lineRule="auto"/>
              <w:rPr>
                <w:rFonts w:hint="eastAsia" w:ascii="黑体" w:hAnsi="黑体" w:eastAsia="黑体" w:cs="黑体"/>
                <w:snapToGrid w:val="0"/>
                <w:color w:val="000000"/>
                <w:spacing w:val="-16"/>
                <w:kern w:val="21"/>
                <w:szCs w:val="21"/>
                <w:highlight w:val="none"/>
              </w:rPr>
            </w:pPr>
            <w:r>
              <w:rPr>
                <w:rFonts w:hint="eastAsia" w:ascii="黑体" w:hAnsi="黑体" w:eastAsia="黑体" w:cs="黑体"/>
                <w:snapToGrid w:val="0"/>
                <w:color w:val="000000"/>
                <w:spacing w:val="-16"/>
                <w:kern w:val="21"/>
                <w:szCs w:val="21"/>
                <w:highlight w:val="none"/>
              </w:rPr>
              <w:t>（新建项目不填）</w:t>
            </w:r>
            <w:r>
              <w:rPr>
                <w:rFonts w:hint="eastAsia" w:ascii="黑体" w:hAnsi="黑体" w:eastAsia="黑体" w:cs="黑体"/>
                <w:snapToGrid w:val="0"/>
                <w:color w:val="000000"/>
                <w:spacing w:val="-16"/>
                <w:kern w:val="21"/>
                <w:szCs w:val="21"/>
                <w:highlight w:val="none"/>
              </w:rPr>
              <w:fldChar w:fldCharType="begin"/>
            </w:r>
            <w:r>
              <w:rPr>
                <w:rFonts w:hint="eastAsia" w:ascii="黑体" w:hAnsi="黑体" w:eastAsia="黑体" w:cs="黑体"/>
                <w:snapToGrid w:val="0"/>
                <w:color w:val="000000"/>
                <w:spacing w:val="-16"/>
                <w:kern w:val="21"/>
                <w:szCs w:val="21"/>
                <w:highlight w:val="none"/>
              </w:rPr>
              <w:instrText xml:space="preserve"> = 5 \* GB3 \* MERGEFORMAT </w:instrText>
            </w:r>
            <w:r>
              <w:rPr>
                <w:rFonts w:hint="eastAsia" w:ascii="黑体" w:hAnsi="黑体" w:eastAsia="黑体" w:cs="黑体"/>
                <w:snapToGrid w:val="0"/>
                <w:color w:val="000000"/>
                <w:spacing w:val="-16"/>
                <w:kern w:val="21"/>
                <w:szCs w:val="21"/>
                <w:highlight w:val="none"/>
              </w:rPr>
              <w:fldChar w:fldCharType="separate"/>
            </w:r>
            <w:r>
              <w:rPr>
                <w:rFonts w:hint="eastAsia" w:ascii="黑体" w:hAnsi="黑体" w:eastAsia="黑体" w:cs="黑体"/>
                <w:kern w:val="2"/>
                <w:szCs w:val="21"/>
                <w:highlight w:val="none"/>
              </w:rPr>
              <w:t>⑤</w:t>
            </w:r>
            <w:r>
              <w:rPr>
                <w:rFonts w:hint="eastAsia" w:ascii="黑体" w:hAnsi="黑体" w:eastAsia="黑体" w:cs="黑体"/>
                <w:snapToGrid w:val="0"/>
                <w:color w:val="000000"/>
                <w:spacing w:val="-16"/>
                <w:kern w:val="21"/>
                <w:szCs w:val="21"/>
                <w:highlight w:val="none"/>
              </w:rPr>
              <w:fldChar w:fldCharType="end"/>
            </w:r>
          </w:p>
        </w:tc>
        <w:tc>
          <w:tcPr>
            <w:tcW w:w="1917" w:type="dxa"/>
            <w:noWrap w:val="0"/>
            <w:tcMar>
              <w:left w:w="28" w:type="dxa"/>
              <w:right w:w="28" w:type="dxa"/>
            </w:tcMar>
            <w:vAlign w:val="center"/>
          </w:tcPr>
          <w:p>
            <w:pPr>
              <w:pStyle w:val="30"/>
              <w:spacing w:beforeLines="0" w:afterLines="0" w:line="240" w:lineRule="auto"/>
              <w:rPr>
                <w:rFonts w:hint="eastAsia" w:ascii="黑体" w:hAnsi="黑体" w:eastAsia="黑体" w:cs="黑体"/>
                <w:snapToGrid w:val="0"/>
                <w:color w:val="000000"/>
                <w:spacing w:val="-16"/>
                <w:kern w:val="21"/>
                <w:szCs w:val="21"/>
                <w:highlight w:val="none"/>
              </w:rPr>
            </w:pPr>
            <w:r>
              <w:rPr>
                <w:rFonts w:hint="eastAsia" w:ascii="黑体" w:hAnsi="黑体" w:eastAsia="黑体" w:cs="黑体"/>
                <w:snapToGrid w:val="0"/>
                <w:color w:val="000000"/>
                <w:spacing w:val="-16"/>
                <w:kern w:val="21"/>
                <w:szCs w:val="21"/>
                <w:highlight w:val="none"/>
              </w:rPr>
              <w:t>本项目建成后</w:t>
            </w:r>
          </w:p>
          <w:p>
            <w:pPr>
              <w:pStyle w:val="30"/>
              <w:spacing w:beforeLines="0" w:afterLines="0" w:line="240" w:lineRule="auto"/>
              <w:rPr>
                <w:rFonts w:hint="eastAsia" w:ascii="黑体" w:hAnsi="黑体" w:eastAsia="黑体" w:cs="黑体"/>
                <w:snapToGrid w:val="0"/>
                <w:color w:val="000000"/>
                <w:spacing w:val="-16"/>
                <w:kern w:val="21"/>
                <w:szCs w:val="21"/>
                <w:highlight w:val="none"/>
              </w:rPr>
            </w:pPr>
            <w:r>
              <w:rPr>
                <w:rFonts w:hint="eastAsia" w:ascii="黑体" w:hAnsi="黑体" w:eastAsia="黑体" w:cs="黑体"/>
                <w:snapToGrid w:val="0"/>
                <w:color w:val="000000"/>
                <w:spacing w:val="-16"/>
                <w:kern w:val="21"/>
                <w:szCs w:val="21"/>
                <w:highlight w:val="none"/>
              </w:rPr>
              <w:t>全厂排放量（固体废物产生量）</w:t>
            </w:r>
            <w:r>
              <w:rPr>
                <w:rFonts w:hint="eastAsia" w:ascii="黑体" w:hAnsi="黑体" w:eastAsia="黑体" w:cs="黑体"/>
                <w:snapToGrid w:val="0"/>
                <w:color w:val="000000"/>
                <w:spacing w:val="-16"/>
                <w:kern w:val="21"/>
                <w:szCs w:val="21"/>
                <w:highlight w:val="none"/>
              </w:rPr>
              <w:fldChar w:fldCharType="begin"/>
            </w:r>
            <w:r>
              <w:rPr>
                <w:rFonts w:hint="eastAsia" w:ascii="黑体" w:hAnsi="黑体" w:eastAsia="黑体" w:cs="黑体"/>
                <w:snapToGrid w:val="0"/>
                <w:color w:val="000000"/>
                <w:spacing w:val="-16"/>
                <w:kern w:val="21"/>
                <w:szCs w:val="21"/>
                <w:highlight w:val="none"/>
              </w:rPr>
              <w:instrText xml:space="preserve"> = 6 \* GB3 \* MERGEFORMAT </w:instrText>
            </w:r>
            <w:r>
              <w:rPr>
                <w:rFonts w:hint="eastAsia" w:ascii="黑体" w:hAnsi="黑体" w:eastAsia="黑体" w:cs="黑体"/>
                <w:snapToGrid w:val="0"/>
                <w:color w:val="000000"/>
                <w:spacing w:val="-16"/>
                <w:kern w:val="21"/>
                <w:szCs w:val="21"/>
                <w:highlight w:val="none"/>
              </w:rPr>
              <w:fldChar w:fldCharType="separate"/>
            </w:r>
            <w:r>
              <w:rPr>
                <w:rFonts w:hint="eastAsia" w:ascii="黑体" w:hAnsi="黑体" w:eastAsia="黑体" w:cs="黑体"/>
                <w:kern w:val="2"/>
                <w:szCs w:val="21"/>
                <w:highlight w:val="none"/>
              </w:rPr>
              <w:t>⑥</w:t>
            </w:r>
            <w:r>
              <w:rPr>
                <w:rFonts w:hint="eastAsia" w:ascii="黑体" w:hAnsi="黑体" w:eastAsia="黑体" w:cs="黑体"/>
                <w:snapToGrid w:val="0"/>
                <w:color w:val="000000"/>
                <w:spacing w:val="-16"/>
                <w:kern w:val="21"/>
                <w:szCs w:val="21"/>
                <w:highlight w:val="none"/>
              </w:rPr>
              <w:fldChar w:fldCharType="end"/>
            </w:r>
          </w:p>
        </w:tc>
        <w:tc>
          <w:tcPr>
            <w:tcW w:w="1321" w:type="dxa"/>
            <w:noWrap w:val="0"/>
            <w:tcMar>
              <w:left w:w="28" w:type="dxa"/>
              <w:right w:w="28" w:type="dxa"/>
            </w:tcMar>
            <w:vAlign w:val="center"/>
          </w:tcPr>
          <w:p>
            <w:pPr>
              <w:pStyle w:val="30"/>
              <w:spacing w:beforeLines="0" w:afterLines="0" w:line="240" w:lineRule="auto"/>
              <w:rPr>
                <w:rFonts w:hint="eastAsia" w:ascii="黑体" w:hAnsi="黑体" w:eastAsia="黑体" w:cs="黑体"/>
                <w:snapToGrid w:val="0"/>
                <w:color w:val="000000"/>
                <w:spacing w:val="-6"/>
                <w:kern w:val="21"/>
                <w:szCs w:val="21"/>
                <w:highlight w:val="none"/>
              </w:rPr>
            </w:pPr>
            <w:r>
              <w:rPr>
                <w:rFonts w:hint="eastAsia" w:ascii="黑体" w:hAnsi="黑体" w:eastAsia="黑体" w:cs="黑体"/>
                <w:snapToGrid w:val="0"/>
                <w:color w:val="000000"/>
                <w:spacing w:val="-6"/>
                <w:kern w:val="21"/>
                <w:szCs w:val="21"/>
                <w:highlight w:val="none"/>
              </w:rPr>
              <w:t>变化量</w:t>
            </w:r>
          </w:p>
          <w:p>
            <w:pPr>
              <w:pStyle w:val="30"/>
              <w:spacing w:beforeLines="0" w:afterLines="0" w:line="240" w:lineRule="auto"/>
              <w:rPr>
                <w:rFonts w:hint="eastAsia" w:ascii="黑体" w:hAnsi="黑体" w:eastAsia="黑体" w:cs="黑体"/>
                <w:snapToGrid w:val="0"/>
                <w:color w:val="000000"/>
                <w:spacing w:val="-6"/>
                <w:kern w:val="21"/>
                <w:szCs w:val="21"/>
                <w:highlight w:val="none"/>
              </w:rPr>
            </w:pPr>
            <w:r>
              <w:rPr>
                <w:rFonts w:hint="eastAsia" w:ascii="黑体" w:hAnsi="黑体" w:eastAsia="黑体" w:cs="黑体"/>
                <w:snapToGrid w:val="0"/>
                <w:color w:val="000000"/>
                <w:spacing w:val="-6"/>
                <w:kern w:val="21"/>
                <w:szCs w:val="21"/>
                <w:highlight w:val="none"/>
              </w:rPr>
              <w:fldChar w:fldCharType="begin"/>
            </w:r>
            <w:r>
              <w:rPr>
                <w:rFonts w:hint="eastAsia" w:ascii="黑体" w:hAnsi="黑体" w:eastAsia="黑体" w:cs="黑体"/>
                <w:snapToGrid w:val="0"/>
                <w:color w:val="000000"/>
                <w:spacing w:val="-6"/>
                <w:kern w:val="21"/>
                <w:szCs w:val="21"/>
                <w:highlight w:val="none"/>
              </w:rPr>
              <w:instrText xml:space="preserve"> = 7 \* GB3 \* MERGEFORMAT </w:instrText>
            </w:r>
            <w:r>
              <w:rPr>
                <w:rFonts w:hint="eastAsia" w:ascii="黑体" w:hAnsi="黑体" w:eastAsia="黑体" w:cs="黑体"/>
                <w:snapToGrid w:val="0"/>
                <w:color w:val="000000"/>
                <w:spacing w:val="-6"/>
                <w:kern w:val="21"/>
                <w:szCs w:val="21"/>
                <w:highlight w:val="none"/>
              </w:rPr>
              <w:fldChar w:fldCharType="separate"/>
            </w:r>
            <w:r>
              <w:rPr>
                <w:rFonts w:hint="eastAsia" w:ascii="黑体" w:hAnsi="黑体" w:eastAsia="黑体" w:cs="黑体"/>
                <w:kern w:val="2"/>
                <w:szCs w:val="21"/>
                <w:highlight w:val="none"/>
              </w:rPr>
              <w:t>⑦</w:t>
            </w:r>
            <w:r>
              <w:rPr>
                <w:rFonts w:hint="eastAsia" w:ascii="黑体" w:hAnsi="黑体" w:eastAsia="黑体" w:cs="黑体"/>
                <w:snapToGrid w:val="0"/>
                <w:color w:val="000000"/>
                <w:spacing w:val="-6"/>
                <w:kern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28" w:type="dxa"/>
            <w:noWrap w:val="0"/>
            <w:vAlign w:val="center"/>
          </w:tcPr>
          <w:p>
            <w:pPr>
              <w:pStyle w:val="30"/>
              <w:spacing w:beforeLines="0" w:afterLines="0" w:line="240" w:lineRule="auto"/>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rPr>
              <w:t>废气</w:t>
            </w:r>
          </w:p>
        </w:tc>
        <w:tc>
          <w:tcPr>
            <w:tcW w:w="1937" w:type="dxa"/>
            <w:noWrap w:val="0"/>
            <w:vAlign w:val="center"/>
          </w:tcPr>
          <w:p>
            <w:pPr>
              <w:keepNext w:val="0"/>
              <w:keepLines w:val="0"/>
              <w:widowControl w:val="0"/>
              <w:suppressLineNumbers w:val="0"/>
              <w:adjustRightInd w:val="0"/>
              <w:snapToGrid w:val="0"/>
              <w:spacing w:before="0" w:beforeLines="0" w:beforeAutospacing="0" w:after="0" w:afterLines="0" w:afterAutospacing="0" w:line="240" w:lineRule="auto"/>
              <w:ind w:left="0" w:leftChars="0" w:right="0" w:rightChars="0"/>
              <w:jc w:val="center"/>
              <w:rPr>
                <w:rFonts w:hint="default" w:ascii="Times New Roman" w:hAnsi="Times New Roman" w:cs="Times New Roman" w:eastAsiaTheme="minorEastAsia"/>
                <w:snapToGrid w:val="0"/>
                <w:color w:val="000000"/>
                <w:kern w:val="21"/>
                <w:sz w:val="21"/>
                <w:szCs w:val="21"/>
                <w:highlight w:val="none"/>
                <w:lang w:val="en-US" w:eastAsia="zh-CN" w:bidi="ar-SA"/>
              </w:rPr>
            </w:pPr>
            <w:r>
              <w:rPr>
                <w:rFonts w:hint="default" w:ascii="Times New Roman" w:hAnsi="Times New Roman" w:cs="Times New Roman" w:eastAsiaTheme="minorEastAsia"/>
                <w:snapToGrid w:val="0"/>
                <w:color w:val="000000"/>
                <w:kern w:val="21"/>
                <w:sz w:val="21"/>
                <w:szCs w:val="21"/>
                <w:highlight w:val="none"/>
                <w:lang w:val="en-US" w:eastAsia="zh-CN" w:bidi="ar-SA"/>
              </w:rPr>
              <w:t>颗粒物</w:t>
            </w:r>
          </w:p>
        </w:tc>
        <w:tc>
          <w:tcPr>
            <w:tcW w:w="1428" w:type="dxa"/>
            <w:noWrap w:val="0"/>
            <w:vAlign w:val="center"/>
          </w:tcPr>
          <w:p>
            <w:pPr>
              <w:pStyle w:val="30"/>
              <w:spacing w:beforeLines="0" w:afterLines="0" w:line="240" w:lineRule="auto"/>
              <w:jc w:val="center"/>
              <w:rPr>
                <w:rFonts w:hint="default" w:ascii="Times New Roman" w:hAnsi="Times New Roman" w:cs="Times New Roman" w:eastAsiaTheme="minorEastAsia"/>
                <w:snapToGrid w:val="0"/>
                <w:color w:val="000000"/>
                <w:kern w:val="21"/>
                <w:szCs w:val="21"/>
                <w:highlight w:val="none"/>
                <w:lang w:val="en-US" w:eastAsia="zh-CN"/>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272"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502"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650" w:type="dxa"/>
            <w:noWrap w:val="0"/>
            <w:vAlign w:val="center"/>
          </w:tcPr>
          <w:p>
            <w:pPr>
              <w:pStyle w:val="30"/>
              <w:keepNext w:val="0"/>
              <w:keepLines w:val="0"/>
              <w:pageBreakBefore w:val="0"/>
              <w:widowControl w:val="0"/>
              <w:kinsoku/>
              <w:wordWrap w:val="0"/>
              <w:overflowPunct/>
              <w:topLinePunct/>
              <w:autoSpaceDE/>
              <w:autoSpaceDN/>
              <w:bidi w:val="0"/>
              <w:spacing w:beforeLines="0" w:afterLines="0" w:line="240" w:lineRule="auto"/>
              <w:jc w:val="center"/>
              <w:textAlignment w:val="center"/>
              <w:rPr>
                <w:rFonts w:hint="default" w:ascii="Times New Roman" w:hAnsi="Times New Roman" w:cs="Times New Roman" w:eastAsiaTheme="minorEastAsia"/>
                <w:snapToGrid w:val="0"/>
                <w:color w:val="000000"/>
                <w:kern w:val="21"/>
                <w:szCs w:val="21"/>
                <w:highlight w:val="none"/>
                <w:lang w:val="en-US" w:eastAsia="zh-CN"/>
              </w:rPr>
            </w:pPr>
            <w:r>
              <w:rPr>
                <w:rFonts w:hint="eastAsia" w:ascii="Times New Roman" w:cs="Times New Roman"/>
                <w:lang w:val="en-US" w:eastAsia="zh-CN"/>
              </w:rPr>
              <w:t>26.24</w:t>
            </w:r>
            <w:r>
              <w:rPr>
                <w:rFonts w:hint="default" w:ascii="Times New Roman" w:hAnsi="Times New Roman" w:cs="Times New Roman" w:eastAsiaTheme="minorEastAsia"/>
                <w:snapToGrid w:val="0"/>
                <w:color w:val="000000"/>
                <w:kern w:val="21"/>
                <w:szCs w:val="21"/>
                <w:highlight w:val="none"/>
                <w:lang w:val="en-US" w:eastAsia="zh-CN"/>
              </w:rPr>
              <w:t>t/a</w:t>
            </w:r>
          </w:p>
        </w:tc>
        <w:tc>
          <w:tcPr>
            <w:tcW w:w="1533"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917" w:type="dxa"/>
            <w:noWrap w:val="0"/>
            <w:vAlign w:val="center"/>
          </w:tcPr>
          <w:p>
            <w:pPr>
              <w:pStyle w:val="30"/>
              <w:keepNext w:val="0"/>
              <w:keepLines w:val="0"/>
              <w:pageBreakBefore w:val="0"/>
              <w:widowControl w:val="0"/>
              <w:kinsoku/>
              <w:wordWrap w:val="0"/>
              <w:overflowPunct/>
              <w:topLinePunct/>
              <w:autoSpaceDE/>
              <w:autoSpaceDN/>
              <w:bidi w:val="0"/>
              <w:spacing w:beforeLines="0" w:afterLines="0" w:line="240" w:lineRule="auto"/>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bidi="ar-SA"/>
              </w:rPr>
            </w:pPr>
            <w:r>
              <w:rPr>
                <w:rFonts w:hint="eastAsia" w:ascii="Times New Roman" w:cs="Times New Roman"/>
                <w:lang w:val="en-US" w:eastAsia="zh-CN"/>
              </w:rPr>
              <w:t>26.24</w:t>
            </w:r>
            <w:r>
              <w:rPr>
                <w:rFonts w:hint="default" w:ascii="Times New Roman" w:hAnsi="Times New Roman" w:cs="Times New Roman" w:eastAsiaTheme="minorEastAsia"/>
                <w:snapToGrid w:val="0"/>
                <w:color w:val="000000"/>
                <w:kern w:val="21"/>
                <w:szCs w:val="21"/>
                <w:highlight w:val="none"/>
                <w:lang w:val="en-US" w:eastAsia="zh-CN"/>
              </w:rPr>
              <w:t>t/a</w:t>
            </w:r>
          </w:p>
        </w:tc>
        <w:tc>
          <w:tcPr>
            <w:tcW w:w="1321" w:type="dxa"/>
            <w:noWrap w:val="0"/>
            <w:vAlign w:val="center"/>
          </w:tcPr>
          <w:p>
            <w:pPr>
              <w:pStyle w:val="30"/>
              <w:keepNext w:val="0"/>
              <w:keepLines w:val="0"/>
              <w:pageBreakBefore w:val="0"/>
              <w:widowControl w:val="0"/>
              <w:kinsoku/>
              <w:wordWrap w:val="0"/>
              <w:overflowPunct/>
              <w:topLinePunct/>
              <w:autoSpaceDE/>
              <w:autoSpaceDN/>
              <w:bidi w:val="0"/>
              <w:spacing w:beforeLines="0" w:afterLines="0" w:line="240" w:lineRule="auto"/>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bidi="ar-SA"/>
              </w:rPr>
            </w:pPr>
            <w:r>
              <w:rPr>
                <w:rFonts w:hint="eastAsia" w:ascii="Times New Roman" w:cs="Times New Roman"/>
                <w:lang w:val="en-US" w:eastAsia="zh-CN"/>
              </w:rPr>
              <w:t>26.24</w:t>
            </w:r>
            <w:r>
              <w:rPr>
                <w:rFonts w:hint="default" w:ascii="Times New Roman" w:hAnsi="Times New Roman" w:cs="Times New Roman" w:eastAsiaTheme="minorEastAsia"/>
                <w:snapToGrid w:val="0"/>
                <w:color w:val="000000"/>
                <w:kern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28" w:type="dxa"/>
            <w:vMerge w:val="restart"/>
            <w:noWrap w:val="0"/>
            <w:vAlign w:val="center"/>
          </w:tcPr>
          <w:p>
            <w:pPr>
              <w:pStyle w:val="30"/>
              <w:spacing w:beforeLines="0" w:afterLines="0" w:line="240" w:lineRule="auto"/>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rPr>
              <w:t>废水</w:t>
            </w:r>
          </w:p>
        </w:tc>
        <w:tc>
          <w:tcPr>
            <w:tcW w:w="1937" w:type="dxa"/>
            <w:noWrap w:val="0"/>
            <w:vAlign w:val="center"/>
          </w:tcPr>
          <w:p>
            <w:pPr>
              <w:pStyle w:val="70"/>
              <w:bidi w:val="0"/>
              <w:jc w:val="center"/>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highlight w:val="none"/>
                <w:lang w:val="en-US" w:eastAsia="zh-CN"/>
              </w:rPr>
              <w:t>COD</w:t>
            </w:r>
          </w:p>
        </w:tc>
        <w:tc>
          <w:tcPr>
            <w:tcW w:w="1428"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272"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502"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650" w:type="dxa"/>
            <w:noWrap w:val="0"/>
            <w:vAlign w:val="center"/>
          </w:tcPr>
          <w:p>
            <w:pPr>
              <w:pStyle w:val="66"/>
              <w:bidi w:val="0"/>
              <w:rPr>
                <w:rFonts w:hint="default" w:ascii="Times New Roman" w:hAnsi="Times New Roman" w:cs="Times New Roman" w:eastAsiaTheme="minorEastAsia"/>
                <w:kern w:val="2"/>
                <w:sz w:val="21"/>
                <w:szCs w:val="21"/>
                <w:highlight w:val="none"/>
                <w:lang w:val="en-US" w:eastAsia="zh-CN" w:bidi="ar-SA"/>
              </w:rPr>
            </w:pPr>
            <w:r>
              <w:rPr>
                <w:rFonts w:hint="eastAsia"/>
                <w:lang w:val="en-US" w:eastAsia="zh-CN"/>
              </w:rPr>
              <w:t>0.126m</w:t>
            </w:r>
            <w:r>
              <w:rPr>
                <w:rFonts w:hint="eastAsia"/>
                <w:vertAlign w:val="superscript"/>
                <w:lang w:val="en-US" w:eastAsia="zh-CN"/>
              </w:rPr>
              <w:t>3</w:t>
            </w:r>
            <w:r>
              <w:rPr>
                <w:rFonts w:hint="eastAsia"/>
                <w:lang w:val="en-US" w:eastAsia="zh-CN"/>
              </w:rPr>
              <w:t>/a</w:t>
            </w:r>
          </w:p>
        </w:tc>
        <w:tc>
          <w:tcPr>
            <w:tcW w:w="1533"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917" w:type="dxa"/>
            <w:noWrap w:val="0"/>
            <w:vAlign w:val="center"/>
          </w:tcPr>
          <w:p>
            <w:pPr>
              <w:pStyle w:val="66"/>
              <w:bidi w:val="0"/>
              <w:rPr>
                <w:rFonts w:hint="default" w:ascii="Times New Roman" w:hAnsi="Times New Roman" w:cs="Times New Roman" w:eastAsiaTheme="minorEastAsia"/>
                <w:kern w:val="2"/>
                <w:sz w:val="21"/>
                <w:szCs w:val="21"/>
                <w:highlight w:val="none"/>
                <w:lang w:val="en-US" w:eastAsia="zh-CN" w:bidi="ar-SA"/>
              </w:rPr>
            </w:pPr>
            <w:r>
              <w:rPr>
                <w:rFonts w:hint="eastAsia"/>
                <w:lang w:val="en-US" w:eastAsia="zh-CN"/>
              </w:rPr>
              <w:t>0.126m</w:t>
            </w:r>
            <w:r>
              <w:rPr>
                <w:rFonts w:hint="eastAsia"/>
                <w:vertAlign w:val="superscript"/>
                <w:lang w:val="en-US" w:eastAsia="zh-CN"/>
              </w:rPr>
              <w:t>3</w:t>
            </w:r>
            <w:r>
              <w:rPr>
                <w:rFonts w:hint="eastAsia"/>
                <w:lang w:val="en-US" w:eastAsia="zh-CN"/>
              </w:rPr>
              <w:t>/a</w:t>
            </w:r>
          </w:p>
        </w:tc>
        <w:tc>
          <w:tcPr>
            <w:tcW w:w="1321" w:type="dxa"/>
            <w:noWrap w:val="0"/>
            <w:vAlign w:val="center"/>
          </w:tcPr>
          <w:p>
            <w:pPr>
              <w:pStyle w:val="66"/>
              <w:bidi w:val="0"/>
              <w:rPr>
                <w:rFonts w:hint="default" w:ascii="Times New Roman" w:hAnsi="Times New Roman" w:cs="Times New Roman" w:eastAsiaTheme="minorEastAsia"/>
                <w:kern w:val="2"/>
                <w:sz w:val="21"/>
                <w:szCs w:val="21"/>
                <w:highlight w:val="none"/>
                <w:lang w:val="en-US" w:eastAsia="zh-CN" w:bidi="ar-SA"/>
              </w:rPr>
            </w:pPr>
            <w:r>
              <w:rPr>
                <w:rFonts w:hint="eastAsia"/>
                <w:lang w:val="en-US" w:eastAsia="zh-CN"/>
              </w:rPr>
              <w:t>0.126m</w:t>
            </w:r>
            <w:r>
              <w:rPr>
                <w:rFonts w:hint="eastAsia"/>
                <w:vertAlign w:val="superscript"/>
                <w:lang w:val="en-US" w:eastAsia="zh-CN"/>
              </w:rPr>
              <w:t>3</w:t>
            </w:r>
            <w:r>
              <w:rPr>
                <w:rFonts w:hint="eastAsia"/>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28" w:type="dxa"/>
            <w:vMerge w:val="continue"/>
            <w:noWrap w:val="0"/>
            <w:vAlign w:val="center"/>
          </w:tcPr>
          <w:p>
            <w:pPr>
              <w:pStyle w:val="30"/>
              <w:spacing w:beforeLines="0" w:afterLines="0" w:line="240" w:lineRule="auto"/>
              <w:rPr>
                <w:rFonts w:hint="default" w:ascii="Times New Roman" w:hAnsi="Times New Roman" w:cs="Times New Roman" w:eastAsiaTheme="minorEastAsia"/>
                <w:snapToGrid w:val="0"/>
                <w:color w:val="000000"/>
                <w:kern w:val="21"/>
                <w:szCs w:val="21"/>
                <w:highlight w:val="none"/>
              </w:rPr>
            </w:pPr>
          </w:p>
        </w:tc>
        <w:tc>
          <w:tcPr>
            <w:tcW w:w="1937" w:type="dxa"/>
            <w:noWrap w:val="0"/>
            <w:vAlign w:val="center"/>
          </w:tcPr>
          <w:p>
            <w:pPr>
              <w:pStyle w:val="70"/>
              <w:bidi w:val="0"/>
              <w:jc w:val="center"/>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highlight w:val="none"/>
                <w:lang w:val="en-US" w:eastAsia="zh-CN"/>
              </w:rPr>
              <w:t>BOD</w:t>
            </w:r>
            <w:r>
              <w:rPr>
                <w:rFonts w:hint="default" w:ascii="Times New Roman" w:hAnsi="Times New Roman" w:cs="Times New Roman" w:eastAsiaTheme="minorEastAsia"/>
                <w:highlight w:val="none"/>
                <w:vertAlign w:val="subscript"/>
                <w:lang w:val="en-US" w:eastAsia="zh-CN"/>
              </w:rPr>
              <w:t>5</w:t>
            </w:r>
          </w:p>
        </w:tc>
        <w:tc>
          <w:tcPr>
            <w:tcW w:w="1428"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272"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502"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650" w:type="dxa"/>
            <w:noWrap w:val="0"/>
            <w:vAlign w:val="center"/>
          </w:tcPr>
          <w:p>
            <w:pPr>
              <w:pStyle w:val="66"/>
              <w:bidi w:val="0"/>
              <w:rPr>
                <w:rFonts w:hint="default" w:ascii="Times New Roman" w:hAnsi="Times New Roman" w:cs="Times New Roman" w:eastAsiaTheme="minorEastAsia"/>
                <w:kern w:val="2"/>
                <w:sz w:val="21"/>
                <w:szCs w:val="21"/>
                <w:highlight w:val="none"/>
                <w:lang w:val="en-US" w:eastAsia="zh-CN" w:bidi="ar-SA"/>
              </w:rPr>
            </w:pPr>
            <w:r>
              <w:rPr>
                <w:rFonts w:hint="eastAsia"/>
                <w:lang w:val="en-US" w:eastAsia="zh-CN"/>
              </w:rPr>
              <w:t>0.090m</w:t>
            </w:r>
            <w:r>
              <w:rPr>
                <w:rFonts w:hint="eastAsia"/>
                <w:vertAlign w:val="superscript"/>
                <w:lang w:val="en-US" w:eastAsia="zh-CN"/>
              </w:rPr>
              <w:t>3</w:t>
            </w:r>
            <w:r>
              <w:rPr>
                <w:rFonts w:hint="eastAsia"/>
                <w:lang w:val="en-US" w:eastAsia="zh-CN"/>
              </w:rPr>
              <w:t>/a</w:t>
            </w:r>
          </w:p>
        </w:tc>
        <w:tc>
          <w:tcPr>
            <w:tcW w:w="1533"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917" w:type="dxa"/>
            <w:noWrap w:val="0"/>
            <w:vAlign w:val="center"/>
          </w:tcPr>
          <w:p>
            <w:pPr>
              <w:pStyle w:val="66"/>
              <w:bidi w:val="0"/>
              <w:rPr>
                <w:rFonts w:hint="default" w:ascii="Times New Roman" w:hAnsi="Times New Roman" w:cs="Times New Roman" w:eastAsiaTheme="minorEastAsia"/>
                <w:kern w:val="2"/>
                <w:sz w:val="21"/>
                <w:szCs w:val="21"/>
                <w:highlight w:val="none"/>
                <w:lang w:val="en-US" w:eastAsia="zh-CN" w:bidi="ar-SA"/>
              </w:rPr>
            </w:pPr>
            <w:r>
              <w:rPr>
                <w:rFonts w:hint="eastAsia"/>
                <w:lang w:val="en-US" w:eastAsia="zh-CN"/>
              </w:rPr>
              <w:t>0.090m</w:t>
            </w:r>
            <w:r>
              <w:rPr>
                <w:rFonts w:hint="eastAsia"/>
                <w:vertAlign w:val="superscript"/>
                <w:lang w:val="en-US" w:eastAsia="zh-CN"/>
              </w:rPr>
              <w:t>3</w:t>
            </w:r>
            <w:r>
              <w:rPr>
                <w:rFonts w:hint="eastAsia"/>
                <w:lang w:val="en-US" w:eastAsia="zh-CN"/>
              </w:rPr>
              <w:t>/a</w:t>
            </w:r>
          </w:p>
        </w:tc>
        <w:tc>
          <w:tcPr>
            <w:tcW w:w="1321" w:type="dxa"/>
            <w:noWrap w:val="0"/>
            <w:vAlign w:val="center"/>
          </w:tcPr>
          <w:p>
            <w:pPr>
              <w:pStyle w:val="66"/>
              <w:bidi w:val="0"/>
              <w:rPr>
                <w:rFonts w:hint="default" w:ascii="Times New Roman" w:hAnsi="Times New Roman" w:cs="Times New Roman" w:eastAsiaTheme="minorEastAsia"/>
                <w:kern w:val="2"/>
                <w:sz w:val="21"/>
                <w:szCs w:val="21"/>
                <w:highlight w:val="none"/>
                <w:lang w:val="en-US" w:eastAsia="zh-CN" w:bidi="ar-SA"/>
              </w:rPr>
            </w:pPr>
            <w:r>
              <w:rPr>
                <w:rFonts w:hint="eastAsia"/>
                <w:lang w:val="en-US" w:eastAsia="zh-CN"/>
              </w:rPr>
              <w:t>0.090m</w:t>
            </w:r>
            <w:r>
              <w:rPr>
                <w:rFonts w:hint="eastAsia"/>
                <w:vertAlign w:val="superscript"/>
                <w:lang w:val="en-US" w:eastAsia="zh-CN"/>
              </w:rPr>
              <w:t>3</w:t>
            </w:r>
            <w:r>
              <w:rPr>
                <w:rFonts w:hint="eastAsia"/>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228" w:type="dxa"/>
            <w:vMerge w:val="continue"/>
            <w:noWrap w:val="0"/>
            <w:vAlign w:val="center"/>
          </w:tcPr>
          <w:p>
            <w:pPr>
              <w:pStyle w:val="30"/>
              <w:spacing w:beforeLines="0" w:afterLines="0" w:line="240" w:lineRule="auto"/>
              <w:rPr>
                <w:rFonts w:hint="default" w:ascii="Times New Roman" w:hAnsi="Times New Roman" w:cs="Times New Roman" w:eastAsiaTheme="minorEastAsia"/>
                <w:snapToGrid w:val="0"/>
                <w:color w:val="000000"/>
                <w:kern w:val="21"/>
                <w:szCs w:val="21"/>
                <w:highlight w:val="none"/>
              </w:rPr>
            </w:pPr>
          </w:p>
        </w:tc>
        <w:tc>
          <w:tcPr>
            <w:tcW w:w="1937" w:type="dxa"/>
            <w:noWrap w:val="0"/>
            <w:vAlign w:val="center"/>
          </w:tcPr>
          <w:p>
            <w:pPr>
              <w:pStyle w:val="70"/>
              <w:bidi w:val="0"/>
              <w:jc w:val="center"/>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highlight w:val="none"/>
                <w:lang w:val="en-US" w:eastAsia="zh-CN"/>
              </w:rPr>
              <w:t>SS</w:t>
            </w:r>
          </w:p>
        </w:tc>
        <w:tc>
          <w:tcPr>
            <w:tcW w:w="1428"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272"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502"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650" w:type="dxa"/>
            <w:noWrap w:val="0"/>
            <w:vAlign w:val="center"/>
          </w:tcPr>
          <w:p>
            <w:pPr>
              <w:pStyle w:val="66"/>
              <w:bidi w:val="0"/>
              <w:rPr>
                <w:rFonts w:hint="default" w:ascii="Times New Roman" w:hAnsi="Times New Roman" w:cs="Times New Roman" w:eastAsiaTheme="minorEastAsia"/>
                <w:kern w:val="2"/>
                <w:sz w:val="21"/>
                <w:szCs w:val="21"/>
                <w:highlight w:val="none"/>
                <w:lang w:val="en-US" w:eastAsia="zh-CN" w:bidi="ar-SA"/>
              </w:rPr>
            </w:pPr>
            <w:r>
              <w:rPr>
                <w:rFonts w:hint="eastAsia"/>
                <w:lang w:val="en-US" w:eastAsia="zh-CN"/>
              </w:rPr>
              <w:t>0.072m</w:t>
            </w:r>
            <w:r>
              <w:rPr>
                <w:rFonts w:hint="eastAsia"/>
                <w:vertAlign w:val="superscript"/>
                <w:lang w:val="en-US" w:eastAsia="zh-CN"/>
              </w:rPr>
              <w:t>3</w:t>
            </w:r>
            <w:r>
              <w:rPr>
                <w:rFonts w:hint="eastAsia"/>
                <w:lang w:val="en-US" w:eastAsia="zh-CN"/>
              </w:rPr>
              <w:t>/a</w:t>
            </w:r>
          </w:p>
        </w:tc>
        <w:tc>
          <w:tcPr>
            <w:tcW w:w="1533"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917" w:type="dxa"/>
            <w:noWrap w:val="0"/>
            <w:vAlign w:val="center"/>
          </w:tcPr>
          <w:p>
            <w:pPr>
              <w:pStyle w:val="66"/>
              <w:bidi w:val="0"/>
              <w:rPr>
                <w:rFonts w:hint="default" w:ascii="Times New Roman" w:hAnsi="Times New Roman" w:cs="Times New Roman" w:eastAsiaTheme="minorEastAsia"/>
                <w:kern w:val="2"/>
                <w:sz w:val="21"/>
                <w:szCs w:val="21"/>
                <w:highlight w:val="none"/>
                <w:lang w:val="en-US" w:eastAsia="zh-CN" w:bidi="ar-SA"/>
              </w:rPr>
            </w:pPr>
            <w:r>
              <w:rPr>
                <w:rFonts w:hint="eastAsia"/>
                <w:lang w:val="en-US" w:eastAsia="zh-CN"/>
              </w:rPr>
              <w:t>0.072m</w:t>
            </w:r>
            <w:r>
              <w:rPr>
                <w:rFonts w:hint="eastAsia"/>
                <w:vertAlign w:val="superscript"/>
                <w:lang w:val="en-US" w:eastAsia="zh-CN"/>
              </w:rPr>
              <w:t>3</w:t>
            </w:r>
            <w:r>
              <w:rPr>
                <w:rFonts w:hint="eastAsia"/>
                <w:lang w:val="en-US" w:eastAsia="zh-CN"/>
              </w:rPr>
              <w:t>/a</w:t>
            </w:r>
          </w:p>
        </w:tc>
        <w:tc>
          <w:tcPr>
            <w:tcW w:w="1321" w:type="dxa"/>
            <w:noWrap w:val="0"/>
            <w:vAlign w:val="center"/>
          </w:tcPr>
          <w:p>
            <w:pPr>
              <w:pStyle w:val="66"/>
              <w:bidi w:val="0"/>
              <w:rPr>
                <w:rFonts w:hint="default" w:ascii="Times New Roman" w:hAnsi="Times New Roman" w:cs="Times New Roman" w:eastAsiaTheme="minorEastAsia"/>
                <w:kern w:val="2"/>
                <w:sz w:val="21"/>
                <w:szCs w:val="21"/>
                <w:highlight w:val="none"/>
                <w:lang w:val="en-US" w:eastAsia="zh-CN" w:bidi="ar-SA"/>
              </w:rPr>
            </w:pPr>
            <w:r>
              <w:rPr>
                <w:rFonts w:hint="eastAsia"/>
                <w:lang w:val="en-US" w:eastAsia="zh-CN"/>
              </w:rPr>
              <w:t>0.072m</w:t>
            </w:r>
            <w:r>
              <w:rPr>
                <w:rFonts w:hint="eastAsia"/>
                <w:vertAlign w:val="superscript"/>
                <w:lang w:val="en-US" w:eastAsia="zh-CN"/>
              </w:rPr>
              <w:t>3</w:t>
            </w:r>
            <w:r>
              <w:rPr>
                <w:rFonts w:hint="eastAsia"/>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28" w:type="dxa"/>
            <w:vMerge w:val="continue"/>
            <w:noWrap w:val="0"/>
            <w:vAlign w:val="center"/>
          </w:tcPr>
          <w:p>
            <w:pPr>
              <w:pStyle w:val="30"/>
              <w:spacing w:beforeLines="0" w:afterLines="0" w:line="240" w:lineRule="auto"/>
              <w:rPr>
                <w:rFonts w:hint="default" w:ascii="Times New Roman" w:hAnsi="Times New Roman" w:cs="Times New Roman" w:eastAsiaTheme="minorEastAsia"/>
                <w:snapToGrid w:val="0"/>
                <w:color w:val="000000"/>
                <w:kern w:val="21"/>
                <w:szCs w:val="21"/>
                <w:highlight w:val="none"/>
              </w:rPr>
            </w:pPr>
          </w:p>
        </w:tc>
        <w:tc>
          <w:tcPr>
            <w:tcW w:w="1937" w:type="dxa"/>
            <w:noWrap w:val="0"/>
            <w:vAlign w:val="center"/>
          </w:tcPr>
          <w:p>
            <w:pPr>
              <w:pStyle w:val="70"/>
              <w:bidi w:val="0"/>
              <w:jc w:val="center"/>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highlight w:val="none"/>
                <w:lang w:val="en-US" w:eastAsia="zh-CN"/>
              </w:rPr>
              <w:t>氨氮</w:t>
            </w:r>
          </w:p>
        </w:tc>
        <w:tc>
          <w:tcPr>
            <w:tcW w:w="1428"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272"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502"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650" w:type="dxa"/>
            <w:noWrap w:val="0"/>
            <w:vAlign w:val="center"/>
          </w:tcPr>
          <w:p>
            <w:pPr>
              <w:pStyle w:val="66"/>
              <w:bidi w:val="0"/>
              <w:rPr>
                <w:rFonts w:hint="default" w:ascii="Times New Roman" w:hAnsi="Times New Roman" w:cs="Times New Roman" w:eastAsiaTheme="minorEastAsia"/>
                <w:kern w:val="2"/>
                <w:sz w:val="21"/>
                <w:szCs w:val="21"/>
                <w:highlight w:val="none"/>
                <w:lang w:val="en-US" w:eastAsia="zh-CN" w:bidi="ar-SA"/>
              </w:rPr>
            </w:pPr>
            <w:r>
              <w:rPr>
                <w:rFonts w:hint="eastAsia"/>
                <w:lang w:val="en-US" w:eastAsia="zh-CN"/>
              </w:rPr>
              <w:t>0.011m</w:t>
            </w:r>
            <w:r>
              <w:rPr>
                <w:rFonts w:hint="eastAsia"/>
                <w:vertAlign w:val="superscript"/>
                <w:lang w:val="en-US" w:eastAsia="zh-CN"/>
              </w:rPr>
              <w:t>3</w:t>
            </w:r>
            <w:r>
              <w:rPr>
                <w:rFonts w:hint="eastAsia"/>
                <w:lang w:val="en-US" w:eastAsia="zh-CN"/>
              </w:rPr>
              <w:t>/a</w:t>
            </w:r>
          </w:p>
        </w:tc>
        <w:tc>
          <w:tcPr>
            <w:tcW w:w="1533"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917" w:type="dxa"/>
            <w:noWrap w:val="0"/>
            <w:vAlign w:val="center"/>
          </w:tcPr>
          <w:p>
            <w:pPr>
              <w:pStyle w:val="66"/>
              <w:bidi w:val="0"/>
              <w:rPr>
                <w:rFonts w:hint="default" w:ascii="Times New Roman" w:hAnsi="Times New Roman" w:cs="Times New Roman" w:eastAsiaTheme="minorEastAsia"/>
                <w:kern w:val="2"/>
                <w:sz w:val="21"/>
                <w:szCs w:val="21"/>
                <w:highlight w:val="none"/>
                <w:lang w:val="en-US" w:eastAsia="zh-CN" w:bidi="ar-SA"/>
              </w:rPr>
            </w:pPr>
            <w:r>
              <w:rPr>
                <w:rFonts w:hint="eastAsia"/>
                <w:lang w:val="en-US" w:eastAsia="zh-CN"/>
              </w:rPr>
              <w:t>0.011m</w:t>
            </w:r>
            <w:r>
              <w:rPr>
                <w:rFonts w:hint="eastAsia"/>
                <w:vertAlign w:val="superscript"/>
                <w:lang w:val="en-US" w:eastAsia="zh-CN"/>
              </w:rPr>
              <w:t>3</w:t>
            </w:r>
            <w:r>
              <w:rPr>
                <w:rFonts w:hint="eastAsia"/>
                <w:lang w:val="en-US" w:eastAsia="zh-CN"/>
              </w:rPr>
              <w:t>/a</w:t>
            </w:r>
          </w:p>
        </w:tc>
        <w:tc>
          <w:tcPr>
            <w:tcW w:w="1321" w:type="dxa"/>
            <w:noWrap w:val="0"/>
            <w:vAlign w:val="center"/>
          </w:tcPr>
          <w:p>
            <w:pPr>
              <w:pStyle w:val="66"/>
              <w:bidi w:val="0"/>
              <w:rPr>
                <w:rFonts w:hint="default" w:ascii="Times New Roman" w:hAnsi="Times New Roman" w:cs="Times New Roman" w:eastAsiaTheme="minorEastAsia"/>
                <w:kern w:val="2"/>
                <w:sz w:val="21"/>
                <w:szCs w:val="21"/>
                <w:highlight w:val="none"/>
                <w:lang w:val="en-US" w:eastAsia="zh-CN" w:bidi="ar-SA"/>
              </w:rPr>
            </w:pPr>
            <w:r>
              <w:rPr>
                <w:rFonts w:hint="eastAsia"/>
                <w:lang w:val="en-US" w:eastAsia="zh-CN"/>
              </w:rPr>
              <w:t>0.011m</w:t>
            </w:r>
            <w:r>
              <w:rPr>
                <w:rFonts w:hint="eastAsia"/>
                <w:vertAlign w:val="superscript"/>
                <w:lang w:val="en-US" w:eastAsia="zh-CN"/>
              </w:rPr>
              <w:t>3</w:t>
            </w:r>
            <w:r>
              <w:rPr>
                <w:rFonts w:hint="eastAsia"/>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28" w:type="dxa"/>
            <w:vMerge w:val="continue"/>
            <w:noWrap w:val="0"/>
            <w:vAlign w:val="center"/>
          </w:tcPr>
          <w:p>
            <w:pPr>
              <w:pStyle w:val="30"/>
              <w:spacing w:beforeLines="0" w:afterLines="0" w:line="240" w:lineRule="auto"/>
              <w:rPr>
                <w:rFonts w:hint="default" w:ascii="Times New Roman" w:hAnsi="Times New Roman" w:cs="Times New Roman" w:eastAsiaTheme="minorEastAsia"/>
                <w:snapToGrid w:val="0"/>
                <w:color w:val="000000"/>
                <w:kern w:val="21"/>
                <w:szCs w:val="21"/>
                <w:highlight w:val="none"/>
              </w:rPr>
            </w:pPr>
          </w:p>
        </w:tc>
        <w:tc>
          <w:tcPr>
            <w:tcW w:w="1937" w:type="dxa"/>
            <w:noWrap w:val="0"/>
            <w:vAlign w:val="center"/>
          </w:tcPr>
          <w:p>
            <w:pPr>
              <w:pStyle w:val="70"/>
              <w:bidi w:val="0"/>
              <w:jc w:val="center"/>
              <w:rPr>
                <w:rFonts w:hint="default" w:ascii="Times New Roman" w:hAnsi="Times New Roman" w:cs="Times New Roman" w:eastAsiaTheme="minorEastAsia"/>
                <w:highlight w:val="none"/>
                <w:lang w:val="en-US" w:eastAsia="zh-CN"/>
              </w:rPr>
            </w:pPr>
            <w:r>
              <w:rPr>
                <w:rFonts w:hint="eastAsia" w:cs="Times New Roman" w:eastAsiaTheme="minorEastAsia"/>
                <w:highlight w:val="none"/>
                <w:lang w:val="en-US" w:eastAsia="zh-CN"/>
              </w:rPr>
              <w:t>动植物油</w:t>
            </w:r>
          </w:p>
        </w:tc>
        <w:tc>
          <w:tcPr>
            <w:tcW w:w="1428"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lang w:val="en-US" w:eastAsia="zh-CN"/>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272"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lang w:val="en-US" w:eastAsia="zh-CN"/>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502"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lang w:val="en-US" w:eastAsia="zh-CN"/>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650" w:type="dxa"/>
            <w:noWrap w:val="0"/>
            <w:vAlign w:val="center"/>
          </w:tcPr>
          <w:p>
            <w:pPr>
              <w:pStyle w:val="66"/>
              <w:bidi w:val="0"/>
              <w:rPr>
                <w:rFonts w:hint="default" w:ascii="Times New Roman" w:hAnsi="Times New Roman" w:cs="Times New Roman"/>
                <w:lang w:val="en-US" w:eastAsia="zh-CN"/>
              </w:rPr>
            </w:pPr>
            <w:r>
              <w:rPr>
                <w:rFonts w:hint="eastAsia"/>
                <w:lang w:val="en-US" w:eastAsia="zh-CN"/>
              </w:rPr>
              <w:t>0.036m</w:t>
            </w:r>
            <w:r>
              <w:rPr>
                <w:rFonts w:hint="eastAsia"/>
                <w:vertAlign w:val="superscript"/>
                <w:lang w:val="en-US" w:eastAsia="zh-CN"/>
              </w:rPr>
              <w:t>3</w:t>
            </w:r>
            <w:r>
              <w:rPr>
                <w:rFonts w:hint="eastAsia"/>
                <w:lang w:val="en-US" w:eastAsia="zh-CN"/>
              </w:rPr>
              <w:t>/a</w:t>
            </w:r>
          </w:p>
        </w:tc>
        <w:tc>
          <w:tcPr>
            <w:tcW w:w="1533"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lang w:val="en-US" w:eastAsia="zh-CN"/>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917" w:type="dxa"/>
            <w:noWrap w:val="0"/>
            <w:vAlign w:val="center"/>
          </w:tcPr>
          <w:p>
            <w:pPr>
              <w:pStyle w:val="66"/>
              <w:bidi w:val="0"/>
              <w:rPr>
                <w:rFonts w:hint="default" w:ascii="Times New Roman" w:hAnsi="Times New Roman" w:cs="Times New Roman"/>
                <w:lang w:val="en-US" w:eastAsia="zh-CN"/>
              </w:rPr>
            </w:pPr>
            <w:r>
              <w:rPr>
                <w:rFonts w:hint="eastAsia"/>
                <w:lang w:val="en-US" w:eastAsia="zh-CN"/>
              </w:rPr>
              <w:t>0.036m</w:t>
            </w:r>
            <w:r>
              <w:rPr>
                <w:rFonts w:hint="eastAsia"/>
                <w:vertAlign w:val="superscript"/>
                <w:lang w:val="en-US" w:eastAsia="zh-CN"/>
              </w:rPr>
              <w:t>3</w:t>
            </w:r>
            <w:r>
              <w:rPr>
                <w:rFonts w:hint="eastAsia"/>
                <w:lang w:val="en-US" w:eastAsia="zh-CN"/>
              </w:rPr>
              <w:t>/a</w:t>
            </w:r>
          </w:p>
        </w:tc>
        <w:tc>
          <w:tcPr>
            <w:tcW w:w="1321" w:type="dxa"/>
            <w:noWrap w:val="0"/>
            <w:vAlign w:val="center"/>
          </w:tcPr>
          <w:p>
            <w:pPr>
              <w:pStyle w:val="66"/>
              <w:bidi w:val="0"/>
              <w:rPr>
                <w:rFonts w:hint="default" w:ascii="Times New Roman" w:hAnsi="Times New Roman" w:cs="Times New Roman"/>
                <w:lang w:val="en-US" w:eastAsia="zh-CN"/>
              </w:rPr>
            </w:pPr>
            <w:r>
              <w:rPr>
                <w:rFonts w:hint="eastAsia"/>
                <w:lang w:val="en-US" w:eastAsia="zh-CN"/>
              </w:rPr>
              <w:t>0.036m</w:t>
            </w:r>
            <w:r>
              <w:rPr>
                <w:rFonts w:hint="eastAsia"/>
                <w:vertAlign w:val="superscript"/>
                <w:lang w:val="en-US" w:eastAsia="zh-CN"/>
              </w:rPr>
              <w:t>3</w:t>
            </w:r>
            <w:r>
              <w:rPr>
                <w:rFonts w:hint="eastAsia"/>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28" w:type="dxa"/>
            <w:vMerge w:val="restart"/>
            <w:noWrap w:val="0"/>
            <w:vAlign w:val="center"/>
          </w:tcPr>
          <w:p>
            <w:pPr>
              <w:pStyle w:val="30"/>
              <w:spacing w:beforeLines="0" w:afterLines="0" w:line="240" w:lineRule="auto"/>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rPr>
              <w:t>一般工业</w:t>
            </w:r>
          </w:p>
          <w:p>
            <w:pPr>
              <w:pStyle w:val="30"/>
              <w:spacing w:beforeLines="0" w:afterLines="0" w:line="240" w:lineRule="auto"/>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rPr>
              <w:t>固体废物</w:t>
            </w:r>
          </w:p>
        </w:tc>
        <w:tc>
          <w:tcPr>
            <w:tcW w:w="1937" w:type="dxa"/>
            <w:noWrap w:val="0"/>
            <w:vAlign w:val="center"/>
          </w:tcPr>
          <w:p>
            <w:pPr>
              <w:pStyle w:val="30"/>
              <w:keepNext w:val="0"/>
              <w:keepLines w:val="0"/>
              <w:suppressLineNumbers w:val="0"/>
              <w:bidi w:val="0"/>
              <w:spacing w:before="0" w:beforeAutospacing="0" w:after="0" w:afterAutospacing="0"/>
              <w:ind w:left="0" w:leftChars="0" w:right="0" w:rightChars="0"/>
              <w:jc w:val="center"/>
              <w:rPr>
                <w:rFonts w:hint="default" w:ascii="Times New Roman" w:hAnsi="Times New Roman" w:cs="Times New Roman" w:eastAsiaTheme="minorEastAsia"/>
                <w:snapToGrid w:val="0"/>
                <w:color w:val="000000"/>
                <w:kern w:val="21"/>
                <w:sz w:val="21"/>
                <w:szCs w:val="21"/>
                <w:highlight w:val="none"/>
                <w:lang w:val="en-US" w:eastAsia="zh-CN" w:bidi="ar-SA"/>
              </w:rPr>
            </w:pPr>
            <w:r>
              <w:rPr>
                <w:rFonts w:hint="default" w:ascii="Times New Roman" w:hAnsi="Times New Roman" w:cs="Times New Roman" w:eastAsiaTheme="minorEastAsia"/>
                <w:highlight w:val="none"/>
              </w:rPr>
              <w:t>除尘</w:t>
            </w:r>
            <w:r>
              <w:rPr>
                <w:rFonts w:hint="default" w:ascii="Times New Roman" w:hAnsi="Times New Roman" w:cs="Times New Roman" w:eastAsiaTheme="minorEastAsia"/>
                <w:highlight w:val="none"/>
                <w:lang w:val="en-US" w:eastAsia="zh-CN"/>
              </w:rPr>
              <w:t>器</w:t>
            </w:r>
            <w:r>
              <w:rPr>
                <w:rFonts w:hint="default" w:ascii="Times New Roman" w:hAnsi="Times New Roman" w:cs="Times New Roman" w:eastAsiaTheme="minorEastAsia"/>
                <w:highlight w:val="none"/>
              </w:rPr>
              <w:t>收集</w:t>
            </w:r>
            <w:r>
              <w:rPr>
                <w:rFonts w:hint="default" w:ascii="Times New Roman" w:hAnsi="Times New Roman" w:cs="Times New Roman" w:eastAsiaTheme="minorEastAsia"/>
                <w:highlight w:val="none"/>
                <w:lang w:val="en-US" w:eastAsia="zh-CN"/>
              </w:rPr>
              <w:t>的</w:t>
            </w:r>
            <w:r>
              <w:rPr>
                <w:rFonts w:hint="default" w:ascii="Times New Roman" w:hAnsi="Times New Roman" w:cs="Times New Roman" w:eastAsiaTheme="minorEastAsia"/>
                <w:highlight w:val="none"/>
              </w:rPr>
              <w:t>粉尘</w:t>
            </w:r>
          </w:p>
        </w:tc>
        <w:tc>
          <w:tcPr>
            <w:tcW w:w="1428"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272"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502"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650" w:type="dxa"/>
            <w:noWrap w:val="0"/>
            <w:vAlign w:val="center"/>
          </w:tcPr>
          <w:p>
            <w:pPr>
              <w:pStyle w:val="30"/>
              <w:keepNext w:val="0"/>
              <w:keepLines w:val="0"/>
              <w:pageBreakBefore w:val="0"/>
              <w:widowControl w:val="0"/>
              <w:kinsoku/>
              <w:wordWrap w:val="0"/>
              <w:overflowPunct/>
              <w:topLinePunct/>
              <w:autoSpaceDE/>
              <w:autoSpaceDN/>
              <w:bidi w:val="0"/>
              <w:spacing w:beforeLines="0" w:afterLines="0" w:line="240" w:lineRule="auto"/>
              <w:jc w:val="center"/>
              <w:textAlignment w:val="center"/>
              <w:rPr>
                <w:rFonts w:hint="default" w:ascii="Times New Roman" w:hAnsi="Times New Roman" w:cs="Times New Roman" w:eastAsiaTheme="minorEastAsia"/>
                <w:snapToGrid w:val="0"/>
                <w:color w:val="000000"/>
                <w:kern w:val="21"/>
                <w:szCs w:val="21"/>
                <w:highlight w:val="none"/>
                <w:lang w:val="en-US" w:eastAsia="zh-CN"/>
              </w:rPr>
            </w:pPr>
            <w:r>
              <w:rPr>
                <w:rFonts w:hint="eastAsia" w:ascii="Times New Roman" w:cs="Times New Roman" w:eastAsiaTheme="minorEastAsia"/>
                <w:snapToGrid w:val="0"/>
                <w:color w:val="000000"/>
                <w:kern w:val="21"/>
                <w:szCs w:val="21"/>
                <w:highlight w:val="none"/>
                <w:lang w:val="en-US" w:eastAsia="zh-CN"/>
              </w:rPr>
              <w:t>414</w:t>
            </w:r>
            <w:r>
              <w:rPr>
                <w:rFonts w:hint="default" w:ascii="Times New Roman" w:hAnsi="Times New Roman" w:cs="Times New Roman" w:eastAsiaTheme="minorEastAsia"/>
                <w:snapToGrid w:val="0"/>
                <w:color w:val="000000"/>
                <w:kern w:val="21"/>
                <w:szCs w:val="21"/>
                <w:highlight w:val="none"/>
                <w:lang w:val="en-US" w:eastAsia="zh-CN"/>
              </w:rPr>
              <w:t>t/a</w:t>
            </w:r>
          </w:p>
        </w:tc>
        <w:tc>
          <w:tcPr>
            <w:tcW w:w="1533"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917" w:type="dxa"/>
            <w:noWrap w:val="0"/>
            <w:vAlign w:val="center"/>
          </w:tcPr>
          <w:p>
            <w:pPr>
              <w:pStyle w:val="30"/>
              <w:keepNext w:val="0"/>
              <w:keepLines w:val="0"/>
              <w:pageBreakBefore w:val="0"/>
              <w:widowControl w:val="0"/>
              <w:kinsoku/>
              <w:wordWrap w:val="0"/>
              <w:overflowPunct/>
              <w:topLinePunct/>
              <w:autoSpaceDE/>
              <w:autoSpaceDN/>
              <w:bidi w:val="0"/>
              <w:spacing w:beforeLines="0" w:afterLines="0" w:line="240" w:lineRule="auto"/>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bidi="ar-SA"/>
              </w:rPr>
            </w:pPr>
            <w:r>
              <w:rPr>
                <w:rFonts w:hint="eastAsia" w:ascii="Times New Roman" w:cs="Times New Roman" w:eastAsiaTheme="minorEastAsia"/>
                <w:snapToGrid w:val="0"/>
                <w:color w:val="000000"/>
                <w:kern w:val="21"/>
                <w:szCs w:val="21"/>
                <w:highlight w:val="none"/>
                <w:lang w:val="en-US" w:eastAsia="zh-CN"/>
              </w:rPr>
              <w:t>414</w:t>
            </w:r>
            <w:r>
              <w:rPr>
                <w:rFonts w:hint="default" w:ascii="Times New Roman" w:hAnsi="Times New Roman" w:cs="Times New Roman" w:eastAsiaTheme="minorEastAsia"/>
                <w:snapToGrid w:val="0"/>
                <w:color w:val="000000"/>
                <w:kern w:val="21"/>
                <w:szCs w:val="21"/>
                <w:highlight w:val="none"/>
                <w:lang w:val="en-US" w:eastAsia="zh-CN"/>
              </w:rPr>
              <w:t>t/a</w:t>
            </w:r>
          </w:p>
        </w:tc>
        <w:tc>
          <w:tcPr>
            <w:tcW w:w="1321" w:type="dxa"/>
            <w:noWrap w:val="0"/>
            <w:vAlign w:val="center"/>
          </w:tcPr>
          <w:p>
            <w:pPr>
              <w:pStyle w:val="30"/>
              <w:keepNext w:val="0"/>
              <w:keepLines w:val="0"/>
              <w:pageBreakBefore w:val="0"/>
              <w:widowControl w:val="0"/>
              <w:kinsoku/>
              <w:wordWrap w:val="0"/>
              <w:overflowPunct/>
              <w:topLinePunct/>
              <w:autoSpaceDE/>
              <w:autoSpaceDN/>
              <w:bidi w:val="0"/>
              <w:spacing w:beforeLines="0" w:afterLines="0" w:line="240" w:lineRule="auto"/>
              <w:jc w:val="center"/>
              <w:textAlignment w:val="center"/>
              <w:rPr>
                <w:rFonts w:hint="default" w:ascii="Times New Roman" w:hAnsi="Times New Roman" w:cs="Times New Roman" w:eastAsiaTheme="minorEastAsia"/>
                <w:snapToGrid w:val="0"/>
                <w:color w:val="000000"/>
                <w:kern w:val="21"/>
                <w:sz w:val="21"/>
                <w:szCs w:val="21"/>
                <w:highlight w:val="none"/>
                <w:lang w:val="en-US" w:eastAsia="zh-CN" w:bidi="ar-SA"/>
              </w:rPr>
            </w:pPr>
            <w:r>
              <w:rPr>
                <w:rFonts w:hint="eastAsia" w:ascii="Times New Roman" w:cs="Times New Roman" w:eastAsiaTheme="minorEastAsia"/>
                <w:snapToGrid w:val="0"/>
                <w:color w:val="000000"/>
                <w:kern w:val="21"/>
                <w:szCs w:val="21"/>
                <w:highlight w:val="none"/>
                <w:lang w:val="en-US" w:eastAsia="zh-CN"/>
              </w:rPr>
              <w:t>414</w:t>
            </w:r>
            <w:r>
              <w:rPr>
                <w:rFonts w:hint="default" w:ascii="Times New Roman" w:hAnsi="Times New Roman" w:cs="Times New Roman" w:eastAsiaTheme="minorEastAsia"/>
                <w:snapToGrid w:val="0"/>
                <w:color w:val="000000"/>
                <w:kern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28" w:type="dxa"/>
            <w:vMerge w:val="continue"/>
            <w:noWrap w:val="0"/>
            <w:vAlign w:val="center"/>
          </w:tcPr>
          <w:p>
            <w:pPr>
              <w:pStyle w:val="30"/>
              <w:spacing w:beforeLines="0" w:afterLines="0" w:line="240" w:lineRule="auto"/>
              <w:rPr>
                <w:rFonts w:hint="default" w:ascii="Times New Roman" w:hAnsi="Times New Roman" w:cs="Times New Roman" w:eastAsiaTheme="minorEastAsia"/>
                <w:snapToGrid w:val="0"/>
                <w:color w:val="000000"/>
                <w:kern w:val="21"/>
                <w:szCs w:val="21"/>
                <w:highlight w:val="none"/>
              </w:rPr>
            </w:pPr>
          </w:p>
        </w:tc>
        <w:tc>
          <w:tcPr>
            <w:tcW w:w="1937" w:type="dxa"/>
            <w:shd w:val="clear" w:color="auto" w:fill="auto"/>
            <w:noWrap w:val="0"/>
            <w:vAlign w:val="center"/>
          </w:tcPr>
          <w:p>
            <w:pPr>
              <w:pStyle w:val="66"/>
              <w:bidi w:val="0"/>
              <w:rPr>
                <w:rFonts w:hint="default" w:ascii="Times New Roman" w:hAnsi="Times New Roman" w:eastAsia="宋体" w:cs="宋体"/>
                <w:kern w:val="0"/>
                <w:sz w:val="21"/>
                <w:szCs w:val="21"/>
                <w:lang w:val="en-US" w:eastAsia="zh-CN" w:bidi="ar-SA"/>
              </w:rPr>
            </w:pPr>
            <w:r>
              <w:rPr>
                <w:rFonts w:hint="eastAsia"/>
                <w:lang w:val="en-US" w:eastAsia="zh-CN"/>
              </w:rPr>
              <w:t>磁选机和强磁铁产生的铁粉</w:t>
            </w:r>
          </w:p>
        </w:tc>
        <w:tc>
          <w:tcPr>
            <w:tcW w:w="1428"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272"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502"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650" w:type="dxa"/>
            <w:noWrap w:val="0"/>
            <w:vAlign w:val="center"/>
          </w:tcPr>
          <w:p>
            <w:pPr>
              <w:pStyle w:val="30"/>
              <w:spacing w:beforeLines="0" w:afterLines="0" w:line="240" w:lineRule="auto"/>
              <w:jc w:val="center"/>
              <w:rPr>
                <w:rFonts w:hint="default" w:ascii="Times New Roman" w:hAnsi="Times New Roman" w:cs="Times New Roman" w:eastAsiaTheme="minorEastAsia"/>
                <w:snapToGrid w:val="0"/>
                <w:color w:val="000000"/>
                <w:kern w:val="21"/>
                <w:szCs w:val="21"/>
                <w:highlight w:val="none"/>
                <w:lang w:val="en-US" w:eastAsia="zh-CN"/>
              </w:rPr>
            </w:pPr>
            <w:r>
              <w:rPr>
                <w:rFonts w:hint="eastAsia" w:ascii="Times New Roman" w:cs="Times New Roman" w:eastAsiaTheme="minorEastAsia"/>
                <w:snapToGrid w:val="0"/>
                <w:color w:val="000000"/>
                <w:kern w:val="21"/>
                <w:szCs w:val="21"/>
                <w:highlight w:val="none"/>
                <w:lang w:val="en-US" w:eastAsia="zh-CN"/>
              </w:rPr>
              <w:t>150</w:t>
            </w:r>
            <w:r>
              <w:rPr>
                <w:rFonts w:hint="default" w:ascii="Times New Roman" w:hAnsi="Times New Roman" w:cs="Times New Roman" w:eastAsiaTheme="minorEastAsia"/>
                <w:snapToGrid w:val="0"/>
                <w:color w:val="000000"/>
                <w:kern w:val="21"/>
                <w:szCs w:val="21"/>
                <w:highlight w:val="none"/>
                <w:lang w:val="en-US" w:eastAsia="zh-CN"/>
              </w:rPr>
              <w:t>t/a</w:t>
            </w:r>
          </w:p>
        </w:tc>
        <w:tc>
          <w:tcPr>
            <w:tcW w:w="1533"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917" w:type="dxa"/>
            <w:noWrap w:val="0"/>
            <w:vAlign w:val="center"/>
          </w:tcPr>
          <w:p>
            <w:pPr>
              <w:pStyle w:val="30"/>
              <w:spacing w:beforeLines="0" w:afterLines="0" w:line="240" w:lineRule="auto"/>
              <w:jc w:val="center"/>
              <w:rPr>
                <w:rFonts w:hint="default" w:ascii="Times New Roman" w:hAnsi="Times New Roman" w:cs="Times New Roman" w:eastAsiaTheme="minorEastAsia"/>
                <w:snapToGrid w:val="0"/>
                <w:color w:val="000000"/>
                <w:kern w:val="21"/>
                <w:sz w:val="21"/>
                <w:szCs w:val="21"/>
                <w:highlight w:val="none"/>
                <w:lang w:val="en-US" w:eastAsia="zh-CN" w:bidi="ar-SA"/>
              </w:rPr>
            </w:pPr>
            <w:r>
              <w:rPr>
                <w:rFonts w:hint="eastAsia" w:ascii="Times New Roman" w:cs="Times New Roman" w:eastAsiaTheme="minorEastAsia"/>
                <w:snapToGrid w:val="0"/>
                <w:color w:val="000000"/>
                <w:kern w:val="21"/>
                <w:szCs w:val="21"/>
                <w:highlight w:val="none"/>
                <w:lang w:val="en-US" w:eastAsia="zh-CN"/>
              </w:rPr>
              <w:t>150</w:t>
            </w:r>
            <w:r>
              <w:rPr>
                <w:rFonts w:hint="default" w:ascii="Times New Roman" w:hAnsi="Times New Roman" w:cs="Times New Roman" w:eastAsiaTheme="minorEastAsia"/>
                <w:snapToGrid w:val="0"/>
                <w:color w:val="000000"/>
                <w:kern w:val="21"/>
                <w:szCs w:val="21"/>
                <w:highlight w:val="none"/>
                <w:lang w:val="en-US" w:eastAsia="zh-CN"/>
              </w:rPr>
              <w:t>t/a</w:t>
            </w:r>
          </w:p>
        </w:tc>
        <w:tc>
          <w:tcPr>
            <w:tcW w:w="1321" w:type="dxa"/>
            <w:noWrap w:val="0"/>
            <w:vAlign w:val="center"/>
          </w:tcPr>
          <w:p>
            <w:pPr>
              <w:pStyle w:val="30"/>
              <w:spacing w:beforeLines="0" w:afterLines="0" w:line="240" w:lineRule="auto"/>
              <w:jc w:val="center"/>
              <w:rPr>
                <w:rFonts w:hint="default" w:ascii="Times New Roman" w:hAnsi="Times New Roman" w:cs="Times New Roman" w:eastAsiaTheme="minorEastAsia"/>
                <w:snapToGrid w:val="0"/>
                <w:color w:val="000000"/>
                <w:kern w:val="21"/>
                <w:sz w:val="21"/>
                <w:szCs w:val="21"/>
                <w:highlight w:val="none"/>
                <w:lang w:val="en-US" w:eastAsia="zh-CN" w:bidi="ar-SA"/>
              </w:rPr>
            </w:pPr>
            <w:r>
              <w:rPr>
                <w:rFonts w:hint="eastAsia" w:ascii="Times New Roman" w:cs="Times New Roman" w:eastAsiaTheme="minorEastAsia"/>
                <w:snapToGrid w:val="0"/>
                <w:color w:val="000000"/>
                <w:kern w:val="21"/>
                <w:szCs w:val="21"/>
                <w:highlight w:val="none"/>
                <w:lang w:val="en-US" w:eastAsia="zh-CN"/>
              </w:rPr>
              <w:t>150</w:t>
            </w:r>
            <w:r>
              <w:rPr>
                <w:rFonts w:hint="default" w:ascii="Times New Roman" w:hAnsi="Times New Roman" w:cs="Times New Roman" w:eastAsiaTheme="minorEastAsia"/>
                <w:snapToGrid w:val="0"/>
                <w:color w:val="000000"/>
                <w:kern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28" w:type="dxa"/>
            <w:vMerge w:val="continue"/>
            <w:noWrap w:val="0"/>
            <w:vAlign w:val="center"/>
          </w:tcPr>
          <w:p>
            <w:pPr>
              <w:pStyle w:val="30"/>
              <w:spacing w:beforeLines="0" w:afterLines="0" w:line="240" w:lineRule="auto"/>
              <w:rPr>
                <w:rFonts w:hint="default" w:ascii="Times New Roman" w:hAnsi="Times New Roman" w:cs="Times New Roman" w:eastAsiaTheme="minorEastAsia"/>
                <w:snapToGrid w:val="0"/>
                <w:color w:val="000000"/>
                <w:kern w:val="21"/>
                <w:szCs w:val="21"/>
                <w:highlight w:val="none"/>
              </w:rPr>
            </w:pPr>
          </w:p>
        </w:tc>
        <w:tc>
          <w:tcPr>
            <w:tcW w:w="1937" w:type="dxa"/>
            <w:shd w:val="clear" w:color="auto" w:fill="auto"/>
            <w:noWrap w:val="0"/>
            <w:vAlign w:val="center"/>
          </w:tcPr>
          <w:p>
            <w:pPr>
              <w:pStyle w:val="66"/>
              <w:bidi w:val="0"/>
              <w:rPr>
                <w:rFonts w:hint="default"/>
                <w:lang w:val="en-US" w:eastAsia="zh-CN"/>
              </w:rPr>
            </w:pPr>
            <w:r>
              <w:rPr>
                <w:rFonts w:hint="eastAsia"/>
                <w:lang w:val="en-US" w:eastAsia="zh-CN"/>
              </w:rPr>
              <w:t>废弃的原料包装袋</w:t>
            </w:r>
          </w:p>
        </w:tc>
        <w:tc>
          <w:tcPr>
            <w:tcW w:w="1428" w:type="dxa"/>
            <w:shd w:val="clear" w:color="auto" w:fill="auto"/>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 w:val="21"/>
                <w:szCs w:val="21"/>
                <w:highlight w:val="none"/>
                <w:lang w:val="en-US" w:eastAsia="zh-CN" w:bidi="ar-SA"/>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272" w:type="dxa"/>
            <w:shd w:val="clear" w:color="auto" w:fill="auto"/>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 w:val="21"/>
                <w:szCs w:val="21"/>
                <w:highlight w:val="none"/>
                <w:lang w:val="en-US" w:eastAsia="zh-CN" w:bidi="ar-SA"/>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502" w:type="dxa"/>
            <w:shd w:val="clear" w:color="auto" w:fill="auto"/>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 w:val="21"/>
                <w:szCs w:val="21"/>
                <w:highlight w:val="none"/>
                <w:lang w:val="en-US" w:eastAsia="zh-CN" w:bidi="ar-SA"/>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650" w:type="dxa"/>
            <w:shd w:val="clear" w:color="auto" w:fill="auto"/>
            <w:noWrap w:val="0"/>
            <w:vAlign w:val="center"/>
          </w:tcPr>
          <w:p>
            <w:pPr>
              <w:pStyle w:val="66"/>
              <w:bidi w:val="0"/>
              <w:rPr>
                <w:rFonts w:hint="default" w:ascii="Times New Roman" w:hAnsi="Times New Roman" w:cs="Times New Roman"/>
                <w:lang w:val="en-US" w:eastAsia="zh-CN"/>
              </w:rPr>
            </w:pPr>
            <w:r>
              <w:rPr>
                <w:rFonts w:hint="eastAsia" w:cs="Times New Roman"/>
                <w:lang w:val="en-US" w:eastAsia="zh-CN"/>
              </w:rPr>
              <w:t>2</w:t>
            </w:r>
            <w:r>
              <w:rPr>
                <w:rFonts w:hint="default" w:ascii="Times New Roman" w:hAnsi="Times New Roman" w:cs="Times New Roman" w:eastAsiaTheme="minorEastAsia"/>
                <w:snapToGrid w:val="0"/>
                <w:color w:val="000000"/>
                <w:kern w:val="21"/>
                <w:szCs w:val="21"/>
                <w:highlight w:val="none"/>
                <w:lang w:val="en-US" w:eastAsia="zh-CN"/>
              </w:rPr>
              <w:t>t/a</w:t>
            </w:r>
          </w:p>
        </w:tc>
        <w:tc>
          <w:tcPr>
            <w:tcW w:w="1533" w:type="dxa"/>
            <w:shd w:val="clear" w:color="auto" w:fill="auto"/>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lang w:val="en-US" w:eastAsia="zh-CN"/>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917" w:type="dxa"/>
            <w:shd w:val="clear" w:color="auto" w:fill="auto"/>
            <w:noWrap w:val="0"/>
            <w:vAlign w:val="center"/>
          </w:tcPr>
          <w:p>
            <w:pPr>
              <w:pStyle w:val="66"/>
              <w:bidi w:val="0"/>
              <w:rPr>
                <w:rFonts w:hint="default" w:ascii="Times New Roman" w:hAnsi="Times New Roman" w:cs="Times New Roman"/>
                <w:lang w:val="en-US" w:eastAsia="zh-CN"/>
              </w:rPr>
            </w:pPr>
            <w:r>
              <w:rPr>
                <w:rFonts w:hint="eastAsia" w:cs="Times New Roman"/>
                <w:lang w:val="en-US" w:eastAsia="zh-CN"/>
              </w:rPr>
              <w:t>2</w:t>
            </w:r>
            <w:r>
              <w:rPr>
                <w:rFonts w:hint="default" w:ascii="Times New Roman" w:hAnsi="Times New Roman" w:cs="Times New Roman" w:eastAsiaTheme="minorEastAsia"/>
                <w:snapToGrid w:val="0"/>
                <w:color w:val="000000"/>
                <w:kern w:val="21"/>
                <w:szCs w:val="21"/>
                <w:highlight w:val="none"/>
                <w:lang w:val="en-US" w:eastAsia="zh-CN"/>
              </w:rPr>
              <w:t>t/a</w:t>
            </w:r>
          </w:p>
        </w:tc>
        <w:tc>
          <w:tcPr>
            <w:tcW w:w="1321" w:type="dxa"/>
            <w:shd w:val="clear" w:color="auto" w:fill="auto"/>
            <w:noWrap w:val="0"/>
            <w:vAlign w:val="center"/>
          </w:tcPr>
          <w:p>
            <w:pPr>
              <w:pStyle w:val="66"/>
              <w:bidi w:val="0"/>
              <w:rPr>
                <w:rFonts w:hint="default" w:ascii="Times New Roman" w:hAnsi="Times New Roman" w:cs="Times New Roman"/>
                <w:lang w:val="en-US" w:eastAsia="zh-CN"/>
              </w:rPr>
            </w:pPr>
            <w:r>
              <w:rPr>
                <w:rFonts w:hint="eastAsia" w:cs="Times New Roman"/>
                <w:lang w:val="en-US" w:eastAsia="zh-CN"/>
              </w:rPr>
              <w:t>2</w:t>
            </w:r>
            <w:r>
              <w:rPr>
                <w:rFonts w:hint="default" w:ascii="Times New Roman" w:hAnsi="Times New Roman" w:cs="Times New Roman" w:eastAsiaTheme="minorEastAsia"/>
                <w:snapToGrid w:val="0"/>
                <w:color w:val="000000"/>
                <w:kern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28" w:type="dxa"/>
            <w:vMerge w:val="continue"/>
            <w:noWrap w:val="0"/>
            <w:vAlign w:val="center"/>
          </w:tcPr>
          <w:p>
            <w:pPr>
              <w:pStyle w:val="30"/>
              <w:spacing w:beforeLines="0" w:afterLines="0" w:line="240" w:lineRule="auto"/>
              <w:rPr>
                <w:rFonts w:hint="default" w:ascii="Times New Roman" w:hAnsi="Times New Roman" w:cs="Times New Roman" w:eastAsiaTheme="minorEastAsia"/>
                <w:snapToGrid w:val="0"/>
                <w:color w:val="000000"/>
                <w:kern w:val="21"/>
                <w:szCs w:val="21"/>
                <w:highlight w:val="none"/>
              </w:rPr>
            </w:pPr>
          </w:p>
        </w:tc>
        <w:tc>
          <w:tcPr>
            <w:tcW w:w="1937" w:type="dxa"/>
            <w:shd w:val="clear" w:color="auto" w:fill="auto"/>
            <w:noWrap w:val="0"/>
            <w:vAlign w:val="center"/>
          </w:tcPr>
          <w:p>
            <w:pPr>
              <w:pStyle w:val="66"/>
              <w:bidi w:val="0"/>
              <w:rPr>
                <w:rFonts w:hint="default"/>
                <w:lang w:val="en-US" w:eastAsia="zh-CN"/>
              </w:rPr>
            </w:pPr>
            <w:r>
              <w:rPr>
                <w:rFonts w:hint="eastAsia"/>
                <w:lang w:val="en-US" w:eastAsia="zh-CN"/>
              </w:rPr>
              <w:t>废布袋</w:t>
            </w:r>
          </w:p>
        </w:tc>
        <w:tc>
          <w:tcPr>
            <w:tcW w:w="1428" w:type="dxa"/>
            <w:shd w:val="clear" w:color="auto" w:fill="auto"/>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lang w:val="en-US" w:eastAsia="zh-CN"/>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272" w:type="dxa"/>
            <w:shd w:val="clear" w:color="auto" w:fill="auto"/>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lang w:val="en-US" w:eastAsia="zh-CN"/>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502" w:type="dxa"/>
            <w:shd w:val="clear" w:color="auto" w:fill="auto"/>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lang w:val="en-US" w:eastAsia="zh-CN"/>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650" w:type="dxa"/>
            <w:shd w:val="clear" w:color="auto" w:fill="auto"/>
            <w:noWrap w:val="0"/>
            <w:vAlign w:val="center"/>
          </w:tcPr>
          <w:p>
            <w:pPr>
              <w:pStyle w:val="66"/>
              <w:bidi w:val="0"/>
              <w:rPr>
                <w:rFonts w:hint="default" w:cs="Times New Roman"/>
                <w:lang w:val="en-US" w:eastAsia="zh-CN"/>
              </w:rPr>
            </w:pPr>
            <w:r>
              <w:rPr>
                <w:rFonts w:hint="eastAsia" w:cs="Times New Roman"/>
                <w:lang w:val="en-US" w:eastAsia="zh-CN"/>
              </w:rPr>
              <w:t>0.04</w:t>
            </w:r>
            <w:r>
              <w:rPr>
                <w:rFonts w:hint="default" w:ascii="Times New Roman" w:hAnsi="Times New Roman" w:cs="Times New Roman" w:eastAsiaTheme="minorEastAsia"/>
                <w:snapToGrid w:val="0"/>
                <w:color w:val="000000"/>
                <w:kern w:val="21"/>
                <w:szCs w:val="21"/>
                <w:highlight w:val="none"/>
                <w:lang w:val="en-US" w:eastAsia="zh-CN"/>
              </w:rPr>
              <w:t>t/a</w:t>
            </w:r>
          </w:p>
        </w:tc>
        <w:tc>
          <w:tcPr>
            <w:tcW w:w="1533" w:type="dxa"/>
            <w:shd w:val="clear" w:color="auto" w:fill="auto"/>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lang w:val="en-US" w:eastAsia="zh-CN"/>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917" w:type="dxa"/>
            <w:shd w:val="clear" w:color="auto" w:fill="auto"/>
            <w:noWrap w:val="0"/>
            <w:vAlign w:val="center"/>
          </w:tcPr>
          <w:p>
            <w:pPr>
              <w:pStyle w:val="66"/>
              <w:bidi w:val="0"/>
              <w:rPr>
                <w:rFonts w:hint="eastAsia" w:cs="Times New Roman"/>
                <w:lang w:val="en-US" w:eastAsia="zh-CN"/>
              </w:rPr>
            </w:pPr>
            <w:r>
              <w:rPr>
                <w:rFonts w:hint="eastAsia" w:cs="Times New Roman"/>
                <w:lang w:val="en-US" w:eastAsia="zh-CN"/>
              </w:rPr>
              <w:t>0.04</w:t>
            </w:r>
            <w:r>
              <w:rPr>
                <w:rFonts w:hint="default" w:ascii="Times New Roman" w:hAnsi="Times New Roman" w:cs="Times New Roman" w:eastAsiaTheme="minorEastAsia"/>
                <w:snapToGrid w:val="0"/>
                <w:color w:val="000000"/>
                <w:kern w:val="21"/>
                <w:szCs w:val="21"/>
                <w:highlight w:val="none"/>
                <w:lang w:val="en-US" w:eastAsia="zh-CN"/>
              </w:rPr>
              <w:t>t/a</w:t>
            </w:r>
          </w:p>
        </w:tc>
        <w:tc>
          <w:tcPr>
            <w:tcW w:w="1321" w:type="dxa"/>
            <w:shd w:val="clear" w:color="auto" w:fill="auto"/>
            <w:noWrap w:val="0"/>
            <w:vAlign w:val="center"/>
          </w:tcPr>
          <w:p>
            <w:pPr>
              <w:pStyle w:val="66"/>
              <w:bidi w:val="0"/>
              <w:rPr>
                <w:rFonts w:hint="eastAsia" w:cs="Times New Roman"/>
                <w:lang w:val="en-US" w:eastAsia="zh-CN"/>
              </w:rPr>
            </w:pPr>
            <w:r>
              <w:rPr>
                <w:rFonts w:hint="eastAsia" w:cs="Times New Roman"/>
                <w:lang w:val="en-US" w:eastAsia="zh-CN"/>
              </w:rPr>
              <w:t>0.04</w:t>
            </w:r>
            <w:r>
              <w:rPr>
                <w:rFonts w:hint="default" w:ascii="Times New Roman" w:hAnsi="Times New Roman" w:cs="Times New Roman" w:eastAsiaTheme="minorEastAsia"/>
                <w:snapToGrid w:val="0"/>
                <w:color w:val="000000"/>
                <w:kern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28" w:type="dxa"/>
            <w:vMerge w:val="restart"/>
            <w:noWrap w:val="0"/>
            <w:vAlign w:val="center"/>
          </w:tcPr>
          <w:p>
            <w:pPr>
              <w:pStyle w:val="30"/>
              <w:spacing w:beforeLines="0" w:afterLines="0" w:line="240" w:lineRule="auto"/>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rPr>
              <w:t>危险废物</w:t>
            </w:r>
          </w:p>
        </w:tc>
        <w:tc>
          <w:tcPr>
            <w:tcW w:w="1937" w:type="dxa"/>
            <w:noWrap w:val="0"/>
            <w:vAlign w:val="center"/>
          </w:tcPr>
          <w:p>
            <w:pPr>
              <w:pStyle w:val="30"/>
              <w:keepNext w:val="0"/>
              <w:keepLines w:val="0"/>
              <w:suppressLineNumbers w:val="0"/>
              <w:bidi w:val="0"/>
              <w:spacing w:before="0" w:beforeAutospacing="0" w:after="0" w:afterAutospacing="0"/>
              <w:ind w:left="0" w:leftChars="0" w:right="0" w:rightChars="0"/>
              <w:jc w:val="center"/>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highlight w:val="none"/>
                <w:lang w:val="en-US" w:eastAsia="zh-CN"/>
              </w:rPr>
              <w:t>废润滑油</w:t>
            </w:r>
          </w:p>
        </w:tc>
        <w:tc>
          <w:tcPr>
            <w:tcW w:w="1428"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272"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502"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650" w:type="dxa"/>
            <w:shd w:val="clear" w:color="auto" w:fill="auto"/>
            <w:noWrap w:val="0"/>
            <w:vAlign w:val="center"/>
          </w:tcPr>
          <w:p>
            <w:pPr>
              <w:pStyle w:val="66"/>
              <w:bidi w:val="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bidi="ar-SA"/>
              </w:rPr>
              <w:t>0.1</w:t>
            </w:r>
            <w:r>
              <w:rPr>
                <w:rFonts w:hint="default" w:ascii="Times New Roman" w:hAnsi="Times New Roman" w:cs="Times New Roman" w:eastAsiaTheme="minorEastAsia"/>
                <w:snapToGrid w:val="0"/>
                <w:color w:val="000000"/>
                <w:kern w:val="21"/>
                <w:szCs w:val="21"/>
                <w:highlight w:val="none"/>
                <w:lang w:val="en-US" w:eastAsia="zh-CN"/>
              </w:rPr>
              <w:t>t/a</w:t>
            </w:r>
          </w:p>
        </w:tc>
        <w:tc>
          <w:tcPr>
            <w:tcW w:w="1533"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917" w:type="dxa"/>
            <w:noWrap w:val="0"/>
            <w:vAlign w:val="center"/>
          </w:tcPr>
          <w:p>
            <w:pPr>
              <w:pStyle w:val="66"/>
              <w:bidi w:val="0"/>
              <w:rPr>
                <w:rFonts w:hint="default" w:ascii="Times New Roman" w:hAnsi="Times New Roman" w:cs="Times New Roman" w:eastAsiaTheme="minorEastAsia"/>
                <w:snapToGrid w:val="0"/>
                <w:color w:val="000000"/>
                <w:kern w:val="21"/>
                <w:sz w:val="21"/>
                <w:szCs w:val="21"/>
                <w:highlight w:val="none"/>
                <w:lang w:val="en-US" w:eastAsia="zh-CN" w:bidi="ar-SA"/>
              </w:rPr>
            </w:pPr>
            <w:r>
              <w:rPr>
                <w:rFonts w:hint="default" w:ascii="Times New Roman" w:hAnsi="Times New Roman" w:cs="Times New Roman"/>
                <w:kern w:val="0"/>
                <w:sz w:val="21"/>
                <w:szCs w:val="21"/>
                <w:lang w:val="en-US" w:eastAsia="zh-CN" w:bidi="ar-SA"/>
              </w:rPr>
              <w:t>0.1</w:t>
            </w:r>
            <w:r>
              <w:rPr>
                <w:rFonts w:hint="default" w:ascii="Times New Roman" w:hAnsi="Times New Roman" w:cs="Times New Roman" w:eastAsiaTheme="minorEastAsia"/>
                <w:snapToGrid w:val="0"/>
                <w:color w:val="000000"/>
                <w:kern w:val="21"/>
                <w:szCs w:val="21"/>
                <w:highlight w:val="none"/>
                <w:lang w:val="en-US" w:eastAsia="zh-CN"/>
              </w:rPr>
              <w:t>t/a</w:t>
            </w:r>
          </w:p>
        </w:tc>
        <w:tc>
          <w:tcPr>
            <w:tcW w:w="1321" w:type="dxa"/>
            <w:noWrap w:val="0"/>
            <w:vAlign w:val="center"/>
          </w:tcPr>
          <w:p>
            <w:pPr>
              <w:pStyle w:val="66"/>
              <w:bidi w:val="0"/>
              <w:rPr>
                <w:rFonts w:hint="default" w:ascii="Times New Roman" w:hAnsi="Times New Roman" w:cs="Times New Roman" w:eastAsiaTheme="minorEastAsia"/>
                <w:snapToGrid w:val="0"/>
                <w:color w:val="000000"/>
                <w:kern w:val="21"/>
                <w:sz w:val="21"/>
                <w:szCs w:val="21"/>
                <w:highlight w:val="none"/>
                <w:lang w:val="en-US" w:eastAsia="zh-CN" w:bidi="ar-SA"/>
              </w:rPr>
            </w:pPr>
            <w:r>
              <w:rPr>
                <w:rFonts w:hint="default" w:ascii="Times New Roman" w:hAnsi="Times New Roman" w:cs="Times New Roman"/>
                <w:kern w:val="0"/>
                <w:sz w:val="21"/>
                <w:szCs w:val="21"/>
                <w:lang w:val="en-US" w:eastAsia="zh-CN" w:bidi="ar-SA"/>
              </w:rPr>
              <w:t>0.1</w:t>
            </w:r>
            <w:r>
              <w:rPr>
                <w:rFonts w:hint="default" w:ascii="Times New Roman" w:hAnsi="Times New Roman" w:cs="Times New Roman" w:eastAsiaTheme="minorEastAsia"/>
                <w:snapToGrid w:val="0"/>
                <w:color w:val="000000"/>
                <w:kern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28" w:type="dxa"/>
            <w:vMerge w:val="continue"/>
            <w:noWrap w:val="0"/>
            <w:vAlign w:val="center"/>
          </w:tcPr>
          <w:p>
            <w:pPr>
              <w:pStyle w:val="30"/>
              <w:spacing w:beforeLines="0" w:afterLines="0" w:line="240" w:lineRule="auto"/>
              <w:rPr>
                <w:rFonts w:hint="default" w:ascii="Times New Roman" w:hAnsi="Times New Roman" w:cs="Times New Roman" w:eastAsiaTheme="minorEastAsia"/>
                <w:snapToGrid w:val="0"/>
                <w:color w:val="000000"/>
                <w:kern w:val="21"/>
                <w:szCs w:val="21"/>
                <w:highlight w:val="none"/>
              </w:rPr>
            </w:pPr>
          </w:p>
        </w:tc>
        <w:tc>
          <w:tcPr>
            <w:tcW w:w="1937" w:type="dxa"/>
            <w:noWrap w:val="0"/>
            <w:vAlign w:val="center"/>
          </w:tcPr>
          <w:p>
            <w:pPr>
              <w:pStyle w:val="30"/>
              <w:keepNext w:val="0"/>
              <w:keepLines w:val="0"/>
              <w:suppressLineNumbers w:val="0"/>
              <w:bidi w:val="0"/>
              <w:spacing w:before="0" w:beforeAutospacing="0" w:after="0" w:afterAutospacing="0"/>
              <w:ind w:left="0" w:leftChars="0" w:right="0" w:rightChars="0"/>
              <w:jc w:val="center"/>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废润滑油</w:t>
            </w:r>
            <w:r>
              <w:rPr>
                <w:rFonts w:hint="eastAsia" w:ascii="Times New Roman" w:hAnsi="Times New Roman" w:cs="Times New Roman" w:eastAsiaTheme="minorEastAsia"/>
                <w:highlight w:val="none"/>
                <w:lang w:val="en-US" w:eastAsia="zh-CN"/>
              </w:rPr>
              <w:t>桶</w:t>
            </w:r>
          </w:p>
        </w:tc>
        <w:tc>
          <w:tcPr>
            <w:tcW w:w="1428" w:type="dxa"/>
            <w:shd w:val="clear" w:color="auto" w:fill="auto"/>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 w:val="21"/>
                <w:szCs w:val="21"/>
                <w:highlight w:val="none"/>
                <w:lang w:val="en-US" w:eastAsia="zh-CN" w:bidi="ar-SA"/>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272" w:type="dxa"/>
            <w:shd w:val="clear" w:color="auto" w:fill="auto"/>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 w:val="21"/>
                <w:szCs w:val="21"/>
                <w:highlight w:val="none"/>
                <w:lang w:val="en-US" w:eastAsia="zh-CN" w:bidi="ar-SA"/>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502" w:type="dxa"/>
            <w:shd w:val="clear" w:color="auto" w:fill="auto"/>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 w:val="21"/>
                <w:szCs w:val="21"/>
                <w:highlight w:val="none"/>
                <w:lang w:val="en-US" w:eastAsia="zh-CN" w:bidi="ar-SA"/>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650" w:type="dxa"/>
            <w:shd w:val="clear" w:color="auto" w:fill="auto"/>
            <w:noWrap w:val="0"/>
            <w:vAlign w:val="center"/>
          </w:tcPr>
          <w:p>
            <w:pPr>
              <w:pStyle w:val="66"/>
              <w:bidi w:val="0"/>
              <w:rPr>
                <w:rFonts w:hint="default" w:ascii="Times New Roman" w:hAnsi="Times New Roman" w:cs="Times New Roman"/>
                <w:kern w:val="0"/>
                <w:sz w:val="21"/>
                <w:szCs w:val="21"/>
                <w:lang w:val="en-US" w:eastAsia="zh-CN" w:bidi="ar-SA"/>
              </w:rPr>
            </w:pPr>
            <w:r>
              <w:rPr>
                <w:rFonts w:hint="eastAsia" w:cs="Times New Roman"/>
                <w:kern w:val="0"/>
                <w:sz w:val="21"/>
                <w:szCs w:val="21"/>
                <w:lang w:val="en-US" w:eastAsia="zh-CN" w:bidi="ar-SA"/>
              </w:rPr>
              <w:t>0.01</w:t>
            </w:r>
            <w:r>
              <w:rPr>
                <w:rFonts w:hint="default" w:ascii="Times New Roman" w:hAnsi="Times New Roman" w:cs="Times New Roman" w:eastAsiaTheme="minorEastAsia"/>
                <w:snapToGrid w:val="0"/>
                <w:color w:val="000000"/>
                <w:kern w:val="21"/>
                <w:szCs w:val="21"/>
                <w:highlight w:val="none"/>
                <w:lang w:val="en-US" w:eastAsia="zh-CN"/>
              </w:rPr>
              <w:t>t/a</w:t>
            </w:r>
          </w:p>
        </w:tc>
        <w:tc>
          <w:tcPr>
            <w:tcW w:w="1533" w:type="dxa"/>
            <w:noWrap w:val="0"/>
            <w:vAlign w:val="center"/>
          </w:tcPr>
          <w:p>
            <w:pPr>
              <w:spacing w:beforeLines="0" w:afterLines="0" w:line="240" w:lineRule="auto"/>
              <w:jc w:val="center"/>
              <w:rPr>
                <w:rFonts w:hint="default" w:ascii="Times New Roman" w:hAnsi="Times New Roman" w:cs="Times New Roman" w:eastAsiaTheme="minorEastAsia"/>
                <w:snapToGrid w:val="0"/>
                <w:color w:val="000000"/>
                <w:kern w:val="21"/>
                <w:szCs w:val="21"/>
                <w:highlight w:val="none"/>
                <w:lang w:val="en-US" w:eastAsia="zh-CN"/>
              </w:rPr>
            </w:pPr>
            <w:r>
              <w:rPr>
                <w:rFonts w:hint="default" w:ascii="Times New Roman" w:hAnsi="Times New Roman" w:cs="Times New Roman" w:eastAsiaTheme="minorEastAsia"/>
                <w:snapToGrid w:val="0"/>
                <w:color w:val="000000"/>
                <w:kern w:val="21"/>
                <w:szCs w:val="21"/>
                <w:highlight w:val="none"/>
                <w:lang w:val="en-US" w:eastAsia="zh-CN"/>
              </w:rPr>
              <w:t>/</w:t>
            </w:r>
          </w:p>
        </w:tc>
        <w:tc>
          <w:tcPr>
            <w:tcW w:w="1917" w:type="dxa"/>
            <w:noWrap w:val="0"/>
            <w:vAlign w:val="center"/>
          </w:tcPr>
          <w:p>
            <w:pPr>
              <w:pStyle w:val="66"/>
              <w:bidi w:val="0"/>
              <w:rPr>
                <w:rFonts w:hint="default" w:ascii="Times New Roman" w:hAnsi="Times New Roman" w:cs="Times New Roman"/>
                <w:kern w:val="0"/>
                <w:sz w:val="21"/>
                <w:szCs w:val="21"/>
                <w:lang w:val="en-US" w:eastAsia="zh-CN" w:bidi="ar-SA"/>
              </w:rPr>
            </w:pPr>
            <w:r>
              <w:rPr>
                <w:rFonts w:hint="eastAsia" w:cs="Times New Roman"/>
                <w:kern w:val="0"/>
                <w:sz w:val="21"/>
                <w:szCs w:val="21"/>
                <w:lang w:val="en-US" w:eastAsia="zh-CN" w:bidi="ar-SA"/>
              </w:rPr>
              <w:t>0.01</w:t>
            </w:r>
            <w:r>
              <w:rPr>
                <w:rFonts w:hint="default" w:ascii="Times New Roman" w:hAnsi="Times New Roman" w:cs="Times New Roman" w:eastAsiaTheme="minorEastAsia"/>
                <w:snapToGrid w:val="0"/>
                <w:color w:val="000000"/>
                <w:kern w:val="21"/>
                <w:szCs w:val="21"/>
                <w:highlight w:val="none"/>
                <w:lang w:val="en-US" w:eastAsia="zh-CN"/>
              </w:rPr>
              <w:t>t/a</w:t>
            </w:r>
          </w:p>
        </w:tc>
        <w:tc>
          <w:tcPr>
            <w:tcW w:w="1321" w:type="dxa"/>
            <w:noWrap w:val="0"/>
            <w:vAlign w:val="center"/>
          </w:tcPr>
          <w:p>
            <w:pPr>
              <w:pStyle w:val="66"/>
              <w:bidi w:val="0"/>
              <w:rPr>
                <w:rFonts w:hint="default" w:ascii="Times New Roman" w:hAnsi="Times New Roman" w:cs="Times New Roman"/>
                <w:kern w:val="0"/>
                <w:sz w:val="21"/>
                <w:szCs w:val="21"/>
                <w:lang w:val="en-US" w:eastAsia="zh-CN" w:bidi="ar-SA"/>
              </w:rPr>
            </w:pPr>
            <w:r>
              <w:rPr>
                <w:rFonts w:hint="eastAsia" w:cs="Times New Roman"/>
                <w:kern w:val="0"/>
                <w:sz w:val="21"/>
                <w:szCs w:val="21"/>
                <w:lang w:val="en-US" w:eastAsia="zh-CN" w:bidi="ar-SA"/>
              </w:rPr>
              <w:t>0.01</w:t>
            </w:r>
            <w:r>
              <w:rPr>
                <w:rFonts w:hint="default" w:ascii="Times New Roman" w:hAnsi="Times New Roman" w:cs="Times New Roman" w:eastAsiaTheme="minorEastAsia"/>
                <w:snapToGrid w:val="0"/>
                <w:color w:val="000000"/>
                <w:kern w:val="21"/>
                <w:szCs w:val="21"/>
                <w:highlight w:val="none"/>
                <w:lang w:val="en-US" w:eastAsia="zh-CN"/>
              </w:rPr>
              <w:t>t/a</w:t>
            </w:r>
          </w:p>
        </w:tc>
      </w:tr>
    </w:tbl>
    <w:p>
      <w:pPr>
        <w:pStyle w:val="30"/>
        <w:kinsoku/>
        <w:wordWrap/>
        <w:bidi w:val="0"/>
        <w:adjustRightInd/>
        <w:snapToGrid/>
        <w:spacing w:before="192" w:beforeLines="80" w:after="24"/>
        <w:jc w:val="left"/>
        <w:rPr>
          <w:rFonts w:hint="default" w:ascii="Times New Roman" w:hAnsi="Times New Roman" w:eastAsia="宋体" w:cs="Times New Roman"/>
          <w:lang w:val="en-US" w:eastAsia="zh-CN"/>
        </w:rPr>
      </w:pPr>
      <w:r>
        <w:rPr>
          <w:rFonts w:hint="default" w:ascii="Times New Roman" w:hAnsi="Times New Roman" w:cs="Times New Roman"/>
          <w:snapToGrid w:val="0"/>
          <w:color w:val="auto"/>
          <w:spacing w:val="0"/>
          <w:kern w:val="21"/>
          <w:szCs w:val="21"/>
        </w:rPr>
        <w:t>注：</w:t>
      </w:r>
      <w:r>
        <w:rPr>
          <w:rFonts w:hint="default" w:ascii="Times New Roman" w:hAnsi="Times New Roman" w:cs="Times New Roman"/>
          <w:snapToGrid w:val="0"/>
          <w:color w:val="auto"/>
          <w:spacing w:val="0"/>
          <w:kern w:val="21"/>
          <w:szCs w:val="21"/>
        </w:rPr>
        <w:fldChar w:fldCharType="begin"/>
      </w:r>
      <w:r>
        <w:rPr>
          <w:rFonts w:hint="default" w:ascii="Times New Roman" w:hAnsi="Times New Roman" w:cs="Times New Roman"/>
          <w:snapToGrid w:val="0"/>
          <w:color w:val="auto"/>
          <w:spacing w:val="0"/>
          <w:kern w:val="21"/>
          <w:szCs w:val="21"/>
        </w:rPr>
        <w:instrText xml:space="preserve"> = 6 \* GB3 \* MERGEFORMAT </w:instrText>
      </w:r>
      <w:r>
        <w:rPr>
          <w:rFonts w:hint="default" w:ascii="Times New Roman" w:hAnsi="Times New Roman" w:cs="Times New Roman"/>
          <w:snapToGrid w:val="0"/>
          <w:color w:val="auto"/>
          <w:spacing w:val="0"/>
          <w:kern w:val="21"/>
          <w:szCs w:val="21"/>
        </w:rPr>
        <w:fldChar w:fldCharType="separate"/>
      </w:r>
      <w:r>
        <w:rPr>
          <w:rFonts w:hint="default" w:ascii="Times New Roman" w:hAnsi="Times New Roman" w:cs="Times New Roman"/>
          <w:color w:val="auto"/>
          <w:spacing w:val="0"/>
          <w:kern w:val="21"/>
          <w:szCs w:val="21"/>
        </w:rPr>
        <w:t>⑥</w:t>
      </w:r>
      <w:r>
        <w:rPr>
          <w:rFonts w:hint="default" w:ascii="Times New Roman" w:hAnsi="Times New Roman" w:cs="Times New Roman"/>
          <w:snapToGrid w:val="0"/>
          <w:color w:val="auto"/>
          <w:spacing w:val="0"/>
          <w:kern w:val="21"/>
          <w:szCs w:val="21"/>
        </w:rPr>
        <w:fldChar w:fldCharType="end"/>
      </w:r>
      <w:r>
        <w:rPr>
          <w:rFonts w:hint="default" w:ascii="Times New Roman" w:hAnsi="Times New Roman" w:cs="Times New Roman"/>
          <w:snapToGrid w:val="0"/>
          <w:color w:val="auto"/>
          <w:spacing w:val="0"/>
          <w:kern w:val="21"/>
          <w:szCs w:val="21"/>
        </w:rPr>
        <w:t>=</w:t>
      </w:r>
      <w:r>
        <w:rPr>
          <w:rFonts w:hint="default" w:ascii="Times New Roman" w:hAnsi="Times New Roman" w:cs="Times New Roman"/>
          <w:snapToGrid w:val="0"/>
          <w:color w:val="auto"/>
          <w:spacing w:val="0"/>
          <w:kern w:val="21"/>
          <w:szCs w:val="21"/>
        </w:rPr>
        <w:fldChar w:fldCharType="begin"/>
      </w:r>
      <w:r>
        <w:rPr>
          <w:rFonts w:hint="default" w:ascii="Times New Roman" w:hAnsi="Times New Roman" w:cs="Times New Roman"/>
          <w:snapToGrid w:val="0"/>
          <w:color w:val="auto"/>
          <w:spacing w:val="0"/>
          <w:kern w:val="21"/>
          <w:szCs w:val="21"/>
        </w:rPr>
        <w:instrText xml:space="preserve"> = 1 \* GB3 \* MERGEFORMAT </w:instrText>
      </w:r>
      <w:r>
        <w:rPr>
          <w:rFonts w:hint="default" w:ascii="Times New Roman" w:hAnsi="Times New Roman" w:cs="Times New Roman"/>
          <w:snapToGrid w:val="0"/>
          <w:color w:val="auto"/>
          <w:spacing w:val="0"/>
          <w:kern w:val="21"/>
          <w:szCs w:val="21"/>
        </w:rPr>
        <w:fldChar w:fldCharType="separate"/>
      </w:r>
      <w:r>
        <w:rPr>
          <w:rFonts w:hint="default" w:ascii="Times New Roman" w:hAnsi="Times New Roman" w:cs="Times New Roman"/>
          <w:color w:val="auto"/>
          <w:spacing w:val="0"/>
          <w:kern w:val="21"/>
          <w:szCs w:val="21"/>
        </w:rPr>
        <w:t>①</w:t>
      </w:r>
      <w:r>
        <w:rPr>
          <w:rFonts w:hint="default" w:ascii="Times New Roman" w:hAnsi="Times New Roman" w:cs="Times New Roman"/>
          <w:snapToGrid w:val="0"/>
          <w:color w:val="auto"/>
          <w:spacing w:val="0"/>
          <w:kern w:val="21"/>
          <w:szCs w:val="21"/>
        </w:rPr>
        <w:fldChar w:fldCharType="end"/>
      </w:r>
      <w:r>
        <w:rPr>
          <w:rFonts w:hint="default" w:ascii="Times New Roman" w:hAnsi="Times New Roman" w:cs="Times New Roman"/>
          <w:snapToGrid w:val="0"/>
          <w:color w:val="auto"/>
          <w:spacing w:val="0"/>
          <w:kern w:val="21"/>
          <w:szCs w:val="21"/>
        </w:rPr>
        <w:t>+</w:t>
      </w:r>
      <w:r>
        <w:rPr>
          <w:rFonts w:hint="default" w:ascii="Times New Roman" w:hAnsi="Times New Roman" w:cs="Times New Roman"/>
          <w:snapToGrid w:val="0"/>
          <w:color w:val="auto"/>
          <w:spacing w:val="0"/>
          <w:kern w:val="21"/>
          <w:szCs w:val="21"/>
        </w:rPr>
        <w:fldChar w:fldCharType="begin"/>
      </w:r>
      <w:r>
        <w:rPr>
          <w:rFonts w:hint="default" w:ascii="Times New Roman" w:hAnsi="Times New Roman" w:cs="Times New Roman"/>
          <w:snapToGrid w:val="0"/>
          <w:color w:val="auto"/>
          <w:spacing w:val="0"/>
          <w:kern w:val="21"/>
          <w:szCs w:val="21"/>
        </w:rPr>
        <w:instrText xml:space="preserve"> = 3 \* GB3 \* MERGEFORMAT </w:instrText>
      </w:r>
      <w:r>
        <w:rPr>
          <w:rFonts w:hint="default" w:ascii="Times New Roman" w:hAnsi="Times New Roman" w:cs="Times New Roman"/>
          <w:snapToGrid w:val="0"/>
          <w:color w:val="auto"/>
          <w:spacing w:val="0"/>
          <w:kern w:val="21"/>
          <w:szCs w:val="21"/>
        </w:rPr>
        <w:fldChar w:fldCharType="separate"/>
      </w:r>
      <w:r>
        <w:rPr>
          <w:rFonts w:hint="default" w:ascii="Times New Roman" w:hAnsi="Times New Roman" w:cs="Times New Roman"/>
          <w:color w:val="auto"/>
          <w:spacing w:val="0"/>
          <w:kern w:val="21"/>
          <w:szCs w:val="21"/>
        </w:rPr>
        <w:t>③</w:t>
      </w:r>
      <w:r>
        <w:rPr>
          <w:rFonts w:hint="default" w:ascii="Times New Roman" w:hAnsi="Times New Roman" w:cs="Times New Roman"/>
          <w:snapToGrid w:val="0"/>
          <w:color w:val="auto"/>
          <w:spacing w:val="0"/>
          <w:kern w:val="21"/>
          <w:szCs w:val="21"/>
        </w:rPr>
        <w:fldChar w:fldCharType="end"/>
      </w:r>
      <w:r>
        <w:rPr>
          <w:rFonts w:hint="default" w:ascii="Times New Roman" w:hAnsi="Times New Roman" w:cs="Times New Roman"/>
          <w:snapToGrid w:val="0"/>
          <w:color w:val="auto"/>
          <w:spacing w:val="0"/>
          <w:kern w:val="21"/>
          <w:szCs w:val="21"/>
        </w:rPr>
        <w:t>+</w:t>
      </w:r>
      <w:r>
        <w:rPr>
          <w:rFonts w:hint="default" w:ascii="Times New Roman" w:hAnsi="Times New Roman" w:cs="Times New Roman"/>
          <w:snapToGrid w:val="0"/>
          <w:color w:val="auto"/>
          <w:spacing w:val="0"/>
          <w:kern w:val="21"/>
          <w:szCs w:val="21"/>
        </w:rPr>
        <w:fldChar w:fldCharType="begin"/>
      </w:r>
      <w:r>
        <w:rPr>
          <w:rFonts w:hint="default" w:ascii="Times New Roman" w:hAnsi="Times New Roman" w:cs="Times New Roman"/>
          <w:snapToGrid w:val="0"/>
          <w:color w:val="auto"/>
          <w:spacing w:val="0"/>
          <w:kern w:val="21"/>
          <w:szCs w:val="21"/>
        </w:rPr>
        <w:instrText xml:space="preserve"> = 4 \* GB3 \* MERGEFORMAT </w:instrText>
      </w:r>
      <w:r>
        <w:rPr>
          <w:rFonts w:hint="default" w:ascii="Times New Roman" w:hAnsi="Times New Roman" w:cs="Times New Roman"/>
          <w:snapToGrid w:val="0"/>
          <w:color w:val="auto"/>
          <w:spacing w:val="0"/>
          <w:kern w:val="21"/>
          <w:szCs w:val="21"/>
        </w:rPr>
        <w:fldChar w:fldCharType="separate"/>
      </w:r>
      <w:r>
        <w:rPr>
          <w:rFonts w:hint="default" w:ascii="Times New Roman" w:hAnsi="Times New Roman" w:cs="Times New Roman"/>
          <w:color w:val="auto"/>
          <w:spacing w:val="0"/>
          <w:kern w:val="21"/>
          <w:szCs w:val="21"/>
        </w:rPr>
        <w:t>④</w:t>
      </w:r>
      <w:r>
        <w:rPr>
          <w:rFonts w:hint="default" w:ascii="Times New Roman" w:hAnsi="Times New Roman" w:cs="Times New Roman"/>
          <w:snapToGrid w:val="0"/>
          <w:color w:val="auto"/>
          <w:spacing w:val="0"/>
          <w:kern w:val="21"/>
          <w:szCs w:val="21"/>
        </w:rPr>
        <w:fldChar w:fldCharType="end"/>
      </w:r>
      <w:r>
        <w:rPr>
          <w:rFonts w:hint="default" w:ascii="Times New Roman" w:hAnsi="Times New Roman" w:cs="Times New Roman"/>
          <w:snapToGrid w:val="0"/>
          <w:color w:val="auto"/>
          <w:spacing w:val="0"/>
          <w:kern w:val="21"/>
          <w:szCs w:val="21"/>
        </w:rPr>
        <w:t>-</w:t>
      </w:r>
      <w:r>
        <w:rPr>
          <w:rFonts w:hint="default" w:ascii="Times New Roman" w:hAnsi="Times New Roman" w:cs="Times New Roman"/>
          <w:snapToGrid w:val="0"/>
          <w:color w:val="auto"/>
          <w:spacing w:val="0"/>
          <w:kern w:val="21"/>
          <w:szCs w:val="21"/>
        </w:rPr>
        <w:fldChar w:fldCharType="begin"/>
      </w:r>
      <w:r>
        <w:rPr>
          <w:rFonts w:hint="default" w:ascii="Times New Roman" w:hAnsi="Times New Roman" w:cs="Times New Roman"/>
          <w:snapToGrid w:val="0"/>
          <w:color w:val="auto"/>
          <w:spacing w:val="0"/>
          <w:kern w:val="21"/>
          <w:szCs w:val="21"/>
        </w:rPr>
        <w:instrText xml:space="preserve"> = 5 \* GB3 \* MERGEFORMAT </w:instrText>
      </w:r>
      <w:r>
        <w:rPr>
          <w:rFonts w:hint="default" w:ascii="Times New Roman" w:hAnsi="Times New Roman" w:cs="Times New Roman"/>
          <w:snapToGrid w:val="0"/>
          <w:color w:val="auto"/>
          <w:spacing w:val="0"/>
          <w:kern w:val="21"/>
          <w:szCs w:val="21"/>
        </w:rPr>
        <w:fldChar w:fldCharType="separate"/>
      </w:r>
      <w:r>
        <w:rPr>
          <w:rFonts w:hint="default" w:ascii="Times New Roman" w:hAnsi="Times New Roman" w:cs="Times New Roman"/>
          <w:color w:val="auto"/>
          <w:spacing w:val="0"/>
          <w:kern w:val="21"/>
          <w:szCs w:val="21"/>
        </w:rPr>
        <w:t>⑤</w:t>
      </w:r>
      <w:r>
        <w:rPr>
          <w:rFonts w:hint="default" w:ascii="Times New Roman" w:hAnsi="Times New Roman" w:cs="Times New Roman"/>
          <w:snapToGrid w:val="0"/>
          <w:color w:val="auto"/>
          <w:spacing w:val="0"/>
          <w:kern w:val="21"/>
          <w:szCs w:val="21"/>
        </w:rPr>
        <w:fldChar w:fldCharType="end"/>
      </w:r>
      <w:r>
        <w:rPr>
          <w:rFonts w:hint="default" w:ascii="Times New Roman" w:hAnsi="Times New Roman" w:cs="Times New Roman"/>
          <w:snapToGrid w:val="0"/>
          <w:color w:val="auto"/>
          <w:spacing w:val="0"/>
          <w:kern w:val="21"/>
          <w:szCs w:val="21"/>
        </w:rPr>
        <w:t>；</w:t>
      </w:r>
      <w:r>
        <w:rPr>
          <w:rFonts w:hint="default" w:ascii="Times New Roman" w:hAnsi="Times New Roman" w:cs="Times New Roman"/>
          <w:snapToGrid w:val="0"/>
          <w:color w:val="auto"/>
          <w:spacing w:val="0"/>
          <w:kern w:val="21"/>
          <w:szCs w:val="21"/>
        </w:rPr>
        <w:fldChar w:fldCharType="begin"/>
      </w:r>
      <w:r>
        <w:rPr>
          <w:rFonts w:hint="default" w:ascii="Times New Roman" w:hAnsi="Times New Roman" w:cs="Times New Roman"/>
          <w:snapToGrid w:val="0"/>
          <w:color w:val="auto"/>
          <w:spacing w:val="0"/>
          <w:kern w:val="21"/>
          <w:szCs w:val="21"/>
        </w:rPr>
        <w:instrText xml:space="preserve"> = 7 \* GB3 \* MERGEFORMAT </w:instrText>
      </w:r>
      <w:r>
        <w:rPr>
          <w:rFonts w:hint="default" w:ascii="Times New Roman" w:hAnsi="Times New Roman" w:cs="Times New Roman"/>
          <w:snapToGrid w:val="0"/>
          <w:color w:val="auto"/>
          <w:spacing w:val="0"/>
          <w:kern w:val="21"/>
          <w:szCs w:val="21"/>
        </w:rPr>
        <w:fldChar w:fldCharType="separate"/>
      </w:r>
      <w:r>
        <w:rPr>
          <w:rFonts w:hint="default" w:ascii="Times New Roman" w:hAnsi="Times New Roman" w:cs="Times New Roman"/>
          <w:color w:val="auto"/>
          <w:spacing w:val="0"/>
          <w:kern w:val="21"/>
          <w:szCs w:val="21"/>
        </w:rPr>
        <w:t>⑦</w:t>
      </w:r>
      <w:r>
        <w:rPr>
          <w:rFonts w:hint="default" w:ascii="Times New Roman" w:hAnsi="Times New Roman" w:cs="Times New Roman"/>
          <w:snapToGrid w:val="0"/>
          <w:color w:val="auto"/>
          <w:spacing w:val="0"/>
          <w:kern w:val="21"/>
          <w:szCs w:val="21"/>
        </w:rPr>
        <w:fldChar w:fldCharType="end"/>
      </w:r>
      <w:r>
        <w:rPr>
          <w:rFonts w:hint="default" w:ascii="Times New Roman" w:hAnsi="Times New Roman" w:cs="Times New Roman"/>
          <w:snapToGrid w:val="0"/>
          <w:color w:val="auto"/>
          <w:spacing w:val="0"/>
          <w:kern w:val="21"/>
          <w:szCs w:val="21"/>
        </w:rPr>
        <w:t>=</w:t>
      </w:r>
      <w:r>
        <w:rPr>
          <w:rFonts w:hint="default" w:ascii="Times New Roman" w:hAnsi="Times New Roman" w:cs="Times New Roman"/>
          <w:snapToGrid w:val="0"/>
          <w:color w:val="auto"/>
          <w:spacing w:val="0"/>
          <w:kern w:val="21"/>
          <w:szCs w:val="21"/>
        </w:rPr>
        <w:fldChar w:fldCharType="begin"/>
      </w:r>
      <w:r>
        <w:rPr>
          <w:rFonts w:hint="default" w:ascii="Times New Roman" w:hAnsi="Times New Roman" w:cs="Times New Roman"/>
          <w:snapToGrid w:val="0"/>
          <w:color w:val="auto"/>
          <w:spacing w:val="0"/>
          <w:kern w:val="21"/>
          <w:szCs w:val="21"/>
        </w:rPr>
        <w:instrText xml:space="preserve"> = 6 \* GB3 \* MERGEFORMAT </w:instrText>
      </w:r>
      <w:r>
        <w:rPr>
          <w:rFonts w:hint="default" w:ascii="Times New Roman" w:hAnsi="Times New Roman" w:cs="Times New Roman"/>
          <w:snapToGrid w:val="0"/>
          <w:color w:val="auto"/>
          <w:spacing w:val="0"/>
          <w:kern w:val="21"/>
          <w:szCs w:val="21"/>
        </w:rPr>
        <w:fldChar w:fldCharType="separate"/>
      </w:r>
      <w:r>
        <w:rPr>
          <w:rFonts w:hint="default" w:ascii="Times New Roman" w:hAnsi="Times New Roman" w:cs="Times New Roman"/>
          <w:color w:val="auto"/>
          <w:spacing w:val="0"/>
          <w:kern w:val="21"/>
          <w:szCs w:val="21"/>
        </w:rPr>
        <w:t>⑥</w:t>
      </w:r>
      <w:r>
        <w:rPr>
          <w:rFonts w:hint="default" w:ascii="Times New Roman" w:hAnsi="Times New Roman" w:cs="Times New Roman"/>
          <w:snapToGrid w:val="0"/>
          <w:color w:val="auto"/>
          <w:spacing w:val="0"/>
          <w:kern w:val="21"/>
          <w:szCs w:val="21"/>
        </w:rPr>
        <w:fldChar w:fldCharType="end"/>
      </w:r>
      <w:r>
        <w:rPr>
          <w:rFonts w:hint="default" w:ascii="Times New Roman" w:hAnsi="Times New Roman" w:cs="Times New Roman"/>
          <w:snapToGrid w:val="0"/>
          <w:color w:val="auto"/>
          <w:spacing w:val="0"/>
          <w:kern w:val="21"/>
          <w:szCs w:val="21"/>
        </w:rPr>
        <w:t>-</w:t>
      </w:r>
      <w:r>
        <w:rPr>
          <w:rFonts w:hint="default" w:ascii="Times New Roman" w:hAnsi="Times New Roman" w:cs="Times New Roman"/>
          <w:snapToGrid w:val="0"/>
          <w:color w:val="auto"/>
          <w:spacing w:val="0"/>
          <w:kern w:val="21"/>
          <w:szCs w:val="21"/>
        </w:rPr>
        <w:fldChar w:fldCharType="begin"/>
      </w:r>
      <w:r>
        <w:rPr>
          <w:rFonts w:hint="default" w:ascii="Times New Roman" w:hAnsi="Times New Roman" w:cs="Times New Roman"/>
          <w:snapToGrid w:val="0"/>
          <w:color w:val="auto"/>
          <w:spacing w:val="0"/>
          <w:kern w:val="21"/>
          <w:szCs w:val="21"/>
        </w:rPr>
        <w:instrText xml:space="preserve"> = 1 \* GB3 \* MERGEFORMAT </w:instrText>
      </w:r>
      <w:r>
        <w:rPr>
          <w:rFonts w:hint="default" w:ascii="Times New Roman" w:hAnsi="Times New Roman" w:cs="Times New Roman"/>
          <w:snapToGrid w:val="0"/>
          <w:color w:val="auto"/>
          <w:spacing w:val="0"/>
          <w:kern w:val="21"/>
          <w:szCs w:val="21"/>
        </w:rPr>
        <w:fldChar w:fldCharType="separate"/>
      </w:r>
      <w:r>
        <w:rPr>
          <w:rFonts w:hint="default" w:ascii="Times New Roman" w:hAnsi="Times New Roman" w:cs="Times New Roman"/>
          <w:color w:val="auto"/>
          <w:spacing w:val="0"/>
          <w:kern w:val="21"/>
          <w:szCs w:val="21"/>
        </w:rPr>
        <w:t>①</w:t>
      </w:r>
      <w:r>
        <w:rPr>
          <w:rFonts w:hint="default" w:ascii="Times New Roman" w:hAnsi="Times New Roman" w:cs="Times New Roman"/>
          <w:snapToGrid w:val="0"/>
          <w:color w:val="auto"/>
          <w:spacing w:val="0"/>
          <w:kern w:val="21"/>
          <w:szCs w:val="21"/>
        </w:rPr>
        <w:fldChar w:fldCharType="end"/>
      </w:r>
    </w:p>
    <w:sectPr>
      <w:footerReference r:id="rId8" w:type="default"/>
      <w:pgSz w:w="16838" w:h="11906" w:orient="landscape"/>
      <w:pgMar w:top="1531" w:right="1701" w:bottom="1531" w:left="1701" w:header="851" w:footer="1077"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18030">
    <w:altName w:val="宋体"/>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rFonts w:ascii="宋体" w:hAnsi="宋体"/>
        <w:sz w:val="26"/>
        <w:szCs w:val="26"/>
      </w:rPr>
      <w:fldChar w:fldCharType="begin"/>
    </w:r>
    <w:r>
      <w:rPr>
        <w:rStyle w:val="27"/>
        <w:rFonts w:ascii="宋体" w:hAnsi="宋体"/>
        <w:sz w:val="26"/>
        <w:szCs w:val="26"/>
      </w:rPr>
      <w:instrText xml:space="preserve">PAGE  </w:instrText>
    </w:r>
    <w:r>
      <w:rPr>
        <w:rFonts w:ascii="宋体" w:hAnsi="宋体"/>
        <w:sz w:val="26"/>
        <w:szCs w:val="26"/>
      </w:rPr>
      <w:fldChar w:fldCharType="separate"/>
    </w:r>
    <w:r>
      <w:rPr>
        <w:rStyle w:val="27"/>
        <w:rFonts w:ascii="宋体" w:hAnsi="宋体"/>
        <w:sz w:val="26"/>
        <w:szCs w:val="26"/>
      </w:rPr>
      <w:t>9</w:t>
    </w:r>
    <w:r>
      <w:rPr>
        <w:rFonts w:ascii="宋体" w:hAnsi="宋体"/>
        <w:sz w:val="26"/>
        <w:szCs w:val="26"/>
      </w:rPr>
      <w:fldChar w:fldCharType="end"/>
    </w:r>
    <w:r>
      <w:rPr>
        <w:rStyle w:val="27"/>
        <w:rFonts w:hint="eastAsia" w:ascii="宋体" w:hAnsi="宋体"/>
        <w:sz w:val="20"/>
      </w:rPr>
      <w:t xml:space="preserve">  </w:t>
    </w:r>
    <w:r>
      <w:rPr>
        <w:rStyle w:val="27"/>
        <w:rFonts w:hint="eastAsia" w:ascii="宋体" w:hAnsi="宋体"/>
        <w:sz w:val="28"/>
        <w:szCs w:val="28"/>
      </w:rPr>
      <w:t>—</w:t>
    </w:r>
  </w:p>
  <w:p>
    <w:pPr>
      <w:pStyle w:val="17"/>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NDWmtrOAQAAqQMAAA4AAAAAAAAAAQAgAAAAHgEAAGRycy9l&#10;Mm9Eb2MueG1sUEsFBgAAAAAGAAYAWQEAAF4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A0E3B1"/>
    <w:multiLevelType w:val="singleLevel"/>
    <w:tmpl w:val="22A0E3B1"/>
    <w:lvl w:ilvl="0" w:tentative="0">
      <w:start w:val="1"/>
      <w:numFmt w:val="bullet"/>
      <w:pStyle w:val="15"/>
      <w:lvlText w:val=""/>
      <w:lvlJc w:val="left"/>
      <w:pPr>
        <w:tabs>
          <w:tab w:val="left" w:pos="2040"/>
        </w:tabs>
        <w:ind w:left="2040" w:hanging="360"/>
      </w:pPr>
      <w:rPr>
        <w:rFonts w:hint="default" w:ascii="Wingdings" w:hAnsi="Wingdings"/>
      </w:rPr>
    </w:lvl>
  </w:abstractNum>
  <w:abstractNum w:abstractNumId="1">
    <w:nsid w:val="2EE8D88B"/>
    <w:multiLevelType w:val="multilevel"/>
    <w:tmpl w:val="2EE8D88B"/>
    <w:lvl w:ilvl="0" w:tentative="0">
      <w:start w:val="1"/>
      <w:numFmt w:val="decimal"/>
      <w:lvlText w:val="%1"/>
      <w:lvlJc w:val="left"/>
      <w:pPr>
        <w:tabs>
          <w:tab w:val="left" w:pos="0"/>
        </w:tabs>
        <w:ind w:left="420" w:firstLine="0"/>
      </w:pPr>
      <w:rPr>
        <w:rFonts w:hint="eastAsia"/>
      </w:rPr>
    </w:lvl>
    <w:lvl w:ilvl="1" w:tentative="0">
      <w:start w:val="1"/>
      <w:numFmt w:val="decimal"/>
      <w:lvlText w:val="%1.%2"/>
      <w:lvlJc w:val="left"/>
      <w:pPr>
        <w:tabs>
          <w:tab w:val="left" w:pos="0"/>
        </w:tabs>
        <w:ind w:left="576" w:hanging="576"/>
      </w:pPr>
      <w:rPr>
        <w:rFonts w:hint="default" w:ascii="Times New Roman" w:hAnsi="Times New Roman" w:cs="Times New Roman"/>
        <w:b w:val="0"/>
        <w:color w:val="auto"/>
        <w:sz w:val="24"/>
        <w:szCs w:val="24"/>
      </w:rPr>
    </w:lvl>
    <w:lvl w:ilvl="2" w:tentative="0">
      <w:start w:val="1"/>
      <w:numFmt w:val="decimal"/>
      <w:pStyle w:val="5"/>
      <w:lvlText w:val="%1.%2.%3"/>
      <w:lvlJc w:val="left"/>
      <w:pPr>
        <w:tabs>
          <w:tab w:val="left" w:pos="0"/>
        </w:tabs>
        <w:ind w:left="1133" w:firstLine="142"/>
      </w:pPr>
      <w:rPr>
        <w:rFonts w:hint="eastAsia"/>
      </w:rPr>
    </w:lvl>
    <w:lvl w:ilvl="3" w:tentative="0">
      <w:start w:val="1"/>
      <w:numFmt w:val="decimal"/>
      <w:lvlText w:val="%1.%2.%3.%4"/>
      <w:lvlJc w:val="left"/>
      <w:pPr>
        <w:tabs>
          <w:tab w:val="left" w:pos="0"/>
        </w:tabs>
        <w:ind w:left="1844" w:hanging="1844"/>
      </w:pPr>
      <w:rPr>
        <w:rFonts w:hint="eastAsia"/>
      </w:rPr>
    </w:lvl>
    <w:lvl w:ilvl="4" w:tentative="0">
      <w:start w:val="1"/>
      <w:numFmt w:val="decimal"/>
      <w:lvlText w:val="%1.%2.%3.%4.%5"/>
      <w:lvlJc w:val="left"/>
      <w:pPr>
        <w:tabs>
          <w:tab w:val="left" w:pos="0"/>
        </w:tabs>
        <w:ind w:left="1008" w:hanging="1008"/>
      </w:pPr>
      <w:rPr>
        <w:rFonts w:hint="eastAsia"/>
      </w:rPr>
    </w:lvl>
    <w:lvl w:ilvl="5" w:tentative="0">
      <w:start w:val="1"/>
      <w:numFmt w:val="decimal"/>
      <w:lvlText w:val="%1.%2.%3.%4.%5.%6"/>
      <w:lvlJc w:val="left"/>
      <w:pPr>
        <w:tabs>
          <w:tab w:val="left" w:pos="0"/>
        </w:tabs>
        <w:ind w:left="1152" w:hanging="1152"/>
      </w:pPr>
      <w:rPr>
        <w:rFonts w:hint="eastAsia"/>
      </w:rPr>
    </w:lvl>
    <w:lvl w:ilvl="6" w:tentative="0">
      <w:start w:val="1"/>
      <w:numFmt w:val="decimal"/>
      <w:lvlText w:val="%1.%2.%3.%4.%5.%6.%7"/>
      <w:lvlJc w:val="left"/>
      <w:pPr>
        <w:tabs>
          <w:tab w:val="left" w:pos="0"/>
        </w:tabs>
        <w:ind w:left="1296" w:hanging="1296"/>
      </w:pPr>
      <w:rPr>
        <w:rFonts w:hint="eastAsia"/>
      </w:rPr>
    </w:lvl>
    <w:lvl w:ilvl="7" w:tentative="0">
      <w:start w:val="1"/>
      <w:numFmt w:val="decimal"/>
      <w:lvlText w:val="%1.%2.%3.%4.%5.%6.%7.%8"/>
      <w:lvlJc w:val="left"/>
      <w:pPr>
        <w:tabs>
          <w:tab w:val="left" w:pos="0"/>
        </w:tabs>
        <w:ind w:left="1440" w:hanging="1440"/>
      </w:pPr>
      <w:rPr>
        <w:rFonts w:hint="eastAsia"/>
      </w:rPr>
    </w:lvl>
    <w:lvl w:ilvl="8" w:tentative="0">
      <w:start w:val="1"/>
      <w:numFmt w:val="decimal"/>
      <w:lvlText w:val="%1.%2.%3.%4.%5.%6.%7.%8.%9"/>
      <w:lvlJc w:val="left"/>
      <w:pPr>
        <w:tabs>
          <w:tab w:val="left" w:pos="0"/>
        </w:tabs>
        <w:ind w:left="1584" w:hanging="1584"/>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宝">
    <w15:presenceInfo w15:providerId="WPS Office" w15:userId="1906824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NTNhOWMzNThmMTgxMjhlYmYwYmRlODczZGZjNDkifQ=="/>
    <w:docVar w:name="KSO_WPS_MARK_KEY" w:val="453d4b6f-47d9-4463-a129-3d3aacb15ea2"/>
  </w:docVars>
  <w:rsids>
    <w:rsidRoot w:val="14775677"/>
    <w:rsid w:val="000769A3"/>
    <w:rsid w:val="00164C26"/>
    <w:rsid w:val="002410F1"/>
    <w:rsid w:val="00612345"/>
    <w:rsid w:val="0077254B"/>
    <w:rsid w:val="010056E2"/>
    <w:rsid w:val="012A2EEA"/>
    <w:rsid w:val="014D28C9"/>
    <w:rsid w:val="017A7A65"/>
    <w:rsid w:val="017B4D05"/>
    <w:rsid w:val="01914546"/>
    <w:rsid w:val="01A56261"/>
    <w:rsid w:val="027619AC"/>
    <w:rsid w:val="02A321E6"/>
    <w:rsid w:val="02DC477E"/>
    <w:rsid w:val="03525F75"/>
    <w:rsid w:val="03661A20"/>
    <w:rsid w:val="05945167"/>
    <w:rsid w:val="05B27508"/>
    <w:rsid w:val="05B437EC"/>
    <w:rsid w:val="0694015D"/>
    <w:rsid w:val="07095587"/>
    <w:rsid w:val="0722728A"/>
    <w:rsid w:val="0760177E"/>
    <w:rsid w:val="07FD5B26"/>
    <w:rsid w:val="08EB0634"/>
    <w:rsid w:val="0932487A"/>
    <w:rsid w:val="09480C39"/>
    <w:rsid w:val="0975345A"/>
    <w:rsid w:val="0B776EC0"/>
    <w:rsid w:val="0B7D7F5C"/>
    <w:rsid w:val="0BE24D0B"/>
    <w:rsid w:val="0C2E2DD2"/>
    <w:rsid w:val="0C4C72AE"/>
    <w:rsid w:val="0C5B5603"/>
    <w:rsid w:val="0CF501FE"/>
    <w:rsid w:val="0DC97A04"/>
    <w:rsid w:val="0DDD7AB1"/>
    <w:rsid w:val="0E3A6663"/>
    <w:rsid w:val="0EE5101F"/>
    <w:rsid w:val="109D18D7"/>
    <w:rsid w:val="10B926FA"/>
    <w:rsid w:val="11166833"/>
    <w:rsid w:val="11604472"/>
    <w:rsid w:val="11690A51"/>
    <w:rsid w:val="13143247"/>
    <w:rsid w:val="1330168A"/>
    <w:rsid w:val="139D47AE"/>
    <w:rsid w:val="13CB5FFB"/>
    <w:rsid w:val="13D878A3"/>
    <w:rsid w:val="13E913C8"/>
    <w:rsid w:val="14775677"/>
    <w:rsid w:val="14C35F86"/>
    <w:rsid w:val="14E564E9"/>
    <w:rsid w:val="15485AA9"/>
    <w:rsid w:val="15655286"/>
    <w:rsid w:val="15AD6AAB"/>
    <w:rsid w:val="15F50127"/>
    <w:rsid w:val="160E6911"/>
    <w:rsid w:val="165A7ECB"/>
    <w:rsid w:val="169F012E"/>
    <w:rsid w:val="16C54577"/>
    <w:rsid w:val="17BB5A5B"/>
    <w:rsid w:val="182019EC"/>
    <w:rsid w:val="191F2DDD"/>
    <w:rsid w:val="194D1554"/>
    <w:rsid w:val="1A6333FE"/>
    <w:rsid w:val="1AAF2B3B"/>
    <w:rsid w:val="1ACE63D1"/>
    <w:rsid w:val="1AFA71C6"/>
    <w:rsid w:val="1B117C98"/>
    <w:rsid w:val="1B804C3E"/>
    <w:rsid w:val="1C6012AB"/>
    <w:rsid w:val="1C852437"/>
    <w:rsid w:val="1D1A76AB"/>
    <w:rsid w:val="1D2E13A9"/>
    <w:rsid w:val="1D882867"/>
    <w:rsid w:val="1DF133DB"/>
    <w:rsid w:val="1E005353"/>
    <w:rsid w:val="1E2D30E8"/>
    <w:rsid w:val="1EF83260"/>
    <w:rsid w:val="1FF02946"/>
    <w:rsid w:val="20AC0F62"/>
    <w:rsid w:val="2202047F"/>
    <w:rsid w:val="22094CE0"/>
    <w:rsid w:val="228F6446"/>
    <w:rsid w:val="23930585"/>
    <w:rsid w:val="23C45E4B"/>
    <w:rsid w:val="24B959FC"/>
    <w:rsid w:val="25140E84"/>
    <w:rsid w:val="25376B4B"/>
    <w:rsid w:val="258C0D4F"/>
    <w:rsid w:val="25EB7E37"/>
    <w:rsid w:val="269775F4"/>
    <w:rsid w:val="26B22832"/>
    <w:rsid w:val="26F41F06"/>
    <w:rsid w:val="277D3949"/>
    <w:rsid w:val="27C52087"/>
    <w:rsid w:val="27C546B8"/>
    <w:rsid w:val="27EE2A4C"/>
    <w:rsid w:val="28614B2A"/>
    <w:rsid w:val="28E23126"/>
    <w:rsid w:val="296C128F"/>
    <w:rsid w:val="29A25B69"/>
    <w:rsid w:val="29B90F4F"/>
    <w:rsid w:val="2A0B6CFA"/>
    <w:rsid w:val="2A3A313B"/>
    <w:rsid w:val="2A3D0548"/>
    <w:rsid w:val="2A4B5348"/>
    <w:rsid w:val="2AF7276F"/>
    <w:rsid w:val="2BB12B3E"/>
    <w:rsid w:val="2BC05C72"/>
    <w:rsid w:val="2BEE6730"/>
    <w:rsid w:val="2C0C4B80"/>
    <w:rsid w:val="2C723C9E"/>
    <w:rsid w:val="2C8D1781"/>
    <w:rsid w:val="2D015A64"/>
    <w:rsid w:val="2D7A0BD5"/>
    <w:rsid w:val="2E193B34"/>
    <w:rsid w:val="2E47198D"/>
    <w:rsid w:val="2EF8259B"/>
    <w:rsid w:val="2F012479"/>
    <w:rsid w:val="2F8512FC"/>
    <w:rsid w:val="2FB43990"/>
    <w:rsid w:val="2FB53DC4"/>
    <w:rsid w:val="2FDC6030"/>
    <w:rsid w:val="30171EFF"/>
    <w:rsid w:val="308D4D95"/>
    <w:rsid w:val="30FF658D"/>
    <w:rsid w:val="312B1A2F"/>
    <w:rsid w:val="31860E81"/>
    <w:rsid w:val="31BF3CA6"/>
    <w:rsid w:val="32172406"/>
    <w:rsid w:val="326C38C4"/>
    <w:rsid w:val="33087194"/>
    <w:rsid w:val="332E3A59"/>
    <w:rsid w:val="33395986"/>
    <w:rsid w:val="33506F98"/>
    <w:rsid w:val="34C401D1"/>
    <w:rsid w:val="34E46AC5"/>
    <w:rsid w:val="355157DD"/>
    <w:rsid w:val="366611A6"/>
    <w:rsid w:val="36987B67"/>
    <w:rsid w:val="369D5BED"/>
    <w:rsid w:val="36B14785"/>
    <w:rsid w:val="36B2763C"/>
    <w:rsid w:val="36E36908"/>
    <w:rsid w:val="370C691F"/>
    <w:rsid w:val="379C18A1"/>
    <w:rsid w:val="37A55979"/>
    <w:rsid w:val="383C3F23"/>
    <w:rsid w:val="385F708A"/>
    <w:rsid w:val="386A108F"/>
    <w:rsid w:val="39062BB4"/>
    <w:rsid w:val="39795133"/>
    <w:rsid w:val="397D4DF2"/>
    <w:rsid w:val="3996541A"/>
    <w:rsid w:val="39FD6A27"/>
    <w:rsid w:val="3A020D20"/>
    <w:rsid w:val="3A2A1115"/>
    <w:rsid w:val="3A30689E"/>
    <w:rsid w:val="3A457620"/>
    <w:rsid w:val="3ABB2076"/>
    <w:rsid w:val="3ABD5DEE"/>
    <w:rsid w:val="3AF13B40"/>
    <w:rsid w:val="3B133887"/>
    <w:rsid w:val="3B1C0DFF"/>
    <w:rsid w:val="3BF75330"/>
    <w:rsid w:val="3C22616D"/>
    <w:rsid w:val="3C9A66A7"/>
    <w:rsid w:val="3CD528E0"/>
    <w:rsid w:val="3D5C5410"/>
    <w:rsid w:val="3D672041"/>
    <w:rsid w:val="3D793B23"/>
    <w:rsid w:val="3DCA0E1A"/>
    <w:rsid w:val="3E9C21E4"/>
    <w:rsid w:val="3EC26AB9"/>
    <w:rsid w:val="3EEA478E"/>
    <w:rsid w:val="3F4B1AF3"/>
    <w:rsid w:val="3F8D323B"/>
    <w:rsid w:val="3FAE124F"/>
    <w:rsid w:val="3FDB05A3"/>
    <w:rsid w:val="403647A3"/>
    <w:rsid w:val="4051396B"/>
    <w:rsid w:val="40552860"/>
    <w:rsid w:val="40630396"/>
    <w:rsid w:val="416C4764"/>
    <w:rsid w:val="41B904F9"/>
    <w:rsid w:val="41F74BA8"/>
    <w:rsid w:val="423141CE"/>
    <w:rsid w:val="42624267"/>
    <w:rsid w:val="430E53A3"/>
    <w:rsid w:val="43180CD3"/>
    <w:rsid w:val="43234C09"/>
    <w:rsid w:val="43316E89"/>
    <w:rsid w:val="434C6449"/>
    <w:rsid w:val="43622373"/>
    <w:rsid w:val="43797CB3"/>
    <w:rsid w:val="446A2417"/>
    <w:rsid w:val="447E6A40"/>
    <w:rsid w:val="44912757"/>
    <w:rsid w:val="44A07899"/>
    <w:rsid w:val="44EE4DF6"/>
    <w:rsid w:val="453E3046"/>
    <w:rsid w:val="45B105F0"/>
    <w:rsid w:val="45D1179F"/>
    <w:rsid w:val="46114A74"/>
    <w:rsid w:val="464473C4"/>
    <w:rsid w:val="466E2692"/>
    <w:rsid w:val="46FE7ADB"/>
    <w:rsid w:val="470E1780"/>
    <w:rsid w:val="47367C40"/>
    <w:rsid w:val="47E26E94"/>
    <w:rsid w:val="482E6328"/>
    <w:rsid w:val="483F5821"/>
    <w:rsid w:val="48D4376B"/>
    <w:rsid w:val="48DD223C"/>
    <w:rsid w:val="49183B25"/>
    <w:rsid w:val="498D6747"/>
    <w:rsid w:val="499142F4"/>
    <w:rsid w:val="49BA799D"/>
    <w:rsid w:val="49C11F1D"/>
    <w:rsid w:val="4B4C79F0"/>
    <w:rsid w:val="4BD81BA7"/>
    <w:rsid w:val="4C680587"/>
    <w:rsid w:val="4C7F6D10"/>
    <w:rsid w:val="4E631CAF"/>
    <w:rsid w:val="4EE2729B"/>
    <w:rsid w:val="4EE80403"/>
    <w:rsid w:val="4F4658F5"/>
    <w:rsid w:val="4F8B2A5A"/>
    <w:rsid w:val="501E2375"/>
    <w:rsid w:val="515B39F7"/>
    <w:rsid w:val="51605F2A"/>
    <w:rsid w:val="51AC7E11"/>
    <w:rsid w:val="51E213B7"/>
    <w:rsid w:val="522400A9"/>
    <w:rsid w:val="52E13C58"/>
    <w:rsid w:val="52E33AC0"/>
    <w:rsid w:val="53760DD8"/>
    <w:rsid w:val="53D17DBD"/>
    <w:rsid w:val="53E006E2"/>
    <w:rsid w:val="541F6D7A"/>
    <w:rsid w:val="54370568"/>
    <w:rsid w:val="548152D9"/>
    <w:rsid w:val="54AC7A8D"/>
    <w:rsid w:val="54F41D06"/>
    <w:rsid w:val="550170AB"/>
    <w:rsid w:val="551B14A0"/>
    <w:rsid w:val="55925BA5"/>
    <w:rsid w:val="559D029A"/>
    <w:rsid w:val="55CE2806"/>
    <w:rsid w:val="55F45FE4"/>
    <w:rsid w:val="560050EF"/>
    <w:rsid w:val="56D4123E"/>
    <w:rsid w:val="57443BDD"/>
    <w:rsid w:val="588B0E82"/>
    <w:rsid w:val="589233DD"/>
    <w:rsid w:val="59561490"/>
    <w:rsid w:val="59692515"/>
    <w:rsid w:val="596F60AE"/>
    <w:rsid w:val="599F6ED0"/>
    <w:rsid w:val="59F74190"/>
    <w:rsid w:val="5A233EDB"/>
    <w:rsid w:val="5AB5136D"/>
    <w:rsid w:val="5C1401FC"/>
    <w:rsid w:val="5C507600"/>
    <w:rsid w:val="5CEC4A8B"/>
    <w:rsid w:val="5DAB430F"/>
    <w:rsid w:val="5DAE4E1A"/>
    <w:rsid w:val="5DD40BD5"/>
    <w:rsid w:val="5DDD5CF9"/>
    <w:rsid w:val="5E4D0988"/>
    <w:rsid w:val="5EA47E55"/>
    <w:rsid w:val="5F17052D"/>
    <w:rsid w:val="5F355874"/>
    <w:rsid w:val="5FBF7663"/>
    <w:rsid w:val="60E02CB4"/>
    <w:rsid w:val="60F4333C"/>
    <w:rsid w:val="614D768D"/>
    <w:rsid w:val="61B82C45"/>
    <w:rsid w:val="61C3343B"/>
    <w:rsid w:val="62A96A18"/>
    <w:rsid w:val="62BF7CA3"/>
    <w:rsid w:val="62FA10DE"/>
    <w:rsid w:val="630E6937"/>
    <w:rsid w:val="631C1E7E"/>
    <w:rsid w:val="643C5C9E"/>
    <w:rsid w:val="644E0F9F"/>
    <w:rsid w:val="645D16A1"/>
    <w:rsid w:val="648051D9"/>
    <w:rsid w:val="648E40A6"/>
    <w:rsid w:val="6516536E"/>
    <w:rsid w:val="656B3307"/>
    <w:rsid w:val="6624604C"/>
    <w:rsid w:val="662D4CC4"/>
    <w:rsid w:val="6681369D"/>
    <w:rsid w:val="66D165FA"/>
    <w:rsid w:val="674C4428"/>
    <w:rsid w:val="67696832"/>
    <w:rsid w:val="67DB7004"/>
    <w:rsid w:val="688B5F0F"/>
    <w:rsid w:val="68AB6ACE"/>
    <w:rsid w:val="68F50CCF"/>
    <w:rsid w:val="69B340B9"/>
    <w:rsid w:val="69CE7C9A"/>
    <w:rsid w:val="69DC2556"/>
    <w:rsid w:val="69EA28FF"/>
    <w:rsid w:val="69FF1AAB"/>
    <w:rsid w:val="6A3053E5"/>
    <w:rsid w:val="6A63339C"/>
    <w:rsid w:val="6ABE153E"/>
    <w:rsid w:val="6AD26685"/>
    <w:rsid w:val="6AFE6EAC"/>
    <w:rsid w:val="6B503958"/>
    <w:rsid w:val="6B631DFB"/>
    <w:rsid w:val="6B7C1539"/>
    <w:rsid w:val="6BA46B11"/>
    <w:rsid w:val="6BD265B4"/>
    <w:rsid w:val="6BFE0A00"/>
    <w:rsid w:val="6C7868AF"/>
    <w:rsid w:val="6CAA58BF"/>
    <w:rsid w:val="6CC938CF"/>
    <w:rsid w:val="6D384DA9"/>
    <w:rsid w:val="6D4D62AE"/>
    <w:rsid w:val="6D7D5C34"/>
    <w:rsid w:val="6D9D2D19"/>
    <w:rsid w:val="6D9E6B0A"/>
    <w:rsid w:val="6DC76061"/>
    <w:rsid w:val="6E8C2E06"/>
    <w:rsid w:val="6E9879FD"/>
    <w:rsid w:val="6EA6036C"/>
    <w:rsid w:val="6F603D18"/>
    <w:rsid w:val="7006470B"/>
    <w:rsid w:val="70110A47"/>
    <w:rsid w:val="704020A4"/>
    <w:rsid w:val="70765B1C"/>
    <w:rsid w:val="709B5583"/>
    <w:rsid w:val="70C35E4E"/>
    <w:rsid w:val="71332FB2"/>
    <w:rsid w:val="71E33685"/>
    <w:rsid w:val="71FA1572"/>
    <w:rsid w:val="72066489"/>
    <w:rsid w:val="72174CDD"/>
    <w:rsid w:val="728B33FE"/>
    <w:rsid w:val="72D806D3"/>
    <w:rsid w:val="72FB4C14"/>
    <w:rsid w:val="734742AE"/>
    <w:rsid w:val="73922C6D"/>
    <w:rsid w:val="74404E26"/>
    <w:rsid w:val="744402BD"/>
    <w:rsid w:val="747C26C7"/>
    <w:rsid w:val="74F31E31"/>
    <w:rsid w:val="75714AE3"/>
    <w:rsid w:val="759F2CEB"/>
    <w:rsid w:val="76D47AEB"/>
    <w:rsid w:val="774179E2"/>
    <w:rsid w:val="774E334F"/>
    <w:rsid w:val="77587FA9"/>
    <w:rsid w:val="77B462A8"/>
    <w:rsid w:val="77D630EC"/>
    <w:rsid w:val="78520C1D"/>
    <w:rsid w:val="78554E29"/>
    <w:rsid w:val="78587CE2"/>
    <w:rsid w:val="78CA747B"/>
    <w:rsid w:val="78CF7DAD"/>
    <w:rsid w:val="79432467"/>
    <w:rsid w:val="79D9703B"/>
    <w:rsid w:val="7A19518C"/>
    <w:rsid w:val="7A584A79"/>
    <w:rsid w:val="7AD307DF"/>
    <w:rsid w:val="7B116B6D"/>
    <w:rsid w:val="7B995A3D"/>
    <w:rsid w:val="7D6C452F"/>
    <w:rsid w:val="7E383230"/>
    <w:rsid w:val="7E771DD9"/>
    <w:rsid w:val="7E8574D9"/>
    <w:rsid w:val="7E9C4409"/>
    <w:rsid w:val="7ED7691D"/>
    <w:rsid w:val="7EF50D3F"/>
    <w:rsid w:val="7F2A7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Arial" w:hAnsi="Arial" w:eastAsia="宋体" w:cs="Arial"/>
      <w:b/>
      <w:snapToGrid w:val="0"/>
      <w:color w:val="000000"/>
      <w:kern w:val="44"/>
      <w:sz w:val="32"/>
      <w:szCs w:val="21"/>
      <w:lang w:eastAsia="en-US"/>
    </w:rPr>
  </w:style>
  <w:style w:type="paragraph" w:styleId="4">
    <w:name w:val="heading 2"/>
    <w:basedOn w:val="1"/>
    <w:next w:val="1"/>
    <w:qFormat/>
    <w:uiPriority w:val="0"/>
    <w:pPr>
      <w:keepNext/>
      <w:keepLines/>
      <w:spacing w:beforeLines="0" w:beforeAutospacing="0" w:afterLines="0" w:afterAutospacing="0" w:line="360" w:lineRule="auto"/>
      <w:ind w:firstLine="0" w:firstLineChars="0"/>
      <w:jc w:val="left"/>
      <w:outlineLvl w:val="1"/>
    </w:pPr>
    <w:rPr>
      <w:rFonts w:ascii="Arial" w:hAnsi="Arial" w:eastAsia="宋体"/>
      <w:b/>
      <w:sz w:val="24"/>
    </w:rPr>
  </w:style>
  <w:style w:type="paragraph" w:styleId="5">
    <w:name w:val="heading 3"/>
    <w:basedOn w:val="1"/>
    <w:next w:val="1"/>
    <w:qFormat/>
    <w:uiPriority w:val="0"/>
    <w:pPr>
      <w:keepNext/>
      <w:keepLines/>
      <w:numPr>
        <w:ilvl w:val="2"/>
        <w:numId w:val="1"/>
      </w:numPr>
      <w:spacing w:before="260" w:after="260" w:line="360" w:lineRule="auto"/>
      <w:outlineLvl w:val="2"/>
    </w:pPr>
    <w:rPr>
      <w:rFonts w:ascii="方正美黑简体" w:eastAsia="方正美黑简体"/>
      <w:bCs/>
      <w:sz w:val="28"/>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List 2"/>
    <w:basedOn w:val="1"/>
    <w:unhideWhenUsed/>
    <w:qFormat/>
    <w:uiPriority w:val="0"/>
    <w:pPr>
      <w:widowControl w:val="0"/>
      <w:adjustRightInd/>
      <w:snapToGrid/>
      <w:ind w:left="100" w:leftChars="200" w:hanging="200" w:hangingChars="200"/>
      <w:contextualSpacing/>
    </w:pPr>
    <w:rPr>
      <w:szCs w:val="22"/>
      <w:lang w:bidi="ar-SA"/>
    </w:rPr>
  </w:style>
  <w:style w:type="paragraph" w:styleId="8">
    <w:name w:val="Normal Indent"/>
    <w:basedOn w:val="1"/>
    <w:next w:val="9"/>
    <w:qFormat/>
    <w:uiPriority w:val="0"/>
    <w:pPr>
      <w:ind w:firstLine="420" w:firstLineChars="200"/>
    </w:pPr>
    <w:rPr>
      <w:rFonts w:eastAsia="仿宋_GB2312"/>
      <w:bCs/>
      <w:sz w:val="32"/>
      <w:szCs w:val="20"/>
    </w:rPr>
  </w:style>
  <w:style w:type="paragraph" w:customStyle="1" w:styleId="9">
    <w:name w:val="Char Char Char Char Char Char Char Char Char1 Char"/>
    <w:basedOn w:val="1"/>
    <w:next w:val="10"/>
    <w:qFormat/>
    <w:uiPriority w:val="0"/>
    <w:pPr>
      <w:spacing w:line="360" w:lineRule="auto"/>
      <w:ind w:firstLine="200" w:firstLineChars="200"/>
    </w:pPr>
    <w:rPr>
      <w:rFonts w:hAnsi="宋体" w:cs="宋体"/>
      <w:spacing w:val="5"/>
      <w:sz w:val="24"/>
    </w:rPr>
  </w:style>
  <w:style w:type="paragraph" w:customStyle="1" w:styleId="10">
    <w:name w:val="Body Text First Indent1"/>
    <w:next w:val="1"/>
    <w:qFormat/>
    <w:uiPriority w:val="0"/>
    <w:pPr>
      <w:widowControl w:val="0"/>
      <w:spacing w:after="120"/>
      <w:ind w:firstLine="420"/>
      <w:jc w:val="both"/>
    </w:pPr>
    <w:rPr>
      <w:rFonts w:ascii="Times New Roman" w:hAnsi="Times New Roman" w:eastAsia="宋体" w:cs="Times New Roman"/>
      <w:sz w:val="21"/>
      <w:szCs w:val="22"/>
      <w:lang w:val="en-US" w:eastAsia="zh-CN" w:bidi="ar-SA"/>
    </w:rPr>
  </w:style>
  <w:style w:type="paragraph" w:styleId="11">
    <w:name w:val="annotation text"/>
    <w:basedOn w:val="1"/>
    <w:qFormat/>
    <w:uiPriority w:val="0"/>
    <w:pPr>
      <w:jc w:val="left"/>
    </w:pPr>
  </w:style>
  <w:style w:type="paragraph" w:styleId="12">
    <w:name w:val="Body Text"/>
    <w:basedOn w:val="1"/>
    <w:next w:val="1"/>
    <w:qFormat/>
    <w:uiPriority w:val="0"/>
    <w:pPr>
      <w:widowControl/>
      <w:snapToGrid w:val="0"/>
      <w:spacing w:before="60" w:after="160" w:line="259" w:lineRule="auto"/>
      <w:ind w:right="113"/>
    </w:pPr>
    <w:rPr>
      <w:kern w:val="0"/>
      <w:sz w:val="18"/>
      <w:szCs w:val="20"/>
    </w:rPr>
  </w:style>
  <w:style w:type="paragraph" w:styleId="13">
    <w:name w:val="Body Text Indent"/>
    <w:basedOn w:val="1"/>
    <w:next w:val="6"/>
    <w:qFormat/>
    <w:uiPriority w:val="0"/>
    <w:pPr>
      <w:spacing w:after="120"/>
      <w:ind w:left="420" w:leftChars="200"/>
    </w:pPr>
    <w:rPr>
      <w:kern w:val="0"/>
      <w:sz w:val="24"/>
      <w:szCs w:val="20"/>
    </w:rPr>
  </w:style>
  <w:style w:type="paragraph" w:styleId="14">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15">
    <w:name w:val="List Bullet 5"/>
    <w:basedOn w:val="1"/>
    <w:qFormat/>
    <w:uiPriority w:val="0"/>
    <w:pPr>
      <w:numPr>
        <w:ilvl w:val="0"/>
        <w:numId w:val="2"/>
      </w:numPr>
    </w:pPr>
  </w:style>
  <w:style w:type="paragraph" w:styleId="16">
    <w:name w:val="Body Text Indent 2"/>
    <w:basedOn w:val="1"/>
    <w:qFormat/>
    <w:uiPriority w:val="0"/>
    <w:pPr>
      <w:spacing w:after="120" w:afterLines="0" w:line="480" w:lineRule="auto"/>
      <w:ind w:left="420" w:leftChars="200"/>
    </w:pPr>
    <w:rPr>
      <w:szCs w:val="24"/>
    </w:rPr>
  </w:style>
  <w:style w:type="paragraph" w:styleId="17">
    <w:name w:val="footer"/>
    <w:basedOn w:val="1"/>
    <w:qFormat/>
    <w:uiPriority w:val="99"/>
    <w:pPr>
      <w:tabs>
        <w:tab w:val="center" w:pos="4153"/>
        <w:tab w:val="right" w:pos="8306"/>
      </w:tabs>
      <w:snapToGrid w:val="0"/>
      <w:jc w:val="left"/>
    </w:pPr>
    <w:rPr>
      <w:kern w:val="0"/>
      <w:sz w:val="18"/>
      <w:szCs w:val="20"/>
    </w:rPr>
  </w:style>
  <w:style w:type="paragraph" w:styleId="1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List"/>
    <w:basedOn w:val="1"/>
    <w:next w:val="1"/>
    <w:qFormat/>
    <w:uiPriority w:val="0"/>
    <w:pPr>
      <w:ind w:left="200" w:hanging="200" w:hangingChars="200"/>
    </w:pPr>
    <w:rPr>
      <w:rFonts w:ascii="Times New Roman" w:hAnsi="Times New Roman" w:eastAsia="宋体" w:cs="Times New Roman"/>
      <w:szCs w:val="24"/>
    </w:rPr>
  </w:style>
  <w:style w:type="paragraph" w:styleId="20">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1">
    <w:name w:val="Body Text First Indent"/>
    <w:basedOn w:val="12"/>
    <w:next w:val="1"/>
    <w:qFormat/>
    <w:uiPriority w:val="0"/>
    <w:pPr>
      <w:adjustRightInd w:val="0"/>
      <w:spacing w:before="50" w:beforeLines="50" w:after="0" w:line="360" w:lineRule="auto"/>
      <w:ind w:firstLine="200" w:firstLineChars="200"/>
    </w:pPr>
    <w:rPr>
      <w:sz w:val="24"/>
    </w:rPr>
  </w:style>
  <w:style w:type="paragraph" w:styleId="22">
    <w:name w:val="Body Text First Indent 2"/>
    <w:basedOn w:val="13"/>
    <w:next w:val="1"/>
    <w:qFormat/>
    <w:uiPriority w:val="0"/>
    <w:pPr>
      <w:ind w:firstLine="420"/>
    </w:pPr>
    <w:rPr>
      <w:szCs w:val="24"/>
    </w:rPr>
  </w:style>
  <w:style w:type="table" w:styleId="24">
    <w:name w:val="Table Grid"/>
    <w:basedOn w:val="23"/>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basedOn w:val="25"/>
    <w:qFormat/>
    <w:uiPriority w:val="0"/>
    <w:rPr>
      <w:color w:val="0000FF"/>
      <w:u w:val="single"/>
    </w:rPr>
  </w:style>
  <w:style w:type="character" w:styleId="29">
    <w:name w:val="annotation reference"/>
    <w:basedOn w:val="25"/>
    <w:semiHidden/>
    <w:qFormat/>
    <w:uiPriority w:val="0"/>
    <w:rPr>
      <w:sz w:val="21"/>
    </w:rPr>
  </w:style>
  <w:style w:type="paragraph" w:customStyle="1" w:styleId="30">
    <w:name w:val="表格"/>
    <w:basedOn w:val="1"/>
    <w:next w:val="1"/>
    <w:link w:val="78"/>
    <w:qFormat/>
    <w:uiPriority w:val="0"/>
    <w:pPr>
      <w:adjustRightInd w:val="0"/>
      <w:snapToGrid w:val="0"/>
      <w:spacing w:beforeLines="10" w:afterLines="10" w:line="259" w:lineRule="auto"/>
      <w:jc w:val="center"/>
    </w:pPr>
    <w:rPr>
      <w:rFonts w:ascii="宋体"/>
      <w:kern w:val="0"/>
      <w:szCs w:val="20"/>
    </w:rPr>
  </w:style>
  <w:style w:type="paragraph" w:customStyle="1" w:styleId="31">
    <w:name w:val="Default"/>
    <w:basedOn w:val="32"/>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1 表头"/>
    <w:basedOn w:val="1"/>
    <w:qFormat/>
    <w:uiPriority w:val="0"/>
    <w:pPr>
      <w:adjustRightInd w:val="0"/>
      <w:snapToGrid w:val="0"/>
      <w:jc w:val="center"/>
    </w:pPr>
    <w:rPr>
      <w:b/>
      <w:color w:val="000000"/>
      <w:szCs w:val="21"/>
    </w:rPr>
  </w:style>
  <w:style w:type="paragraph" w:customStyle="1" w:styleId="33">
    <w:name w:val="表格内"/>
    <w:basedOn w:val="1"/>
    <w:qFormat/>
    <w:uiPriority w:val="0"/>
    <w:pPr>
      <w:widowControl/>
      <w:adjustRightInd w:val="0"/>
      <w:snapToGrid w:val="0"/>
      <w:spacing w:after="200" w:line="360" w:lineRule="exact"/>
      <w:jc w:val="center"/>
    </w:pPr>
    <w:rPr>
      <w:rFonts w:eastAsia="微软雅黑"/>
      <w:snapToGrid w:val="0"/>
      <w:kern w:val="0"/>
      <w:sz w:val="22"/>
      <w:szCs w:val="21"/>
    </w:rPr>
  </w:style>
  <w:style w:type="paragraph" w:customStyle="1" w:styleId="34">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eastAsia="新宋体-18030" w:cs="新宋体-18030"/>
      <w:kern w:val="0"/>
    </w:rPr>
  </w:style>
  <w:style w:type="paragraph" w:customStyle="1" w:styleId="35">
    <w:name w:val="纯文本1"/>
    <w:basedOn w:val="1"/>
    <w:qFormat/>
    <w:uiPriority w:val="0"/>
    <w:pPr>
      <w:adjustRightInd w:val="0"/>
      <w:textAlignment w:val="baseline"/>
    </w:pPr>
    <w:rPr>
      <w:rFonts w:ascii="宋体" w:hAnsi="Courier New"/>
      <w:szCs w:val="20"/>
    </w:rPr>
  </w:style>
  <w:style w:type="paragraph" w:customStyle="1" w:styleId="36">
    <w:name w:val="表格1"/>
    <w:basedOn w:val="1"/>
    <w:qFormat/>
    <w:uiPriority w:val="0"/>
    <w:pPr>
      <w:adjustRightInd w:val="0"/>
      <w:snapToGrid w:val="0"/>
      <w:jc w:val="center"/>
    </w:pPr>
    <w:rPr>
      <w:rFonts w:eastAsia="方正仿宋_GBK"/>
      <w:color w:val="000000"/>
      <w:kern w:val="0"/>
      <w:szCs w:val="21"/>
    </w:rPr>
  </w:style>
  <w:style w:type="paragraph" w:customStyle="1" w:styleId="37">
    <w:name w:val="列出段落1"/>
    <w:basedOn w:val="1"/>
    <w:qFormat/>
    <w:uiPriority w:val="0"/>
    <w:pPr>
      <w:ind w:firstLine="420" w:firstLineChars="200"/>
    </w:pPr>
    <w:rPr>
      <w:szCs w:val="21"/>
    </w:rPr>
  </w:style>
  <w:style w:type="character" w:customStyle="1" w:styleId="38">
    <w:name w:val="fontstyle01"/>
    <w:qFormat/>
    <w:uiPriority w:val="0"/>
    <w:rPr>
      <w:rFonts w:hint="eastAsia" w:ascii="宋体" w:hAnsi="宋体" w:eastAsia="宋体"/>
      <w:color w:val="000000"/>
      <w:sz w:val="24"/>
      <w:szCs w:val="24"/>
    </w:rPr>
  </w:style>
  <w:style w:type="paragraph" w:customStyle="1" w:styleId="39">
    <w:name w:val="标1"/>
    <w:basedOn w:val="1"/>
    <w:qFormat/>
    <w:uiPriority w:val="0"/>
    <w:pPr>
      <w:spacing w:before="60" w:beforeLines="0" w:beforeAutospacing="0" w:line="460" w:lineRule="exact"/>
      <w:outlineLvl w:val="0"/>
    </w:pPr>
    <w:rPr>
      <w:rFonts w:ascii="Times New Roman" w:hAnsi="Times New Roman" w:eastAsia="宋体" w:cs="Times New Roman"/>
      <w:b/>
      <w:kern w:val="2"/>
      <w:sz w:val="32"/>
      <w:lang w:val="en-US" w:eastAsia="zh-CN"/>
    </w:rPr>
  </w:style>
  <w:style w:type="paragraph" w:customStyle="1" w:styleId="40">
    <w:name w:val="Table Paragraph"/>
    <w:basedOn w:val="1"/>
    <w:qFormat/>
    <w:uiPriority w:val="1"/>
    <w:pPr>
      <w:spacing w:before="168"/>
      <w:jc w:val="center"/>
    </w:pPr>
  </w:style>
  <w:style w:type="character" w:customStyle="1" w:styleId="41">
    <w:name w:val="书籍标题1"/>
    <w:basedOn w:val="25"/>
    <w:qFormat/>
    <w:uiPriority w:val="0"/>
    <w:rPr>
      <w:b/>
      <w:smallCaps/>
      <w:spacing w:val="5"/>
    </w:rPr>
  </w:style>
  <w:style w:type="paragraph" w:styleId="42">
    <w:name w:val="No Spacing"/>
    <w:basedOn w:val="19"/>
    <w:next w:val="1"/>
    <w:qFormat/>
    <w:uiPriority w:val="1"/>
    <w:pPr>
      <w:spacing w:line="240" w:lineRule="auto"/>
      <w:ind w:left="0" w:firstLine="0" w:firstLineChars="0"/>
      <w:jc w:val="center"/>
    </w:pPr>
    <w:rPr>
      <w:sz w:val="21"/>
    </w:rPr>
  </w:style>
  <w:style w:type="paragraph" w:customStyle="1" w:styleId="43">
    <w:name w:val="表头"/>
    <w:basedOn w:val="1"/>
    <w:qFormat/>
    <w:uiPriority w:val="0"/>
    <w:pPr>
      <w:widowControl/>
      <w:autoSpaceDE w:val="0"/>
      <w:autoSpaceDN w:val="0"/>
      <w:snapToGrid w:val="0"/>
      <w:spacing w:line="240" w:lineRule="auto"/>
      <w:ind w:firstLine="0" w:firstLineChars="0"/>
      <w:jc w:val="center"/>
    </w:pPr>
    <w:rPr>
      <w:rFonts w:hint="eastAsia" w:ascii="Times New Roman" w:hAnsi="Times New Roman" w:eastAsia="宋体"/>
      <w:b/>
      <w:kern w:val="0"/>
      <w:szCs w:val="21"/>
    </w:rPr>
  </w:style>
  <w:style w:type="paragraph" w:styleId="44">
    <w:name w:val="List Paragraph"/>
    <w:basedOn w:val="1"/>
    <w:qFormat/>
    <w:uiPriority w:val="1"/>
    <w:pPr>
      <w:ind w:left="1639" w:hanging="524"/>
    </w:pPr>
  </w:style>
  <w:style w:type="character" w:customStyle="1" w:styleId="45">
    <w:name w:val="font41"/>
    <w:basedOn w:val="25"/>
    <w:qFormat/>
    <w:uiPriority w:val="0"/>
    <w:rPr>
      <w:rFonts w:hint="eastAsia" w:ascii="宋体" w:hAnsi="宋体" w:eastAsia="宋体" w:cs="宋体"/>
      <w:color w:val="000000"/>
      <w:sz w:val="18"/>
      <w:szCs w:val="18"/>
      <w:u w:val="none"/>
    </w:rPr>
  </w:style>
  <w:style w:type="paragraph" w:customStyle="1" w:styleId="46">
    <w:name w:val="二级标题"/>
    <w:basedOn w:val="1"/>
    <w:qFormat/>
    <w:uiPriority w:val="0"/>
    <w:pPr>
      <w:adjustRightInd w:val="0"/>
      <w:spacing w:before="120" w:after="120" w:line="400" w:lineRule="atLeast"/>
      <w:textAlignment w:val="baseline"/>
    </w:pPr>
    <w:rPr>
      <w:rFonts w:eastAsia="黑体"/>
      <w:kern w:val="0"/>
      <w:sz w:val="28"/>
    </w:rPr>
  </w:style>
  <w:style w:type="paragraph" w:customStyle="1" w:styleId="47">
    <w:name w:val="表题"/>
    <w:basedOn w:val="1"/>
    <w:next w:val="1"/>
    <w:qFormat/>
    <w:uiPriority w:val="0"/>
    <w:pPr>
      <w:spacing w:before="50" w:beforeLines="50" w:line="240" w:lineRule="auto"/>
      <w:ind w:firstLine="0" w:firstLineChars="0"/>
      <w:jc w:val="center"/>
    </w:pPr>
    <w:rPr>
      <w:b/>
      <w:sz w:val="21"/>
    </w:rPr>
  </w:style>
  <w:style w:type="character" w:customStyle="1" w:styleId="48">
    <w:name w:val="正文文本缩进 2 Char"/>
    <w:basedOn w:val="25"/>
    <w:qFormat/>
    <w:uiPriority w:val="0"/>
    <w:rPr>
      <w:rFonts w:eastAsia="宋体"/>
      <w:kern w:val="2"/>
      <w:sz w:val="28"/>
      <w:szCs w:val="24"/>
      <w:lang w:val="en-US" w:eastAsia="zh-CN" w:bidi="ar-SA"/>
    </w:rPr>
  </w:style>
  <w:style w:type="paragraph" w:customStyle="1" w:styleId="49">
    <w:name w:val="正文啊啊"/>
    <w:basedOn w:val="1"/>
    <w:qFormat/>
    <w:uiPriority w:val="0"/>
    <w:pPr>
      <w:spacing w:line="520" w:lineRule="exact"/>
      <w:ind w:firstLine="720" w:firstLineChars="200"/>
    </w:pPr>
    <w:rPr>
      <w:rFonts w:ascii="Times New Roman" w:hAnsi="Times New Roman" w:eastAsia="宋体" w:cs="宋体"/>
      <w:sz w:val="24"/>
      <w:szCs w:val="24"/>
    </w:rPr>
  </w:style>
  <w:style w:type="character" w:customStyle="1" w:styleId="50">
    <w:name w:val="书籍标题"/>
    <w:basedOn w:val="25"/>
    <w:qFormat/>
    <w:uiPriority w:val="0"/>
    <w:rPr>
      <w:b/>
      <w:smallCaps/>
      <w:spacing w:val="5"/>
    </w:rPr>
  </w:style>
  <w:style w:type="paragraph" w:customStyle="1" w:styleId="51">
    <w:name w:val="表"/>
    <w:basedOn w:val="1"/>
    <w:qFormat/>
    <w:uiPriority w:val="0"/>
    <w:pPr>
      <w:snapToGrid w:val="0"/>
      <w:jc w:val="center"/>
    </w:pPr>
    <w:rPr>
      <w:rFonts w:ascii="Times New Roman" w:hAnsi="Times New Roman" w:eastAsia="宋体" w:cs="Times New Roman"/>
      <w:spacing w:val="2"/>
    </w:rPr>
  </w:style>
  <w:style w:type="character" w:customStyle="1" w:styleId="52">
    <w:name w:val="content1"/>
    <w:basedOn w:val="25"/>
    <w:qFormat/>
    <w:uiPriority w:val="0"/>
    <w:rPr>
      <w:color w:val="000000"/>
      <w:sz w:val="20"/>
      <w:szCs w:val="20"/>
    </w:rPr>
  </w:style>
  <w:style w:type="character" w:customStyle="1" w:styleId="53">
    <w:name w:val="font81"/>
    <w:basedOn w:val="25"/>
    <w:qFormat/>
    <w:uiPriority w:val="0"/>
    <w:rPr>
      <w:rFonts w:ascii="宋体" w:hAnsi="宋体" w:eastAsia="宋体" w:cs="宋体"/>
      <w:color w:val="000000"/>
      <w:sz w:val="14"/>
      <w:szCs w:val="14"/>
      <w:u w:val="none"/>
    </w:rPr>
  </w:style>
  <w:style w:type="character" w:customStyle="1" w:styleId="54">
    <w:name w:val="font91"/>
    <w:basedOn w:val="25"/>
    <w:qFormat/>
    <w:uiPriority w:val="0"/>
    <w:rPr>
      <w:rFonts w:ascii="宋体" w:hAnsi="宋体" w:eastAsia="宋体" w:cs="宋体"/>
      <w:color w:val="000000"/>
      <w:sz w:val="12"/>
      <w:szCs w:val="12"/>
      <w:u w:val="none"/>
    </w:rPr>
  </w:style>
  <w:style w:type="character" w:customStyle="1" w:styleId="55">
    <w:name w:val="font101"/>
    <w:basedOn w:val="25"/>
    <w:qFormat/>
    <w:uiPriority w:val="0"/>
    <w:rPr>
      <w:rFonts w:hint="eastAsia" w:ascii="MS Gothic" w:hAnsi="MS Gothic" w:eastAsia="MS Gothic" w:cs="MS Gothic"/>
      <w:color w:val="000000"/>
      <w:sz w:val="12"/>
      <w:szCs w:val="12"/>
      <w:u w:val="none"/>
    </w:rPr>
  </w:style>
  <w:style w:type="character" w:customStyle="1" w:styleId="56">
    <w:name w:val="font31"/>
    <w:basedOn w:val="25"/>
    <w:qFormat/>
    <w:uiPriority w:val="0"/>
    <w:rPr>
      <w:rFonts w:ascii="宋体" w:hAnsi="宋体" w:eastAsia="宋体" w:cs="宋体"/>
      <w:color w:val="007870"/>
      <w:sz w:val="14"/>
      <w:szCs w:val="14"/>
      <w:u w:val="none"/>
    </w:rPr>
  </w:style>
  <w:style w:type="character" w:customStyle="1" w:styleId="57">
    <w:name w:val="font112"/>
    <w:basedOn w:val="25"/>
    <w:qFormat/>
    <w:uiPriority w:val="0"/>
    <w:rPr>
      <w:rFonts w:ascii="宋体" w:hAnsi="宋体" w:eastAsia="宋体" w:cs="宋体"/>
      <w:color w:val="003A36"/>
      <w:sz w:val="14"/>
      <w:szCs w:val="14"/>
      <w:u w:val="none"/>
    </w:rPr>
  </w:style>
  <w:style w:type="character" w:customStyle="1" w:styleId="58">
    <w:name w:val="font121"/>
    <w:basedOn w:val="25"/>
    <w:qFormat/>
    <w:uiPriority w:val="0"/>
    <w:rPr>
      <w:rFonts w:ascii="宋体" w:hAnsi="宋体" w:eastAsia="宋体" w:cs="宋体"/>
      <w:color w:val="000000"/>
      <w:sz w:val="6"/>
      <w:szCs w:val="6"/>
      <w:u w:val="none"/>
    </w:rPr>
  </w:style>
  <w:style w:type="character" w:customStyle="1" w:styleId="59">
    <w:name w:val="font131"/>
    <w:basedOn w:val="25"/>
    <w:qFormat/>
    <w:uiPriority w:val="0"/>
    <w:rPr>
      <w:rFonts w:hint="eastAsia" w:ascii="MS Gothic" w:hAnsi="MS Gothic" w:eastAsia="MS Gothic" w:cs="MS Gothic"/>
      <w:color w:val="000000"/>
      <w:sz w:val="14"/>
      <w:szCs w:val="14"/>
      <w:u w:val="none"/>
    </w:rPr>
  </w:style>
  <w:style w:type="character" w:customStyle="1" w:styleId="60">
    <w:name w:val="font141"/>
    <w:basedOn w:val="25"/>
    <w:qFormat/>
    <w:uiPriority w:val="0"/>
    <w:rPr>
      <w:rFonts w:ascii="宋体" w:hAnsi="宋体" w:eastAsia="宋体" w:cs="宋体"/>
      <w:color w:val="000000"/>
      <w:sz w:val="4"/>
      <w:szCs w:val="4"/>
      <w:u w:val="none"/>
    </w:rPr>
  </w:style>
  <w:style w:type="paragraph" w:customStyle="1" w:styleId="61">
    <w:name w:val="Table Text"/>
    <w:basedOn w:val="1"/>
    <w:semiHidden/>
    <w:qFormat/>
    <w:uiPriority w:val="0"/>
    <w:rPr>
      <w:rFonts w:ascii="宋体" w:hAnsi="宋体" w:eastAsia="宋体" w:cs="宋体"/>
      <w:sz w:val="14"/>
      <w:szCs w:val="14"/>
      <w:lang w:val="en-US" w:eastAsia="en-US" w:bidi="ar-SA"/>
    </w:rPr>
  </w:style>
  <w:style w:type="table" w:customStyle="1" w:styleId="62">
    <w:name w:val="Table Normal"/>
    <w:semiHidden/>
    <w:unhideWhenUsed/>
    <w:qFormat/>
    <w:uiPriority w:val="0"/>
    <w:tblPr>
      <w:tblCellMar>
        <w:top w:w="0" w:type="dxa"/>
        <w:left w:w="0" w:type="dxa"/>
        <w:bottom w:w="0" w:type="dxa"/>
        <w:right w:w="0" w:type="dxa"/>
      </w:tblCellMar>
    </w:tblPr>
  </w:style>
  <w:style w:type="character" w:customStyle="1" w:styleId="63">
    <w:name w:val="font11"/>
    <w:basedOn w:val="25"/>
    <w:qFormat/>
    <w:uiPriority w:val="0"/>
    <w:rPr>
      <w:rFonts w:hint="eastAsia" w:ascii="宋体" w:hAnsi="宋体" w:eastAsia="宋体" w:cs="宋体"/>
      <w:color w:val="000000"/>
      <w:sz w:val="21"/>
      <w:szCs w:val="21"/>
      <w:u w:val="none"/>
    </w:rPr>
  </w:style>
  <w:style w:type="character" w:customStyle="1" w:styleId="64">
    <w:name w:val="font21"/>
    <w:basedOn w:val="25"/>
    <w:qFormat/>
    <w:uiPriority w:val="0"/>
    <w:rPr>
      <w:rFonts w:hint="default" w:ascii="Times New Roman" w:hAnsi="Times New Roman" w:cs="Times New Roman"/>
      <w:color w:val="000000"/>
      <w:sz w:val="21"/>
      <w:szCs w:val="21"/>
      <w:u w:val="none"/>
    </w:rPr>
  </w:style>
  <w:style w:type="paragraph" w:customStyle="1" w:styleId="65">
    <w:name w:val="A表头啊啊啊啊"/>
    <w:basedOn w:val="1"/>
    <w:qFormat/>
    <w:uiPriority w:val="0"/>
    <w:pPr>
      <w:jc w:val="center"/>
    </w:pPr>
    <w:rPr>
      <w:rFonts w:ascii="Times New Roman" w:hAnsi="Times New Roman" w:eastAsia="宋体"/>
      <w:b/>
      <w:bCs/>
      <w:kern w:val="0"/>
      <w:szCs w:val="21"/>
    </w:rPr>
  </w:style>
  <w:style w:type="paragraph" w:customStyle="1" w:styleId="66">
    <w:name w:val="A表格内文字啊啊啊"/>
    <w:basedOn w:val="1"/>
    <w:qFormat/>
    <w:uiPriority w:val="0"/>
    <w:pPr>
      <w:jc w:val="center"/>
    </w:pPr>
    <w:rPr>
      <w:rFonts w:ascii="Times New Roman" w:hAnsi="Times New Roman" w:cs="宋体"/>
      <w:kern w:val="0"/>
      <w:sz w:val="21"/>
      <w:szCs w:val="21"/>
    </w:rPr>
  </w:style>
  <w:style w:type="paragraph" w:customStyle="1" w:styleId="67">
    <w:name w:val="A小标题啊啊啊啊啊"/>
    <w:basedOn w:val="1"/>
    <w:link w:val="76"/>
    <w:qFormat/>
    <w:uiPriority w:val="0"/>
    <w:pPr>
      <w:spacing w:line="520" w:lineRule="exact"/>
      <w:jc w:val="left"/>
    </w:pPr>
    <w:rPr>
      <w:rFonts w:ascii="Times New Roman" w:hAnsi="Times New Roman" w:cs="宋体"/>
      <w:b/>
      <w:bCs/>
      <w:kern w:val="0"/>
      <w:sz w:val="24"/>
      <w:szCs w:val="24"/>
    </w:rPr>
  </w:style>
  <w:style w:type="paragraph" w:customStyle="1" w:styleId="68">
    <w:name w:val="A正文啊啊啊啊啊"/>
    <w:basedOn w:val="1"/>
    <w:link w:val="71"/>
    <w:qFormat/>
    <w:uiPriority w:val="0"/>
    <w:pPr>
      <w:wordWrap w:val="0"/>
      <w:spacing w:line="520" w:lineRule="exact"/>
      <w:ind w:firstLine="720" w:firstLineChars="200"/>
    </w:pPr>
    <w:rPr>
      <w:rFonts w:ascii="Times New Roman" w:hAnsi="Times New Roman" w:eastAsia="宋体" w:cs="宋体"/>
      <w:sz w:val="24"/>
    </w:rPr>
  </w:style>
  <w:style w:type="paragraph" w:customStyle="1" w:styleId="69">
    <w:name w:val="表头啊啊啊啊啊"/>
    <w:basedOn w:val="1"/>
    <w:qFormat/>
    <w:uiPriority w:val="0"/>
    <w:pPr>
      <w:jc w:val="center"/>
    </w:pPr>
    <w:rPr>
      <w:rFonts w:ascii="Times New Roman" w:hAnsi="Times New Roman" w:eastAsia="宋体" w:cs="Times New Roman"/>
      <w:b/>
      <w:bCs/>
      <w:szCs w:val="21"/>
    </w:rPr>
  </w:style>
  <w:style w:type="paragraph" w:customStyle="1" w:styleId="70">
    <w:name w:val="表格里面啊啊啊啊"/>
    <w:basedOn w:val="1"/>
    <w:qFormat/>
    <w:uiPriority w:val="0"/>
    <w:pPr>
      <w:jc w:val="center"/>
    </w:pPr>
    <w:rPr>
      <w:rFonts w:ascii="Times New Roman" w:hAnsi="Times New Roman" w:eastAsia="宋体" w:cs="Times New Roman"/>
      <w:szCs w:val="21"/>
    </w:rPr>
  </w:style>
  <w:style w:type="character" w:customStyle="1" w:styleId="71">
    <w:name w:val="A正文啊啊啊啊啊 Char"/>
    <w:link w:val="68"/>
    <w:qFormat/>
    <w:uiPriority w:val="0"/>
    <w:rPr>
      <w:rFonts w:ascii="Times New Roman" w:hAnsi="Times New Roman" w:eastAsia="宋体" w:cs="宋体"/>
      <w:sz w:val="24"/>
    </w:rPr>
  </w:style>
  <w:style w:type="paragraph" w:customStyle="1" w:styleId="72">
    <w:name w:val="正文啊啊啊"/>
    <w:qFormat/>
    <w:uiPriority w:val="0"/>
    <w:pPr>
      <w:widowControl w:val="0"/>
      <w:wordWrap w:val="0"/>
      <w:adjustRightInd w:val="0"/>
      <w:snapToGrid w:val="0"/>
      <w:spacing w:line="520" w:lineRule="exact"/>
      <w:ind w:firstLine="720" w:firstLineChars="200"/>
      <w:jc w:val="left"/>
    </w:pPr>
    <w:rPr>
      <w:rFonts w:hint="eastAsia" w:ascii="Times New Roman" w:hAnsi="Times New Roman" w:eastAsia="宋体" w:cs="宋体"/>
      <w:bCs/>
      <w:kern w:val="2"/>
      <w:sz w:val="24"/>
      <w:szCs w:val="24"/>
      <w:lang w:val="en-US" w:eastAsia="zh-CN" w:bidi="ar-SA"/>
    </w:rPr>
  </w:style>
  <w:style w:type="paragraph" w:customStyle="1" w:styleId="73">
    <w:name w:val="表头啊啊啊啊"/>
    <w:qFormat/>
    <w:uiPriority w:val="0"/>
    <w:pPr>
      <w:widowControl w:val="0"/>
      <w:adjustRightInd w:val="0"/>
      <w:snapToGrid w:val="0"/>
      <w:spacing w:line="240" w:lineRule="auto"/>
      <w:jc w:val="center"/>
    </w:pPr>
    <w:rPr>
      <w:rFonts w:hint="eastAsia" w:ascii="Times New Roman" w:hAnsi="Times New Roman" w:eastAsiaTheme="minorEastAsia" w:cstheme="minorEastAsia"/>
      <w:b/>
      <w:bCs/>
      <w:color w:val="auto"/>
      <w:kern w:val="2"/>
      <w:sz w:val="21"/>
      <w:szCs w:val="21"/>
      <w:lang w:val="en-US" w:eastAsia="zh-CN" w:bidi="ar-SA"/>
    </w:rPr>
  </w:style>
  <w:style w:type="paragraph" w:customStyle="1" w:styleId="74">
    <w:name w:val="小标题啊啊"/>
    <w:qFormat/>
    <w:uiPriority w:val="0"/>
    <w:pPr>
      <w:widowControl w:val="0"/>
      <w:spacing w:line="520" w:lineRule="exact"/>
      <w:jc w:val="both"/>
    </w:pPr>
    <w:rPr>
      <w:rFonts w:ascii="Times New Roman" w:hAnsi="Times New Roman" w:eastAsia="宋体" w:cs="宋体"/>
      <w:b/>
      <w:kern w:val="2"/>
      <w:sz w:val="24"/>
      <w:szCs w:val="24"/>
      <w:lang w:val="en-US" w:eastAsia="zh-CN" w:bidi="ar-SA"/>
    </w:rPr>
  </w:style>
  <w:style w:type="paragraph" w:customStyle="1" w:styleId="75">
    <w:name w:val="小标题呗"/>
    <w:qFormat/>
    <w:uiPriority w:val="0"/>
    <w:pPr>
      <w:widowControl/>
      <w:wordWrap w:val="0"/>
      <w:snapToGrid w:val="0"/>
      <w:spacing w:line="520" w:lineRule="exact"/>
      <w:jc w:val="left"/>
    </w:pPr>
    <w:rPr>
      <w:rFonts w:hint="eastAsia" w:ascii="Times New Roman" w:hAnsi="Times New Roman" w:eastAsia="宋体" w:cs="Times New Roman"/>
      <w:b/>
      <w:kern w:val="0"/>
      <w:sz w:val="24"/>
      <w:szCs w:val="24"/>
      <w:lang w:val="en-US" w:eastAsia="zh-CN" w:bidi="ar-SA"/>
    </w:rPr>
  </w:style>
  <w:style w:type="character" w:customStyle="1" w:styleId="76">
    <w:name w:val="A小标题啊啊啊啊啊 Char"/>
    <w:link w:val="67"/>
    <w:qFormat/>
    <w:uiPriority w:val="0"/>
    <w:rPr>
      <w:rFonts w:ascii="Times New Roman" w:hAnsi="Times New Roman" w:cs="宋体"/>
      <w:b/>
      <w:bCs/>
      <w:kern w:val="0"/>
      <w:sz w:val="24"/>
      <w:szCs w:val="24"/>
    </w:rPr>
  </w:style>
  <w:style w:type="paragraph" w:customStyle="1" w:styleId="77">
    <w:name w:val="正文格式"/>
    <w:basedOn w:val="1"/>
    <w:qFormat/>
    <w:uiPriority w:val="0"/>
    <w:pPr>
      <w:wordWrap w:val="0"/>
      <w:spacing w:line="520" w:lineRule="exact"/>
      <w:ind w:firstLine="720" w:firstLineChars="200"/>
    </w:pPr>
    <w:rPr>
      <w:rFonts w:hint="eastAsia" w:ascii="Times New Roman" w:hAnsi="Times New Roman" w:eastAsia="宋体"/>
      <w:sz w:val="24"/>
    </w:rPr>
  </w:style>
  <w:style w:type="character" w:customStyle="1" w:styleId="78">
    <w:name w:val="表格 Char"/>
    <w:link w:val="30"/>
    <w:qFormat/>
    <w:locked/>
    <w:uiPriority w:val="0"/>
    <w:rPr>
      <w:rFonts w:ascii="宋体"/>
      <w:kern w:val="0"/>
      <w:szCs w:val="20"/>
    </w:rPr>
  </w:style>
  <w:style w:type="paragraph" w:customStyle="1" w:styleId="79">
    <w:name w:val="正文格式啊啊啊啊"/>
    <w:basedOn w:val="1"/>
    <w:qFormat/>
    <w:uiPriority w:val="0"/>
    <w:pPr>
      <w:wordWrap w:val="0"/>
      <w:adjustRightInd w:val="0"/>
      <w:snapToGrid w:val="0"/>
      <w:spacing w:line="520" w:lineRule="exact"/>
      <w:ind w:firstLine="720" w:firstLineChars="200"/>
      <w:jc w:val="left"/>
    </w:pPr>
    <w:rPr>
      <w:rFonts w:ascii="Times New Roman" w:hAnsi="Times New Roman" w:eastAsia="宋体" w:cs="宋体"/>
      <w:kern w:val="0"/>
      <w:sz w:val="24"/>
    </w:rPr>
  </w:style>
  <w:style w:type="paragraph" w:customStyle="1" w:styleId="80">
    <w:name w:val="小标题啊啊啊啊啊"/>
    <w:basedOn w:val="1"/>
    <w:qFormat/>
    <w:uiPriority w:val="0"/>
    <w:pPr>
      <w:adjustRightInd w:val="0"/>
      <w:snapToGrid w:val="0"/>
      <w:spacing w:line="520" w:lineRule="exact"/>
      <w:jc w:val="left"/>
    </w:pPr>
    <w:rPr>
      <w:rFonts w:ascii="Times New Roman" w:hAnsi="Times New Roman" w:eastAsia="宋体" w:cs="宋体"/>
      <w:b/>
      <w:kern w:val="0"/>
      <w:sz w:val="24"/>
    </w:rPr>
  </w:style>
  <w:style w:type="paragraph" w:customStyle="1" w:styleId="81">
    <w:name w:val="小标题啊啊啊"/>
    <w:qFormat/>
    <w:uiPriority w:val="0"/>
    <w:pPr>
      <w:widowControl w:val="0"/>
      <w:adjustRightInd w:val="0"/>
      <w:snapToGrid w:val="0"/>
      <w:spacing w:line="520" w:lineRule="exact"/>
      <w:jc w:val="left"/>
    </w:pPr>
    <w:rPr>
      <w:rFonts w:ascii="Times New Roman" w:hAnsi="Times New Roman" w:eastAsia="宋体" w:cstheme="minorEastAsia"/>
      <w:b/>
      <w:bCs/>
      <w:color w:val="auto"/>
      <w:kern w:val="2"/>
      <w:sz w:val="24"/>
      <w:szCs w:val="24"/>
      <w:lang w:val="en-US" w:eastAsia="zh-CN" w:bidi="ar-SA"/>
    </w:rPr>
  </w:style>
  <w:style w:type="paragraph" w:customStyle="1" w:styleId="82">
    <w:name w:val="表内文字啊啊啊"/>
    <w:basedOn w:val="1"/>
    <w:qFormat/>
    <w:uiPriority w:val="0"/>
    <w:pPr>
      <w:adjustRightInd w:val="0"/>
      <w:snapToGrid w:val="0"/>
      <w:spacing w:line="240" w:lineRule="auto"/>
      <w:jc w:val="center"/>
    </w:pPr>
    <w:rPr>
      <w:rFonts w:hint="eastAsia" w:ascii="Times New Roman" w:hAnsi="Times New Roman" w:eastAsiaTheme="minorEastAsia" w:cstheme="minorEastAsia"/>
      <w:color w:val="auto"/>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3.pn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F360BE8B-6686-4F3D-AEAF-501FE73E4058-1">
      <extobjdata type="F360BE8B-6686-4F3D-AEAF-501FE73E4058" data="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"/>
    </extobj>
    <extobj name="F360BE8B-6686-4F3D-AEAF-501FE73E4058-2">
      <extobjdata type="F360BE8B-6686-4F3D-AEAF-501FE73E4058" data="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138</Words>
  <Characters>166</Characters>
  <Lines>1</Lines>
  <Paragraphs>1</Paragraphs>
  <TotalTime>25</TotalTime>
  <ScaleCrop>false</ScaleCrop>
  <LinksUpToDate>false</LinksUpToDate>
  <CharactersWithSpaces>207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2023-07-28T10:59:00Z</dcterms:created>
  <dc:creator>倾如许</dc:creator>
  <cp:lastModifiedBy>Administrator</cp:lastModifiedBy>
  <cp:lastPrinted>2024-10-15T09:02:00Z</cp:lastPrinted>
  <dcterms:modified xsi:type="dcterms:W3CDTF">2025-08-20T12:08:17Z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77250C9881174F0489AC38746EC8B29E_13</vt:lpwstr>
  </property>
  <property fmtid="{D5CDD505-2E9C-101B-9397-08002B2CF9AE}" pid="4" name="KSOTemplateDocerSaveRecord">
    <vt:lpwstr>eyJoZGlkIjoiYjNhMTUyOWJhZTg3N2ViNWE2YzZiZjkwODVjNzE3NmEiLCJ1c2VySWQiOiIxMTU1MDY3NzcxIn0=</vt:lpwstr>
  </property>
</Properties>
</file>