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仿宋_GB2312" w:hAnsi="仿宋_GB2312" w:eastAsia="仿宋_GB2312" w:cs="仿宋_GB2312"/>
          <w:sz w:val="36"/>
          <w:szCs w:val="36"/>
        </w:rPr>
      </w:pPr>
    </w:p>
    <w:p>
      <w:pPr>
        <w:ind w:firstLine="0" w:firstLineChars="0"/>
        <w:rPr>
          <w:rFonts w:hint="eastAsia" w:ascii="仿宋_GB2312" w:hAnsi="仿宋_GB2312" w:eastAsia="仿宋_GB2312" w:cs="仿宋_GB2312"/>
          <w:sz w:val="36"/>
          <w:szCs w:val="36"/>
        </w:rPr>
      </w:pPr>
    </w:p>
    <w:p>
      <w:pPr>
        <w:adjustRightInd w:val="0"/>
        <w:snapToGrid w:val="0"/>
        <w:ind w:firstLine="0" w:firstLineChars="0"/>
        <w:jc w:val="center"/>
        <w:outlineLvl w:val="0"/>
        <w:rPr>
          <w:rFonts w:hint="eastAsia" w:ascii="方正小标宋_GBK" w:hAnsi="方正小标宋_GBK" w:eastAsia="方正小标宋_GBK" w:cs="方正小标宋_GBK"/>
          <w:bCs/>
          <w:sz w:val="72"/>
          <w:szCs w:val="72"/>
        </w:rPr>
      </w:pPr>
      <w:r>
        <w:rPr>
          <w:rFonts w:hint="eastAsia" w:ascii="方正小标宋_GBK" w:hAnsi="方正小标宋_GBK" w:eastAsia="方正小标宋_GBK" w:cs="方正小标宋_GBK"/>
          <w:bCs/>
          <w:sz w:val="72"/>
          <w:szCs w:val="72"/>
        </w:rPr>
        <w:t>建设项目环境影响报告表</w:t>
      </w:r>
    </w:p>
    <w:p>
      <w:pPr>
        <w:adjustRightInd w:val="0"/>
        <w:snapToGrid w:val="0"/>
        <w:ind w:firstLine="0" w:firstLineChars="0"/>
        <w:jc w:val="center"/>
        <w:rPr>
          <w:bCs/>
          <w:sz w:val="48"/>
          <w:szCs w:val="48"/>
        </w:rPr>
      </w:pPr>
      <w:r>
        <w:rPr>
          <w:bCs/>
          <w:sz w:val="48"/>
          <w:szCs w:val="48"/>
        </w:rPr>
        <w:t>（污染影响类）</w:t>
      </w:r>
    </w:p>
    <w:p>
      <w:pPr>
        <w:adjustRightInd w:val="0"/>
        <w:snapToGrid w:val="0"/>
        <w:spacing w:line="288" w:lineRule="auto"/>
        <w:ind w:firstLine="0" w:firstLineChars="0"/>
        <w:rPr>
          <w:color w:val="000000"/>
          <w:kern w:val="44"/>
          <w:sz w:val="44"/>
          <w:szCs w:val="44"/>
        </w:rPr>
      </w:pPr>
    </w:p>
    <w:p>
      <w:pPr>
        <w:ind w:firstLine="0" w:firstLineChars="0"/>
        <w:rPr>
          <w:sz w:val="44"/>
          <w:szCs w:val="44"/>
        </w:rPr>
      </w:pPr>
    </w:p>
    <w:p>
      <w:pPr>
        <w:ind w:firstLine="0" w:firstLineChars="0"/>
        <w:rPr>
          <w:sz w:val="44"/>
          <w:szCs w:val="44"/>
        </w:rPr>
      </w:pPr>
    </w:p>
    <w:p>
      <w:pPr>
        <w:ind w:firstLine="0" w:firstLineChars="0"/>
        <w:rPr>
          <w:sz w:val="44"/>
          <w:szCs w:val="44"/>
        </w:rPr>
      </w:pPr>
    </w:p>
    <w:p>
      <w:pPr>
        <w:adjustRightInd w:val="0"/>
        <w:snapToGrid w:val="0"/>
        <w:spacing w:line="288" w:lineRule="auto"/>
        <w:ind w:left="2948" w:leftChars="300" w:hanging="2228" w:hangingChars="619"/>
        <w:rPr>
          <w:rFonts w:hint="eastAsia" w:ascii="宋体" w:hAnsi="宋体" w:cs="宋体"/>
          <w:sz w:val="36"/>
          <w:szCs w:val="36"/>
        </w:rPr>
      </w:pPr>
      <w:bookmarkStart w:id="0" w:name="_Hlk57884087"/>
      <w:r>
        <w:rPr>
          <w:rFonts w:hint="eastAsia" w:ascii="宋体" w:hAnsi="宋体" w:cs="宋体"/>
          <w:sz w:val="36"/>
          <w:szCs w:val="36"/>
        </w:rPr>
        <w:t>项目名称：</w:t>
      </w:r>
      <w:r>
        <w:rPr>
          <w:rFonts w:hint="eastAsia" w:ascii="宋体" w:hAnsi="宋体" w:cs="宋体"/>
          <w:sz w:val="36"/>
          <w:szCs w:val="36"/>
          <w:u w:val="single"/>
        </w:rPr>
        <w:t xml:space="preserve">年产20万吨秸秆青（黄）储饲料和40万吨全价颗粒饲料项目             </w:t>
      </w:r>
    </w:p>
    <w:p>
      <w:pPr>
        <w:adjustRightInd w:val="0"/>
        <w:snapToGrid w:val="0"/>
        <w:spacing w:line="288" w:lineRule="auto"/>
        <w:ind w:left="2588" w:leftChars="300" w:hanging="1868" w:hangingChars="519"/>
        <w:rPr>
          <w:rFonts w:hint="eastAsia" w:ascii="宋体" w:hAnsi="宋体" w:cs="宋体"/>
          <w:sz w:val="36"/>
          <w:szCs w:val="36"/>
          <w:u w:val="single"/>
        </w:rPr>
      </w:pPr>
      <w:r>
        <w:rPr>
          <w:rFonts w:hint="eastAsia" w:ascii="宋体" w:hAnsi="宋体" w:cs="宋体"/>
          <w:sz w:val="36"/>
          <w:szCs w:val="36"/>
        </w:rPr>
        <w:t>建设单位（盖章）：</w:t>
      </w:r>
      <w:r>
        <w:rPr>
          <w:rFonts w:hint="eastAsia" w:ascii="宋体" w:hAnsi="宋体" w:cs="宋体"/>
          <w:sz w:val="36"/>
          <w:szCs w:val="36"/>
          <w:u w:val="single"/>
        </w:rPr>
        <w:t xml:space="preserve">新疆胜发牧业有限公司       </w:t>
      </w:r>
    </w:p>
    <w:p>
      <w:pPr>
        <w:adjustRightInd w:val="0"/>
        <w:snapToGrid w:val="0"/>
        <w:spacing w:line="288" w:lineRule="auto"/>
        <w:ind w:left="2588" w:leftChars="300" w:hanging="1868" w:hangingChars="519"/>
        <w:rPr>
          <w:rFonts w:hint="eastAsia" w:ascii="宋体" w:hAnsi="宋体" w:cs="宋体"/>
          <w:sz w:val="36"/>
          <w:szCs w:val="36"/>
          <w:u w:val="single"/>
        </w:rPr>
      </w:pPr>
      <w:r>
        <w:rPr>
          <w:rFonts w:hint="eastAsia" w:ascii="宋体" w:hAnsi="宋体" w:cs="宋体"/>
          <w:sz w:val="36"/>
          <w:szCs w:val="36"/>
        </w:rPr>
        <w:t>编制日期：</w:t>
      </w:r>
      <w:r>
        <w:rPr>
          <w:rFonts w:hint="eastAsia" w:ascii="宋体" w:hAnsi="宋体" w:cs="宋体"/>
          <w:sz w:val="36"/>
          <w:szCs w:val="36"/>
          <w:u w:val="single"/>
        </w:rPr>
        <w:t xml:space="preserve">        2025年</w:t>
      </w:r>
      <w:r>
        <w:rPr>
          <w:rFonts w:hint="eastAsia" w:ascii="宋体" w:hAnsi="宋体" w:cs="宋体"/>
          <w:sz w:val="36"/>
          <w:szCs w:val="36"/>
          <w:u w:val="single"/>
          <w:lang w:val="en-US" w:eastAsia="zh-CN"/>
        </w:rPr>
        <w:t>9</w:t>
      </w:r>
      <w:r>
        <w:rPr>
          <w:rFonts w:hint="eastAsia" w:ascii="宋体" w:hAnsi="宋体" w:cs="宋体"/>
          <w:sz w:val="36"/>
          <w:szCs w:val="36"/>
          <w:u w:val="single"/>
        </w:rPr>
        <w:t xml:space="preserve">月               </w:t>
      </w:r>
    </w:p>
    <w:p>
      <w:pPr>
        <w:adjustRightInd w:val="0"/>
        <w:snapToGrid w:val="0"/>
        <w:jc w:val="left"/>
        <w:rPr>
          <w:rFonts w:hint="eastAsia" w:ascii="宋体" w:hAnsi="宋体" w:cs="宋体"/>
          <w:sz w:val="36"/>
          <w:szCs w:val="36"/>
          <w:u w:val="single"/>
        </w:rPr>
      </w:pPr>
    </w:p>
    <w:p>
      <w:pPr>
        <w:adjustRightInd w:val="0"/>
        <w:snapToGrid w:val="0"/>
        <w:spacing w:line="288" w:lineRule="auto"/>
        <w:ind w:firstLine="0" w:firstLineChars="0"/>
        <w:rPr>
          <w:rFonts w:hint="eastAsia" w:ascii="宋体" w:hAnsi="宋体" w:cs="宋体"/>
          <w:sz w:val="36"/>
          <w:szCs w:val="36"/>
        </w:rPr>
      </w:pPr>
    </w:p>
    <w:p>
      <w:pPr>
        <w:adjustRightInd w:val="0"/>
        <w:snapToGrid w:val="0"/>
        <w:spacing w:line="288" w:lineRule="auto"/>
        <w:ind w:firstLine="0" w:firstLineChars="0"/>
        <w:rPr>
          <w:rFonts w:hint="eastAsia" w:ascii="宋体" w:hAnsi="宋体" w:cs="宋体"/>
          <w:sz w:val="36"/>
          <w:szCs w:val="36"/>
        </w:rPr>
      </w:pPr>
    </w:p>
    <w:p>
      <w:pPr>
        <w:adjustRightInd w:val="0"/>
        <w:snapToGrid w:val="0"/>
        <w:spacing w:line="288" w:lineRule="auto"/>
        <w:ind w:firstLine="0" w:firstLineChars="0"/>
        <w:rPr>
          <w:rFonts w:hint="eastAsia" w:ascii="宋体" w:hAnsi="宋体" w:cs="宋体"/>
          <w:sz w:val="36"/>
          <w:szCs w:val="36"/>
        </w:rPr>
      </w:pPr>
    </w:p>
    <w:p>
      <w:pPr>
        <w:adjustRightInd w:val="0"/>
        <w:snapToGrid w:val="0"/>
        <w:spacing w:line="288" w:lineRule="auto"/>
        <w:ind w:firstLine="0" w:firstLineChars="0"/>
        <w:jc w:val="center"/>
        <w:rPr>
          <w:rFonts w:hint="eastAsia" w:ascii="宋体" w:hAnsi="宋体" w:cs="宋体"/>
          <w:sz w:val="36"/>
          <w:szCs w:val="36"/>
        </w:rPr>
      </w:pPr>
      <w:r>
        <w:rPr>
          <w:rFonts w:hint="eastAsia" w:ascii="宋体" w:hAnsi="宋体" w:cs="宋体"/>
          <w:sz w:val="36"/>
          <w:szCs w:val="36"/>
        </w:rPr>
        <w:t>中华人民共和国生态环境部制</w:t>
      </w:r>
    </w:p>
    <w:p>
      <w:pPr>
        <w:adjustRightInd w:val="0"/>
        <w:snapToGrid w:val="0"/>
        <w:spacing w:line="288" w:lineRule="auto"/>
        <w:rPr>
          <w:rFonts w:hint="eastAsia" w:ascii="宋体" w:hAnsi="宋体" w:cs="宋体"/>
          <w:sz w:val="36"/>
          <w:szCs w:val="36"/>
        </w:rPr>
      </w:pPr>
    </w:p>
    <w:p>
      <w:pPr>
        <w:adjustRightInd w:val="0"/>
        <w:snapToGrid w:val="0"/>
        <w:spacing w:line="288" w:lineRule="auto"/>
        <w:rPr>
          <w:rFonts w:hint="eastAsia" w:ascii="宋体" w:hAnsi="宋体" w:cs="宋体"/>
          <w:sz w:val="36"/>
          <w:szCs w:val="36"/>
        </w:rPr>
      </w:pPr>
    </w:p>
    <w:bookmarkEnd w:id="0"/>
    <w:p>
      <w:pPr>
        <w:adjustRightInd w:val="0"/>
        <w:snapToGrid w:val="0"/>
        <w:ind w:firstLine="0" w:firstLineChars="0"/>
        <w:rPr>
          <w:bCs/>
          <w:sz w:val="48"/>
          <w:szCs w:val="48"/>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NumType w:start="1"/>
          <w:cols w:space="720" w:num="1"/>
          <w:docGrid w:linePitch="312" w:charSpace="0"/>
        </w:sectPr>
      </w:pPr>
    </w:p>
    <w:p>
      <w:pPr>
        <w:pStyle w:val="22"/>
        <w:ind w:firstLine="0" w:firstLineChars="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88"/>
        <w:gridCol w:w="2731"/>
        <w:gridCol w:w="1470"/>
        <w:gridCol w:w="29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pPr>
              <w:adjustRightInd w:val="0"/>
              <w:snapToGrid w:val="0"/>
              <w:spacing w:line="240" w:lineRule="auto"/>
              <w:ind w:firstLine="0" w:firstLineChars="0"/>
              <w:jc w:val="center"/>
              <w:rPr>
                <w:szCs w:val="24"/>
              </w:rPr>
            </w:pPr>
            <w:r>
              <w:rPr>
                <w:szCs w:val="24"/>
              </w:rPr>
              <w:t>建设项目名称</w:t>
            </w:r>
          </w:p>
        </w:tc>
        <w:tc>
          <w:tcPr>
            <w:tcW w:w="7132" w:type="dxa"/>
            <w:gridSpan w:val="3"/>
            <w:vAlign w:val="center"/>
          </w:tcPr>
          <w:p>
            <w:pPr>
              <w:adjustRightInd w:val="0"/>
              <w:snapToGrid w:val="0"/>
              <w:spacing w:line="240" w:lineRule="auto"/>
              <w:ind w:firstLine="0" w:firstLineChars="0"/>
              <w:jc w:val="center"/>
              <w:rPr>
                <w:szCs w:val="24"/>
              </w:rPr>
            </w:pPr>
            <w:bookmarkStart w:id="41" w:name="_GoBack"/>
            <w:bookmarkEnd w:id="4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pPr>
              <w:adjustRightInd w:val="0"/>
              <w:snapToGrid w:val="0"/>
              <w:spacing w:line="240" w:lineRule="auto"/>
              <w:ind w:firstLine="0" w:firstLineChars="0"/>
              <w:jc w:val="center"/>
              <w:rPr>
                <w:szCs w:val="24"/>
              </w:rPr>
            </w:pPr>
            <w:r>
              <w:rPr>
                <w:szCs w:val="24"/>
              </w:rPr>
              <w:t>项目代码</w:t>
            </w:r>
          </w:p>
        </w:tc>
        <w:tc>
          <w:tcPr>
            <w:tcW w:w="7132" w:type="dxa"/>
            <w:gridSpan w:val="3"/>
            <w:vAlign w:val="center"/>
          </w:tcPr>
          <w:p>
            <w:pPr>
              <w:widowControl/>
              <w:spacing w:line="240" w:lineRule="auto"/>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288" w:type="dxa"/>
            <w:tcMar>
              <w:top w:w="16" w:type="dxa"/>
              <w:left w:w="16" w:type="dxa"/>
              <w:right w:w="16" w:type="dxa"/>
            </w:tcMar>
            <w:vAlign w:val="center"/>
          </w:tcPr>
          <w:p>
            <w:pPr>
              <w:adjustRightInd w:val="0"/>
              <w:snapToGrid w:val="0"/>
              <w:spacing w:line="240" w:lineRule="auto"/>
              <w:ind w:firstLine="0" w:firstLineChars="0"/>
              <w:jc w:val="center"/>
              <w:rPr>
                <w:szCs w:val="24"/>
              </w:rPr>
            </w:pPr>
            <w:r>
              <w:rPr>
                <w:szCs w:val="24"/>
              </w:rPr>
              <w:t>建设单位联系人</w:t>
            </w:r>
          </w:p>
        </w:tc>
        <w:tc>
          <w:tcPr>
            <w:tcW w:w="2731" w:type="dxa"/>
            <w:vAlign w:val="center"/>
          </w:tcPr>
          <w:p>
            <w:pPr>
              <w:adjustRightInd w:val="0"/>
              <w:snapToGrid w:val="0"/>
              <w:spacing w:line="240" w:lineRule="auto"/>
              <w:ind w:firstLine="0" w:firstLineChars="0"/>
              <w:jc w:val="center"/>
              <w:rPr>
                <w:szCs w:val="24"/>
              </w:rPr>
            </w:pPr>
          </w:p>
        </w:tc>
        <w:tc>
          <w:tcPr>
            <w:tcW w:w="1470" w:type="dxa"/>
            <w:vAlign w:val="center"/>
          </w:tcPr>
          <w:p>
            <w:pPr>
              <w:adjustRightInd w:val="0"/>
              <w:snapToGrid w:val="0"/>
              <w:spacing w:line="240" w:lineRule="auto"/>
              <w:ind w:firstLine="0" w:firstLineChars="0"/>
              <w:jc w:val="center"/>
              <w:rPr>
                <w:szCs w:val="24"/>
              </w:rPr>
            </w:pPr>
          </w:p>
        </w:tc>
        <w:tc>
          <w:tcPr>
            <w:tcW w:w="2931" w:type="dxa"/>
            <w:vAlign w:val="center"/>
          </w:tcPr>
          <w:p>
            <w:pPr>
              <w:adjustRightInd w:val="0"/>
              <w:snapToGrid w:val="0"/>
              <w:spacing w:line="240" w:lineRule="auto"/>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pPr>
              <w:adjustRightInd w:val="0"/>
              <w:snapToGrid w:val="0"/>
              <w:spacing w:line="240" w:lineRule="auto"/>
              <w:ind w:firstLine="0" w:firstLineChars="0"/>
              <w:jc w:val="center"/>
              <w:rPr>
                <w:szCs w:val="24"/>
              </w:rPr>
            </w:pPr>
            <w:r>
              <w:rPr>
                <w:szCs w:val="24"/>
              </w:rPr>
              <w:t>建设地点</w:t>
            </w:r>
          </w:p>
        </w:tc>
        <w:tc>
          <w:tcPr>
            <w:tcW w:w="7132" w:type="dxa"/>
            <w:gridSpan w:val="3"/>
            <w:vAlign w:val="center"/>
          </w:tcPr>
          <w:p>
            <w:pPr>
              <w:adjustRightInd w:val="0"/>
              <w:snapToGrid w:val="0"/>
              <w:spacing w:line="240" w:lineRule="auto"/>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pPr>
              <w:adjustRightInd w:val="0"/>
              <w:snapToGrid w:val="0"/>
              <w:spacing w:line="240" w:lineRule="auto"/>
              <w:ind w:firstLine="0" w:firstLineChars="0"/>
              <w:jc w:val="center"/>
              <w:rPr>
                <w:szCs w:val="24"/>
              </w:rPr>
            </w:pPr>
            <w:r>
              <w:rPr>
                <w:szCs w:val="24"/>
              </w:rPr>
              <w:t>地理坐标</w:t>
            </w:r>
          </w:p>
        </w:tc>
        <w:tc>
          <w:tcPr>
            <w:tcW w:w="7132" w:type="dxa"/>
            <w:gridSpan w:val="3"/>
            <w:vAlign w:val="center"/>
          </w:tcPr>
          <w:p>
            <w:pPr>
              <w:adjustRightInd w:val="0"/>
              <w:snapToGrid w:val="0"/>
              <w:spacing w:line="240" w:lineRule="auto"/>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288" w:type="dxa"/>
            <w:tcMar>
              <w:top w:w="16" w:type="dxa"/>
              <w:left w:w="16" w:type="dxa"/>
              <w:right w:w="16" w:type="dxa"/>
            </w:tcMar>
            <w:vAlign w:val="center"/>
          </w:tcPr>
          <w:p>
            <w:pPr>
              <w:adjustRightInd w:val="0"/>
              <w:snapToGrid w:val="0"/>
              <w:spacing w:line="240" w:lineRule="auto"/>
              <w:ind w:firstLine="0" w:firstLineChars="0"/>
              <w:jc w:val="center"/>
              <w:rPr>
                <w:szCs w:val="24"/>
              </w:rPr>
            </w:pPr>
            <w:r>
              <w:rPr>
                <w:szCs w:val="24"/>
              </w:rPr>
              <w:t>国民经济</w:t>
            </w:r>
          </w:p>
          <w:p>
            <w:pPr>
              <w:adjustRightInd w:val="0"/>
              <w:snapToGrid w:val="0"/>
              <w:spacing w:line="240" w:lineRule="auto"/>
              <w:ind w:firstLine="0" w:firstLineChars="0"/>
              <w:jc w:val="center"/>
              <w:rPr>
                <w:szCs w:val="24"/>
              </w:rPr>
            </w:pPr>
            <w:r>
              <w:rPr>
                <w:szCs w:val="24"/>
              </w:rPr>
              <w:t>行业类别</w:t>
            </w:r>
          </w:p>
        </w:tc>
        <w:tc>
          <w:tcPr>
            <w:tcW w:w="2731" w:type="dxa"/>
            <w:vAlign w:val="center"/>
          </w:tcPr>
          <w:p>
            <w:pPr>
              <w:adjustRightInd w:val="0"/>
              <w:snapToGrid w:val="0"/>
              <w:spacing w:line="240" w:lineRule="auto"/>
              <w:ind w:firstLine="0" w:firstLineChars="0"/>
              <w:jc w:val="center"/>
              <w:rPr>
                <w:szCs w:val="24"/>
              </w:rPr>
            </w:pPr>
            <w:r>
              <w:rPr>
                <w:szCs w:val="24"/>
              </w:rPr>
              <w:t>C1329其他饲料加工</w:t>
            </w:r>
          </w:p>
        </w:tc>
        <w:tc>
          <w:tcPr>
            <w:tcW w:w="1470" w:type="dxa"/>
            <w:vAlign w:val="center"/>
          </w:tcPr>
          <w:p>
            <w:pPr>
              <w:adjustRightInd w:val="0"/>
              <w:snapToGrid w:val="0"/>
              <w:spacing w:line="240" w:lineRule="auto"/>
              <w:ind w:firstLine="0" w:firstLineChars="0"/>
              <w:jc w:val="center"/>
              <w:rPr>
                <w:szCs w:val="24"/>
              </w:rPr>
            </w:pPr>
            <w:bookmarkStart w:id="1" w:name="_Hlk49843745"/>
            <w:r>
              <w:rPr>
                <w:szCs w:val="24"/>
              </w:rPr>
              <w:t>建设项目</w:t>
            </w:r>
          </w:p>
          <w:p>
            <w:pPr>
              <w:adjustRightInd w:val="0"/>
              <w:snapToGrid w:val="0"/>
              <w:spacing w:line="240" w:lineRule="auto"/>
              <w:ind w:firstLine="0" w:firstLineChars="0"/>
              <w:jc w:val="center"/>
              <w:rPr>
                <w:szCs w:val="24"/>
              </w:rPr>
            </w:pPr>
            <w:r>
              <w:rPr>
                <w:szCs w:val="24"/>
              </w:rPr>
              <w:t>行业类别</w:t>
            </w:r>
            <w:bookmarkEnd w:id="1"/>
          </w:p>
        </w:tc>
        <w:tc>
          <w:tcPr>
            <w:tcW w:w="2931" w:type="dxa"/>
            <w:vAlign w:val="center"/>
          </w:tcPr>
          <w:p>
            <w:pPr>
              <w:adjustRightInd w:val="0"/>
              <w:snapToGrid w:val="0"/>
              <w:spacing w:line="240" w:lineRule="auto"/>
              <w:ind w:firstLine="0" w:firstLineChars="0"/>
              <w:jc w:val="center"/>
              <w:rPr>
                <w:rFonts w:hint="eastAsia" w:eastAsia="宋体"/>
                <w:szCs w:val="24"/>
                <w:lang w:val="en-US" w:eastAsia="zh-CN"/>
              </w:rPr>
            </w:pPr>
            <w:r>
              <w:rPr>
                <w:szCs w:val="24"/>
              </w:rPr>
              <w:t>十、农副食品加工业</w:t>
            </w:r>
            <w:r>
              <w:rPr>
                <w:rFonts w:hint="eastAsia"/>
                <w:szCs w:val="24"/>
                <w:lang w:val="en-US" w:eastAsia="zh-CN"/>
              </w:rPr>
              <w:t>13，</w:t>
            </w:r>
            <w:r>
              <w:rPr>
                <w:szCs w:val="24"/>
              </w:rPr>
              <w:t>饲料加工132</w:t>
            </w:r>
            <w:r>
              <w:rPr>
                <w:rFonts w:hint="eastAsia"/>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88" w:type="dxa"/>
            <w:tcMar>
              <w:top w:w="16" w:type="dxa"/>
              <w:left w:w="16" w:type="dxa"/>
              <w:right w:w="16" w:type="dxa"/>
            </w:tcMar>
            <w:vAlign w:val="center"/>
          </w:tcPr>
          <w:p>
            <w:pPr>
              <w:adjustRightInd w:val="0"/>
              <w:snapToGrid w:val="0"/>
              <w:spacing w:line="240" w:lineRule="auto"/>
              <w:ind w:firstLine="0" w:firstLineChars="0"/>
              <w:jc w:val="center"/>
              <w:rPr>
                <w:szCs w:val="24"/>
              </w:rPr>
            </w:pPr>
            <w:r>
              <w:rPr>
                <w:szCs w:val="24"/>
              </w:rPr>
              <w:t>建设性质</w:t>
            </w:r>
          </w:p>
        </w:tc>
        <w:tc>
          <w:tcPr>
            <w:tcW w:w="2731" w:type="dxa"/>
            <w:vAlign w:val="center"/>
          </w:tcPr>
          <w:p>
            <w:pPr>
              <w:spacing w:line="240" w:lineRule="auto"/>
              <w:ind w:firstLine="0" w:firstLineChars="0"/>
              <w:jc w:val="left"/>
              <w:rPr>
                <w:szCs w:val="24"/>
              </w:rPr>
            </w:pPr>
            <w:r>
              <w:rPr>
                <w:rFonts w:cs="Times New Roman"/>
                <w:color w:val="000000" w:themeColor="text1"/>
                <w:szCs w:val="24"/>
                <w14:textFill>
                  <w14:solidFill>
                    <w14:schemeClr w14:val="tx1"/>
                  </w14:solidFill>
                </w14:textFill>
              </w:rPr>
              <w:sym w:font="Wingdings 2" w:char="0052"/>
            </w:r>
            <w:r>
              <w:rPr>
                <w:szCs w:val="24"/>
              </w:rPr>
              <w:t>新建（迁建）</w:t>
            </w:r>
          </w:p>
          <w:p>
            <w:pPr>
              <w:spacing w:line="240" w:lineRule="auto"/>
              <w:ind w:firstLine="0" w:firstLineChars="0"/>
              <w:jc w:val="left"/>
              <w:rPr>
                <w:szCs w:val="24"/>
              </w:rPr>
            </w:pPr>
            <w:r>
              <w:rPr>
                <w:rFonts w:cs="Times New Roman"/>
                <w:color w:val="000000" w:themeColor="text1"/>
                <w:szCs w:val="24"/>
                <w14:textFill>
                  <w14:solidFill>
                    <w14:schemeClr w14:val="tx1"/>
                  </w14:solidFill>
                </w14:textFill>
              </w:rPr>
              <w:sym w:font="Wingdings 2" w:char="00A3"/>
            </w:r>
            <w:r>
              <w:rPr>
                <w:szCs w:val="24"/>
              </w:rPr>
              <w:t>改建</w:t>
            </w:r>
          </w:p>
          <w:p>
            <w:pPr>
              <w:spacing w:line="240" w:lineRule="auto"/>
              <w:ind w:firstLine="0" w:firstLineChars="0"/>
              <w:jc w:val="left"/>
              <w:rPr>
                <w:szCs w:val="24"/>
              </w:rPr>
            </w:pPr>
            <w:r>
              <w:rPr>
                <w:rFonts w:cs="Times New Roman"/>
                <w:color w:val="000000" w:themeColor="text1"/>
                <w:szCs w:val="24"/>
                <w14:textFill>
                  <w14:solidFill>
                    <w14:schemeClr w14:val="tx1"/>
                  </w14:solidFill>
                </w14:textFill>
              </w:rPr>
              <w:sym w:font="Wingdings 2" w:char="00A3"/>
            </w:r>
            <w:r>
              <w:rPr>
                <w:szCs w:val="24"/>
              </w:rPr>
              <w:t>扩建</w:t>
            </w:r>
          </w:p>
          <w:p>
            <w:pPr>
              <w:spacing w:line="240" w:lineRule="auto"/>
              <w:ind w:firstLine="0" w:firstLineChars="0"/>
              <w:jc w:val="left"/>
              <w:rPr>
                <w:szCs w:val="24"/>
              </w:rPr>
            </w:pPr>
            <w:r>
              <w:rPr>
                <w:rFonts w:cs="Times New Roman"/>
                <w:color w:val="000000" w:themeColor="text1"/>
                <w:szCs w:val="24"/>
                <w14:textFill>
                  <w14:solidFill>
                    <w14:schemeClr w14:val="tx1"/>
                  </w14:solidFill>
                </w14:textFill>
              </w:rPr>
              <w:sym w:font="Wingdings 2" w:char="00A3"/>
            </w:r>
            <w:r>
              <w:rPr>
                <w:szCs w:val="24"/>
              </w:rPr>
              <w:t>技术改造</w:t>
            </w:r>
          </w:p>
        </w:tc>
        <w:tc>
          <w:tcPr>
            <w:tcW w:w="1470" w:type="dxa"/>
            <w:vAlign w:val="center"/>
          </w:tcPr>
          <w:p>
            <w:pPr>
              <w:adjustRightInd w:val="0"/>
              <w:snapToGrid w:val="0"/>
              <w:spacing w:line="240" w:lineRule="auto"/>
              <w:ind w:firstLine="0" w:firstLineChars="0"/>
              <w:jc w:val="center"/>
              <w:rPr>
                <w:szCs w:val="24"/>
              </w:rPr>
            </w:pPr>
            <w:r>
              <w:rPr>
                <w:szCs w:val="24"/>
              </w:rPr>
              <w:t>建设项目</w:t>
            </w:r>
          </w:p>
          <w:p>
            <w:pPr>
              <w:adjustRightInd w:val="0"/>
              <w:snapToGrid w:val="0"/>
              <w:spacing w:line="240" w:lineRule="auto"/>
              <w:ind w:firstLine="0" w:firstLineChars="0"/>
              <w:jc w:val="center"/>
              <w:rPr>
                <w:szCs w:val="24"/>
              </w:rPr>
            </w:pPr>
            <w:r>
              <w:rPr>
                <w:szCs w:val="24"/>
              </w:rPr>
              <w:t>申报情形</w:t>
            </w:r>
          </w:p>
        </w:tc>
        <w:tc>
          <w:tcPr>
            <w:tcW w:w="2931" w:type="dxa"/>
            <w:vAlign w:val="center"/>
          </w:tcPr>
          <w:p>
            <w:pPr>
              <w:spacing w:line="240" w:lineRule="auto"/>
              <w:ind w:firstLine="0" w:firstLineChars="0"/>
              <w:rPr>
                <w:szCs w:val="24"/>
              </w:rPr>
            </w:pPr>
            <w:r>
              <w:rPr>
                <w:rFonts w:cs="Times New Roman"/>
                <w:color w:val="000000" w:themeColor="text1"/>
                <w:szCs w:val="24"/>
                <w14:textFill>
                  <w14:solidFill>
                    <w14:schemeClr w14:val="tx1"/>
                  </w14:solidFill>
                </w14:textFill>
              </w:rPr>
              <w:sym w:font="Wingdings 2" w:char="00A3"/>
            </w:r>
            <w:r>
              <w:rPr>
                <w:szCs w:val="24"/>
              </w:rPr>
              <w:t>首次申报项目</w:t>
            </w:r>
          </w:p>
          <w:p>
            <w:pPr>
              <w:spacing w:line="240" w:lineRule="auto"/>
              <w:ind w:firstLine="0" w:firstLineChars="0"/>
              <w:jc w:val="both"/>
              <w:rPr>
                <w:szCs w:val="24"/>
              </w:rPr>
            </w:pPr>
            <w:r>
              <w:rPr>
                <w:rFonts w:cs="Times New Roman"/>
                <w:color w:val="000000" w:themeColor="text1"/>
                <w:szCs w:val="24"/>
                <w14:textFill>
                  <w14:solidFill>
                    <w14:schemeClr w14:val="tx1"/>
                  </w14:solidFill>
                </w14:textFill>
              </w:rPr>
              <w:sym w:font="Wingdings 2" w:char="00A3"/>
            </w:r>
            <w:r>
              <w:rPr>
                <w:szCs w:val="24"/>
              </w:rPr>
              <w:t>不予批准后再次申报项目</w:t>
            </w:r>
          </w:p>
          <w:p>
            <w:pPr>
              <w:spacing w:line="240" w:lineRule="auto"/>
              <w:ind w:firstLine="0" w:firstLineChars="0"/>
              <w:rPr>
                <w:szCs w:val="24"/>
              </w:rPr>
            </w:pPr>
            <w:r>
              <w:rPr>
                <w:rFonts w:cs="Times New Roman"/>
                <w:color w:val="000000" w:themeColor="text1"/>
                <w:szCs w:val="24"/>
                <w14:textFill>
                  <w14:solidFill>
                    <w14:schemeClr w14:val="tx1"/>
                  </w14:solidFill>
                </w14:textFill>
              </w:rPr>
              <w:sym w:font="Wingdings 2" w:char="00A3"/>
            </w:r>
            <w:r>
              <w:rPr>
                <w:szCs w:val="24"/>
              </w:rPr>
              <w:t>超五年重新审核项目</w:t>
            </w:r>
          </w:p>
          <w:p>
            <w:pPr>
              <w:spacing w:line="240" w:lineRule="auto"/>
              <w:ind w:firstLine="0" w:firstLineChars="0"/>
              <w:rPr>
                <w:szCs w:val="24"/>
              </w:rPr>
            </w:pPr>
            <w:r>
              <w:rPr>
                <w:rFonts w:cs="Times New Roman"/>
                <w:color w:val="000000" w:themeColor="text1"/>
                <w:szCs w:val="24"/>
                <w14:textFill>
                  <w14:solidFill>
                    <w14:schemeClr w14:val="tx1"/>
                  </w14:solidFill>
                </w14:textFill>
              </w:rPr>
              <w:sym w:font="Wingdings 2" w:char="0052"/>
            </w:r>
            <w:r>
              <w:rPr>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88" w:type="dxa"/>
            <w:tcMar>
              <w:top w:w="16" w:type="dxa"/>
              <w:left w:w="16" w:type="dxa"/>
              <w:right w:w="16" w:type="dxa"/>
            </w:tcMar>
            <w:vAlign w:val="center"/>
          </w:tcPr>
          <w:p>
            <w:pPr>
              <w:adjustRightInd w:val="0"/>
              <w:snapToGrid w:val="0"/>
              <w:spacing w:line="240" w:lineRule="auto"/>
              <w:ind w:firstLine="0" w:firstLineChars="0"/>
              <w:jc w:val="center"/>
              <w:rPr>
                <w:szCs w:val="24"/>
              </w:rPr>
            </w:pPr>
            <w:r>
              <w:rPr>
                <w:szCs w:val="24"/>
              </w:rPr>
              <w:t>项目审批（核准/</w:t>
            </w:r>
          </w:p>
          <w:p>
            <w:pPr>
              <w:adjustRightInd w:val="0"/>
              <w:snapToGrid w:val="0"/>
              <w:spacing w:line="240" w:lineRule="auto"/>
              <w:ind w:firstLine="0" w:firstLineChars="0"/>
              <w:jc w:val="center"/>
              <w:rPr>
                <w:szCs w:val="24"/>
              </w:rPr>
            </w:pPr>
            <w:r>
              <w:rPr>
                <w:szCs w:val="24"/>
              </w:rPr>
              <w:t>备案）部门（选填）</w:t>
            </w:r>
          </w:p>
        </w:tc>
        <w:tc>
          <w:tcPr>
            <w:tcW w:w="2731" w:type="dxa"/>
            <w:vAlign w:val="center"/>
          </w:tcPr>
          <w:p>
            <w:pPr>
              <w:adjustRightInd w:val="0"/>
              <w:snapToGrid w:val="0"/>
              <w:spacing w:line="240" w:lineRule="auto"/>
              <w:ind w:firstLine="0" w:firstLineChars="0"/>
              <w:jc w:val="center"/>
              <w:rPr>
                <w:szCs w:val="24"/>
              </w:rPr>
            </w:pPr>
            <w:r>
              <w:rPr>
                <w:szCs w:val="24"/>
              </w:rPr>
              <w:t>和静县发展</w:t>
            </w:r>
            <w:r>
              <w:rPr>
                <w:rFonts w:hint="eastAsia"/>
                <w:szCs w:val="24"/>
                <w:lang w:val="en-US" w:eastAsia="zh-CN"/>
              </w:rPr>
              <w:t>和</w:t>
            </w:r>
            <w:r>
              <w:rPr>
                <w:szCs w:val="24"/>
              </w:rPr>
              <w:t>改革委员会</w:t>
            </w:r>
          </w:p>
        </w:tc>
        <w:tc>
          <w:tcPr>
            <w:tcW w:w="1470" w:type="dxa"/>
            <w:vAlign w:val="center"/>
          </w:tcPr>
          <w:p>
            <w:pPr>
              <w:adjustRightInd w:val="0"/>
              <w:snapToGrid w:val="0"/>
              <w:spacing w:line="240" w:lineRule="auto"/>
              <w:ind w:firstLine="0" w:firstLineChars="0"/>
              <w:jc w:val="center"/>
              <w:rPr>
                <w:szCs w:val="24"/>
              </w:rPr>
            </w:pPr>
            <w:r>
              <w:rPr>
                <w:szCs w:val="24"/>
              </w:rPr>
              <w:t>项目审批（核准/备案）文号（选填）</w:t>
            </w:r>
          </w:p>
        </w:tc>
        <w:tc>
          <w:tcPr>
            <w:tcW w:w="2931" w:type="dxa"/>
            <w:vAlign w:val="center"/>
          </w:tcPr>
          <w:p>
            <w:pPr>
              <w:adjustRightInd w:val="0"/>
              <w:snapToGrid w:val="0"/>
              <w:spacing w:line="240" w:lineRule="auto"/>
              <w:ind w:firstLine="0" w:firstLineChars="0"/>
              <w:jc w:val="center"/>
              <w:rPr>
                <w:szCs w:val="24"/>
              </w:rPr>
            </w:pPr>
            <w:r>
              <w:rPr>
                <w:szCs w:val="24"/>
              </w:rPr>
              <w:t>备案证号：</w:t>
            </w:r>
          </w:p>
          <w:p>
            <w:pPr>
              <w:widowControl/>
              <w:spacing w:line="240" w:lineRule="auto"/>
              <w:ind w:firstLine="0" w:firstLineChars="0"/>
              <w:jc w:val="center"/>
              <w:rPr>
                <w:szCs w:val="24"/>
              </w:rPr>
            </w:pPr>
            <w:r>
              <w:rPr>
                <w:color w:val="000000"/>
                <w:kern w:val="0"/>
                <w:szCs w:val="24"/>
                <w:lang w:bidi="ar"/>
              </w:rPr>
              <w:t>2410141783652800000097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pPr>
              <w:adjustRightInd w:val="0"/>
              <w:snapToGrid w:val="0"/>
              <w:spacing w:line="240" w:lineRule="auto"/>
              <w:ind w:firstLine="0" w:firstLineChars="0"/>
              <w:jc w:val="center"/>
              <w:rPr>
                <w:szCs w:val="24"/>
              </w:rPr>
            </w:pPr>
            <w:r>
              <w:rPr>
                <w:szCs w:val="24"/>
              </w:rPr>
              <w:t>总投资（万元）</w:t>
            </w:r>
          </w:p>
        </w:tc>
        <w:tc>
          <w:tcPr>
            <w:tcW w:w="2731" w:type="dxa"/>
            <w:vAlign w:val="center"/>
          </w:tcPr>
          <w:p>
            <w:pPr>
              <w:adjustRightInd w:val="0"/>
              <w:snapToGrid w:val="0"/>
              <w:spacing w:line="240" w:lineRule="auto"/>
              <w:ind w:firstLine="0" w:firstLineChars="0"/>
              <w:jc w:val="center"/>
              <w:rPr>
                <w:szCs w:val="24"/>
              </w:rPr>
            </w:pPr>
            <w:r>
              <w:rPr>
                <w:szCs w:val="24"/>
              </w:rPr>
              <w:t>28000</w:t>
            </w:r>
          </w:p>
        </w:tc>
        <w:tc>
          <w:tcPr>
            <w:tcW w:w="1470" w:type="dxa"/>
            <w:tcMar>
              <w:top w:w="16" w:type="dxa"/>
              <w:left w:w="16" w:type="dxa"/>
              <w:right w:w="16" w:type="dxa"/>
            </w:tcMar>
            <w:vAlign w:val="center"/>
          </w:tcPr>
          <w:p>
            <w:pPr>
              <w:adjustRightInd w:val="0"/>
              <w:snapToGrid w:val="0"/>
              <w:spacing w:line="240" w:lineRule="auto"/>
              <w:ind w:firstLine="0" w:firstLineChars="0"/>
              <w:jc w:val="center"/>
              <w:rPr>
                <w:szCs w:val="24"/>
              </w:rPr>
            </w:pPr>
            <w:r>
              <w:rPr>
                <w:szCs w:val="24"/>
              </w:rPr>
              <w:t>环保投资（万元）</w:t>
            </w:r>
          </w:p>
        </w:tc>
        <w:tc>
          <w:tcPr>
            <w:tcW w:w="2931" w:type="dxa"/>
            <w:vAlign w:val="center"/>
          </w:tcPr>
          <w:p>
            <w:pPr>
              <w:adjustRightInd w:val="0"/>
              <w:snapToGrid w:val="0"/>
              <w:spacing w:line="240" w:lineRule="auto"/>
              <w:ind w:firstLine="0" w:firstLineChars="0"/>
              <w:jc w:val="center"/>
              <w:rPr>
                <w:szCs w:val="24"/>
              </w:rPr>
            </w:pPr>
            <w:r>
              <w:rPr>
                <w:rFonts w:hint="eastAsia"/>
                <w:szCs w:val="24"/>
              </w:rPr>
              <w:t>188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pPr>
              <w:adjustRightInd w:val="0"/>
              <w:snapToGrid w:val="0"/>
              <w:spacing w:line="240" w:lineRule="auto"/>
              <w:ind w:firstLine="0" w:firstLineChars="0"/>
              <w:jc w:val="center"/>
              <w:rPr>
                <w:szCs w:val="24"/>
              </w:rPr>
            </w:pPr>
            <w:r>
              <w:rPr>
                <w:szCs w:val="24"/>
              </w:rPr>
              <w:t>环保投资占比（%）</w:t>
            </w:r>
          </w:p>
        </w:tc>
        <w:tc>
          <w:tcPr>
            <w:tcW w:w="2731" w:type="dxa"/>
            <w:vAlign w:val="center"/>
          </w:tcPr>
          <w:p>
            <w:pPr>
              <w:adjustRightInd w:val="0"/>
              <w:snapToGrid w:val="0"/>
              <w:spacing w:line="240" w:lineRule="auto"/>
              <w:ind w:firstLine="0" w:firstLineChars="0"/>
              <w:jc w:val="center"/>
              <w:rPr>
                <w:szCs w:val="24"/>
              </w:rPr>
            </w:pPr>
            <w:r>
              <w:rPr>
                <w:rFonts w:hint="eastAsia"/>
                <w:szCs w:val="24"/>
              </w:rPr>
              <w:t>0.67</w:t>
            </w:r>
          </w:p>
        </w:tc>
        <w:tc>
          <w:tcPr>
            <w:tcW w:w="1470" w:type="dxa"/>
            <w:tcMar>
              <w:top w:w="16" w:type="dxa"/>
              <w:left w:w="16" w:type="dxa"/>
              <w:right w:w="16" w:type="dxa"/>
            </w:tcMar>
            <w:vAlign w:val="center"/>
          </w:tcPr>
          <w:p>
            <w:pPr>
              <w:adjustRightInd w:val="0"/>
              <w:snapToGrid w:val="0"/>
              <w:spacing w:line="240" w:lineRule="auto"/>
              <w:ind w:firstLine="0" w:firstLineChars="0"/>
              <w:jc w:val="center"/>
              <w:rPr>
                <w:szCs w:val="24"/>
              </w:rPr>
            </w:pPr>
            <w:r>
              <w:rPr>
                <w:szCs w:val="24"/>
              </w:rPr>
              <w:t>施工工期</w:t>
            </w:r>
          </w:p>
        </w:tc>
        <w:tc>
          <w:tcPr>
            <w:tcW w:w="2931" w:type="dxa"/>
            <w:vAlign w:val="center"/>
          </w:tcPr>
          <w:p>
            <w:pPr>
              <w:adjustRightInd w:val="0"/>
              <w:snapToGrid w:val="0"/>
              <w:spacing w:line="240" w:lineRule="auto"/>
              <w:ind w:firstLine="0" w:firstLineChars="0"/>
              <w:jc w:val="center"/>
              <w:rPr>
                <w:szCs w:val="24"/>
              </w:rPr>
            </w:pPr>
            <w:r>
              <w:rPr>
                <w:rFonts w:hint="eastAsia"/>
                <w:szCs w:val="24"/>
                <w:lang w:val="en-US" w:eastAsia="zh-CN"/>
              </w:rPr>
              <w:t>12</w:t>
            </w:r>
            <w:r>
              <w:rPr>
                <w:szCs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pPr>
              <w:adjustRightInd w:val="0"/>
              <w:snapToGrid w:val="0"/>
              <w:spacing w:line="240" w:lineRule="auto"/>
              <w:ind w:firstLine="0" w:firstLineChars="0"/>
              <w:jc w:val="center"/>
              <w:rPr>
                <w:szCs w:val="24"/>
              </w:rPr>
            </w:pPr>
            <w:r>
              <w:rPr>
                <w:szCs w:val="24"/>
              </w:rPr>
              <w:t>是否开工建设</w:t>
            </w:r>
          </w:p>
        </w:tc>
        <w:tc>
          <w:tcPr>
            <w:tcW w:w="2731" w:type="dxa"/>
            <w:vAlign w:val="center"/>
          </w:tcPr>
          <w:p>
            <w:pPr>
              <w:adjustRightInd w:val="0"/>
              <w:snapToGrid w:val="0"/>
              <w:spacing w:line="240" w:lineRule="auto"/>
              <w:ind w:firstLine="0" w:firstLineChars="0"/>
              <w:rPr>
                <w:szCs w:val="24"/>
              </w:rPr>
            </w:pPr>
            <w:r>
              <w:rPr>
                <w:rFonts w:cs="Times New Roman"/>
                <w:color w:val="000000" w:themeColor="text1"/>
                <w:szCs w:val="24"/>
                <w14:textFill>
                  <w14:solidFill>
                    <w14:schemeClr w14:val="tx1"/>
                  </w14:solidFill>
                </w14:textFill>
              </w:rPr>
              <w:sym w:font="Wingdings 2" w:char="0052"/>
            </w:r>
            <w:r>
              <w:rPr>
                <w:szCs w:val="24"/>
              </w:rPr>
              <w:t>否</w:t>
            </w:r>
          </w:p>
          <w:p>
            <w:pPr>
              <w:adjustRightInd w:val="0"/>
              <w:snapToGrid w:val="0"/>
              <w:spacing w:line="240" w:lineRule="auto"/>
              <w:ind w:firstLine="0" w:firstLineChars="0"/>
              <w:rPr>
                <w:szCs w:val="24"/>
              </w:rPr>
            </w:pPr>
            <w:r>
              <w:rPr>
                <w:rFonts w:cs="Times New Roman"/>
                <w:color w:val="000000" w:themeColor="text1"/>
                <w:szCs w:val="24"/>
                <w14:textFill>
                  <w14:solidFill>
                    <w14:schemeClr w14:val="tx1"/>
                  </w14:solidFill>
                </w14:textFill>
              </w:rPr>
              <w:sym w:font="Wingdings 2" w:char="00A3"/>
            </w:r>
            <w:r>
              <w:rPr>
                <w:szCs w:val="24"/>
              </w:rPr>
              <w:t>是</w:t>
            </w:r>
          </w:p>
        </w:tc>
        <w:tc>
          <w:tcPr>
            <w:tcW w:w="1470" w:type="dxa"/>
            <w:tcMar>
              <w:top w:w="16" w:type="dxa"/>
              <w:left w:w="16" w:type="dxa"/>
              <w:right w:w="16" w:type="dxa"/>
            </w:tcMar>
            <w:vAlign w:val="center"/>
          </w:tcPr>
          <w:p>
            <w:pPr>
              <w:adjustRightInd w:val="0"/>
              <w:snapToGrid w:val="0"/>
              <w:spacing w:line="240" w:lineRule="auto"/>
              <w:ind w:firstLine="0" w:firstLineChars="0"/>
              <w:jc w:val="center"/>
              <w:rPr>
                <w:spacing w:val="-6"/>
                <w:szCs w:val="24"/>
              </w:rPr>
            </w:pPr>
            <w:r>
              <w:rPr>
                <w:spacing w:val="-6"/>
                <w:szCs w:val="24"/>
              </w:rPr>
              <w:t>用地（用海）</w:t>
            </w:r>
          </w:p>
          <w:p>
            <w:pPr>
              <w:adjustRightInd w:val="0"/>
              <w:snapToGrid w:val="0"/>
              <w:spacing w:line="240" w:lineRule="auto"/>
              <w:ind w:firstLine="0" w:firstLineChars="0"/>
              <w:jc w:val="center"/>
              <w:rPr>
                <w:szCs w:val="24"/>
              </w:rPr>
            </w:pPr>
            <w:r>
              <w:rPr>
                <w:spacing w:val="-6"/>
                <w:szCs w:val="24"/>
              </w:rPr>
              <w:t>面积（m</w:t>
            </w:r>
            <w:r>
              <w:rPr>
                <w:spacing w:val="-6"/>
                <w:szCs w:val="24"/>
                <w:vertAlign w:val="superscript"/>
              </w:rPr>
              <w:t>2</w:t>
            </w:r>
            <w:r>
              <w:rPr>
                <w:spacing w:val="-6"/>
                <w:szCs w:val="24"/>
              </w:rPr>
              <w:t>）</w:t>
            </w:r>
          </w:p>
        </w:tc>
        <w:tc>
          <w:tcPr>
            <w:tcW w:w="2931" w:type="dxa"/>
            <w:vAlign w:val="center"/>
          </w:tcPr>
          <w:p>
            <w:pPr>
              <w:adjustRightInd w:val="0"/>
              <w:snapToGrid w:val="0"/>
              <w:spacing w:line="240" w:lineRule="auto"/>
              <w:ind w:firstLine="0" w:firstLineChars="0"/>
              <w:jc w:val="center"/>
              <w:rPr>
                <w:rFonts w:hint="default" w:eastAsia="宋体"/>
                <w:szCs w:val="24"/>
                <w:lang w:val="en-US" w:eastAsia="zh-CN"/>
              </w:rPr>
            </w:pPr>
            <w:r>
              <w:rPr>
                <w:szCs w:val="24"/>
              </w:rPr>
              <w:t>379</w:t>
            </w:r>
            <w:r>
              <w:rPr>
                <w:rFonts w:hint="eastAsia"/>
                <w:szCs w:val="24"/>
                <w:lang w:val="en-US" w:eastAsia="zh-CN"/>
              </w:rPr>
              <w:t>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88" w:type="dxa"/>
            <w:vAlign w:val="center"/>
          </w:tcPr>
          <w:p>
            <w:pPr>
              <w:autoSpaceDE w:val="0"/>
              <w:autoSpaceDN w:val="0"/>
              <w:adjustRightInd w:val="0"/>
              <w:snapToGrid w:val="0"/>
              <w:spacing w:line="240" w:lineRule="auto"/>
              <w:ind w:firstLine="0" w:firstLineChars="0"/>
              <w:jc w:val="center"/>
              <w:rPr>
                <w:kern w:val="0"/>
                <w:szCs w:val="24"/>
              </w:rPr>
            </w:pPr>
            <w:r>
              <w:rPr>
                <w:kern w:val="0"/>
                <w:szCs w:val="24"/>
              </w:rPr>
              <w:t>专项评价设置情况</w:t>
            </w:r>
          </w:p>
        </w:tc>
        <w:tc>
          <w:tcPr>
            <w:tcW w:w="7132" w:type="dxa"/>
            <w:gridSpan w:val="3"/>
            <w:vAlign w:val="center"/>
          </w:tcPr>
          <w:p>
            <w:pPr>
              <w:autoSpaceDE w:val="0"/>
              <w:autoSpaceDN w:val="0"/>
              <w:adjustRightInd w:val="0"/>
              <w:snapToGrid w:val="0"/>
              <w:spacing w:line="240" w:lineRule="auto"/>
              <w:ind w:firstLine="0" w:firstLineChars="0"/>
              <w:jc w:val="center"/>
              <w:rPr>
                <w:kern w:val="0"/>
                <w:szCs w:val="24"/>
              </w:rPr>
            </w:pPr>
            <w:r>
              <w:rPr>
                <w:kern w:val="0"/>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8" w:type="dxa"/>
            <w:vAlign w:val="center"/>
          </w:tcPr>
          <w:p>
            <w:pPr>
              <w:autoSpaceDE w:val="0"/>
              <w:autoSpaceDN w:val="0"/>
              <w:adjustRightInd w:val="0"/>
              <w:snapToGrid w:val="0"/>
              <w:spacing w:line="240" w:lineRule="auto"/>
              <w:ind w:firstLine="0" w:firstLineChars="0"/>
              <w:jc w:val="center"/>
              <w:rPr>
                <w:kern w:val="0"/>
                <w:szCs w:val="24"/>
              </w:rPr>
            </w:pPr>
            <w:r>
              <w:rPr>
                <w:szCs w:val="24"/>
              </w:rPr>
              <w:t>规划情况</w:t>
            </w:r>
          </w:p>
        </w:tc>
        <w:tc>
          <w:tcPr>
            <w:tcW w:w="7132" w:type="dxa"/>
            <w:gridSpan w:val="3"/>
            <w:vAlign w:val="center"/>
          </w:tcPr>
          <w:p>
            <w:pPr>
              <w:ind w:left="0" w:leftChars="0" w:firstLine="0" w:firstLineChars="0"/>
              <w:rPr>
                <w:szCs w:val="24"/>
              </w:rPr>
            </w:pPr>
            <w:bookmarkStart w:id="2" w:name="OLE_LINK6"/>
            <w:r>
              <w:t>《和静县工业园（一园三区）总体规划（20</w:t>
            </w:r>
            <w:r>
              <w:rPr>
                <w:rFonts w:hint="eastAsia"/>
              </w:rPr>
              <w:t>10</w:t>
            </w:r>
            <w:r>
              <w:t>-2030）》，</w:t>
            </w:r>
            <w:r>
              <w:rPr>
                <w:rFonts w:hint="eastAsia"/>
                <w:color w:val="000000"/>
              </w:rPr>
              <w:t>2010年10月28日经新疆维吾尔自治区人民政府批准《关于统一设立和静工业园区的批复》（新政函</w:t>
            </w:r>
            <w:r>
              <w:rPr>
                <w:rFonts w:hint="eastAsia"/>
              </w:rPr>
              <w:t>〔</w:t>
            </w:r>
            <w:r>
              <w:t>2010</w:t>
            </w:r>
            <w:r>
              <w:rPr>
                <w:rFonts w:hint="eastAsia"/>
              </w:rPr>
              <w:t>〕</w:t>
            </w:r>
            <w:r>
              <w:rPr>
                <w:rFonts w:hint="eastAsia"/>
                <w:color w:val="000000"/>
              </w:rPr>
              <w:t>253号）</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8" w:type="dxa"/>
            <w:vAlign w:val="center"/>
          </w:tcPr>
          <w:p>
            <w:pPr>
              <w:adjustRightInd w:val="0"/>
              <w:snapToGrid w:val="0"/>
              <w:spacing w:line="240" w:lineRule="auto"/>
              <w:ind w:firstLine="0" w:firstLineChars="0"/>
              <w:jc w:val="center"/>
              <w:rPr>
                <w:kern w:val="0"/>
                <w:szCs w:val="24"/>
              </w:rPr>
            </w:pPr>
            <w:r>
              <w:rPr>
                <w:szCs w:val="24"/>
              </w:rPr>
              <w:t>规划环境影响评价情况</w:t>
            </w:r>
          </w:p>
        </w:tc>
        <w:tc>
          <w:tcPr>
            <w:tcW w:w="7132" w:type="dxa"/>
            <w:gridSpan w:val="3"/>
            <w:vAlign w:val="center"/>
          </w:tcPr>
          <w:p>
            <w:pPr>
              <w:widowControl/>
              <w:ind w:left="0" w:leftChars="0" w:firstLine="0" w:firstLineChars="0"/>
              <w:jc w:val="left"/>
              <w:rPr>
                <w:kern w:val="0"/>
              </w:rPr>
            </w:pPr>
            <w:bookmarkStart w:id="3" w:name="OLE_LINK12"/>
            <w:r>
              <w:rPr>
                <w:rFonts w:hint="eastAsia"/>
              </w:rPr>
              <w:t>《和静工业园区总体规划（</w:t>
            </w:r>
            <w:r>
              <w:t>2013-2030</w:t>
            </w:r>
            <w:r>
              <w:rPr>
                <w:rFonts w:hint="eastAsia"/>
              </w:rPr>
              <w:t>）环境影响报告书》，《关于和静工业园区总体规划（</w:t>
            </w:r>
            <w:r>
              <w:t>2013-2030</w:t>
            </w:r>
            <w:r>
              <w:rPr>
                <w:rFonts w:hint="eastAsia"/>
              </w:rPr>
              <w:t>）环境影响报告书的审查意见》（新环函〔</w:t>
            </w:r>
            <w:r>
              <w:t>2016</w:t>
            </w:r>
            <w:r>
              <w:rPr>
                <w:rFonts w:hint="eastAsia"/>
              </w:rPr>
              <w:t>〕</w:t>
            </w:r>
            <w:r>
              <w:t>1323</w:t>
            </w:r>
            <w:r>
              <w:rPr>
                <w:rFonts w:hint="eastAsia"/>
              </w:rPr>
              <w:t>号）</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1288" w:type="dxa"/>
            <w:vAlign w:val="center"/>
          </w:tcPr>
          <w:p>
            <w:pPr>
              <w:autoSpaceDE w:val="0"/>
              <w:autoSpaceDN w:val="0"/>
              <w:adjustRightInd w:val="0"/>
              <w:snapToGrid w:val="0"/>
              <w:ind w:firstLine="0" w:firstLineChars="0"/>
              <w:rPr>
                <w:kern w:val="0"/>
                <w:szCs w:val="24"/>
              </w:rPr>
            </w:pPr>
            <w:r>
              <w:rPr>
                <w:kern w:val="0"/>
                <w:szCs w:val="24"/>
              </w:rPr>
              <w:t>规划及规划环境影响评价符合性分析</w:t>
            </w:r>
          </w:p>
        </w:tc>
        <w:tc>
          <w:tcPr>
            <w:tcW w:w="7132" w:type="dxa"/>
            <w:gridSpan w:val="3"/>
            <w:vAlign w:val="center"/>
          </w:tcPr>
          <w:p>
            <w:pPr>
              <w:pStyle w:val="24"/>
              <w:ind w:firstLine="482"/>
            </w:pPr>
            <w:r>
              <w:rPr>
                <w:rFonts w:hint="eastAsia"/>
              </w:rPr>
              <w:t>与《和静工业园区总体规划（2013-2030）环境影响评价报告书》符合性分析：</w:t>
            </w:r>
          </w:p>
          <w:p>
            <w:pPr>
              <w:ind w:firstLine="480"/>
            </w:pPr>
            <w:r>
              <w:rPr>
                <w:rFonts w:hint="eastAsia"/>
              </w:rPr>
              <w:t>和静工业园区的产业定位重点发展钢铁精深加工、清洁能源、文化旅游及农副产品加工业四大领域，致力于将和静打造成为全疆重要的钢铁精深加工基地、文化与生态旅游目的地的重要组成部分、南疆重要的清洁能源供应基地以及巴州特色农副产品生产与加工基地。额勒再特轻工业片区依托县域内农副产品优势，重点发展绿色有机食品、饮料制造业与畜产品深加工产业基地。</w:t>
            </w:r>
          </w:p>
          <w:p>
            <w:pPr>
              <w:ind w:firstLine="480"/>
            </w:pPr>
            <w:r>
              <w:rPr>
                <w:rFonts w:hint="eastAsia"/>
              </w:rPr>
              <w:t>本项目位于额勒再特工业片区，属于畜产品加工。项目用地为二类工业用地</w:t>
            </w:r>
            <w:r>
              <w:rPr>
                <w:rFonts w:hint="eastAsia"/>
                <w:lang w:eastAsia="zh-CN"/>
              </w:rPr>
              <w:t>，</w:t>
            </w:r>
            <w:r>
              <w:rPr>
                <w:rFonts w:hint="eastAsia"/>
              </w:rPr>
              <w:t>属于园区鼓励引进项目，符合园区的产业定位。</w:t>
            </w:r>
          </w:p>
          <w:p>
            <w:pPr>
              <w:pStyle w:val="24"/>
              <w:ind w:firstLine="482"/>
            </w:pPr>
            <w:r>
              <w:rPr>
                <w:rFonts w:hint="eastAsia"/>
              </w:rPr>
              <w:t>与《关于和静工业园区总体规划（2013-2030）环境影响报告书的审查意见》（新疆维吾尔自治区环境保护厅，新环函[2016]1323号）符合性分析：</w:t>
            </w:r>
          </w:p>
          <w:p>
            <w:pPr>
              <w:ind w:firstLine="480"/>
            </w:pPr>
            <w:r>
              <w:rPr>
                <w:rFonts w:hint="eastAsia"/>
              </w:rPr>
              <w:t>1、规划及产业布局合理性分析。规划形成一园三区，各片区根据环境功能及经济组成划分出不同的产业，通过统筹规划实现片区价值提升。和静工业园区额勒再特片区产业依托县域内农副产品优势，建设绿色有机食品、饮料制造业、畜</w:t>
            </w:r>
            <w:r>
              <w:rPr>
                <w:rFonts w:hint="eastAsia"/>
                <w:lang w:val="en-US" w:eastAsia="zh-CN"/>
              </w:rPr>
              <w:t>产</w:t>
            </w:r>
            <w:r>
              <w:rPr>
                <w:rFonts w:hint="eastAsia"/>
              </w:rPr>
              <w:t>品深加工产业基地。</w:t>
            </w:r>
            <w:r>
              <w:rPr>
                <w:rFonts w:hint="eastAsia"/>
                <w:lang w:eastAsia="zh-CN"/>
              </w:rPr>
              <w:t>本项目</w:t>
            </w:r>
            <w:r>
              <w:rPr>
                <w:rFonts w:hint="eastAsia"/>
              </w:rPr>
              <w:t>为非粮饲料加工，属于园区鼓励引进项目，位于园区适建区，符合园区</w:t>
            </w:r>
            <w:r>
              <w:rPr>
                <w:rFonts w:hint="eastAsia"/>
                <w:lang w:eastAsia="zh-CN"/>
              </w:rPr>
              <w:t>“</w:t>
            </w:r>
            <w:r>
              <w:rPr>
                <w:rFonts w:hint="eastAsia"/>
              </w:rPr>
              <w:t>五线</w:t>
            </w:r>
            <w:r>
              <w:rPr>
                <w:rFonts w:hint="eastAsia"/>
                <w:lang w:eastAsia="zh-CN"/>
              </w:rPr>
              <w:t>”</w:t>
            </w:r>
            <w:r>
              <w:rPr>
                <w:rFonts w:hint="eastAsia"/>
              </w:rPr>
              <w:t>规划控制要求。</w:t>
            </w:r>
          </w:p>
          <w:p>
            <w:pPr>
              <w:ind w:firstLine="480"/>
            </w:pPr>
            <w:r>
              <w:rPr>
                <w:rFonts w:hint="eastAsia"/>
              </w:rPr>
              <w:t>2、企业环境风险及入园准入条件分析。分析园区的建设及企业入驻的环境风险，掌握入驻企业的环境风险状况，根据环境特点，严格控制入园条件，控制园区污染和降低风险。</w:t>
            </w:r>
          </w:p>
          <w:p>
            <w:pPr>
              <w:ind w:firstLine="480"/>
            </w:pPr>
            <w:r>
              <w:rPr>
                <w:rFonts w:hint="eastAsia"/>
              </w:rPr>
              <w:t>本项目主要原辅料为天然植物与国家饲料添加剂目录中允许使用的菌种，无有毒有害物质，不会造成重大环境风险，符合园区准入条件。</w:t>
            </w:r>
          </w:p>
          <w:p>
            <w:pPr>
              <w:ind w:firstLine="480"/>
            </w:pPr>
            <w:r>
              <w:rPr>
                <w:rFonts w:hint="eastAsia"/>
              </w:rPr>
              <w:t>3、水环境分析。工业园区水资源的供给有保证。园区工业废水不外排，生活污水按各片区要求，达标回用绿化或外排。因此对水环境的影响既要充分体现节水原则，又要减缓发展所产生的水环境污染，经济合理地治理水污染，又要重视工业节水和废水的资源化利用。</w:t>
            </w:r>
          </w:p>
          <w:p>
            <w:pPr>
              <w:ind w:firstLine="480"/>
            </w:pPr>
            <w:r>
              <w:rPr>
                <w:rFonts w:hint="eastAsia"/>
              </w:rPr>
              <w:t>本项目的锅炉</w:t>
            </w:r>
            <w:r>
              <w:rPr>
                <w:rFonts w:hint="eastAsia"/>
                <w:lang w:val="en-US" w:eastAsia="zh-CN"/>
              </w:rPr>
              <w:t>废水</w:t>
            </w:r>
            <w:r>
              <w:rPr>
                <w:rFonts w:hint="eastAsia"/>
              </w:rPr>
              <w:t>和软水制备废水排入园区污水管网，生活污水经化粪池处理后排入园区污水管网，符合园区的水资源规划。</w:t>
            </w:r>
          </w:p>
          <w:p>
            <w:pPr>
              <w:ind w:firstLine="480"/>
            </w:pPr>
            <w:r>
              <w:rPr>
                <w:rFonts w:hint="eastAsia"/>
              </w:rPr>
              <w:t>4、大气环境影响分析。分析区域内环境空气的容量、维护区域环境功能，分析规划项目大气污染物排放对周围环境的影响。</w:t>
            </w:r>
          </w:p>
          <w:p>
            <w:pPr>
              <w:ind w:firstLine="480"/>
            </w:pPr>
            <w:r>
              <w:rPr>
                <w:rFonts w:hint="eastAsia"/>
                <w:lang w:eastAsia="zh-CN"/>
              </w:rPr>
              <w:t>本项目</w:t>
            </w:r>
            <w:r>
              <w:rPr>
                <w:rFonts w:hint="eastAsia"/>
              </w:rPr>
              <w:t>主要大气污染物质为</w:t>
            </w:r>
            <w:r>
              <w:rPr>
                <w:rFonts w:hint="eastAsia"/>
                <w:lang w:val="en-US" w:eastAsia="zh-CN"/>
              </w:rPr>
              <w:t>粉尘</w:t>
            </w:r>
            <w:r>
              <w:rPr>
                <w:rFonts w:hint="eastAsia"/>
              </w:rPr>
              <w:t>和锅炉烟尘，通过除尘器、洒水、绿化、锅炉加装低氮燃烧器等措施后，大气污染物均可达标排放。</w:t>
            </w:r>
          </w:p>
          <w:p>
            <w:pPr>
              <w:ind w:firstLine="480"/>
            </w:pPr>
            <w:r>
              <w:rPr>
                <w:rFonts w:hint="eastAsia"/>
              </w:rPr>
              <w:t>5、土壤、地下水影响分析。防治地下水及土壤污染。</w:t>
            </w:r>
          </w:p>
          <w:p>
            <w:pPr>
              <w:ind w:firstLine="480"/>
            </w:pPr>
            <w:r>
              <w:rPr>
                <w:rFonts w:hint="eastAsia"/>
                <w:lang w:eastAsia="zh-CN"/>
              </w:rPr>
              <w:t>本项目</w:t>
            </w:r>
            <w:r>
              <w:rPr>
                <w:rFonts w:hint="eastAsia"/>
                <w:lang w:val="en-US" w:eastAsia="zh-CN"/>
              </w:rPr>
              <w:t>进行分区防渗</w:t>
            </w:r>
            <w:r>
              <w:rPr>
                <w:rFonts w:hint="eastAsia"/>
              </w:rPr>
              <w:t>，生产过程在厂房内进行，</w:t>
            </w:r>
            <w:r>
              <w:rPr>
                <w:rFonts w:hint="eastAsia"/>
                <w:lang w:val="en-US" w:eastAsia="zh-CN"/>
              </w:rPr>
              <w:t>有效切断了</w:t>
            </w:r>
            <w:r>
              <w:rPr>
                <w:rFonts w:hint="eastAsia"/>
              </w:rPr>
              <w:t>土壤、地下水污染</w:t>
            </w:r>
            <w:r>
              <w:rPr>
                <w:rFonts w:hint="eastAsia"/>
                <w:lang w:val="en-US" w:eastAsia="zh-CN"/>
              </w:rPr>
              <w:t>途径</w:t>
            </w:r>
            <w:r>
              <w:rPr>
                <w:rFonts w:hint="eastAsia"/>
              </w:rPr>
              <w:t>。</w:t>
            </w:r>
          </w:p>
          <w:p>
            <w:pPr>
              <w:ind w:firstLine="480"/>
            </w:pPr>
            <w:r>
              <w:t>6、</w:t>
            </w:r>
            <w:r>
              <w:rPr>
                <w:rFonts w:hint="eastAsia"/>
              </w:rPr>
              <w:t>固体废弃物影响分析。针对目前现有企业产生的废渣，临时堆场、尾矿库等，分析其堆存的可行可靠性、渣场风险，对周边环境的影响，特别对周边地质、地下水产生的影响。</w:t>
            </w:r>
          </w:p>
          <w:p>
            <w:pPr>
              <w:ind w:firstLine="480"/>
            </w:pPr>
            <w:r>
              <w:rPr>
                <w:rFonts w:hint="eastAsia"/>
                <w:lang w:val="en-US" w:eastAsia="zh-CN"/>
              </w:rPr>
              <w:t>本项目生产过程</w:t>
            </w:r>
            <w:r>
              <w:t>产生的颗粒物经</w:t>
            </w:r>
            <w:r>
              <w:rPr>
                <w:rFonts w:hint="eastAsia"/>
              </w:rPr>
              <w:t>除尘器</w:t>
            </w:r>
            <w:r>
              <w:t>收集后</w:t>
            </w:r>
            <w:r>
              <w:rPr>
                <w:rFonts w:hint="eastAsia"/>
                <w:lang w:val="en-US" w:eastAsia="zh-CN"/>
              </w:rPr>
              <w:t>回用于生产线</w:t>
            </w:r>
            <w:r>
              <w:t>，</w:t>
            </w:r>
            <w:r>
              <w:rPr>
                <w:rFonts w:hint="eastAsia"/>
                <w:lang w:val="en-US" w:eastAsia="zh-CN"/>
              </w:rPr>
              <w:t>使用的废旧布袋由厂家回收处置，</w:t>
            </w:r>
            <w:r>
              <w:rPr>
                <w:rFonts w:hint="eastAsia"/>
                <w:bCs/>
              </w:rPr>
              <w:t>软水制备</w:t>
            </w:r>
            <w:r>
              <w:rPr>
                <w:rFonts w:hint="eastAsia"/>
                <w:bCs/>
                <w:lang w:val="en-US" w:eastAsia="zh-CN"/>
              </w:rPr>
              <w:t>使用的</w:t>
            </w:r>
            <w:r>
              <w:rPr>
                <w:rFonts w:hint="eastAsia"/>
                <w:bCs/>
              </w:rPr>
              <w:t>离子交换树脂</w:t>
            </w:r>
            <w:r>
              <w:rPr>
                <w:rFonts w:hint="eastAsia"/>
                <w:lang w:val="en-US" w:eastAsia="zh-CN"/>
              </w:rPr>
              <w:t>由厂家回收处置，</w:t>
            </w:r>
            <w:r>
              <w:rPr>
                <w:rFonts w:hint="default" w:ascii="Times New Roman" w:hAnsi="Times New Roman" w:eastAsia="宋体" w:cs="Times New Roman"/>
                <w:lang w:val="en-US" w:eastAsia="zh-CN"/>
              </w:rPr>
              <w:t>清筛工序</w:t>
            </w:r>
            <w:r>
              <w:rPr>
                <w:rFonts w:hint="eastAsia" w:ascii="Times New Roman" w:hAnsi="Times New Roman" w:eastAsia="宋体" w:cs="Times New Roman"/>
                <w:lang w:val="en-US" w:eastAsia="zh-CN"/>
              </w:rPr>
              <w:t>、除铁工序产生的铁等可回收物品回收至收购站，不可回收物为塑料等普通生活垃圾，与生活垃圾一同</w:t>
            </w:r>
            <w:r>
              <w:rPr>
                <w:rFonts w:ascii="Times New Roman" w:hAnsi="Times New Roman" w:eastAsia="宋体" w:cs="Times New Roman"/>
              </w:rPr>
              <w:t>交由环卫部门统一清运</w:t>
            </w:r>
            <w:r>
              <w:rPr>
                <w:rFonts w:hint="eastAsia" w:ascii="Times New Roman" w:hAnsi="Times New Roman" w:eastAsia="宋体" w:cs="Times New Roman"/>
                <w:lang w:eastAsia="zh-CN"/>
              </w:rPr>
              <w:t>。</w:t>
            </w:r>
            <w:r>
              <w:rPr>
                <w:rFonts w:hint="eastAsia"/>
                <w:lang w:val="en-US" w:eastAsia="zh-CN"/>
              </w:rPr>
              <w:t>化粪池污泥定期由吸污车清掏，拉运至污水处理厂进行脱水处置，干化后的污泥最终进入生活垃圾场填埋处置；</w:t>
            </w:r>
            <w:r>
              <w:rPr>
                <w:rFonts w:hint="eastAsia"/>
              </w:rPr>
              <w:t>设备维护保养过程产生的</w:t>
            </w:r>
            <w:r>
              <w:rPr>
                <w:rFonts w:hint="eastAsia"/>
                <w:lang w:val="en-US" w:eastAsia="zh-CN"/>
              </w:rPr>
              <w:t>废润滑油，</w:t>
            </w:r>
            <w:r>
              <w:t>临时储存在危险废物</w:t>
            </w:r>
            <w:r>
              <w:rPr>
                <w:rFonts w:hint="eastAsia"/>
                <w:lang w:val="en-US" w:eastAsia="zh-CN"/>
              </w:rPr>
              <w:t>贮存库</w:t>
            </w:r>
            <w:r>
              <w:t>内，委托有资质单位定期回收</w:t>
            </w:r>
            <w:r>
              <w:rPr>
                <w:rFonts w:hint="eastAsia"/>
              </w:rPr>
              <w:t>处置</w:t>
            </w:r>
            <w:r>
              <w:rPr>
                <w:rFonts w:hint="eastAsia"/>
                <w:lang w:eastAsia="zh-CN"/>
              </w:rPr>
              <w:t>。</w:t>
            </w:r>
          </w:p>
          <w:p>
            <w:pPr>
              <w:ind w:firstLine="480"/>
            </w:pPr>
            <w:r>
              <w:rPr>
                <w:rFonts w:hint="eastAsia"/>
              </w:rPr>
              <w:t>综上，本项目符合园区规划环境影响评价。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88" w:type="dxa"/>
            <w:vAlign w:val="center"/>
          </w:tcPr>
          <w:p>
            <w:pPr>
              <w:autoSpaceDE w:val="0"/>
              <w:autoSpaceDN w:val="0"/>
              <w:adjustRightInd w:val="0"/>
              <w:snapToGrid w:val="0"/>
              <w:ind w:firstLine="0" w:firstLineChars="0"/>
              <w:rPr>
                <w:kern w:val="0"/>
                <w:szCs w:val="24"/>
              </w:rPr>
            </w:pPr>
            <w:r>
              <w:rPr>
                <w:kern w:val="0"/>
                <w:szCs w:val="24"/>
              </w:rPr>
              <w:t>其他符合性分析</w:t>
            </w:r>
          </w:p>
        </w:tc>
        <w:tc>
          <w:tcPr>
            <w:tcW w:w="7132" w:type="dxa"/>
            <w:gridSpan w:val="3"/>
            <w:vAlign w:val="center"/>
          </w:tcPr>
          <w:p>
            <w:pPr>
              <w:pStyle w:val="24"/>
              <w:numPr>
                <w:ilvl w:val="0"/>
                <w:numId w:val="2"/>
              </w:numPr>
              <w:ind w:firstLine="0" w:firstLineChars="0"/>
            </w:pPr>
            <w:r>
              <w:t>本项目与新疆维吾尔自治区</w:t>
            </w:r>
            <w:r>
              <w:rPr>
                <w:rFonts w:hint="eastAsia"/>
                <w:lang w:eastAsia="zh-CN"/>
              </w:rPr>
              <w:t>“生态环境分区管控”</w:t>
            </w:r>
            <w:r>
              <w:t>符合性分析</w:t>
            </w:r>
          </w:p>
          <w:p>
            <w:pPr>
              <w:pStyle w:val="8"/>
              <w:numPr>
                <w:ilvl w:val="0"/>
                <w:numId w:val="0"/>
              </w:numPr>
              <w:ind w:firstLine="480" w:firstLineChars="200"/>
            </w:pPr>
            <w:r>
              <w:rPr>
                <w:rFonts w:hint="eastAsia" w:ascii="Times New Roman" w:hAnsi="Times New Roman" w:eastAsia="宋体" w:cs="Times New Roman"/>
                <w:kern w:val="2"/>
                <w:sz w:val="24"/>
                <w:szCs w:val="21"/>
                <w:lang w:val="en-US" w:eastAsia="zh-CN" w:bidi="ar-SA"/>
              </w:rPr>
              <w:t>项目与《新疆维吾尔自治区生态环境分区管控动态更新成果》（新环环评发〔2024〕157号）相符性分析见表1-1。</w:t>
            </w:r>
          </w:p>
          <w:p>
            <w:pPr>
              <w:pStyle w:val="23"/>
            </w:pPr>
            <w:r>
              <w:t>表</w:t>
            </w:r>
            <w:r>
              <w:rPr>
                <w:rFonts w:hint="eastAsia"/>
                <w:lang w:val="en-US" w:eastAsia="zh-CN"/>
              </w:rPr>
              <w:t>1-1</w:t>
            </w:r>
            <w:r>
              <w:t xml:space="preserve">  </w:t>
            </w:r>
            <w:r>
              <w:rPr>
                <w:rFonts w:hint="eastAsia"/>
              </w:rPr>
              <w:t xml:space="preserve"> </w:t>
            </w:r>
            <w:r>
              <w:t>与新疆维吾尔自治区</w:t>
            </w:r>
            <w:r>
              <w:rPr>
                <w:rFonts w:hint="eastAsia"/>
                <w:lang w:eastAsia="zh-CN"/>
              </w:rPr>
              <w:t>“生态环境分区管控”</w:t>
            </w:r>
            <w:r>
              <w:t>符合性分析</w:t>
            </w:r>
          </w:p>
          <w:tbl>
            <w:tblPr>
              <w:tblStyle w:val="27"/>
              <w:tblW w:w="68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76"/>
              <w:gridCol w:w="432"/>
              <w:gridCol w:w="433"/>
              <w:gridCol w:w="3089"/>
              <w:gridCol w:w="1763"/>
              <w:gridCol w:w="39"/>
              <w:gridCol w:w="4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97" w:hRule="atLeast"/>
                <w:jc w:val="center"/>
              </w:trPr>
              <w:tc>
                <w:tcPr>
                  <w:tcW w:w="490" w:type="pct"/>
                  <w:tcBorders>
                    <w:tl2br w:val="nil"/>
                    <w:tr2bl w:val="nil"/>
                  </w:tcBorders>
                  <w:vAlign w:val="center"/>
                </w:tcPr>
                <w:p>
                  <w:pPr>
                    <w:pStyle w:val="70"/>
                  </w:pPr>
                  <w:r>
                    <w:t>名称</w:t>
                  </w:r>
                </w:p>
              </w:tc>
              <w:tc>
                <w:tcPr>
                  <w:tcW w:w="2868" w:type="pct"/>
                  <w:gridSpan w:val="3"/>
                  <w:tcBorders>
                    <w:tl2br w:val="nil"/>
                    <w:tr2bl w:val="nil"/>
                  </w:tcBorders>
                  <w:vAlign w:val="center"/>
                </w:tcPr>
                <w:p>
                  <w:pPr>
                    <w:pStyle w:val="70"/>
                  </w:pPr>
                  <w:r>
                    <w:t>管控要求</w:t>
                  </w:r>
                </w:p>
              </w:tc>
              <w:tc>
                <w:tcPr>
                  <w:tcW w:w="1279" w:type="pct"/>
                  <w:tcBorders>
                    <w:tl2br w:val="nil"/>
                    <w:tr2bl w:val="nil"/>
                  </w:tcBorders>
                  <w:vAlign w:val="center"/>
                </w:tcPr>
                <w:p>
                  <w:pPr>
                    <w:pStyle w:val="70"/>
                  </w:pPr>
                  <w:r>
                    <w:t>本项目相关内容</w:t>
                  </w:r>
                </w:p>
              </w:tc>
              <w:tc>
                <w:tcPr>
                  <w:tcW w:w="362" w:type="pct"/>
                  <w:gridSpan w:val="2"/>
                  <w:tcBorders>
                    <w:tl2br w:val="nil"/>
                    <w:tr2bl w:val="nil"/>
                  </w:tcBorders>
                  <w:vAlign w:val="center"/>
                </w:tcPr>
                <w:p>
                  <w:pPr>
                    <w:pStyle w:val="70"/>
                  </w:pPr>
                  <w: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97" w:hRule="atLeast"/>
                <w:jc w:val="center"/>
              </w:trPr>
              <w:tc>
                <w:tcPr>
                  <w:tcW w:w="490" w:type="pct"/>
                  <w:vMerge w:val="restart"/>
                  <w:tcBorders>
                    <w:tl2br w:val="nil"/>
                    <w:tr2bl w:val="nil"/>
                  </w:tcBorders>
                  <w:vAlign w:val="center"/>
                </w:tcPr>
                <w:p>
                  <w:pPr>
                    <w:pStyle w:val="70"/>
                  </w:pPr>
                  <w:r>
                    <w:t>《新疆维吾尔自治区</w:t>
                  </w:r>
                  <w:r>
                    <w:rPr>
                      <w:rFonts w:hint="eastAsia"/>
                      <w:lang w:eastAsia="zh-CN"/>
                    </w:rPr>
                    <w:t>“生态环境分区管控”</w:t>
                  </w:r>
                  <w:r>
                    <w:t>生态环境分区管控方案》</w:t>
                  </w:r>
                </w:p>
              </w:tc>
              <w:tc>
                <w:tcPr>
                  <w:tcW w:w="627" w:type="pct"/>
                  <w:gridSpan w:val="2"/>
                  <w:tcBorders>
                    <w:tl2br w:val="nil"/>
                    <w:tr2bl w:val="nil"/>
                  </w:tcBorders>
                  <w:vAlign w:val="center"/>
                </w:tcPr>
                <w:p>
                  <w:pPr>
                    <w:pStyle w:val="70"/>
                  </w:pPr>
                  <w:r>
                    <w:t>生态保护红线</w:t>
                  </w:r>
                </w:p>
              </w:tc>
              <w:tc>
                <w:tcPr>
                  <w:tcW w:w="2241" w:type="pct"/>
                  <w:tcBorders>
                    <w:tl2br w:val="nil"/>
                    <w:tr2bl w:val="nil"/>
                  </w:tcBorders>
                  <w:vAlign w:val="center"/>
                </w:tcPr>
                <w:p>
                  <w:pPr>
                    <w:pStyle w:val="70"/>
                  </w:pPr>
                  <w:r>
                    <w:t>按照</w:t>
                  </w:r>
                  <w:r>
                    <w:rPr>
                      <w:rFonts w:hint="eastAsia"/>
                      <w:lang w:eastAsia="zh-CN"/>
                    </w:rPr>
                    <w:t>“</w:t>
                  </w:r>
                  <w:r>
                    <w:t>生态功能不降低、面积不减少、性质不改变</w:t>
                  </w:r>
                  <w:r>
                    <w:rPr>
                      <w:rFonts w:hint="eastAsia"/>
                      <w:lang w:eastAsia="zh-CN"/>
                    </w:rPr>
                    <w:t>”</w:t>
                  </w:r>
                  <w:r>
                    <w:t>的基本要求，对划定的生态保护红线实施严格管控，保障和维护国家生态安全的底线和生命线</w:t>
                  </w:r>
                </w:p>
              </w:tc>
              <w:tc>
                <w:tcPr>
                  <w:tcW w:w="1279" w:type="pct"/>
                  <w:tcBorders>
                    <w:tl2br w:val="nil"/>
                    <w:tr2bl w:val="nil"/>
                  </w:tcBorders>
                  <w:vAlign w:val="center"/>
                </w:tcPr>
                <w:p>
                  <w:pPr>
                    <w:pStyle w:val="70"/>
                    <w:rPr>
                      <w:rFonts w:hint="eastAsia" w:eastAsia="宋体"/>
                      <w:lang w:eastAsia="zh-CN"/>
                    </w:rPr>
                  </w:pPr>
                  <w:r>
                    <w:t>本项目不在生态保护红线范围内</w:t>
                  </w:r>
                  <w:r>
                    <w:rPr>
                      <w:rFonts w:hint="eastAsia"/>
                      <w:lang w:eastAsia="zh-CN"/>
                    </w:rPr>
                    <w:t>。</w:t>
                  </w:r>
                </w:p>
              </w:tc>
              <w:tc>
                <w:tcPr>
                  <w:tcW w:w="362" w:type="pct"/>
                  <w:gridSpan w:val="2"/>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97" w:hRule="atLeast"/>
                <w:jc w:val="center"/>
              </w:trPr>
              <w:tc>
                <w:tcPr>
                  <w:tcW w:w="490" w:type="pct"/>
                  <w:vMerge w:val="continue"/>
                  <w:tcBorders>
                    <w:tl2br w:val="nil"/>
                    <w:tr2bl w:val="nil"/>
                  </w:tcBorders>
                  <w:vAlign w:val="center"/>
                </w:tcPr>
                <w:p>
                  <w:pPr>
                    <w:pStyle w:val="70"/>
                  </w:pPr>
                </w:p>
              </w:tc>
              <w:tc>
                <w:tcPr>
                  <w:tcW w:w="627" w:type="pct"/>
                  <w:gridSpan w:val="2"/>
                  <w:tcBorders>
                    <w:tl2br w:val="nil"/>
                    <w:tr2bl w:val="nil"/>
                  </w:tcBorders>
                  <w:vAlign w:val="center"/>
                </w:tcPr>
                <w:p>
                  <w:pPr>
                    <w:pStyle w:val="70"/>
                  </w:pPr>
                  <w:r>
                    <w:t>环境质量底线</w:t>
                  </w:r>
                </w:p>
              </w:tc>
              <w:tc>
                <w:tcPr>
                  <w:tcW w:w="2241" w:type="pct"/>
                  <w:tcBorders>
                    <w:tl2br w:val="nil"/>
                    <w:tr2bl w:val="nil"/>
                  </w:tcBorders>
                  <w:vAlign w:val="center"/>
                </w:tcPr>
                <w:p>
                  <w:pPr>
                    <w:pStyle w:val="70"/>
                  </w:pPr>
                  <w:r>
                    <w:t>全区水环境质量持续改善，受污染地表水体得到优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1279" w:type="pct"/>
                  <w:tcBorders>
                    <w:tl2br w:val="nil"/>
                    <w:tr2bl w:val="nil"/>
                  </w:tcBorders>
                  <w:vAlign w:val="center"/>
                </w:tcPr>
                <w:p>
                  <w:pPr>
                    <w:pStyle w:val="70"/>
                  </w:pPr>
                  <w:r>
                    <w:rPr>
                      <w:rFonts w:hint="eastAsia"/>
                      <w:color w:val="auto"/>
                    </w:rPr>
                    <w:t>本项目产生</w:t>
                  </w:r>
                  <w:r>
                    <w:rPr>
                      <w:rFonts w:hint="eastAsia"/>
                      <w:color w:val="auto"/>
                      <w:lang w:val="en-US" w:eastAsia="zh-CN"/>
                    </w:rPr>
                    <w:t>废水主要为生产</w:t>
                  </w:r>
                  <w:r>
                    <w:rPr>
                      <w:rFonts w:hint="eastAsia"/>
                      <w:color w:val="auto"/>
                    </w:rPr>
                    <w:t>废水和生活废水。锅炉</w:t>
                  </w:r>
                  <w:r>
                    <w:rPr>
                      <w:rFonts w:hint="eastAsia"/>
                      <w:color w:val="auto"/>
                      <w:lang w:val="en-US" w:eastAsia="zh-CN"/>
                    </w:rPr>
                    <w:t>废水</w:t>
                  </w:r>
                  <w:r>
                    <w:rPr>
                      <w:rFonts w:hint="eastAsia"/>
                      <w:color w:val="auto"/>
                    </w:rPr>
                    <w:t>和软水制备废水排入园区污水管网</w:t>
                  </w:r>
                  <w:r>
                    <w:rPr>
                      <w:rFonts w:hint="eastAsia"/>
                    </w:rPr>
                    <w:t>；运营期生活污水排入防渗化粪池收集（18</w:t>
                  </w:r>
                  <w:r>
                    <w:t>m</w:t>
                  </w:r>
                  <w:r>
                    <w:rPr>
                      <w:rFonts w:hint="eastAsia"/>
                      <w:vertAlign w:val="superscript"/>
                    </w:rPr>
                    <w:t>3</w:t>
                  </w:r>
                  <w:r>
                    <w:rPr>
                      <w:rFonts w:hint="eastAsia"/>
                    </w:rPr>
                    <w:t>）预处理后排入园区下水管网最终排入和静县污水处理厂处置</w:t>
                  </w:r>
                  <w:r>
                    <w:t>，不会造成地表水污染。运营期大气污染物采取相应措施后能够满足相关排放要求，对周边环境影响可接受。</w:t>
                  </w:r>
                </w:p>
              </w:tc>
              <w:tc>
                <w:tcPr>
                  <w:tcW w:w="362" w:type="pct"/>
                  <w:gridSpan w:val="2"/>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97" w:hRule="atLeast"/>
                <w:jc w:val="center"/>
              </w:trPr>
              <w:tc>
                <w:tcPr>
                  <w:tcW w:w="490" w:type="pct"/>
                  <w:vMerge w:val="continue"/>
                  <w:tcBorders>
                    <w:tl2br w:val="nil"/>
                    <w:tr2bl w:val="nil"/>
                  </w:tcBorders>
                  <w:vAlign w:val="center"/>
                </w:tcPr>
                <w:p>
                  <w:pPr>
                    <w:pStyle w:val="70"/>
                  </w:pPr>
                </w:p>
              </w:tc>
              <w:tc>
                <w:tcPr>
                  <w:tcW w:w="627" w:type="pct"/>
                  <w:gridSpan w:val="2"/>
                  <w:tcBorders>
                    <w:tl2br w:val="nil"/>
                    <w:tr2bl w:val="nil"/>
                  </w:tcBorders>
                  <w:vAlign w:val="center"/>
                </w:tcPr>
                <w:p>
                  <w:pPr>
                    <w:pStyle w:val="70"/>
                  </w:pPr>
                  <w:r>
                    <w:t>资源利用上线</w:t>
                  </w:r>
                </w:p>
              </w:tc>
              <w:tc>
                <w:tcPr>
                  <w:tcW w:w="2241" w:type="pct"/>
                  <w:tcBorders>
                    <w:tl2br w:val="nil"/>
                    <w:tr2bl w:val="nil"/>
                  </w:tcBorders>
                  <w:vAlign w:val="center"/>
                </w:tcPr>
                <w:p>
                  <w:pPr>
                    <w:pStyle w:val="70"/>
                  </w:pPr>
                  <w:r>
                    <w:t>强化节约集约利用，持续提升资源能源利用效率，水资源、土地资源、能源消耗等达到国家、自治区下达的总量和强度控制目标</w:t>
                  </w:r>
                </w:p>
              </w:tc>
              <w:tc>
                <w:tcPr>
                  <w:tcW w:w="1279" w:type="pct"/>
                  <w:tcBorders>
                    <w:tl2br w:val="nil"/>
                    <w:tr2bl w:val="nil"/>
                  </w:tcBorders>
                  <w:vAlign w:val="center"/>
                </w:tcPr>
                <w:p>
                  <w:pPr>
                    <w:pStyle w:val="70"/>
                  </w:pPr>
                  <w:r>
                    <w:t>本项目主要利用资源为生产、生活用水及生活用电，本项目用水量及耗电量较小，占地面积较小，对区域水资源、土地资源、能源消耗较小，不会超过资源利用上线</w:t>
                  </w:r>
                </w:p>
              </w:tc>
              <w:tc>
                <w:tcPr>
                  <w:tcW w:w="362" w:type="pct"/>
                  <w:gridSpan w:val="2"/>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97" w:hRule="atLeast"/>
                <w:jc w:val="center"/>
              </w:trPr>
              <w:tc>
                <w:tcPr>
                  <w:tcW w:w="490" w:type="pct"/>
                  <w:vMerge w:val="continue"/>
                  <w:tcBorders>
                    <w:tl2br w:val="nil"/>
                    <w:tr2bl w:val="nil"/>
                  </w:tcBorders>
                  <w:vAlign w:val="center"/>
                </w:tcPr>
                <w:p>
                  <w:pPr>
                    <w:pStyle w:val="70"/>
                  </w:pPr>
                </w:p>
              </w:tc>
              <w:tc>
                <w:tcPr>
                  <w:tcW w:w="313" w:type="pct"/>
                  <w:tcBorders>
                    <w:tl2br w:val="nil"/>
                    <w:tr2bl w:val="nil"/>
                  </w:tcBorders>
                  <w:vAlign w:val="center"/>
                </w:tcPr>
                <w:p>
                  <w:pPr>
                    <w:pStyle w:val="70"/>
                  </w:pPr>
                  <w:r>
                    <w:t>环境管控单元</w:t>
                  </w:r>
                </w:p>
              </w:tc>
              <w:tc>
                <w:tcPr>
                  <w:tcW w:w="314" w:type="pct"/>
                  <w:tcBorders>
                    <w:tl2br w:val="nil"/>
                    <w:tr2bl w:val="nil"/>
                  </w:tcBorders>
                  <w:vAlign w:val="center"/>
                </w:tcPr>
                <w:p>
                  <w:pPr>
                    <w:pStyle w:val="70"/>
                    <w:rPr>
                      <w:rFonts w:hint="eastAsia" w:eastAsia="宋体"/>
                      <w:lang w:val="en-US" w:eastAsia="zh-CN"/>
                    </w:rPr>
                  </w:pPr>
                  <w:r>
                    <w:rPr>
                      <w:rFonts w:cs="Times New Roman"/>
                      <w:sz w:val="21"/>
                      <w:szCs w:val="21"/>
                    </w:rPr>
                    <w:t>本项目属于重点管控单</w:t>
                  </w:r>
                  <w:r>
                    <w:rPr>
                      <w:rFonts w:hint="eastAsia" w:cs="Times New Roman"/>
                      <w:sz w:val="21"/>
                      <w:szCs w:val="21"/>
                      <w:lang w:val="en-US" w:eastAsia="zh-CN"/>
                    </w:rPr>
                    <w:t>元</w:t>
                  </w:r>
                </w:p>
              </w:tc>
              <w:tc>
                <w:tcPr>
                  <w:tcW w:w="2241" w:type="pct"/>
                  <w:tcBorders>
                    <w:tl2br w:val="nil"/>
                    <w:tr2bl w:val="nil"/>
                  </w:tcBorders>
                  <w:vAlign w:val="center"/>
                </w:tcPr>
                <w:p>
                  <w:pPr>
                    <w:pStyle w:val="70"/>
                  </w:pPr>
                  <w:r>
                    <w:t>自治区划定环境管控单元，分为优先保护单元、重点管控单元和一般管控单元三类，实施分类管控。重点管控单元主要针对环境质量是否达标以及经济社会发展水平等因素，制定差别化的生态环境准入要求，对环境质量不达标区域，提出污染物削减比例要求，对环境质量达标区域，提出允许排放量建议指标</w:t>
                  </w:r>
                </w:p>
              </w:tc>
              <w:tc>
                <w:tcPr>
                  <w:tcW w:w="1307" w:type="pct"/>
                  <w:gridSpan w:val="2"/>
                  <w:tcBorders>
                    <w:tl2br w:val="nil"/>
                    <w:tr2bl w:val="nil"/>
                  </w:tcBorders>
                  <w:vAlign w:val="center"/>
                </w:tcPr>
                <w:p>
                  <w:pPr>
                    <w:pStyle w:val="70"/>
                  </w:pPr>
                  <w:r>
                    <w:t>本工程实施后通过采取完善的污染治理措施，不会对周围大气环境、地表水环境、声环境、地下水、土壤环境产生明显影响</w:t>
                  </w:r>
                </w:p>
              </w:tc>
              <w:tc>
                <w:tcPr>
                  <w:tcW w:w="333" w:type="pct"/>
                  <w:tcBorders>
                    <w:tl2br w:val="nil"/>
                    <w:tr2bl w:val="nil"/>
                  </w:tcBorders>
                  <w:vAlign w:val="center"/>
                </w:tcPr>
                <w:p>
                  <w:pPr>
                    <w:pStyle w:val="70"/>
                  </w:pPr>
                  <w:r>
                    <w:t>符合</w:t>
                  </w:r>
                </w:p>
              </w:tc>
            </w:tr>
          </w:tbl>
          <w:p>
            <w:pPr>
              <w:adjustRightInd w:val="0"/>
              <w:spacing w:before="163" w:beforeLines="50" w:line="240" w:lineRule="auto"/>
              <w:ind w:firstLine="0" w:firstLineChars="0"/>
              <w:jc w:val="center"/>
              <w:textAlignment w:val="baseline"/>
            </w:pPr>
            <w:r>
              <w:rPr>
                <w:rFonts w:hint="eastAsia" w:cs="Times New Roman"/>
                <w:b/>
                <w:kern w:val="0"/>
                <w:sz w:val="21"/>
                <w:szCs w:val="20"/>
              </w:rPr>
              <w:t>表</w:t>
            </w:r>
            <w:r>
              <w:rPr>
                <w:rFonts w:hint="eastAsia" w:cs="Times New Roman"/>
                <w:b/>
                <w:kern w:val="0"/>
                <w:sz w:val="21"/>
                <w:szCs w:val="20"/>
                <w:lang w:val="en-US" w:eastAsia="zh-CN"/>
              </w:rPr>
              <w:t>1-2  本项目</w:t>
            </w:r>
            <w:r>
              <w:rPr>
                <w:rFonts w:hint="eastAsia" w:cs="Times New Roman"/>
                <w:b/>
                <w:kern w:val="0"/>
                <w:sz w:val="21"/>
                <w:szCs w:val="20"/>
              </w:rPr>
              <w:t>与自治区重点环境管控单元分类管控要求符合性分析一览表</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421"/>
              <w:gridCol w:w="572"/>
              <w:gridCol w:w="3575"/>
              <w:gridCol w:w="1601"/>
              <w:gridCol w:w="7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8" w:hRule="atLeast"/>
                <w:jc w:val="center"/>
              </w:trPr>
              <w:tc>
                <w:tcPr>
                  <w:tcW w:w="3312" w:type="pct"/>
                  <w:gridSpan w:val="3"/>
                  <w:tcBorders>
                    <w:tl2br w:val="nil"/>
                    <w:tr2bl w:val="nil"/>
                  </w:tcBorders>
                  <w:vAlign w:val="center"/>
                </w:tcPr>
                <w:p>
                  <w:pPr>
                    <w:pStyle w:val="70"/>
                  </w:pPr>
                  <w:r>
                    <w:t>管控要求</w:t>
                  </w:r>
                </w:p>
              </w:tc>
              <w:tc>
                <w:tcPr>
                  <w:tcW w:w="1160" w:type="pct"/>
                  <w:tcBorders>
                    <w:tl2br w:val="nil"/>
                    <w:tr2bl w:val="nil"/>
                  </w:tcBorders>
                  <w:vAlign w:val="center"/>
                </w:tcPr>
                <w:p>
                  <w:pPr>
                    <w:pStyle w:val="70"/>
                  </w:pPr>
                  <w:r>
                    <w:t>本项目</w:t>
                  </w:r>
                </w:p>
              </w:tc>
              <w:tc>
                <w:tcPr>
                  <w:tcW w:w="527" w:type="pct"/>
                  <w:tcBorders>
                    <w:tl2br w:val="nil"/>
                    <w:tr2bl w:val="nil"/>
                  </w:tcBorders>
                  <w:vAlign w:val="center"/>
                </w:tcPr>
                <w:p>
                  <w:pPr>
                    <w:pStyle w:val="70"/>
                  </w:pPr>
                  <w: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48" w:hRule="atLeast"/>
                <w:jc w:val="center"/>
              </w:trPr>
              <w:tc>
                <w:tcPr>
                  <w:tcW w:w="305" w:type="pct"/>
                  <w:vMerge w:val="restart"/>
                  <w:tcBorders>
                    <w:tl2br w:val="nil"/>
                    <w:tr2bl w:val="nil"/>
                  </w:tcBorders>
                  <w:vAlign w:val="center"/>
                </w:tcPr>
                <w:p>
                  <w:pPr>
                    <w:pStyle w:val="70"/>
                  </w:pPr>
                  <w:r>
                    <w:t>A6重点管控单元</w:t>
                  </w:r>
                </w:p>
                <w:p>
                  <w:pPr>
                    <w:pStyle w:val="70"/>
                  </w:pPr>
                </w:p>
              </w:tc>
              <w:tc>
                <w:tcPr>
                  <w:tcW w:w="414" w:type="pct"/>
                  <w:vMerge w:val="restart"/>
                  <w:tcBorders>
                    <w:tl2br w:val="nil"/>
                    <w:tr2bl w:val="nil"/>
                  </w:tcBorders>
                  <w:vAlign w:val="center"/>
                </w:tcPr>
                <w:p>
                  <w:pPr>
                    <w:pStyle w:val="70"/>
                  </w:pPr>
                  <w:r>
                    <w:t>A6.1空间布局约束</w:t>
                  </w:r>
                </w:p>
              </w:tc>
              <w:tc>
                <w:tcPr>
                  <w:tcW w:w="2592" w:type="pct"/>
                  <w:tcBorders>
                    <w:tl2br w:val="nil"/>
                    <w:tr2bl w:val="nil"/>
                  </w:tcBorders>
                  <w:vAlign w:val="center"/>
                </w:tcPr>
                <w:p>
                  <w:pPr>
                    <w:pStyle w:val="70"/>
                  </w:pPr>
                  <w:r>
                    <w:t>【A6.1-1】根据产业集聚区块的功能定位，建立分区差别化的产业准入条件。严格控制重要水系源头地区和重要生态功能区</w:t>
                  </w:r>
                  <w:r>
                    <w:rPr>
                      <w:rFonts w:hint="eastAsia"/>
                      <w:lang w:eastAsia="zh-CN"/>
                    </w:rPr>
                    <w:t>“</w:t>
                  </w:r>
                  <w:r>
                    <w:t>高污染、高环境风险产品</w:t>
                  </w:r>
                  <w:r>
                    <w:rPr>
                      <w:rFonts w:hint="eastAsia"/>
                      <w:lang w:eastAsia="zh-CN"/>
                    </w:rPr>
                    <w:t>”</w:t>
                  </w:r>
                  <w:r>
                    <w:t>工业项目准入。优化完善区域产业布局，合理规划布局</w:t>
                  </w:r>
                  <w:r>
                    <w:rPr>
                      <w:rFonts w:hint="eastAsia"/>
                      <w:lang w:eastAsia="zh-CN"/>
                    </w:rPr>
                    <w:t>“</w:t>
                  </w:r>
                  <w:r>
                    <w:t>高污染、高环境风险产品</w:t>
                  </w:r>
                  <w:r>
                    <w:rPr>
                      <w:rFonts w:hint="eastAsia"/>
                      <w:lang w:eastAsia="zh-CN"/>
                    </w:rPr>
                    <w:t>”</w:t>
                  </w:r>
                  <w:r>
                    <w:t>工业项目，鼓励对</w:t>
                  </w:r>
                  <w:r>
                    <w:rPr>
                      <w:rFonts w:hint="eastAsia"/>
                      <w:lang w:eastAsia="zh-CN"/>
                    </w:rPr>
                    <w:t>“</w:t>
                  </w:r>
                  <w:r>
                    <w:t>高污染、高环境风险产品</w:t>
                  </w:r>
                  <w:r>
                    <w:rPr>
                      <w:rFonts w:hint="eastAsia"/>
                      <w:lang w:eastAsia="zh-CN"/>
                    </w:rPr>
                    <w:t>”</w:t>
                  </w:r>
                  <w:r>
                    <w:t>工业项目进行淘汰和提升改造。合理规划居住区与工业功能区，在居住区和工业区、工业企业之间设置防护绿化隔离带。</w:t>
                  </w:r>
                </w:p>
              </w:tc>
              <w:tc>
                <w:tcPr>
                  <w:tcW w:w="1160" w:type="pct"/>
                  <w:vMerge w:val="restart"/>
                  <w:tcBorders>
                    <w:tl2br w:val="nil"/>
                    <w:tr2bl w:val="nil"/>
                  </w:tcBorders>
                  <w:vAlign w:val="center"/>
                </w:tcPr>
                <w:p>
                  <w:pPr>
                    <w:pStyle w:val="70"/>
                  </w:pPr>
                  <w:r>
                    <w:t>本项目不属于</w:t>
                  </w:r>
                  <w:r>
                    <w:rPr>
                      <w:rFonts w:hint="eastAsia"/>
                      <w:lang w:eastAsia="zh-CN"/>
                    </w:rPr>
                    <w:t>“</w:t>
                  </w:r>
                  <w:r>
                    <w:t>高污染、高环境风险产品</w:t>
                  </w:r>
                  <w:r>
                    <w:rPr>
                      <w:rFonts w:hint="eastAsia"/>
                      <w:lang w:eastAsia="zh-CN"/>
                    </w:rPr>
                    <w:t>”</w:t>
                  </w:r>
                  <w:r>
                    <w:t>工业项目；项目在工业园区内建设，不占地耕地。</w:t>
                  </w:r>
                </w:p>
              </w:tc>
              <w:tc>
                <w:tcPr>
                  <w:tcW w:w="527" w:type="pct"/>
                  <w:vMerge w:val="restar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48" w:hRule="atLeast"/>
                <w:jc w:val="center"/>
              </w:trPr>
              <w:tc>
                <w:tcPr>
                  <w:tcW w:w="305" w:type="pct"/>
                  <w:vMerge w:val="continue"/>
                  <w:tcBorders>
                    <w:tl2br w:val="nil"/>
                    <w:tr2bl w:val="nil"/>
                  </w:tcBorders>
                  <w:vAlign w:val="center"/>
                </w:tcPr>
                <w:p>
                  <w:pPr>
                    <w:pStyle w:val="70"/>
                  </w:pPr>
                </w:p>
              </w:tc>
              <w:tc>
                <w:tcPr>
                  <w:tcW w:w="414" w:type="pct"/>
                  <w:vMerge w:val="continue"/>
                  <w:tcBorders>
                    <w:tl2br w:val="nil"/>
                    <w:tr2bl w:val="nil"/>
                  </w:tcBorders>
                  <w:vAlign w:val="center"/>
                </w:tcPr>
                <w:p>
                  <w:pPr>
                    <w:pStyle w:val="70"/>
                  </w:pPr>
                </w:p>
              </w:tc>
              <w:tc>
                <w:tcPr>
                  <w:tcW w:w="2592" w:type="pct"/>
                  <w:tcBorders>
                    <w:tl2br w:val="nil"/>
                    <w:tr2bl w:val="nil"/>
                  </w:tcBorders>
                  <w:vAlign w:val="center"/>
                </w:tcPr>
                <w:p>
                  <w:pPr>
                    <w:pStyle w:val="70"/>
                  </w:pPr>
                  <w:r>
                    <w:t>【A6.1-2】大气环境重点管控区内：禁止引进国家和自治区明令禁止或淘汰的产业及工艺、园区规划的项目；引进符合国家产业政策和清洁生产要求的、采用先进生产工艺和设备的、自动化程度高的、具有可靠先进的污染治理技术的生产项目。</w:t>
                  </w:r>
                </w:p>
              </w:tc>
              <w:tc>
                <w:tcPr>
                  <w:tcW w:w="1160" w:type="pct"/>
                  <w:vMerge w:val="continue"/>
                  <w:tcBorders>
                    <w:tl2br w:val="nil"/>
                    <w:tr2bl w:val="nil"/>
                  </w:tcBorders>
                  <w:vAlign w:val="center"/>
                </w:tcPr>
                <w:p>
                  <w:pPr>
                    <w:pStyle w:val="70"/>
                  </w:pPr>
                </w:p>
              </w:tc>
              <w:tc>
                <w:tcPr>
                  <w:tcW w:w="527" w:type="pct"/>
                  <w:vMerge w:val="continue"/>
                  <w:tcBorders>
                    <w:tl2br w:val="nil"/>
                    <w:tr2bl w:val="nil"/>
                  </w:tcBorders>
                  <w:vAlign w:val="center"/>
                </w:tcPr>
                <w:p>
                  <w:pPr>
                    <w:pStyle w:val="70"/>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098" w:hRule="atLeast"/>
                <w:jc w:val="center"/>
              </w:trPr>
              <w:tc>
                <w:tcPr>
                  <w:tcW w:w="305" w:type="pct"/>
                  <w:vMerge w:val="continue"/>
                  <w:tcBorders>
                    <w:tl2br w:val="nil"/>
                    <w:tr2bl w:val="nil"/>
                  </w:tcBorders>
                  <w:vAlign w:val="center"/>
                </w:tcPr>
                <w:p>
                  <w:pPr>
                    <w:pStyle w:val="70"/>
                  </w:pPr>
                </w:p>
              </w:tc>
              <w:tc>
                <w:tcPr>
                  <w:tcW w:w="414" w:type="pct"/>
                  <w:vMerge w:val="continue"/>
                  <w:tcBorders>
                    <w:tl2br w:val="nil"/>
                    <w:tr2bl w:val="nil"/>
                  </w:tcBorders>
                  <w:vAlign w:val="center"/>
                </w:tcPr>
                <w:p>
                  <w:pPr>
                    <w:pStyle w:val="70"/>
                  </w:pPr>
                </w:p>
              </w:tc>
              <w:tc>
                <w:tcPr>
                  <w:tcW w:w="2592" w:type="pct"/>
                  <w:tcBorders>
                    <w:tl2br w:val="nil"/>
                    <w:tr2bl w:val="nil"/>
                  </w:tcBorders>
                  <w:vAlign w:val="center"/>
                </w:tcPr>
                <w:p>
                  <w:pPr>
                    <w:pStyle w:val="70"/>
                  </w:pPr>
                  <w:r>
                    <w:t>【A6.1-3】水环境重点管控区内：制定产业准入对污染排放不达标的企业限期整改，确保水污染物达标排放；加快推进生态园区建设和循环化改造，完善污水集中处理设施及再生水回用系统，加强配套管网建设，并确保稳定运行，工业废水必须经预处理达到集中处理要求后，方可进入污水集中处理设施，不断提高污水集中处理中水回用率。加强城镇配套管网建设，提高城镇生活污水出水排放标准，推进城镇生活污水深度治理，提高污水厂脱氮除磷效率。对农业污染重点管控区，推进畜禽养殖禁养区、限养区的划定，限期依法关闭或搬迁禁养区内的畜禽养殖场，对现有规模化畜禽养殖配套建设粪便污水贮存、处理、利用设施，鼓励设施农业循环发展模式，推进养殖废弃物资源化利用。控制化肥农药使用量，推进农膜回收及加工再利用，农药化肥等包装废弃物的安全收集处置设施建设，降低农业污染负荷。</w:t>
                  </w:r>
                </w:p>
              </w:tc>
              <w:tc>
                <w:tcPr>
                  <w:tcW w:w="1160" w:type="pct"/>
                  <w:vMerge w:val="continue"/>
                  <w:tcBorders>
                    <w:tl2br w:val="nil"/>
                    <w:tr2bl w:val="nil"/>
                  </w:tcBorders>
                  <w:vAlign w:val="center"/>
                </w:tcPr>
                <w:p>
                  <w:pPr>
                    <w:pStyle w:val="70"/>
                  </w:pPr>
                </w:p>
              </w:tc>
              <w:tc>
                <w:tcPr>
                  <w:tcW w:w="527" w:type="pct"/>
                  <w:vMerge w:val="continue"/>
                  <w:tcBorders>
                    <w:tl2br w:val="nil"/>
                    <w:tr2bl w:val="nil"/>
                  </w:tcBorders>
                  <w:vAlign w:val="center"/>
                </w:tcPr>
                <w:p>
                  <w:pPr>
                    <w:pStyle w:val="70"/>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48" w:hRule="atLeast"/>
                <w:jc w:val="center"/>
              </w:trPr>
              <w:tc>
                <w:tcPr>
                  <w:tcW w:w="305" w:type="pct"/>
                  <w:vMerge w:val="continue"/>
                  <w:tcBorders>
                    <w:tl2br w:val="nil"/>
                    <w:tr2bl w:val="nil"/>
                  </w:tcBorders>
                  <w:vAlign w:val="center"/>
                </w:tcPr>
                <w:p>
                  <w:pPr>
                    <w:pStyle w:val="70"/>
                  </w:pPr>
                </w:p>
              </w:tc>
              <w:tc>
                <w:tcPr>
                  <w:tcW w:w="414" w:type="pct"/>
                  <w:vMerge w:val="continue"/>
                  <w:tcBorders>
                    <w:tl2br w:val="nil"/>
                    <w:tr2bl w:val="nil"/>
                  </w:tcBorders>
                  <w:vAlign w:val="center"/>
                </w:tcPr>
                <w:p>
                  <w:pPr>
                    <w:pStyle w:val="70"/>
                  </w:pPr>
                </w:p>
              </w:tc>
              <w:tc>
                <w:tcPr>
                  <w:tcW w:w="2592" w:type="pct"/>
                  <w:tcBorders>
                    <w:tl2br w:val="nil"/>
                    <w:tr2bl w:val="nil"/>
                  </w:tcBorders>
                  <w:vAlign w:val="center"/>
                </w:tcPr>
                <w:p>
                  <w:pPr>
                    <w:pStyle w:val="70"/>
                  </w:pPr>
                  <w:r>
                    <w:t>【A6.1-4】土壤环境重点管控区内：引入新建产业或企业时，应结合产业发展规划，充分考虑企业类型、污染物排放特征以及外环境情况等因素，避免企业形成交叉污染；涉重金属、持久性有机物等有毒有害污染物工业企业退出用地，须经评估、治理，满足后续相应用地土壤环境质量要求。</w:t>
                  </w:r>
                </w:p>
              </w:tc>
              <w:tc>
                <w:tcPr>
                  <w:tcW w:w="1160" w:type="pct"/>
                  <w:vMerge w:val="continue"/>
                  <w:tcBorders>
                    <w:tl2br w:val="nil"/>
                    <w:tr2bl w:val="nil"/>
                  </w:tcBorders>
                  <w:vAlign w:val="center"/>
                </w:tcPr>
                <w:p>
                  <w:pPr>
                    <w:pStyle w:val="70"/>
                  </w:pPr>
                </w:p>
              </w:tc>
              <w:tc>
                <w:tcPr>
                  <w:tcW w:w="527" w:type="pct"/>
                  <w:vMerge w:val="continue"/>
                  <w:tcBorders>
                    <w:tl2br w:val="nil"/>
                    <w:tr2bl w:val="nil"/>
                  </w:tcBorders>
                  <w:vAlign w:val="center"/>
                </w:tcPr>
                <w:p>
                  <w:pPr>
                    <w:pStyle w:val="70"/>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644" w:hRule="atLeast"/>
                <w:jc w:val="center"/>
              </w:trPr>
              <w:tc>
                <w:tcPr>
                  <w:tcW w:w="305" w:type="pct"/>
                  <w:vMerge w:val="continue"/>
                  <w:tcBorders>
                    <w:tl2br w:val="nil"/>
                    <w:tr2bl w:val="nil"/>
                  </w:tcBorders>
                  <w:vAlign w:val="center"/>
                </w:tcPr>
                <w:p>
                  <w:pPr>
                    <w:pStyle w:val="70"/>
                  </w:pPr>
                </w:p>
              </w:tc>
              <w:tc>
                <w:tcPr>
                  <w:tcW w:w="414" w:type="pct"/>
                  <w:tcBorders>
                    <w:tl2br w:val="nil"/>
                    <w:tr2bl w:val="nil"/>
                  </w:tcBorders>
                  <w:vAlign w:val="center"/>
                </w:tcPr>
                <w:p>
                  <w:pPr>
                    <w:pStyle w:val="70"/>
                  </w:pPr>
                  <w:r>
                    <w:t>A</w:t>
                  </w:r>
                  <w:r>
                    <w:rPr>
                      <w:rFonts w:hint="eastAsia"/>
                    </w:rPr>
                    <w:t>6</w:t>
                  </w:r>
                  <w:r>
                    <w:t>.2污染物排放管控</w:t>
                  </w:r>
                </w:p>
              </w:tc>
              <w:tc>
                <w:tcPr>
                  <w:tcW w:w="2592" w:type="pct"/>
                  <w:tcBorders>
                    <w:tl2br w:val="nil"/>
                    <w:tr2bl w:val="nil"/>
                  </w:tcBorders>
                  <w:vAlign w:val="center"/>
                </w:tcPr>
                <w:p>
                  <w:pPr>
                    <w:pStyle w:val="70"/>
                  </w:pPr>
                  <w:r>
                    <w:t>【A6.2-1】严格实施污染物总量控制制度，根据区域环境质量改善目标，削减污染物排放总量。新建工业项目污染物排放水平要达到同行业国内先进水平。加快落实污水处理厂建设及提升改造，推进工业园区（工业企业）污水处理综合利用设施建设，所有企业实现稳定达标排放。加强土壤和地下水污染防治与修复。</w:t>
                  </w:r>
                </w:p>
              </w:tc>
              <w:tc>
                <w:tcPr>
                  <w:tcW w:w="1160" w:type="pct"/>
                  <w:tcBorders>
                    <w:tl2br w:val="nil"/>
                    <w:tr2bl w:val="nil"/>
                  </w:tcBorders>
                  <w:vAlign w:val="center"/>
                </w:tcPr>
                <w:p>
                  <w:pPr>
                    <w:pStyle w:val="70"/>
                  </w:pPr>
                  <w:r>
                    <w:t>本项目严格执行污染物总量控制指标</w:t>
                  </w:r>
                </w:p>
              </w:tc>
              <w:tc>
                <w:tcPr>
                  <w:tcW w:w="527"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59" w:hRule="atLeast"/>
                <w:jc w:val="center"/>
              </w:trPr>
              <w:tc>
                <w:tcPr>
                  <w:tcW w:w="305" w:type="pct"/>
                  <w:vMerge w:val="continue"/>
                  <w:tcBorders>
                    <w:tl2br w:val="nil"/>
                    <w:tr2bl w:val="nil"/>
                  </w:tcBorders>
                  <w:vAlign w:val="center"/>
                </w:tcPr>
                <w:p>
                  <w:pPr>
                    <w:pStyle w:val="70"/>
                  </w:pPr>
                </w:p>
              </w:tc>
              <w:tc>
                <w:tcPr>
                  <w:tcW w:w="414" w:type="pct"/>
                  <w:tcBorders>
                    <w:tl2br w:val="nil"/>
                    <w:tr2bl w:val="nil"/>
                  </w:tcBorders>
                  <w:vAlign w:val="center"/>
                </w:tcPr>
                <w:p>
                  <w:pPr>
                    <w:pStyle w:val="70"/>
                  </w:pPr>
                  <w:r>
                    <w:t>A</w:t>
                  </w:r>
                  <w:r>
                    <w:rPr>
                      <w:rFonts w:hint="eastAsia"/>
                    </w:rPr>
                    <w:t>6</w:t>
                  </w:r>
                  <w:r>
                    <w:t>.3环境风险防控</w:t>
                  </w:r>
                </w:p>
              </w:tc>
              <w:tc>
                <w:tcPr>
                  <w:tcW w:w="2592" w:type="pct"/>
                  <w:tcBorders>
                    <w:tl2br w:val="nil"/>
                    <w:tr2bl w:val="nil"/>
                  </w:tcBorders>
                  <w:vAlign w:val="center"/>
                </w:tcPr>
                <w:p>
                  <w:pPr>
                    <w:pStyle w:val="70"/>
                  </w:pPr>
                  <w:r>
                    <w:t>【A6.3-1】定期评估邻近环境敏感区的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160" w:type="pct"/>
                  <w:tcBorders>
                    <w:tl2br w:val="nil"/>
                    <w:tr2bl w:val="nil"/>
                  </w:tcBorders>
                  <w:vAlign w:val="center"/>
                </w:tcPr>
                <w:p>
                  <w:pPr>
                    <w:pStyle w:val="70"/>
                  </w:pPr>
                  <w:r>
                    <w:t>本项目应及时制定突发环境事件应急预案，有效控制对发生或者可能发生危害人体健康和安全的突发事件的发生。</w:t>
                  </w:r>
                </w:p>
              </w:tc>
              <w:tc>
                <w:tcPr>
                  <w:tcW w:w="527"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608" w:hRule="atLeast"/>
                <w:jc w:val="center"/>
              </w:trPr>
              <w:tc>
                <w:tcPr>
                  <w:tcW w:w="305" w:type="pct"/>
                  <w:vMerge w:val="continue"/>
                  <w:tcBorders>
                    <w:tl2br w:val="nil"/>
                    <w:tr2bl w:val="nil"/>
                  </w:tcBorders>
                  <w:vAlign w:val="center"/>
                </w:tcPr>
                <w:p>
                  <w:pPr>
                    <w:pStyle w:val="70"/>
                  </w:pPr>
                </w:p>
              </w:tc>
              <w:tc>
                <w:tcPr>
                  <w:tcW w:w="414" w:type="pct"/>
                  <w:tcBorders>
                    <w:tl2br w:val="nil"/>
                    <w:tr2bl w:val="nil"/>
                  </w:tcBorders>
                  <w:vAlign w:val="center"/>
                </w:tcPr>
                <w:p>
                  <w:pPr>
                    <w:pStyle w:val="70"/>
                  </w:pPr>
                  <w:r>
                    <w:t>A</w:t>
                  </w:r>
                  <w:r>
                    <w:rPr>
                      <w:rFonts w:hint="eastAsia"/>
                    </w:rPr>
                    <w:t>6</w:t>
                  </w:r>
                  <w:r>
                    <w:t>.4资源利用要求</w:t>
                  </w:r>
                </w:p>
              </w:tc>
              <w:tc>
                <w:tcPr>
                  <w:tcW w:w="2592" w:type="pct"/>
                  <w:tcBorders>
                    <w:tl2br w:val="nil"/>
                    <w:tr2bl w:val="nil"/>
                  </w:tcBorders>
                  <w:vAlign w:val="center"/>
                </w:tcPr>
                <w:p>
                  <w:pPr>
                    <w:pStyle w:val="70"/>
                  </w:pPr>
                  <w:r>
                    <w:t>【A6.4-1】推进工业集聚区生态化改造，强化企业清洁生产改造，推进节水型企业、节水型工业园区建设，提高资源能源利用效率。</w:t>
                  </w:r>
                </w:p>
              </w:tc>
              <w:tc>
                <w:tcPr>
                  <w:tcW w:w="1160" w:type="pct"/>
                  <w:tcBorders>
                    <w:tl2br w:val="nil"/>
                    <w:tr2bl w:val="nil"/>
                  </w:tcBorders>
                  <w:vAlign w:val="center"/>
                </w:tcPr>
                <w:p>
                  <w:pPr>
                    <w:pStyle w:val="70"/>
                  </w:pPr>
                  <w:r>
                    <w:t>本项目主要利用资源为生产、生活用水及生产用电</w:t>
                  </w:r>
                  <w:r>
                    <w:rPr>
                      <w:rFonts w:hint="eastAsia"/>
                    </w:rPr>
                    <w:t>、天然气。</w:t>
                  </w:r>
                  <w:r>
                    <w:t>本项目用水量及耗电量较小，占地面积较小，对区域水资源、土地资源、能源消耗较小</w:t>
                  </w:r>
                </w:p>
              </w:tc>
              <w:tc>
                <w:tcPr>
                  <w:tcW w:w="527" w:type="pct"/>
                  <w:tcBorders>
                    <w:tl2br w:val="nil"/>
                    <w:tr2bl w:val="nil"/>
                  </w:tcBorders>
                  <w:vAlign w:val="center"/>
                </w:tcPr>
                <w:p>
                  <w:pPr>
                    <w:pStyle w:val="70"/>
                  </w:pPr>
                  <w:r>
                    <w:t>符合</w:t>
                  </w:r>
                </w:p>
              </w:tc>
            </w:tr>
          </w:tbl>
          <w:p>
            <w:pPr>
              <w:pStyle w:val="23"/>
            </w:pPr>
            <w:r>
              <w:t>表</w:t>
            </w:r>
            <w:r>
              <w:rPr>
                <w:rFonts w:hint="eastAsia"/>
                <w:lang w:val="en-US" w:eastAsia="zh-CN"/>
              </w:rPr>
              <w:t>1-3</w:t>
            </w:r>
            <w:r>
              <w:t xml:space="preserve">  </w:t>
            </w:r>
            <w:r>
              <w:rPr>
                <w:rFonts w:hint="eastAsia"/>
              </w:rPr>
              <w:t xml:space="preserve"> </w:t>
            </w:r>
            <w:r>
              <w:t>项目与天山南坡片区总体管控要求符合性分析一览表</w:t>
            </w:r>
          </w:p>
          <w:tbl>
            <w:tblPr>
              <w:tblStyle w:val="27"/>
              <w:tblW w:w="5000" w:type="pct"/>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5"/>
              <w:gridCol w:w="3725"/>
              <w:gridCol w:w="1641"/>
              <w:gridCol w:w="6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663" w:type="pct"/>
                  <w:vMerge w:val="restart"/>
                  <w:tcBorders>
                    <w:tl2br w:val="nil"/>
                    <w:tr2bl w:val="nil"/>
                  </w:tcBorders>
                  <w:vAlign w:val="center"/>
                </w:tcPr>
                <w:p>
                  <w:pPr>
                    <w:pStyle w:val="70"/>
                  </w:pPr>
                  <w:r>
                    <w:t>天山南坡片区总体管控要求</w:t>
                  </w:r>
                </w:p>
              </w:tc>
              <w:tc>
                <w:tcPr>
                  <w:tcW w:w="2699" w:type="pct"/>
                  <w:tcBorders>
                    <w:tl2br w:val="nil"/>
                    <w:tr2bl w:val="nil"/>
                  </w:tcBorders>
                  <w:vAlign w:val="center"/>
                </w:tcPr>
                <w:p>
                  <w:pPr>
                    <w:pStyle w:val="70"/>
                  </w:pPr>
                  <w:r>
                    <w:t>管控要求</w:t>
                  </w:r>
                </w:p>
              </w:tc>
              <w:tc>
                <w:tcPr>
                  <w:tcW w:w="1189" w:type="pct"/>
                  <w:tcBorders>
                    <w:tl2br w:val="nil"/>
                    <w:tr2bl w:val="nil"/>
                  </w:tcBorders>
                  <w:vAlign w:val="center"/>
                </w:tcPr>
                <w:p>
                  <w:pPr>
                    <w:pStyle w:val="70"/>
                  </w:pPr>
                  <w:r>
                    <w:t>本项目</w:t>
                  </w:r>
                </w:p>
              </w:tc>
              <w:tc>
                <w:tcPr>
                  <w:tcW w:w="446" w:type="pct"/>
                  <w:tcBorders>
                    <w:tl2br w:val="nil"/>
                    <w:tr2bl w:val="nil"/>
                  </w:tcBorders>
                  <w:vAlign w:val="center"/>
                </w:tcPr>
                <w:p>
                  <w:pPr>
                    <w:pStyle w:val="70"/>
                  </w:pPr>
                  <w: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663" w:type="pct"/>
                  <w:vMerge w:val="continue"/>
                  <w:tcBorders>
                    <w:tl2br w:val="nil"/>
                    <w:tr2bl w:val="nil"/>
                  </w:tcBorders>
                  <w:vAlign w:val="center"/>
                </w:tcPr>
                <w:p>
                  <w:pPr>
                    <w:pStyle w:val="70"/>
                  </w:pPr>
                </w:p>
              </w:tc>
              <w:tc>
                <w:tcPr>
                  <w:tcW w:w="2699" w:type="pct"/>
                  <w:tcBorders>
                    <w:tl2br w:val="nil"/>
                    <w:tr2bl w:val="nil"/>
                  </w:tcBorders>
                  <w:vAlign w:val="center"/>
                </w:tcPr>
                <w:p>
                  <w:pPr>
                    <w:pStyle w:val="70"/>
                  </w:pPr>
                  <w: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189" w:type="pct"/>
                  <w:tcBorders>
                    <w:tl2br w:val="nil"/>
                    <w:tr2bl w:val="nil"/>
                  </w:tcBorders>
                  <w:vAlign w:val="center"/>
                </w:tcPr>
                <w:p>
                  <w:pPr>
                    <w:pStyle w:val="70"/>
                  </w:pPr>
                  <w:r>
                    <w:t>本项目不在托木尔峰和天山南坡中段冰雪水源及生物多样性保护生态功能区</w:t>
                  </w:r>
                </w:p>
              </w:tc>
              <w:tc>
                <w:tcPr>
                  <w:tcW w:w="446"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663" w:type="pct"/>
                  <w:vMerge w:val="continue"/>
                  <w:tcBorders>
                    <w:tl2br w:val="nil"/>
                    <w:tr2bl w:val="nil"/>
                  </w:tcBorders>
                  <w:vAlign w:val="center"/>
                </w:tcPr>
                <w:p>
                  <w:pPr>
                    <w:pStyle w:val="70"/>
                  </w:pPr>
                </w:p>
              </w:tc>
              <w:tc>
                <w:tcPr>
                  <w:tcW w:w="2699" w:type="pct"/>
                  <w:tcBorders>
                    <w:tl2br w:val="nil"/>
                    <w:tr2bl w:val="nil"/>
                  </w:tcBorders>
                  <w:vAlign w:val="center"/>
                </w:tcPr>
                <w:p>
                  <w:pPr>
                    <w:pStyle w:val="70"/>
                  </w:pPr>
                  <w:r>
                    <w:t>重点做好塔里木盆地北缘荒漠化防治。加强荒漠植被及河岸荒漠林保护，规范油气勘探开发作业，建立油田和公路扰动区域工程与生物相结合的防风固沙体系，逐步形成生态屏障。</w:t>
                  </w:r>
                </w:p>
              </w:tc>
              <w:tc>
                <w:tcPr>
                  <w:tcW w:w="1189" w:type="pct"/>
                  <w:tcBorders>
                    <w:tl2br w:val="nil"/>
                    <w:tr2bl w:val="nil"/>
                  </w:tcBorders>
                  <w:vAlign w:val="center"/>
                </w:tcPr>
                <w:p>
                  <w:pPr>
                    <w:pStyle w:val="70"/>
                  </w:pPr>
                  <w:r>
                    <w:t>本项目不涉及油气勘探开发</w:t>
                  </w:r>
                </w:p>
              </w:tc>
              <w:tc>
                <w:tcPr>
                  <w:tcW w:w="446"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663" w:type="pct"/>
                  <w:vMerge w:val="continue"/>
                  <w:tcBorders>
                    <w:tl2br w:val="nil"/>
                    <w:tr2bl w:val="nil"/>
                  </w:tcBorders>
                  <w:vAlign w:val="center"/>
                </w:tcPr>
                <w:p>
                  <w:pPr>
                    <w:pStyle w:val="70"/>
                  </w:pPr>
                </w:p>
              </w:tc>
              <w:tc>
                <w:tcPr>
                  <w:tcW w:w="2699" w:type="pct"/>
                  <w:tcBorders>
                    <w:tl2br w:val="nil"/>
                    <w:tr2bl w:val="nil"/>
                  </w:tcBorders>
                  <w:vAlign w:val="center"/>
                </w:tcPr>
                <w:p>
                  <w:pPr>
                    <w:pStyle w:val="70"/>
                  </w:pPr>
                  <w:r>
                    <w:t>推进塔里木河流域用水结构调整，维护塔里木河、博斯腾湖基本生态用水</w:t>
                  </w:r>
                </w:p>
              </w:tc>
              <w:tc>
                <w:tcPr>
                  <w:tcW w:w="1189" w:type="pct"/>
                  <w:tcBorders>
                    <w:tl2br w:val="nil"/>
                    <w:tr2bl w:val="nil"/>
                  </w:tcBorders>
                  <w:vAlign w:val="center"/>
                </w:tcPr>
                <w:p>
                  <w:pPr>
                    <w:pStyle w:val="70"/>
                  </w:pPr>
                  <w:r>
                    <w:t>本项目不涉及塔里木河、博斯腾湖生态用水</w:t>
                  </w:r>
                </w:p>
              </w:tc>
              <w:tc>
                <w:tcPr>
                  <w:tcW w:w="446"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663" w:type="pct"/>
                  <w:vMerge w:val="continue"/>
                  <w:tcBorders>
                    <w:tl2br w:val="nil"/>
                    <w:tr2bl w:val="nil"/>
                  </w:tcBorders>
                  <w:vAlign w:val="center"/>
                </w:tcPr>
                <w:p>
                  <w:pPr>
                    <w:pStyle w:val="70"/>
                  </w:pPr>
                </w:p>
              </w:tc>
              <w:tc>
                <w:tcPr>
                  <w:tcW w:w="2699" w:type="pct"/>
                  <w:tcBorders>
                    <w:tl2br w:val="nil"/>
                    <w:tr2bl w:val="nil"/>
                  </w:tcBorders>
                  <w:vAlign w:val="center"/>
                </w:tcPr>
                <w:p>
                  <w:pPr>
                    <w:pStyle w:val="70"/>
                  </w:pPr>
                  <w:r>
                    <w:t>加强塔里木河流域水环境风险管控。加大博斯腾湖污染源头达标排放治理和监督力度，实施博斯腾湖综合治理。</w:t>
                  </w:r>
                </w:p>
              </w:tc>
              <w:tc>
                <w:tcPr>
                  <w:tcW w:w="1189" w:type="pct"/>
                  <w:tcBorders>
                    <w:tl2br w:val="nil"/>
                    <w:tr2bl w:val="nil"/>
                  </w:tcBorders>
                  <w:vAlign w:val="center"/>
                </w:tcPr>
                <w:p>
                  <w:pPr>
                    <w:pStyle w:val="70"/>
                  </w:pPr>
                  <w:r>
                    <w:t>本项目不涉及</w:t>
                  </w:r>
                </w:p>
              </w:tc>
              <w:tc>
                <w:tcPr>
                  <w:tcW w:w="446"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663" w:type="pct"/>
                  <w:vMerge w:val="continue"/>
                  <w:tcBorders>
                    <w:tl2br w:val="nil"/>
                    <w:tr2bl w:val="nil"/>
                  </w:tcBorders>
                  <w:vAlign w:val="center"/>
                </w:tcPr>
                <w:p>
                  <w:pPr>
                    <w:pStyle w:val="70"/>
                  </w:pPr>
                </w:p>
              </w:tc>
              <w:tc>
                <w:tcPr>
                  <w:tcW w:w="2699" w:type="pct"/>
                  <w:tcBorders>
                    <w:tl2br w:val="nil"/>
                    <w:tr2bl w:val="nil"/>
                  </w:tcBorders>
                  <w:vAlign w:val="center"/>
                </w:tcPr>
                <w:p>
                  <w:pPr>
                    <w:pStyle w:val="70"/>
                  </w:pPr>
                  <w:r>
                    <w:t>加强油（气）资源开发区土壤环境污染综合整治。强化涉重金属行业污染防控与工业废物处理处置。</w:t>
                  </w:r>
                </w:p>
              </w:tc>
              <w:tc>
                <w:tcPr>
                  <w:tcW w:w="1189" w:type="pct"/>
                  <w:tcBorders>
                    <w:tl2br w:val="nil"/>
                    <w:tr2bl w:val="nil"/>
                  </w:tcBorders>
                  <w:vAlign w:val="center"/>
                </w:tcPr>
                <w:p>
                  <w:pPr>
                    <w:pStyle w:val="70"/>
                  </w:pPr>
                  <w:r>
                    <w:t>本项目不涉及油气开发，不涉及重金属排放</w:t>
                  </w:r>
                </w:p>
              </w:tc>
              <w:tc>
                <w:tcPr>
                  <w:tcW w:w="446" w:type="pct"/>
                  <w:tcBorders>
                    <w:tl2br w:val="nil"/>
                    <w:tr2bl w:val="nil"/>
                  </w:tcBorders>
                  <w:vAlign w:val="center"/>
                </w:tcPr>
                <w:p>
                  <w:pPr>
                    <w:pStyle w:val="70"/>
                  </w:pPr>
                  <w:r>
                    <w:t>符合</w:t>
                  </w:r>
                </w:p>
              </w:tc>
            </w:tr>
          </w:tbl>
          <w:p>
            <w:pPr>
              <w:pStyle w:val="24"/>
              <w:ind w:firstLine="482"/>
            </w:pPr>
            <w:r>
              <w:t>2</w:t>
            </w:r>
            <w:r>
              <w:rPr>
                <w:rFonts w:hint="eastAsia"/>
                <w:lang w:eastAsia="zh-CN"/>
              </w:rPr>
              <w:t>、</w:t>
            </w:r>
            <w:r>
              <w:t>与巴州</w:t>
            </w:r>
            <w:r>
              <w:rPr>
                <w:rFonts w:hint="eastAsia"/>
                <w:lang w:eastAsia="zh-CN"/>
              </w:rPr>
              <w:t>“生态环境分区管控”</w:t>
            </w:r>
            <w:r>
              <w:t>符合性分析</w:t>
            </w:r>
          </w:p>
          <w:p>
            <w:pPr>
              <w:ind w:firstLine="480"/>
            </w:pPr>
            <w:r>
              <w:t>根据2024年12月9日发布的《关于印发巴音郭楞蒙古自治州</w:t>
            </w:r>
            <w:r>
              <w:rPr>
                <w:rFonts w:hint="eastAsia"/>
                <w:lang w:eastAsia="zh-CN"/>
              </w:rPr>
              <w:t>“</w:t>
            </w:r>
            <w:r>
              <w:t>三线一单</w:t>
            </w:r>
            <w:r>
              <w:rPr>
                <w:rFonts w:hint="eastAsia"/>
                <w:lang w:eastAsia="zh-CN"/>
              </w:rPr>
              <w:t>”</w:t>
            </w:r>
            <w:r>
              <w:t>生态环境分区管控动态更新成果（2023年）的通知》（巴政办发〔2024〕32号</w:t>
            </w:r>
            <w:r>
              <w:rPr>
                <w:rFonts w:hint="eastAsia"/>
              </w:rPr>
              <w:t>），分析本项目与巴州生态环境分区管控符</w:t>
            </w:r>
            <w:r>
              <w:rPr>
                <w:rFonts w:cs="Times New Roman"/>
              </w:rPr>
              <w:t>合性分析见</w:t>
            </w:r>
            <w:r>
              <w:t>表</w:t>
            </w:r>
            <w:r>
              <w:rPr>
                <w:rFonts w:hint="eastAsia"/>
                <w:lang w:val="en-US" w:eastAsia="zh-CN"/>
              </w:rPr>
              <w:t>1-4</w:t>
            </w:r>
            <w:r>
              <w:rPr>
                <w:rFonts w:hint="eastAsia"/>
              </w:rPr>
              <w:t>。</w:t>
            </w:r>
          </w:p>
          <w:p>
            <w:pPr>
              <w:pStyle w:val="65"/>
            </w:pPr>
            <w:r>
              <w:t>表</w:t>
            </w:r>
            <w:r>
              <w:rPr>
                <w:rFonts w:hint="eastAsia"/>
                <w:lang w:val="en-US" w:eastAsia="zh-CN"/>
              </w:rPr>
              <w:t>1-4</w:t>
            </w:r>
            <w:r>
              <w:rPr>
                <w:rFonts w:hint="eastAsia"/>
              </w:rPr>
              <w:t xml:space="preserve">  </w:t>
            </w:r>
            <w:r>
              <w:t>本项目与《巴音郭楞蒙古自治州</w:t>
            </w:r>
            <w:r>
              <w:rPr>
                <w:rFonts w:hint="eastAsia"/>
                <w:lang w:eastAsia="zh-CN"/>
              </w:rPr>
              <w:t>“生态环境分区管控”</w:t>
            </w:r>
            <w:r>
              <w:t>生态环境分区管控方案》符合性一览表</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9"/>
              <w:gridCol w:w="3241"/>
              <w:gridCol w:w="2252"/>
              <w:gridCol w:w="6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543" w:type="pct"/>
                  <w:tcBorders>
                    <w:tl2br w:val="nil"/>
                    <w:tr2bl w:val="nil"/>
                  </w:tcBorders>
                  <w:vAlign w:val="center"/>
                </w:tcPr>
                <w:p>
                  <w:pPr>
                    <w:pStyle w:val="70"/>
                  </w:pPr>
                  <w:r>
                    <w:t>名称</w:t>
                  </w:r>
                </w:p>
              </w:tc>
              <w:tc>
                <w:tcPr>
                  <w:tcW w:w="2349" w:type="pct"/>
                  <w:tcBorders>
                    <w:tl2br w:val="nil"/>
                    <w:tr2bl w:val="nil"/>
                  </w:tcBorders>
                  <w:vAlign w:val="center"/>
                </w:tcPr>
                <w:p>
                  <w:pPr>
                    <w:pStyle w:val="70"/>
                  </w:pPr>
                  <w:r>
                    <w:t>符合性分析</w:t>
                  </w:r>
                </w:p>
              </w:tc>
              <w:tc>
                <w:tcPr>
                  <w:tcW w:w="1632" w:type="pct"/>
                  <w:tcBorders>
                    <w:tl2br w:val="nil"/>
                    <w:tr2bl w:val="nil"/>
                  </w:tcBorders>
                  <w:vAlign w:val="center"/>
                </w:tcPr>
                <w:p>
                  <w:pPr>
                    <w:pStyle w:val="70"/>
                  </w:pPr>
                  <w:r>
                    <w:t>本项目</w:t>
                  </w:r>
                </w:p>
              </w:tc>
              <w:tc>
                <w:tcPr>
                  <w:tcW w:w="474" w:type="pct"/>
                  <w:tcBorders>
                    <w:tl2br w:val="nil"/>
                    <w:tr2bl w:val="nil"/>
                  </w:tcBorders>
                  <w:vAlign w:val="center"/>
                </w:tcPr>
                <w:p>
                  <w:pPr>
                    <w:pStyle w:val="70"/>
                  </w:pPr>
                  <w: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4" w:hRule="atLeast"/>
                <w:jc w:val="center"/>
              </w:trPr>
              <w:tc>
                <w:tcPr>
                  <w:tcW w:w="543" w:type="pct"/>
                  <w:tcBorders>
                    <w:tl2br w:val="nil"/>
                    <w:tr2bl w:val="nil"/>
                  </w:tcBorders>
                  <w:vAlign w:val="center"/>
                </w:tcPr>
                <w:p>
                  <w:pPr>
                    <w:pStyle w:val="70"/>
                  </w:pPr>
                  <w:r>
                    <w:t>生态保护红线</w:t>
                  </w:r>
                </w:p>
              </w:tc>
              <w:tc>
                <w:tcPr>
                  <w:tcW w:w="2349" w:type="pct"/>
                  <w:tcBorders>
                    <w:tl2br w:val="nil"/>
                    <w:tr2bl w:val="nil"/>
                  </w:tcBorders>
                  <w:vAlign w:val="center"/>
                </w:tcPr>
                <w:p>
                  <w:pPr>
                    <w:pStyle w:val="70"/>
                  </w:pPr>
                  <w:r>
                    <w:t>按照</w:t>
                  </w:r>
                  <w:r>
                    <w:rPr>
                      <w:rFonts w:hint="eastAsia"/>
                      <w:lang w:eastAsia="zh-CN"/>
                    </w:rPr>
                    <w:t>“</w:t>
                  </w:r>
                  <w:r>
                    <w:t>生态功能不降低、面积不减少、性质不改变</w:t>
                  </w:r>
                  <w:r>
                    <w:rPr>
                      <w:rFonts w:hint="eastAsia"/>
                      <w:lang w:eastAsia="zh-CN"/>
                    </w:rPr>
                    <w:t>”</w:t>
                  </w:r>
                  <w:r>
                    <w:t>的基本要求，对划定的生态保护红线实施严格管控，保障和维护国家生态安全的底线和生命线</w:t>
                  </w:r>
                </w:p>
              </w:tc>
              <w:tc>
                <w:tcPr>
                  <w:tcW w:w="1632" w:type="pct"/>
                  <w:tcBorders>
                    <w:tl2br w:val="nil"/>
                    <w:tr2bl w:val="nil"/>
                  </w:tcBorders>
                  <w:vAlign w:val="center"/>
                </w:tcPr>
                <w:p>
                  <w:pPr>
                    <w:pStyle w:val="70"/>
                  </w:pPr>
                  <w:r>
                    <w:t>本项目不在生态保护红线范围内</w:t>
                  </w:r>
                </w:p>
              </w:tc>
              <w:tc>
                <w:tcPr>
                  <w:tcW w:w="474"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543" w:type="pct"/>
                  <w:tcBorders>
                    <w:tl2br w:val="nil"/>
                    <w:tr2bl w:val="nil"/>
                  </w:tcBorders>
                  <w:vAlign w:val="center"/>
                </w:tcPr>
                <w:p>
                  <w:pPr>
                    <w:pStyle w:val="70"/>
                  </w:pPr>
                  <w:r>
                    <w:t>环境质量底线</w:t>
                  </w:r>
                </w:p>
              </w:tc>
              <w:tc>
                <w:tcPr>
                  <w:tcW w:w="2349" w:type="pct"/>
                  <w:tcBorders>
                    <w:tl2br w:val="nil"/>
                    <w:tr2bl w:val="nil"/>
                  </w:tcBorders>
                  <w:vAlign w:val="center"/>
                </w:tcPr>
                <w:p>
                  <w:pPr>
                    <w:pStyle w:val="70"/>
                  </w:pPr>
                  <w:r>
                    <w:rPr>
                      <w:rFonts w:cs="Times New Roman"/>
                      <w:color w:val="000000"/>
                      <w:sz w:val="21"/>
                    </w:rPr>
                    <w:t>全州水环境质量持续改善，开都河、塔里木河、迪那河、车尔臣河、黄水沟5条河流13个监测断面稳定达到Ⅱ类水（塔里木河氟化物不参与考核，其他指标均为Ⅱ类），孔雀河4个监测断面达到II类水，博斯腾湖17个重点点位中1、7、14监测点均值Ⅲ类，其余监测点均值Ⅳ类；受污染地表水体得到有效治理，饮用水安全保障水平持续提升，地下水超采得到严格控制，地下水水质保持稳定。全州环境空气质量有所提升，SO</w:t>
                  </w:r>
                  <w:r>
                    <w:rPr>
                      <w:rFonts w:cs="Times New Roman"/>
                      <w:color w:val="000000"/>
                      <w:sz w:val="21"/>
                      <w:vertAlign w:val="subscript"/>
                    </w:rPr>
                    <w:t>2</w:t>
                  </w:r>
                  <w:r>
                    <w:rPr>
                      <w:rFonts w:cs="Times New Roman"/>
                      <w:color w:val="000000"/>
                      <w:sz w:val="21"/>
                    </w:rPr>
                    <w:t>、NO</w:t>
                  </w:r>
                  <w:r>
                    <w:rPr>
                      <w:rFonts w:cs="Times New Roman"/>
                      <w:color w:val="000000"/>
                      <w:sz w:val="21"/>
                      <w:vertAlign w:val="subscript"/>
                    </w:rPr>
                    <w:t>2</w:t>
                  </w:r>
                  <w:r>
                    <w:rPr>
                      <w:rFonts w:cs="Times New Roman"/>
                      <w:color w:val="000000"/>
                      <w:sz w:val="21"/>
                    </w:rPr>
                    <w:t>浓度长期维持在较低水平，达到环境空气质量一级标准；逐步减少颗粒物排放，PM</w:t>
                  </w:r>
                  <w:r>
                    <w:rPr>
                      <w:rFonts w:cs="Times New Roman"/>
                      <w:color w:val="000000"/>
                      <w:sz w:val="21"/>
                      <w:vertAlign w:val="subscript"/>
                    </w:rPr>
                    <w:t>10</w:t>
                  </w:r>
                  <w:r>
                    <w:rPr>
                      <w:rFonts w:cs="Times New Roman"/>
                      <w:color w:val="000000"/>
                      <w:sz w:val="21"/>
                    </w:rPr>
                    <w:t>、PM</w:t>
                  </w:r>
                  <w:r>
                    <w:rPr>
                      <w:rFonts w:cs="Times New Roman"/>
                      <w:color w:val="000000"/>
                      <w:sz w:val="21"/>
                      <w:vertAlign w:val="subscript"/>
                    </w:rPr>
                    <w:t>2.5</w:t>
                  </w:r>
                  <w:r>
                    <w:rPr>
                      <w:rFonts w:cs="Times New Roman"/>
                      <w:color w:val="000000"/>
                      <w:sz w:val="21"/>
                    </w:rPr>
                    <w:t>平均浓度分别低于81μg/m</w:t>
                  </w:r>
                  <w:r>
                    <w:rPr>
                      <w:rFonts w:cs="Times New Roman"/>
                      <w:color w:val="000000"/>
                      <w:sz w:val="21"/>
                      <w:vertAlign w:val="superscript"/>
                    </w:rPr>
                    <w:t>3</w:t>
                  </w:r>
                  <w:r>
                    <w:rPr>
                      <w:rFonts w:cs="Times New Roman"/>
                      <w:color w:val="000000"/>
                      <w:sz w:val="21"/>
                    </w:rPr>
                    <w:t>、31.5μg/m</w:t>
                  </w:r>
                  <w:r>
                    <w:rPr>
                      <w:rFonts w:cs="Times New Roman"/>
                      <w:color w:val="000000"/>
                      <w:sz w:val="21"/>
                      <w:vertAlign w:val="superscript"/>
                    </w:rPr>
                    <w:t>3</w:t>
                  </w:r>
                  <w:r>
                    <w:rPr>
                      <w:rFonts w:hint="eastAsia" w:cs="Times New Roman"/>
                      <w:color w:val="000000"/>
                      <w:sz w:val="21"/>
                      <w:lang w:eastAsia="zh-CN"/>
                    </w:rPr>
                    <w:t>（</w:t>
                  </w:r>
                  <w:r>
                    <w:rPr>
                      <w:rFonts w:cs="Times New Roman"/>
                      <w:color w:val="000000"/>
                      <w:sz w:val="21"/>
                    </w:rPr>
                    <w:t>库尔勒市，扣除沙尘天气影响</w:t>
                  </w:r>
                  <w:r>
                    <w:rPr>
                      <w:rFonts w:hint="eastAsia" w:cs="Times New Roman"/>
                      <w:color w:val="000000"/>
                      <w:sz w:val="21"/>
                      <w:lang w:eastAsia="zh-CN"/>
                    </w:rPr>
                    <w:t>）</w:t>
                  </w:r>
                  <w:r>
                    <w:rPr>
                      <w:rFonts w:cs="Times New Roman"/>
                      <w:color w:val="000000"/>
                      <w:sz w:val="21"/>
                    </w:rPr>
                    <w:t>，空气优良天数比例大于75.2%</w:t>
                  </w:r>
                  <w:r>
                    <w:rPr>
                      <w:rFonts w:hint="eastAsia" w:cs="Times New Roman"/>
                      <w:color w:val="000000"/>
                      <w:sz w:val="21"/>
                      <w:lang w:eastAsia="zh-CN"/>
                    </w:rPr>
                    <w:t>（</w:t>
                  </w:r>
                  <w:r>
                    <w:rPr>
                      <w:rFonts w:cs="Times New Roman"/>
                      <w:color w:val="000000"/>
                      <w:sz w:val="21"/>
                    </w:rPr>
                    <w:t>库尔勒市</w:t>
                  </w:r>
                  <w:r>
                    <w:rPr>
                      <w:rFonts w:hint="eastAsia" w:cs="Times New Roman"/>
                      <w:color w:val="000000"/>
                      <w:sz w:val="21"/>
                      <w:lang w:eastAsia="zh-CN"/>
                    </w:rPr>
                    <w:t>）</w:t>
                  </w:r>
                  <w:r>
                    <w:rPr>
                      <w:rFonts w:cs="Times New Roman"/>
                      <w:color w:val="000000"/>
                      <w:sz w:val="21"/>
                    </w:rPr>
                    <w:t>，重污染天数持续减少，沙尘影响严重地区做好防风固沙、生态环境保护修复等工作；全州土壤环境质量保持稳定，受污染耕地安全利用率达到98%以上，污染地块安全利用率不低于93%，土壤环境风险得到进一步管控</w:t>
                  </w:r>
                </w:p>
              </w:tc>
              <w:tc>
                <w:tcPr>
                  <w:tcW w:w="1632" w:type="pct"/>
                  <w:tcBorders>
                    <w:tl2br w:val="nil"/>
                    <w:tr2bl w:val="nil"/>
                  </w:tcBorders>
                  <w:vAlign w:val="center"/>
                </w:tcPr>
                <w:p>
                  <w:pPr>
                    <w:pStyle w:val="70"/>
                  </w:pPr>
                  <w:r>
                    <w:rPr>
                      <w:rFonts w:hint="eastAsia"/>
                    </w:rPr>
                    <w:t>根据《202</w:t>
                  </w:r>
                  <w:r>
                    <w:rPr>
                      <w:rFonts w:hint="eastAsia"/>
                      <w:lang w:val="en-US" w:eastAsia="zh-CN"/>
                    </w:rPr>
                    <w:t>4</w:t>
                  </w:r>
                  <w:r>
                    <w:rPr>
                      <w:rFonts w:hint="eastAsia"/>
                    </w:rPr>
                    <w:t>巴音郭楞蒙古自治州生态环境状况公报》结论，项目所在区域SO</w:t>
                  </w:r>
                  <w:r>
                    <w:rPr>
                      <w:rFonts w:hint="eastAsia"/>
                      <w:vertAlign w:val="subscript"/>
                    </w:rPr>
                    <w:t>2</w:t>
                  </w:r>
                  <w:r>
                    <w:rPr>
                      <w:rFonts w:hint="eastAsia"/>
                    </w:rPr>
                    <w:t>、NO</w:t>
                  </w:r>
                  <w:r>
                    <w:rPr>
                      <w:rFonts w:hint="eastAsia"/>
                      <w:vertAlign w:val="subscript"/>
                    </w:rPr>
                    <w:t>2</w:t>
                  </w:r>
                  <w:r>
                    <w:rPr>
                      <w:rFonts w:hint="eastAsia"/>
                    </w:rPr>
                    <w:t>、CO和O</w:t>
                  </w:r>
                  <w:r>
                    <w:rPr>
                      <w:rFonts w:hint="eastAsia"/>
                      <w:vertAlign w:val="subscript"/>
                    </w:rPr>
                    <w:t>3</w:t>
                  </w:r>
                  <w:r>
                    <w:rPr>
                      <w:rFonts w:hint="eastAsia"/>
                    </w:rPr>
                    <w:t>、PM</w:t>
                  </w:r>
                  <w:r>
                    <w:rPr>
                      <w:rFonts w:hint="eastAsia"/>
                      <w:vertAlign w:val="subscript"/>
                    </w:rPr>
                    <w:t>2.5</w:t>
                  </w:r>
                  <w:r>
                    <w:rPr>
                      <w:rFonts w:hint="eastAsia"/>
                    </w:rPr>
                    <w:t>平均浓度均满足《环境空气质量标准》（GB3095-2012）及其修改单的二级标准要求；受沙尘天气影响PM</w:t>
                  </w:r>
                  <w:r>
                    <w:rPr>
                      <w:rFonts w:hint="eastAsia"/>
                      <w:vertAlign w:val="subscript"/>
                    </w:rPr>
                    <w:t>10</w:t>
                  </w:r>
                  <w:r>
                    <w:rPr>
                      <w:rFonts w:hint="eastAsia"/>
                    </w:rPr>
                    <w:t>年均值浓度超过《环境空气质量标准》及其修改单（GB3095-2012）的二级标准要求，本项目所在区域为非达标区域。项目所在区域地表水满足《地表水</w:t>
                  </w:r>
                  <w:r>
                    <w:rPr>
                      <w:rFonts w:hint="eastAsia"/>
                      <w:lang w:val="en-US" w:eastAsia="zh-CN"/>
                    </w:rPr>
                    <w:t>环境</w:t>
                  </w:r>
                  <w:r>
                    <w:rPr>
                      <w:rFonts w:hint="eastAsia"/>
                    </w:rPr>
                    <w:t>质量标准》（GB3838-2002</w:t>
                  </w:r>
                  <w:r>
                    <w:t>）Ⅱ类</w:t>
                  </w:r>
                  <w:r>
                    <w:rPr>
                      <w:rFonts w:hint="eastAsia"/>
                    </w:rPr>
                    <w:t>标准要求；项目所在区域声环境质量满足《声环境质量标准》（GB3096-2008）3类标准。</w:t>
                  </w:r>
                </w:p>
              </w:tc>
              <w:tc>
                <w:tcPr>
                  <w:tcW w:w="474"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543" w:type="pct"/>
                  <w:tcBorders>
                    <w:tl2br w:val="nil"/>
                    <w:tr2bl w:val="nil"/>
                  </w:tcBorders>
                  <w:vAlign w:val="center"/>
                </w:tcPr>
                <w:p>
                  <w:pPr>
                    <w:pStyle w:val="70"/>
                  </w:pPr>
                  <w:r>
                    <w:t>资源利用上线</w:t>
                  </w:r>
                </w:p>
              </w:tc>
              <w:tc>
                <w:tcPr>
                  <w:tcW w:w="2349" w:type="pct"/>
                  <w:tcBorders>
                    <w:tl2br w:val="nil"/>
                    <w:tr2bl w:val="nil"/>
                  </w:tcBorders>
                  <w:vAlign w:val="center"/>
                </w:tcPr>
                <w:p>
                  <w:pPr>
                    <w:pStyle w:val="70"/>
                  </w:pPr>
                  <w:r>
                    <w:t>强化节约集约利用，持续提升资源能源利用效率，水资源、土地资源、能源消耗等达到国家、自治区下达的总量和强度控制目标，加快低碳发展，提升碳汇能力，做好碳达峰和碳中和工作</w:t>
                  </w:r>
                </w:p>
              </w:tc>
              <w:tc>
                <w:tcPr>
                  <w:tcW w:w="1632" w:type="pct"/>
                  <w:tcBorders>
                    <w:tl2br w:val="nil"/>
                    <w:tr2bl w:val="nil"/>
                  </w:tcBorders>
                  <w:vAlign w:val="center"/>
                </w:tcPr>
                <w:p>
                  <w:pPr>
                    <w:pStyle w:val="70"/>
                    <w:jc w:val="both"/>
                  </w:pPr>
                  <w:r>
                    <w:rPr>
                      <w:rFonts w:hint="eastAsia"/>
                      <w:lang w:val="en-US" w:eastAsia="zh-CN"/>
                    </w:rPr>
                    <w:t>本</w:t>
                  </w:r>
                  <w:r>
                    <w:rPr>
                      <w:rFonts w:hint="eastAsia"/>
                    </w:rPr>
                    <w:t>项目不占用耕地、林地、牧地、水域等土地资源。用水主要是少量生活用水和降尘用水，由园区管网供给。项目建成运行后通过内部管理、设备选择、原辅料的选用和管理、污染治理等多方面采取合理可行的防治措施，以</w:t>
                  </w:r>
                  <w:r>
                    <w:rPr>
                      <w:rFonts w:hint="eastAsia"/>
                      <w:lang w:eastAsia="zh-CN"/>
                    </w:rPr>
                    <w:t>“</w:t>
                  </w:r>
                  <w:r>
                    <w:rPr>
                      <w:rFonts w:hint="eastAsia"/>
                    </w:rPr>
                    <w:t>节能、降耗、减污</w:t>
                  </w:r>
                  <w:r>
                    <w:rPr>
                      <w:rFonts w:hint="eastAsia"/>
                      <w:lang w:eastAsia="zh-CN"/>
                    </w:rPr>
                    <w:t>”</w:t>
                  </w:r>
                  <w:r>
                    <w:rPr>
                      <w:rFonts w:hint="eastAsia"/>
                    </w:rPr>
                    <w:t>为目标，有效地控制污染及资源利用水平；最大程度发挥能源资源利用的效果</w:t>
                  </w:r>
                  <w:r>
                    <w:t>。</w:t>
                  </w:r>
                </w:p>
              </w:tc>
              <w:tc>
                <w:tcPr>
                  <w:tcW w:w="474" w:type="pct"/>
                  <w:tcBorders>
                    <w:tl2br w:val="nil"/>
                    <w:tr2bl w:val="nil"/>
                  </w:tcBorders>
                  <w:vAlign w:val="center"/>
                </w:tcPr>
                <w:p>
                  <w:pPr>
                    <w:pStyle w:val="70"/>
                  </w:pPr>
                  <w:r>
                    <w:t>符合</w:t>
                  </w:r>
                </w:p>
              </w:tc>
            </w:tr>
          </w:tbl>
          <w:p>
            <w:pPr>
              <w:pStyle w:val="23"/>
              <w:rPr>
                <w:color w:val="auto"/>
              </w:rPr>
            </w:pPr>
            <w:r>
              <w:rPr>
                <w:color w:val="auto"/>
              </w:rPr>
              <w:t>表</w:t>
            </w:r>
            <w:r>
              <w:rPr>
                <w:rFonts w:hint="eastAsia"/>
                <w:color w:val="auto"/>
                <w:lang w:val="en-US" w:eastAsia="zh-CN"/>
              </w:rPr>
              <w:t>1-5</w:t>
            </w:r>
            <w:r>
              <w:rPr>
                <w:rFonts w:hint="eastAsia"/>
                <w:color w:val="auto"/>
              </w:rPr>
              <w:t xml:space="preserve">  </w:t>
            </w:r>
            <w:r>
              <w:rPr>
                <w:color w:val="auto"/>
              </w:rPr>
              <w:t xml:space="preserve"> 本项目与巴州总体管控要求符合性分析一览表</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470"/>
              <w:gridCol w:w="561"/>
              <w:gridCol w:w="3934"/>
              <w:gridCol w:w="1273"/>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jc w:val="center"/>
              </w:trPr>
              <w:tc>
                <w:tcPr>
                  <w:tcW w:w="470" w:type="dxa"/>
                  <w:vMerge w:val="restart"/>
                  <w:tcBorders>
                    <w:tl2br w:val="nil"/>
                    <w:tr2bl w:val="nil"/>
                  </w:tcBorders>
                  <w:vAlign w:val="center"/>
                </w:tcPr>
                <w:p>
                  <w:pPr>
                    <w:pStyle w:val="70"/>
                  </w:pPr>
                  <w:r>
                    <w:t>巴音郭楞蒙古自治州总体管控要求</w:t>
                  </w:r>
                </w:p>
              </w:tc>
              <w:tc>
                <w:tcPr>
                  <w:tcW w:w="561" w:type="dxa"/>
                  <w:tcBorders>
                    <w:tl2br w:val="nil"/>
                    <w:tr2bl w:val="nil"/>
                  </w:tcBorders>
                  <w:vAlign w:val="center"/>
                </w:tcPr>
                <w:p>
                  <w:pPr>
                    <w:pStyle w:val="70"/>
                  </w:pPr>
                  <w:r>
                    <w:t>管控类别</w:t>
                  </w:r>
                </w:p>
              </w:tc>
              <w:tc>
                <w:tcPr>
                  <w:tcW w:w="3934" w:type="dxa"/>
                  <w:tcBorders>
                    <w:tl2br w:val="nil"/>
                    <w:tr2bl w:val="nil"/>
                  </w:tcBorders>
                  <w:vAlign w:val="center"/>
                </w:tcPr>
                <w:p>
                  <w:pPr>
                    <w:pStyle w:val="70"/>
                  </w:pPr>
                  <w:r>
                    <w:t>管控要求</w:t>
                  </w:r>
                </w:p>
              </w:tc>
              <w:tc>
                <w:tcPr>
                  <w:tcW w:w="1273" w:type="dxa"/>
                  <w:tcBorders>
                    <w:tl2br w:val="nil"/>
                    <w:tr2bl w:val="nil"/>
                  </w:tcBorders>
                  <w:vAlign w:val="center"/>
                </w:tcPr>
                <w:p>
                  <w:pPr>
                    <w:pStyle w:val="70"/>
                  </w:pPr>
                  <w:r>
                    <w:t>本项目</w:t>
                  </w:r>
                </w:p>
              </w:tc>
              <w:tc>
                <w:tcPr>
                  <w:tcW w:w="658" w:type="dxa"/>
                  <w:tcBorders>
                    <w:tl2br w:val="nil"/>
                    <w:tr2bl w:val="nil"/>
                  </w:tcBorders>
                  <w:vAlign w:val="center"/>
                </w:tcPr>
                <w:p>
                  <w:pPr>
                    <w:pStyle w:val="70"/>
                  </w:pPr>
                  <w: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restart"/>
                  <w:tcBorders>
                    <w:tl2br w:val="nil"/>
                    <w:tr2bl w:val="nil"/>
                  </w:tcBorders>
                  <w:vAlign w:val="center"/>
                </w:tcPr>
                <w:p>
                  <w:pPr>
                    <w:pStyle w:val="70"/>
                  </w:pPr>
                  <w:r>
                    <w:t>空间布局约束</w:t>
                  </w:r>
                </w:p>
              </w:tc>
              <w:tc>
                <w:tcPr>
                  <w:tcW w:w="3934" w:type="dxa"/>
                  <w:tcBorders>
                    <w:tl2br w:val="nil"/>
                    <w:tr2bl w:val="nil"/>
                  </w:tcBorders>
                  <w:vAlign w:val="center"/>
                </w:tcPr>
                <w:p>
                  <w:pPr>
                    <w:pStyle w:val="70"/>
                  </w:pPr>
                  <w:r>
                    <w:t>1.1禁止在人口集中地区和其他依法需要特殊保护的区域内焚烧沥青、油毡、橡胶、塑料、皮革、垃圾以及其他产生有毒有害烟尘和恶臭气体的物质。</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1.2禁止在居民住宅楼、未配套设立专用烟道的商住综合楼以及商住综合楼内与居住层相邻的商业楼层内新建、改建、扩建产生油烟、异味、废气的餐饮服务项目。任何单位和个人不得在当地人民政府禁止的区域内露天烧烤食品或者为露天烧烤食品提供场地。</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1.3县级及以上城市建成区原则上不再新建每小时35蒸吨以下的燃煤锅炉，其他地区原则上不再新建每小时10蒸吨及以下的燃煤锅炉。</w:t>
                  </w:r>
                </w:p>
              </w:tc>
              <w:tc>
                <w:tcPr>
                  <w:tcW w:w="1273" w:type="dxa"/>
                  <w:tcBorders>
                    <w:tl2br w:val="nil"/>
                    <w:tr2bl w:val="nil"/>
                  </w:tcBorders>
                  <w:vAlign w:val="center"/>
                </w:tcPr>
                <w:p>
                  <w:pPr>
                    <w:pStyle w:val="70"/>
                  </w:pPr>
                  <w:r>
                    <w:rPr>
                      <w:color w:val="auto"/>
                    </w:rPr>
                    <w:t>本项目</w:t>
                  </w:r>
                  <w:r>
                    <w:rPr>
                      <w:rFonts w:hint="eastAsia"/>
                      <w:color w:val="auto"/>
                    </w:rPr>
                    <w:t>新建3t/h燃气锅炉</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1.4禁止在自治州行政区域内引进能（水）耗不符合相关国家标准中准入值要求，且污染物排放和环境风险防控不符合国家（地方）标准及有关产业准入条件的高污染（排放）、高能（水）耗、高环境风险的工业项目。</w:t>
                  </w:r>
                </w:p>
              </w:tc>
              <w:tc>
                <w:tcPr>
                  <w:tcW w:w="1273" w:type="dxa"/>
                  <w:tcBorders>
                    <w:tl2br w:val="nil"/>
                    <w:tr2bl w:val="nil"/>
                  </w:tcBorders>
                  <w:vAlign w:val="center"/>
                </w:tcPr>
                <w:p>
                  <w:pPr>
                    <w:pStyle w:val="70"/>
                  </w:pPr>
                  <w:r>
                    <w:t>本项目不属于</w:t>
                  </w:r>
                  <w:r>
                    <w:rPr>
                      <w:rFonts w:hint="eastAsia"/>
                      <w:lang w:eastAsia="zh-CN"/>
                    </w:rPr>
                    <w:t>“</w:t>
                  </w:r>
                  <w:r>
                    <w:t>三高</w:t>
                  </w:r>
                  <w:r>
                    <w:rPr>
                      <w:rFonts w:hint="eastAsia"/>
                      <w:lang w:eastAsia="zh-CN"/>
                    </w:rPr>
                    <w:t>”</w:t>
                  </w:r>
                  <w:r>
                    <w:t>行业</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1.5禁止新建、改建、扩建严重污染大气环境的项目。工业和信息化主管部门应当会同发展和改革、生态环境等部门，根据巴州生态环境局提供的大气监测数据制定工业产业转型升级行动计划和严重污染大气项目退出计划，报本级人民政府批准后向社会公布。对城市建成区大气环境质量造成明显影响的项目，自治州、各县（市）人民政府规定期限内未达到治理要求的项目，应当停产、限期搬迁或者关闭。</w:t>
                  </w:r>
                </w:p>
              </w:tc>
              <w:tc>
                <w:tcPr>
                  <w:tcW w:w="1273" w:type="dxa"/>
                  <w:tcBorders>
                    <w:tl2br w:val="nil"/>
                    <w:tr2bl w:val="nil"/>
                  </w:tcBorders>
                  <w:vAlign w:val="center"/>
                </w:tcPr>
                <w:p>
                  <w:pPr>
                    <w:pStyle w:val="70"/>
                  </w:pPr>
                  <w:r>
                    <w:t>本项目不属于重污染行业</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1.6在饮用水水源保护区内，禁止设置排污口。</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1.7开都-孔雀河流域、塔里木河流域沿岸，要严格控制石油加工、化学原料和化学制品制造、医药制造、化学纤维制造、有色金属冶炼、纺织印染等项目环境风险，合理布局生产装置及危险化学品仓储等设施。</w:t>
                  </w:r>
                </w:p>
              </w:tc>
              <w:tc>
                <w:tcPr>
                  <w:tcW w:w="1273" w:type="dxa"/>
                  <w:vMerge w:val="restart"/>
                  <w:tcBorders>
                    <w:tl2br w:val="nil"/>
                    <w:tr2bl w:val="nil"/>
                  </w:tcBorders>
                  <w:vAlign w:val="center"/>
                </w:tcPr>
                <w:p>
                  <w:pPr>
                    <w:pStyle w:val="70"/>
                  </w:pPr>
                  <w:r>
                    <w:t>本项目位于新疆维吾尔自治区</w:t>
                  </w:r>
                  <w:r>
                    <w:rPr>
                      <w:rFonts w:hint="eastAsia"/>
                      <w:lang w:val="en-US" w:eastAsia="zh-CN"/>
                    </w:rPr>
                    <w:t>巴音郭楞蒙古自治州</w:t>
                  </w:r>
                  <w:r>
                    <w:t>和静县，不在开都-孔雀河流域、塔里木河流域沿岸范围内</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1.8开都-孔雀河流域、塔里木河流域沿岸，要严格控制石油加工、化学原料和化学制品制造、医药制造、化学纤维制造、有色金属冶炼、纺织、印染等项目环境风险，合理布局生产装置及危险化学品仓储等设施。</w:t>
                  </w:r>
                </w:p>
              </w:tc>
              <w:tc>
                <w:tcPr>
                  <w:tcW w:w="1273" w:type="dxa"/>
                  <w:vMerge w:val="continue"/>
                  <w:tcBorders>
                    <w:tl2br w:val="nil"/>
                    <w:tr2bl w:val="nil"/>
                  </w:tcBorders>
                  <w:vAlign w:val="center"/>
                </w:tcPr>
                <w:p>
                  <w:pPr>
                    <w:pStyle w:val="70"/>
                  </w:pP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1.9县级以上地方人民政府应当依法将符合条件的优先保护类耕地划为永久基本农田，实行严格保护。在永久基本农田集中区域，不得新建可能造成土壤污染的建设项目；已经建成的，应当限期关闭拆除。</w:t>
                  </w:r>
                </w:p>
              </w:tc>
              <w:tc>
                <w:tcPr>
                  <w:tcW w:w="1273" w:type="dxa"/>
                  <w:vMerge w:val="restart"/>
                  <w:tcBorders>
                    <w:tl2br w:val="nil"/>
                    <w:tr2bl w:val="nil"/>
                  </w:tcBorders>
                  <w:vAlign w:val="center"/>
                </w:tcPr>
                <w:p>
                  <w:pPr>
                    <w:pStyle w:val="70"/>
                    <w:jc w:val="both"/>
                  </w:pPr>
                </w:p>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1.10落实重度污染土地严格管控措施。加强对严格管控类耕地、园地、草地的用途管理，依法将其划定为农产品禁止生产区域，严禁种植食用农产品，不得列入国家中央财政投资农业高效节水项目建设；对威胁地下水、饮用水水源安全的，有关县市人民政府要制定环境风险管控方案，并落实有关措施。研究推进严格管控类耕地、园地、草地纳入新一轮退耕还林还草实施范围，制定实施重度污染耕地、园地、草地种植结构调整或退耕还林还草计划。推行耕地轮作休耕制度试点、草地轮牧休牧禁牧制度试点。</w:t>
                  </w:r>
                </w:p>
              </w:tc>
              <w:tc>
                <w:tcPr>
                  <w:tcW w:w="1273" w:type="dxa"/>
                  <w:vMerge w:val="continue"/>
                  <w:tcBorders>
                    <w:tl2br w:val="nil"/>
                    <w:tr2bl w:val="nil"/>
                  </w:tcBorders>
                  <w:vAlign w:val="center"/>
                </w:tcPr>
                <w:p>
                  <w:pPr>
                    <w:pStyle w:val="70"/>
                  </w:pP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restart"/>
                  <w:tcBorders>
                    <w:tl2br w:val="nil"/>
                    <w:tr2bl w:val="nil"/>
                  </w:tcBorders>
                  <w:vAlign w:val="center"/>
                </w:tcPr>
                <w:p>
                  <w:pPr>
                    <w:pStyle w:val="70"/>
                  </w:pPr>
                  <w:r>
                    <w:t>污染物排放管控</w:t>
                  </w:r>
                </w:p>
              </w:tc>
              <w:tc>
                <w:tcPr>
                  <w:tcW w:w="3934" w:type="dxa"/>
                  <w:tcBorders>
                    <w:tl2br w:val="nil"/>
                    <w:tr2bl w:val="nil"/>
                  </w:tcBorders>
                  <w:vAlign w:val="center"/>
                </w:tcPr>
                <w:p>
                  <w:pPr>
                    <w:pStyle w:val="70"/>
                    <w:rPr>
                      <w:color w:val="auto"/>
                    </w:rPr>
                  </w:pPr>
                  <w:r>
                    <w:rPr>
                      <w:color w:val="auto"/>
                    </w:rPr>
                    <w:t>2.1水源涵养和生物多样性维护型重点生态功能区水质达到地表水、地下水I类，空气质量达到一级。</w:t>
                  </w:r>
                </w:p>
              </w:tc>
              <w:tc>
                <w:tcPr>
                  <w:tcW w:w="1273" w:type="dxa"/>
                  <w:tcBorders>
                    <w:tl2br w:val="nil"/>
                    <w:tr2bl w:val="nil"/>
                  </w:tcBorders>
                  <w:vAlign w:val="center"/>
                </w:tcPr>
                <w:p>
                  <w:pPr>
                    <w:pStyle w:val="70"/>
                    <w:rPr>
                      <w:color w:val="auto"/>
                    </w:rPr>
                  </w:pPr>
                  <w:r>
                    <w:rPr>
                      <w:color w:val="auto"/>
                    </w:rPr>
                    <w:t>本项目不涉及重点生态功能区</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rPr>
                      <w:color w:val="auto"/>
                    </w:rPr>
                  </w:pPr>
                  <w:r>
                    <w:rPr>
                      <w:color w:val="auto"/>
                    </w:rPr>
                    <w:t>2.2燃煤电厂和其他燃煤单位应当采用清洁生产工艺，配套建设除尘、脱硫、脱硝等装置，或者采取技术改造等其他控制大气污染物排放的措施。国家鼓励燃煤单位采用先进的除尘、脱硫、脱硝、脱汞等大气污染物协同控制的技术和装置，减少大气污染物的排放。</w:t>
                  </w:r>
                </w:p>
              </w:tc>
              <w:tc>
                <w:tcPr>
                  <w:tcW w:w="1273" w:type="dxa"/>
                  <w:tcBorders>
                    <w:tl2br w:val="nil"/>
                    <w:tr2bl w:val="nil"/>
                  </w:tcBorders>
                  <w:vAlign w:val="center"/>
                </w:tcPr>
                <w:p>
                  <w:pPr>
                    <w:pStyle w:val="70"/>
                    <w:rPr>
                      <w:color w:val="auto"/>
                    </w:rPr>
                  </w:pPr>
                  <w:r>
                    <w:rPr>
                      <w:rFonts w:hint="eastAsia"/>
                      <w:color w:val="auto"/>
                    </w:rPr>
                    <w:t>本项目燃气锅炉利用低氮燃烧技术+一根</w:t>
                  </w:r>
                  <w:r>
                    <w:rPr>
                      <w:rFonts w:hint="eastAsia"/>
                      <w:color w:val="auto"/>
                      <w:lang w:val="en-US" w:eastAsia="zh-CN"/>
                    </w:rPr>
                    <w:t>12</w:t>
                  </w:r>
                  <w:r>
                    <w:rPr>
                      <w:rFonts w:hint="eastAsia"/>
                      <w:color w:val="auto"/>
                    </w:rPr>
                    <w:t>m高排气筒有组织排放</w:t>
                  </w:r>
                  <w:r>
                    <w:rPr>
                      <w:color w:val="auto"/>
                    </w:rPr>
                    <w:t>减少大气污染物</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2.3钢铁、建材、有色金属、石油、化工等企业生产过程中排放粉尘、硫化物和氮氧化物的，应当采用清洁生产工艺，配套建设除尘、脱硫、脱硝等装置，或者采取技术改造等其他控制大气污染物排放的措施。</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2.6根据水环境保护的需要，在饮用水水源保护区内，采取禁止或者限制使用含磷洗涤剂、化肥、农药以及限制种植养殖等措施。</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2.7饮用水源地准保护区内无新建、扩建制药、化工、造纸、制革、印染、染料、炼焦、炼硫、炼砷、炼油、电镀、农药等对水体污染严重的建设项目。</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2.8饮用水水源二级保护区内城镇生活垃圾全部集中收集并在保护区外进行无害化处置。准保护区内工业园区企业的第一类水污染物达到车间排放要求、常规污染物达到间接排放标准后，进入园区污水处理厂集中处理。不能满足水质要求的地表水饮用水水源，准保护区或汇水区域采取水污染物容量总量控制措施，限期达标。</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2.9所有排污单位必须依法实现全面达标排放。逐一排查工业企业排污情况，重点排污单位应按要求安装污染物在线监控设施，达标企业应采取措施确保稳定达标。实行</w:t>
                  </w:r>
                  <w:r>
                    <w:rPr>
                      <w:rFonts w:hint="eastAsia"/>
                      <w:lang w:eastAsia="zh-CN"/>
                    </w:rPr>
                    <w:t>“</w:t>
                  </w:r>
                  <w:r>
                    <w:t>红黄牌</w:t>
                  </w:r>
                  <w:r>
                    <w:rPr>
                      <w:rFonts w:hint="eastAsia"/>
                      <w:lang w:eastAsia="zh-CN"/>
                    </w:rPr>
                    <w:t>”</w:t>
                  </w:r>
                  <w:r>
                    <w:t>警示制度，对超标和超总量的企业予以</w:t>
                  </w:r>
                  <w:r>
                    <w:rPr>
                      <w:rFonts w:hint="eastAsia"/>
                      <w:lang w:eastAsia="zh-CN"/>
                    </w:rPr>
                    <w:t>“</w:t>
                  </w:r>
                  <w:r>
                    <w:t>黄牌</w:t>
                  </w:r>
                  <w:r>
                    <w:rPr>
                      <w:rFonts w:hint="eastAsia"/>
                      <w:lang w:eastAsia="zh-CN"/>
                    </w:rPr>
                    <w:t>”</w:t>
                  </w:r>
                  <w:r>
                    <w:t>警示，一律限制生产或停产整治；对整治仍不能达到要求且情节严重的企业予以</w:t>
                  </w:r>
                  <w:r>
                    <w:rPr>
                      <w:rFonts w:hint="eastAsia"/>
                      <w:lang w:eastAsia="zh-CN"/>
                    </w:rPr>
                    <w:t>“</w:t>
                  </w:r>
                  <w:r>
                    <w:t>红牌</w:t>
                  </w:r>
                  <w:r>
                    <w:rPr>
                      <w:rFonts w:hint="eastAsia"/>
                      <w:lang w:eastAsia="zh-CN"/>
                    </w:rPr>
                    <w:t>”</w:t>
                  </w:r>
                  <w:r>
                    <w:t>处罚，一律停业、关闭。定期公布环保</w:t>
                  </w:r>
                  <w:r>
                    <w:rPr>
                      <w:rFonts w:hint="eastAsia"/>
                      <w:lang w:eastAsia="zh-CN"/>
                    </w:rPr>
                    <w:t>“</w:t>
                  </w:r>
                  <w:r>
                    <w:t>黄牌</w:t>
                  </w:r>
                  <w:r>
                    <w:rPr>
                      <w:rFonts w:hint="eastAsia"/>
                      <w:lang w:eastAsia="zh-CN"/>
                    </w:rPr>
                    <w:t>”</w:t>
                  </w:r>
                  <w:r>
                    <w:t>、</w:t>
                  </w:r>
                  <w:r>
                    <w:rPr>
                      <w:rFonts w:hint="eastAsia"/>
                      <w:lang w:eastAsia="zh-CN"/>
                    </w:rPr>
                    <w:t>“</w:t>
                  </w:r>
                  <w:r>
                    <w:t>红牌</w:t>
                  </w:r>
                  <w:r>
                    <w:rPr>
                      <w:rFonts w:hint="eastAsia"/>
                      <w:lang w:eastAsia="zh-CN"/>
                    </w:rPr>
                    <w:t>”</w:t>
                  </w:r>
                  <w:r>
                    <w:t>企业名单。定期抽查排污单位达标排放情况，结果向社会公布。加大综合惩处和处罚执行力度，建立环保领域非诉案件执行联动配合机制，对行政处罚、行政命令执行情况实施后督察。</w:t>
                  </w:r>
                </w:p>
              </w:tc>
              <w:tc>
                <w:tcPr>
                  <w:tcW w:w="1273" w:type="dxa"/>
                  <w:tcBorders>
                    <w:tl2br w:val="nil"/>
                    <w:tr2bl w:val="nil"/>
                  </w:tcBorders>
                  <w:vAlign w:val="center"/>
                </w:tcPr>
                <w:p>
                  <w:pPr>
                    <w:pStyle w:val="70"/>
                  </w:pPr>
                  <w:r>
                    <w:rPr>
                      <w:rFonts w:hint="eastAsia"/>
                    </w:rPr>
                    <w:t>本项目为秸秆饲料化利用</w:t>
                  </w:r>
                  <w:r>
                    <w:t>，不属于重点排污单位，且各项污染物均可达标排放</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2.10严格控制环境激素类化学品污染。完成环境激素类化学品生产使用情况调查，监控评估水源地、农产品种植区及水产品集中养殖区风险，实施环境激素类化学品淘汰、限制、替代等措施。严格控制持久性有机污染物排放，实施持久性有机污染物统计报表制度，对污染物和废弃物进行严格管理。</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restart"/>
                  <w:tcBorders>
                    <w:tl2br w:val="nil"/>
                    <w:tr2bl w:val="nil"/>
                  </w:tcBorders>
                  <w:vAlign w:val="center"/>
                </w:tcPr>
                <w:p>
                  <w:pPr>
                    <w:pStyle w:val="70"/>
                  </w:pPr>
                  <w:r>
                    <w:t>环境风险管控</w:t>
                  </w:r>
                </w:p>
              </w:tc>
              <w:tc>
                <w:tcPr>
                  <w:tcW w:w="3934" w:type="dxa"/>
                  <w:vMerge w:val="restart"/>
                  <w:tcBorders>
                    <w:tl2br w:val="nil"/>
                    <w:tr2bl w:val="nil"/>
                  </w:tcBorders>
                  <w:vAlign w:val="center"/>
                </w:tcPr>
                <w:p>
                  <w:pPr>
                    <w:pStyle w:val="70"/>
                  </w:pPr>
                  <w:r>
                    <w:t>3.1加强重污染天气应急联动。完善自治区重污染天气预警分级标准，统一同一区域内应急预警标准。当预测到区域将出现大范围重污染天气时，统一发布区域预警信息，各县市按级别启动应急响应，落实应急措施，实施区域应急联动。</w:t>
                  </w:r>
                </w:p>
                <w:p>
                  <w:pPr>
                    <w:pStyle w:val="70"/>
                  </w:pPr>
                  <w:r>
                    <w:t>3.2完善重污染天气应急减排措施。各地进一步完善或制</w:t>
                  </w:r>
                  <w:r>
                    <w:rPr>
                      <w:rFonts w:hint="eastAsia"/>
                      <w:lang w:val="en-US" w:eastAsia="zh-CN"/>
                    </w:rPr>
                    <w:t>定、</w:t>
                  </w:r>
                  <w:r>
                    <w:t>修订重污染天气应急预案。提高应急预案中污染物减排比例，黄色、橙色、红色级别减排比例原则上分别不低于10%、20%、30%。细化应急减排措施，落实到企业各工艺环节，实施</w:t>
                  </w:r>
                  <w:r>
                    <w:rPr>
                      <w:rFonts w:hint="eastAsia"/>
                      <w:lang w:eastAsia="zh-CN"/>
                    </w:rPr>
                    <w:t>“</w:t>
                  </w:r>
                  <w:r>
                    <w:t>一厂一策</w:t>
                  </w:r>
                  <w:r>
                    <w:rPr>
                      <w:rFonts w:hint="eastAsia"/>
                      <w:lang w:eastAsia="zh-CN"/>
                    </w:rPr>
                    <w:t>”</w:t>
                  </w:r>
                  <w:r>
                    <w:t>清单化管理。制定应急运输响应方案，在黄色及以上重污染天气预警期间，对钢铁、建材、焦化、有色、化工、矿山等涉及大宗物料运输的重点用车企业，实施应急运输响应。</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vMerge w:val="continue"/>
                  <w:tcBorders>
                    <w:tl2br w:val="nil"/>
                    <w:tr2bl w:val="nil"/>
                  </w:tcBorders>
                  <w:vAlign w:val="center"/>
                </w:tcPr>
                <w:p>
                  <w:pPr>
                    <w:pStyle w:val="70"/>
                  </w:pP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3.3人民政府应当制定重污染天气应急预案，报上一级生态环境主管部门备案，并向社会公布。重污染天气应急预案应当根据实际需要和情势变化适时修订。重点排污单位应当根据所在地重污染天气应急预案，编制本单位重污染天气应急响应方案。医疗、教育、交通、应急管理等重点部门按照部门分预案开展应急管理工作，对发生或者可能发生危害人体健康和安全的重污染天气，应当启动应急方案。</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3.4自治州、各县（市）人民政府应当根据重污染天气的预警等级，及时启动重污染天气应急预案，并采取与预警等级对应的响应措施，相关单位和个人应当配合。</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3.5推进重点流域、饮用水源等环境敏感区域防控体系建设，落实环境风险防控措施，配备拦截、吸附等基本应急处置物资。落实饮用水源一级保护区周边人类活动频繁区域隔离墙、隔离网、视频监控等防范设施建设。</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jc w:val="both"/>
                  </w:pPr>
                  <w:r>
                    <w:t>3.6对饮用水水源保护区内排放重金属等有毒有害污染物的企业，优先取缔关闭；对饮用水水源保护区受重金属污染的土壤，修复处理以确保饮用水水源环境安全；对天然背景值超标、水厂无法处理的重金属等污染的水源，需尽快更换。</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jc w:val="both"/>
                  </w:pPr>
                  <w:r>
                    <w:t>3.7强化对水源周边可能影响水源安全的制药、化工、造纸、采选、制革、印染、电镀、农药等重点行业企业的执法监管。</w:t>
                  </w:r>
                </w:p>
              </w:tc>
              <w:tc>
                <w:tcPr>
                  <w:tcW w:w="1273" w:type="dxa"/>
                  <w:tcBorders>
                    <w:tl2br w:val="nil"/>
                    <w:tr2bl w:val="nil"/>
                  </w:tcBorders>
                  <w:vAlign w:val="center"/>
                </w:tcPr>
                <w:p>
                  <w:pPr>
                    <w:pStyle w:val="70"/>
                  </w:pPr>
                  <w:r>
                    <w:rPr>
                      <w:rFonts w:hint="eastAsia"/>
                    </w:rPr>
                    <w:t>不涉及</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3.8禁止从事下列危及城镇排水与污水处理设施安全的活动：</w:t>
                  </w:r>
                  <w:r>
                    <w:rPr>
                      <w:rFonts w:hint="eastAsia"/>
                      <w:lang w:eastAsia="zh-CN"/>
                    </w:rPr>
                    <w:t>（</w:t>
                  </w:r>
                  <w:r>
                    <w:t>一</w:t>
                  </w:r>
                  <w:r>
                    <w:rPr>
                      <w:rFonts w:hint="eastAsia"/>
                      <w:lang w:eastAsia="zh-CN"/>
                    </w:rPr>
                    <w:t>）</w:t>
                  </w:r>
                  <w:r>
                    <w:t>损毁、盗窃城镇排水与污水处理设施；</w:t>
                  </w:r>
                  <w:r>
                    <w:rPr>
                      <w:rFonts w:hint="eastAsia"/>
                      <w:lang w:eastAsia="zh-CN"/>
                    </w:rPr>
                    <w:t>（</w:t>
                  </w:r>
                  <w:r>
                    <w:t>二</w:t>
                  </w:r>
                  <w:r>
                    <w:rPr>
                      <w:rFonts w:hint="eastAsia"/>
                      <w:lang w:eastAsia="zh-CN"/>
                    </w:rPr>
                    <w:t>）</w:t>
                  </w:r>
                  <w:r>
                    <w:t>穿凿、堵塞城镇排水与污水处理设施；</w:t>
                  </w:r>
                  <w:r>
                    <w:rPr>
                      <w:rFonts w:hint="eastAsia"/>
                      <w:lang w:eastAsia="zh-CN"/>
                    </w:rPr>
                    <w:t>（</w:t>
                  </w:r>
                  <w:r>
                    <w:t>三</w:t>
                  </w:r>
                  <w:r>
                    <w:rPr>
                      <w:rFonts w:hint="eastAsia"/>
                      <w:lang w:eastAsia="zh-CN"/>
                    </w:rPr>
                    <w:t>）</w:t>
                  </w:r>
                  <w:r>
                    <w:t>向城镇排水与污水处理设施排放、倾倒剧毒、易燃易爆、腐蚀性废液和废渣；</w:t>
                  </w:r>
                  <w:r>
                    <w:rPr>
                      <w:rFonts w:hint="eastAsia"/>
                      <w:lang w:eastAsia="zh-CN"/>
                    </w:rPr>
                    <w:t>（</w:t>
                  </w:r>
                  <w:r>
                    <w:t>四</w:t>
                  </w:r>
                  <w:r>
                    <w:rPr>
                      <w:rFonts w:hint="eastAsia"/>
                      <w:lang w:eastAsia="zh-CN"/>
                    </w:rPr>
                    <w:t>）</w:t>
                  </w:r>
                  <w:r>
                    <w:t>向城镇排水与污水处理设施倾倒垃圾、渣土、施工泥浆等废弃物；</w:t>
                  </w:r>
                  <w:r>
                    <w:rPr>
                      <w:rFonts w:hint="eastAsia"/>
                      <w:lang w:eastAsia="zh-CN"/>
                    </w:rPr>
                    <w:t>（</w:t>
                  </w:r>
                  <w:r>
                    <w:t>五</w:t>
                  </w:r>
                  <w:r>
                    <w:rPr>
                      <w:rFonts w:hint="eastAsia"/>
                      <w:lang w:eastAsia="zh-CN"/>
                    </w:rPr>
                    <w:t>）</w:t>
                  </w:r>
                  <w:r>
                    <w:t>建设占压城镇排水与污水处理设施的建筑物、构筑物或者其他设施；</w:t>
                  </w:r>
                  <w:r>
                    <w:rPr>
                      <w:rFonts w:hint="eastAsia"/>
                      <w:lang w:eastAsia="zh-CN"/>
                    </w:rPr>
                    <w:t>（</w:t>
                  </w:r>
                  <w:r>
                    <w:t>六</w:t>
                  </w:r>
                  <w:r>
                    <w:rPr>
                      <w:rFonts w:hint="eastAsia"/>
                      <w:lang w:eastAsia="zh-CN"/>
                    </w:rPr>
                    <w:t>）</w:t>
                  </w:r>
                  <w:r>
                    <w:t>其他危及城镇排水与污水处理设施安全的活动。</w:t>
                  </w:r>
                </w:p>
              </w:tc>
              <w:tc>
                <w:tcPr>
                  <w:tcW w:w="1273" w:type="dxa"/>
                  <w:tcBorders>
                    <w:tl2br w:val="nil"/>
                    <w:tr2bl w:val="nil"/>
                  </w:tcBorders>
                  <w:vAlign w:val="center"/>
                </w:tcPr>
                <w:p>
                  <w:pPr>
                    <w:pStyle w:val="70"/>
                  </w:pPr>
                  <w:r>
                    <w:rPr>
                      <w:rFonts w:hint="eastAsia"/>
                      <w:color w:val="auto"/>
                    </w:rPr>
                    <w:t>本项目生产锅炉</w:t>
                  </w:r>
                  <w:r>
                    <w:rPr>
                      <w:rFonts w:hint="eastAsia"/>
                      <w:color w:val="auto"/>
                      <w:lang w:val="en-US" w:eastAsia="zh-CN"/>
                    </w:rPr>
                    <w:t>废水</w:t>
                  </w:r>
                  <w:r>
                    <w:rPr>
                      <w:rFonts w:hint="eastAsia"/>
                      <w:color w:val="auto"/>
                    </w:rPr>
                    <w:t>和软水制备废水排入园区污水管网；生活废水经化粪池（18m</w:t>
                  </w:r>
                  <w:r>
                    <w:rPr>
                      <w:rFonts w:hint="eastAsia"/>
                      <w:color w:val="auto"/>
                      <w:vertAlign w:val="superscript"/>
                      <w:lang w:val="en-US" w:eastAsia="zh-CN"/>
                    </w:rPr>
                    <w:t>3</w:t>
                  </w:r>
                  <w:r>
                    <w:rPr>
                      <w:rFonts w:hint="eastAsia"/>
                      <w:color w:val="auto"/>
                    </w:rPr>
                    <w:t>）预处理后排入园区污水管网</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3.9健全保护区内危险化学品运输管理制度。保护区内有道路、桥梁穿越的，危险化学品运输采取限制运载重量和物资种类、限定行驶线路等管理措施，并完善应急处置设施。保护区内运输危险化学品车辆及其他穿越保护区的流动源，利用全球定位系统等设备实时监控。</w:t>
                  </w:r>
                </w:p>
              </w:tc>
              <w:tc>
                <w:tcPr>
                  <w:tcW w:w="1273" w:type="dxa"/>
                  <w:tcBorders>
                    <w:tl2br w:val="nil"/>
                    <w:tr2bl w:val="nil"/>
                  </w:tcBorders>
                  <w:vAlign w:val="center"/>
                </w:tcPr>
                <w:p>
                  <w:pPr>
                    <w:pStyle w:val="70"/>
                  </w:pPr>
                  <w:r>
                    <w:t>本项目原辅料均外购，不涉及危化品运输</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3.10严格环境风险控制。防范环境风险。定期评估沿河流湖库的工业企业、工业集聚区环境和健康风险，加强预案管理，落实防控措施，排除水污染隐患。评估现有化学物质环境和健康风险，根据国家公布的优先控制化学品名录，对高风险化学品生产、使用进行严格限制，并逐步淘汰替代。</w:t>
                  </w:r>
                </w:p>
              </w:tc>
              <w:tc>
                <w:tcPr>
                  <w:tcW w:w="1273" w:type="dxa"/>
                  <w:tcBorders>
                    <w:tl2br w:val="nil"/>
                    <w:tr2bl w:val="nil"/>
                  </w:tcBorders>
                  <w:vAlign w:val="center"/>
                </w:tcPr>
                <w:p>
                  <w:pPr>
                    <w:pStyle w:val="70"/>
                  </w:pPr>
                  <w:r>
                    <w:t>本项目已制定环境风险防范措施</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restart"/>
                  <w:tcBorders>
                    <w:tl2br w:val="nil"/>
                    <w:tr2bl w:val="nil"/>
                  </w:tcBorders>
                  <w:vAlign w:val="center"/>
                </w:tcPr>
                <w:p>
                  <w:pPr>
                    <w:pStyle w:val="70"/>
                  </w:pPr>
                  <w:r>
                    <w:t>资源利用要求</w:t>
                  </w:r>
                </w:p>
              </w:tc>
              <w:tc>
                <w:tcPr>
                  <w:tcW w:w="3934" w:type="dxa"/>
                  <w:tcBorders>
                    <w:tl2br w:val="nil"/>
                    <w:tr2bl w:val="nil"/>
                  </w:tcBorders>
                  <w:vAlign w:val="center"/>
                </w:tcPr>
                <w:p>
                  <w:pPr>
                    <w:pStyle w:val="70"/>
                  </w:pPr>
                  <w:r>
                    <w:t>4.1加强秸秆综合利用和氨排放控制。全面推进秸秆综合利用，鼓励秸秆资源化、饲料化、肥料化利用，推动秸秆还田与离田收集。全面加强秸秆禁烧管控，强化各级政府秸秆禁烧主体责任，充分发挥网格化监管作用，在初春、秋收和夏收阶段开展秸秆禁烧专项巡查。</w:t>
                  </w:r>
                </w:p>
              </w:tc>
              <w:tc>
                <w:tcPr>
                  <w:tcW w:w="1273" w:type="dxa"/>
                  <w:tcBorders>
                    <w:tl2br w:val="nil"/>
                    <w:tr2bl w:val="nil"/>
                  </w:tcBorders>
                  <w:vAlign w:val="center"/>
                </w:tcPr>
                <w:p>
                  <w:pPr>
                    <w:pStyle w:val="70"/>
                  </w:pPr>
                  <w:r>
                    <w:rPr>
                      <w:rFonts w:hint="eastAsia"/>
                    </w:rPr>
                    <w:t>本项目为秸秆饲料化利用，符合资源利用要求</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4.2提高能源利用效率。继续实施能源消耗总量和强度双控行动。大力开发、推广节能高效技术和产品，实现重点用能行业、设备节能标准全覆盖。</w:t>
                  </w:r>
                </w:p>
              </w:tc>
              <w:tc>
                <w:tcPr>
                  <w:tcW w:w="1273" w:type="dxa"/>
                  <w:tcBorders>
                    <w:tl2br w:val="nil"/>
                    <w:tr2bl w:val="nil"/>
                  </w:tcBorders>
                  <w:vAlign w:val="center"/>
                </w:tcPr>
                <w:p>
                  <w:pPr>
                    <w:pStyle w:val="70"/>
                  </w:pPr>
                  <w:r>
                    <w:t>本项目采用先进节能高效工艺和设备</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4.3推进循环发展。加强工业水循环利用。推进矿井水综合利用，煤炭矿区的补充用水、周边地区生产和生态用水应优先使用矿井水，加强洗煤废水循环利用。鼓励钢铁、纺织印染、造纸、石油石化、化工、制革等高耗水企业废水深度处理回用。</w:t>
                  </w:r>
                </w:p>
              </w:tc>
              <w:tc>
                <w:tcPr>
                  <w:tcW w:w="1273" w:type="dxa"/>
                  <w:tcBorders>
                    <w:tl2br w:val="nil"/>
                    <w:tr2bl w:val="nil"/>
                  </w:tcBorders>
                  <w:vAlign w:val="center"/>
                </w:tcPr>
                <w:p>
                  <w:pPr>
                    <w:pStyle w:val="70"/>
                  </w:pPr>
                  <w:r>
                    <w:t>项目生产工艺用水量较少</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4.4促进再生水利用。制定促进再生水利用的政策，以城市及产业集聚区为重点，实施再生水利用工程，完善再生水利用设施，工业生产、城市绿化、道路清扫、车辆冲洗、建筑施工以及生态景观等用水，要优先使用再生水。推进高速公路服务区污水处理和利用。具备使用再生水条件但未充分利用的钢铁、火电、化工、制浆造纸、印染等项目，不得批准其新增取水许可。单体建筑面积超过2万平方米的新建公共建筑应安装建筑中水设施。积极推动其他新建住房安装建筑中水设施。</w:t>
                  </w:r>
                </w:p>
              </w:tc>
              <w:tc>
                <w:tcPr>
                  <w:tcW w:w="1273" w:type="dxa"/>
                  <w:tcBorders>
                    <w:tl2br w:val="nil"/>
                    <w:tr2bl w:val="nil"/>
                  </w:tcBorders>
                  <w:vAlign w:val="center"/>
                </w:tcPr>
                <w:p>
                  <w:pPr>
                    <w:pStyle w:val="70"/>
                  </w:pPr>
                  <w:r>
                    <w:rPr>
                      <w:rFonts w:hint="eastAsia"/>
                      <w:color w:val="auto"/>
                    </w:rPr>
                    <w:t>本项目生产锅炉</w:t>
                  </w:r>
                  <w:r>
                    <w:rPr>
                      <w:rFonts w:hint="eastAsia"/>
                      <w:color w:val="auto"/>
                      <w:lang w:val="en-US" w:eastAsia="zh-CN"/>
                    </w:rPr>
                    <w:t>废水</w:t>
                  </w:r>
                  <w:r>
                    <w:rPr>
                      <w:rFonts w:hint="eastAsia"/>
                      <w:color w:val="auto"/>
                    </w:rPr>
                    <w:t>和软水制备废水排入园区污水管网；生活废水经化粪池（18m</w:t>
                  </w:r>
                  <w:r>
                    <w:rPr>
                      <w:rFonts w:hint="eastAsia"/>
                      <w:color w:val="auto"/>
                      <w:vertAlign w:val="superscript"/>
                      <w:lang w:val="en-US" w:eastAsia="zh-CN"/>
                    </w:rPr>
                    <w:t>3</w:t>
                  </w:r>
                  <w:r>
                    <w:rPr>
                      <w:rFonts w:hint="eastAsia"/>
                      <w:color w:val="auto"/>
                    </w:rPr>
                    <w:t>）预处理后排入园区污水管网</w:t>
                  </w:r>
                </w:p>
              </w:tc>
              <w:tc>
                <w:tcPr>
                  <w:tcW w:w="658" w:type="dxa"/>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pPr>
                    <w:pStyle w:val="70"/>
                  </w:pPr>
                </w:p>
              </w:tc>
              <w:tc>
                <w:tcPr>
                  <w:tcW w:w="561" w:type="dxa"/>
                  <w:vMerge w:val="continue"/>
                  <w:tcBorders>
                    <w:tl2br w:val="nil"/>
                    <w:tr2bl w:val="nil"/>
                  </w:tcBorders>
                  <w:vAlign w:val="center"/>
                </w:tcPr>
                <w:p>
                  <w:pPr>
                    <w:pStyle w:val="70"/>
                  </w:pPr>
                </w:p>
              </w:tc>
              <w:tc>
                <w:tcPr>
                  <w:tcW w:w="3934" w:type="dxa"/>
                  <w:tcBorders>
                    <w:tl2br w:val="nil"/>
                    <w:tr2bl w:val="nil"/>
                  </w:tcBorders>
                  <w:vAlign w:val="center"/>
                </w:tcPr>
                <w:p>
                  <w:pPr>
                    <w:pStyle w:val="70"/>
                  </w:pPr>
                  <w:r>
                    <w:t>4.</w:t>
                  </w:r>
                  <w:r>
                    <w:rPr>
                      <w:rFonts w:hint="eastAsia"/>
                    </w:rPr>
                    <w:t>5</w:t>
                  </w:r>
                  <w:r>
                    <w:t>流域执行最严格的水资源管理制度，依法实行取水许可和有偿使用制度。在流域内从事生产、建设活动应当遵守生态环境保护规划，严格执行水资源用水总量控制、用水效率控制、水功能区限制纳污</w:t>
                  </w:r>
                  <w:r>
                    <w:rPr>
                      <w:rFonts w:hint="eastAsia"/>
                      <w:lang w:eastAsia="zh-CN"/>
                    </w:rPr>
                    <w:t>“</w:t>
                  </w:r>
                  <w:r>
                    <w:t>三条红线</w:t>
                  </w:r>
                  <w:r>
                    <w:rPr>
                      <w:rFonts w:hint="eastAsia"/>
                      <w:lang w:eastAsia="zh-CN"/>
                    </w:rPr>
                    <w:t>”</w:t>
                  </w:r>
                  <w:r>
                    <w:t>控制指标。流域内水资源开发利用应当兼顾上下游、左右岸和有关县、团镇之间的利益，发挥水资源的综合效益。</w:t>
                  </w:r>
                </w:p>
              </w:tc>
              <w:tc>
                <w:tcPr>
                  <w:tcW w:w="1273" w:type="dxa"/>
                  <w:tcBorders>
                    <w:tl2br w:val="nil"/>
                    <w:tr2bl w:val="nil"/>
                  </w:tcBorders>
                  <w:vAlign w:val="center"/>
                </w:tcPr>
                <w:p>
                  <w:pPr>
                    <w:pStyle w:val="70"/>
                  </w:pPr>
                  <w:r>
                    <w:t>不涉及</w:t>
                  </w:r>
                </w:p>
              </w:tc>
              <w:tc>
                <w:tcPr>
                  <w:tcW w:w="658" w:type="dxa"/>
                  <w:tcBorders>
                    <w:tl2br w:val="nil"/>
                    <w:tr2bl w:val="nil"/>
                  </w:tcBorders>
                  <w:vAlign w:val="center"/>
                </w:tcPr>
                <w:p>
                  <w:pPr>
                    <w:pStyle w:val="70"/>
                  </w:pPr>
                  <w:r>
                    <w:t>符合</w:t>
                  </w:r>
                </w:p>
              </w:tc>
            </w:tr>
          </w:tbl>
          <w:p>
            <w:pPr>
              <w:pStyle w:val="74"/>
              <w:spacing w:before="120"/>
            </w:pPr>
            <w:r>
              <w:t>表</w:t>
            </w:r>
            <w:r>
              <w:rPr>
                <w:rFonts w:hint="eastAsia"/>
                <w:lang w:val="en-US" w:eastAsia="zh-CN"/>
              </w:rPr>
              <w:t xml:space="preserve">1-6 </w:t>
            </w:r>
            <w:r>
              <w:rPr>
                <w:rFonts w:hint="eastAsia"/>
              </w:rPr>
              <w:t xml:space="preserve">  </w:t>
            </w:r>
            <w:r>
              <w:rPr>
                <w:rFonts w:hint="eastAsia" w:cs="Times New Roman"/>
                <w:b/>
                <w:kern w:val="0"/>
                <w:sz w:val="21"/>
                <w:szCs w:val="20"/>
              </w:rPr>
              <w:t>本项目与和静工业园区</w:t>
            </w:r>
            <w:r>
              <w:rPr>
                <w:rFonts w:hint="eastAsia"/>
                <w:color w:val="auto"/>
              </w:rPr>
              <w:t>额勒再特轻工业片区</w:t>
            </w:r>
            <w:r>
              <w:rPr>
                <w:rFonts w:hint="eastAsia" w:cs="Times New Roman"/>
                <w:b/>
                <w:kern w:val="0"/>
                <w:sz w:val="21"/>
                <w:szCs w:val="20"/>
              </w:rPr>
              <w:t>环境管控单元准入清单符合性分析一览</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343"/>
              <w:gridCol w:w="525"/>
              <w:gridCol w:w="2673"/>
              <w:gridCol w:w="1810"/>
              <w:gridCol w:w="9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078" w:type="pct"/>
                  <w:gridSpan w:val="3"/>
                  <w:tcBorders>
                    <w:tl2br w:val="nil"/>
                    <w:tr2bl w:val="nil"/>
                  </w:tcBorders>
                  <w:vAlign w:val="center"/>
                </w:tcPr>
                <w:p>
                  <w:pPr>
                    <w:pStyle w:val="70"/>
                    <w:rPr>
                      <w:color w:val="auto"/>
                    </w:rPr>
                  </w:pPr>
                  <w:r>
                    <w:rPr>
                      <w:rFonts w:hint="eastAsia"/>
                      <w:color w:val="auto"/>
                    </w:rPr>
                    <w:t>管控类型</w:t>
                  </w:r>
                </w:p>
              </w:tc>
              <w:tc>
                <w:tcPr>
                  <w:tcW w:w="1938" w:type="pct"/>
                  <w:tcBorders>
                    <w:tl2br w:val="nil"/>
                    <w:tr2bl w:val="nil"/>
                  </w:tcBorders>
                  <w:vAlign w:val="center"/>
                </w:tcPr>
                <w:p>
                  <w:pPr>
                    <w:pStyle w:val="70"/>
                    <w:rPr>
                      <w:color w:val="auto"/>
                    </w:rPr>
                  </w:pPr>
                  <w:r>
                    <w:rPr>
                      <w:rFonts w:hint="eastAsia"/>
                      <w:color w:val="auto"/>
                    </w:rPr>
                    <w:t>管控要求</w:t>
                  </w:r>
                </w:p>
              </w:tc>
              <w:tc>
                <w:tcPr>
                  <w:tcW w:w="1312" w:type="pct"/>
                  <w:tcBorders>
                    <w:tl2br w:val="nil"/>
                    <w:tr2bl w:val="nil"/>
                  </w:tcBorders>
                  <w:vAlign w:val="center"/>
                </w:tcPr>
                <w:p>
                  <w:pPr>
                    <w:pStyle w:val="70"/>
                    <w:rPr>
                      <w:color w:val="auto"/>
                    </w:rPr>
                  </w:pPr>
                  <w:r>
                    <w:rPr>
                      <w:rFonts w:hint="eastAsia"/>
                      <w:color w:val="auto"/>
                    </w:rPr>
                    <w:t>本项目</w:t>
                  </w:r>
                </w:p>
              </w:tc>
              <w:tc>
                <w:tcPr>
                  <w:tcW w:w="670" w:type="pct"/>
                  <w:tcBorders>
                    <w:tl2br w:val="nil"/>
                    <w:tr2bl w:val="nil"/>
                  </w:tcBorders>
                  <w:vAlign w:val="center"/>
                </w:tcPr>
                <w:p>
                  <w:pPr>
                    <w:pStyle w:val="70"/>
                    <w:rPr>
                      <w:color w:val="auto"/>
                    </w:rPr>
                  </w:pPr>
                  <w:r>
                    <w:rPr>
                      <w:rFonts w:hint="eastAsia"/>
                      <w:color w:val="auto"/>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49" w:type="pct"/>
                  <w:vMerge w:val="restart"/>
                  <w:tcBorders>
                    <w:tl2br w:val="nil"/>
                    <w:tr2bl w:val="nil"/>
                  </w:tcBorders>
                  <w:vAlign w:val="center"/>
                </w:tcPr>
                <w:p>
                  <w:pPr>
                    <w:pStyle w:val="70"/>
                    <w:rPr>
                      <w:color w:val="auto"/>
                    </w:rPr>
                  </w:pPr>
                  <w:r>
                    <w:rPr>
                      <w:rFonts w:hint="eastAsia"/>
                      <w:color w:val="auto"/>
                    </w:rPr>
                    <w:t>和静工业园区额勒再特轻工业片区</w:t>
                  </w:r>
                </w:p>
              </w:tc>
              <w:tc>
                <w:tcPr>
                  <w:tcW w:w="248" w:type="pct"/>
                  <w:vMerge w:val="restart"/>
                  <w:tcBorders>
                    <w:tl2br w:val="nil"/>
                    <w:tr2bl w:val="nil"/>
                  </w:tcBorders>
                  <w:vAlign w:val="center"/>
                </w:tcPr>
                <w:p>
                  <w:pPr>
                    <w:pStyle w:val="70"/>
                    <w:rPr>
                      <w:color w:val="auto"/>
                    </w:rPr>
                  </w:pPr>
                  <w:r>
                    <w:rPr>
                      <w:color w:val="auto"/>
                    </w:rPr>
                    <w:t>ZH6528272</w:t>
                  </w:r>
                  <w:r>
                    <w:rPr>
                      <w:rFonts w:hint="eastAsia"/>
                      <w:color w:val="auto"/>
                    </w:rPr>
                    <w:t>0008</w:t>
                  </w:r>
                </w:p>
              </w:tc>
              <w:tc>
                <w:tcPr>
                  <w:tcW w:w="380" w:type="pct"/>
                  <w:tcBorders>
                    <w:tl2br w:val="nil"/>
                    <w:tr2bl w:val="nil"/>
                  </w:tcBorders>
                  <w:vAlign w:val="center"/>
                </w:tcPr>
                <w:p>
                  <w:pPr>
                    <w:pStyle w:val="70"/>
                    <w:rPr>
                      <w:color w:val="auto"/>
                    </w:rPr>
                  </w:pPr>
                  <w:r>
                    <w:rPr>
                      <w:rFonts w:hint="eastAsia"/>
                      <w:color w:val="auto"/>
                    </w:rPr>
                    <w:t>空间布局约束</w:t>
                  </w:r>
                </w:p>
              </w:tc>
              <w:tc>
                <w:tcPr>
                  <w:tcW w:w="1938" w:type="pct"/>
                  <w:tcBorders>
                    <w:tl2br w:val="nil"/>
                    <w:tr2bl w:val="nil"/>
                  </w:tcBorders>
                  <w:vAlign w:val="center"/>
                </w:tcPr>
                <w:p>
                  <w:pPr>
                    <w:pStyle w:val="70"/>
                    <w:rPr>
                      <w:color w:val="auto"/>
                    </w:rPr>
                  </w:pPr>
                  <w:r>
                    <w:rPr>
                      <w:rFonts w:hint="eastAsia"/>
                      <w:color w:val="auto"/>
                    </w:rPr>
                    <w:t>符合国家环保和节能减排要求，排放污染物必须达到国家和自治区污染物排放标准，严禁国家明文规定的限制类、淘汰类项目进入园区；不得采用国家、自治区淘汰或禁止使用的生产工艺、技术和设备；项目中的防治措施必须与主体工程同时设计、同时施工、同时投产使用</w:t>
                  </w:r>
                </w:p>
              </w:tc>
              <w:tc>
                <w:tcPr>
                  <w:tcW w:w="1312" w:type="pct"/>
                  <w:tcBorders>
                    <w:tl2br w:val="nil"/>
                    <w:tr2bl w:val="nil"/>
                  </w:tcBorders>
                  <w:vAlign w:val="center"/>
                </w:tcPr>
                <w:p>
                  <w:pPr>
                    <w:pStyle w:val="70"/>
                    <w:rPr>
                      <w:color w:val="auto"/>
                    </w:rPr>
                  </w:pPr>
                  <w:r>
                    <w:t>本项目属于第一类</w:t>
                  </w:r>
                  <w:r>
                    <w:rPr>
                      <w:rFonts w:hint="eastAsia"/>
                      <w:lang w:eastAsia="zh-CN"/>
                    </w:rPr>
                    <w:t>“</w:t>
                  </w:r>
                  <w:r>
                    <w:t>鼓励类</w:t>
                  </w:r>
                  <w:r>
                    <w:rPr>
                      <w:rFonts w:hint="eastAsia"/>
                      <w:lang w:eastAsia="zh-CN"/>
                    </w:rPr>
                    <w:t>”</w:t>
                  </w:r>
                  <w:r>
                    <w:t>中</w:t>
                  </w:r>
                  <w:r>
                    <w:rPr>
                      <w:rFonts w:hint="eastAsia"/>
                      <w:lang w:eastAsia="zh-CN"/>
                    </w:rPr>
                    <w:t>“</w:t>
                  </w:r>
                  <w:r>
                    <w:t>一、农林牧渔业</w:t>
                  </w:r>
                  <w:r>
                    <w:rPr>
                      <w:rFonts w:hint="eastAsia"/>
                      <w:lang w:eastAsia="zh-CN"/>
                    </w:rPr>
                    <w:t>”</w:t>
                  </w:r>
                  <w:r>
                    <w:t>类</w:t>
                  </w:r>
                  <w:r>
                    <w:rPr>
                      <w:rFonts w:hint="eastAsia"/>
                      <w:lang w:eastAsia="zh-CN"/>
                    </w:rPr>
                    <w:t>“</w:t>
                  </w:r>
                  <w:r>
                    <w:t>17、农作物秸秆综合利用（秸秆肥料化利</w:t>
                  </w:r>
                  <w:r>
                    <w:rPr>
                      <w:rFonts w:hint="eastAsia"/>
                    </w:rPr>
                    <w:t>用</w:t>
                  </w:r>
                  <w:r>
                    <w:t>）</w:t>
                  </w:r>
                  <w:r>
                    <w:rPr>
                      <w:rFonts w:hint="eastAsia"/>
                      <w:lang w:eastAsia="zh-CN"/>
                    </w:rPr>
                    <w:t>”</w:t>
                  </w:r>
                  <w:r>
                    <w:t>符合</w:t>
                  </w:r>
                  <w:r>
                    <w:rPr>
                      <w:rFonts w:hint="eastAsia"/>
                      <w:color w:val="auto"/>
                    </w:rPr>
                    <w:t>国家环保和节能减排要求</w:t>
                  </w:r>
                </w:p>
              </w:tc>
              <w:tc>
                <w:tcPr>
                  <w:tcW w:w="670" w:type="pct"/>
                  <w:tcBorders>
                    <w:tl2br w:val="nil"/>
                    <w:tr2bl w:val="nil"/>
                  </w:tcBorders>
                  <w:vAlign w:val="center"/>
                </w:tcPr>
                <w:p>
                  <w:pPr>
                    <w:pStyle w:val="70"/>
                    <w:rPr>
                      <w:color w:val="auto"/>
                    </w:rPr>
                  </w:pPr>
                  <w:r>
                    <w:rPr>
                      <w:rFonts w:hint="eastAsia"/>
                      <w:color w:val="auto"/>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449" w:type="pct"/>
                  <w:vMerge w:val="continue"/>
                  <w:tcBorders>
                    <w:tl2br w:val="nil"/>
                    <w:tr2bl w:val="nil"/>
                  </w:tcBorders>
                  <w:vAlign w:val="center"/>
                </w:tcPr>
                <w:p>
                  <w:pPr>
                    <w:pStyle w:val="70"/>
                    <w:rPr>
                      <w:color w:val="auto"/>
                    </w:rPr>
                  </w:pPr>
                </w:p>
              </w:tc>
              <w:tc>
                <w:tcPr>
                  <w:tcW w:w="248" w:type="pct"/>
                  <w:vMerge w:val="continue"/>
                  <w:tcBorders>
                    <w:tl2br w:val="nil"/>
                    <w:tr2bl w:val="nil"/>
                  </w:tcBorders>
                  <w:vAlign w:val="center"/>
                </w:tcPr>
                <w:p>
                  <w:pPr>
                    <w:pStyle w:val="70"/>
                    <w:rPr>
                      <w:color w:val="auto"/>
                    </w:rPr>
                  </w:pPr>
                </w:p>
              </w:tc>
              <w:tc>
                <w:tcPr>
                  <w:tcW w:w="380" w:type="pct"/>
                  <w:tcBorders>
                    <w:tl2br w:val="nil"/>
                    <w:tr2bl w:val="nil"/>
                  </w:tcBorders>
                  <w:vAlign w:val="center"/>
                </w:tcPr>
                <w:p>
                  <w:pPr>
                    <w:pStyle w:val="70"/>
                    <w:rPr>
                      <w:color w:val="auto"/>
                    </w:rPr>
                  </w:pPr>
                  <w:r>
                    <w:rPr>
                      <w:rFonts w:hint="eastAsia"/>
                      <w:color w:val="auto"/>
                    </w:rPr>
                    <w:t>污染物排放管控</w:t>
                  </w:r>
                </w:p>
              </w:tc>
              <w:tc>
                <w:tcPr>
                  <w:tcW w:w="1938" w:type="pct"/>
                  <w:tcBorders>
                    <w:tl2br w:val="nil"/>
                    <w:tr2bl w:val="nil"/>
                  </w:tcBorders>
                  <w:vAlign w:val="center"/>
                </w:tcPr>
                <w:p>
                  <w:pPr>
                    <w:pStyle w:val="70"/>
                    <w:rPr>
                      <w:color w:val="auto"/>
                    </w:rPr>
                  </w:pPr>
                  <w:r>
                    <w:rPr>
                      <w:color w:val="auto"/>
                    </w:rPr>
                    <w:t>1.</w:t>
                  </w:r>
                  <w:r>
                    <w:rPr>
                      <w:rFonts w:hint="eastAsia"/>
                      <w:color w:val="auto"/>
                    </w:rPr>
                    <w:t>完善工业炉窑综合整治实施方案，开展工业炉窑专项整治，确保各类污染物稳定达标排放。</w:t>
                  </w:r>
                </w:p>
                <w:p>
                  <w:pPr>
                    <w:pStyle w:val="70"/>
                    <w:rPr>
                      <w:color w:val="auto"/>
                    </w:rPr>
                  </w:pPr>
                  <w:r>
                    <w:rPr>
                      <w:color w:val="auto"/>
                    </w:rPr>
                    <w:t>2.</w:t>
                  </w:r>
                  <w:r>
                    <w:rPr>
                      <w:rFonts w:hint="eastAsia"/>
                      <w:color w:val="auto"/>
                    </w:rPr>
                    <w:t>完善矿产品冶炼等工业企业污染水治理设施，推进工业污水达标排放，实现污染物稳定达标排放。企业污水自行处理达到行业排放标准或《污水综合排放标准》中的三级标准后方可进入污水处理厂，并在企业排水口安装在线监测设备，以保障污水处理厂进水满足要求。</w:t>
                  </w:r>
                </w:p>
              </w:tc>
              <w:tc>
                <w:tcPr>
                  <w:tcW w:w="1312" w:type="pct"/>
                  <w:tcBorders>
                    <w:tl2br w:val="nil"/>
                    <w:tr2bl w:val="nil"/>
                  </w:tcBorders>
                  <w:vAlign w:val="center"/>
                </w:tcPr>
                <w:p>
                  <w:pPr>
                    <w:pStyle w:val="70"/>
                    <w:rPr>
                      <w:color w:val="auto"/>
                    </w:rPr>
                  </w:pPr>
                  <w:r>
                    <w:t>本项目</w:t>
                  </w:r>
                  <w:r>
                    <w:rPr>
                      <w:rFonts w:hint="eastAsia"/>
                    </w:rPr>
                    <w:t>锅炉</w:t>
                  </w:r>
                  <w:r>
                    <w:t>严格执行污染物</w:t>
                  </w:r>
                  <w:r>
                    <w:rPr>
                      <w:rFonts w:hint="eastAsia"/>
                    </w:rPr>
                    <w:t>排放标准。</w:t>
                  </w:r>
                  <w:r>
                    <w:t>生活污水排放量较小，</w:t>
                  </w:r>
                  <w:r>
                    <w:rPr>
                      <w:rFonts w:hint="eastAsia"/>
                      <w:lang w:eastAsia="zh-CN"/>
                    </w:rPr>
                    <w:t>本项目</w:t>
                  </w:r>
                  <w:r>
                    <w:t>生活污水经化粪池预处理达到《</w:t>
                  </w:r>
                  <w:r>
                    <w:rPr>
                      <w:rFonts w:hint="eastAsia"/>
                      <w:lang w:val="en-US" w:eastAsia="zh-CN"/>
                    </w:rPr>
                    <w:t>污水排入城镇下水道水质标准</w:t>
                  </w:r>
                  <w:r>
                    <w:t>》（GB</w:t>
                  </w:r>
                  <w:r>
                    <w:rPr>
                      <w:rFonts w:hint="eastAsia"/>
                      <w:lang w:val="en-US" w:eastAsia="zh-CN"/>
                    </w:rPr>
                    <w:t>/T31962-2015</w:t>
                  </w:r>
                  <w:r>
                    <w:t>）</w:t>
                  </w:r>
                  <w:r>
                    <w:rPr>
                      <w:rFonts w:hint="eastAsia"/>
                      <w:lang w:val="en-US" w:eastAsia="zh-CN"/>
                    </w:rPr>
                    <w:t>B级</w:t>
                  </w:r>
                  <w:r>
                    <w:t>排放标准后经</w:t>
                  </w:r>
                  <w:r>
                    <w:rPr>
                      <w:rFonts w:hint="eastAsia"/>
                    </w:rPr>
                    <w:t>园区</w:t>
                  </w:r>
                  <w:r>
                    <w:t>污水管网排入和静县污水处理厂处理</w:t>
                  </w:r>
                </w:p>
              </w:tc>
              <w:tc>
                <w:tcPr>
                  <w:tcW w:w="670" w:type="pct"/>
                  <w:tcBorders>
                    <w:tl2br w:val="nil"/>
                    <w:tr2bl w:val="nil"/>
                  </w:tcBorders>
                  <w:vAlign w:val="center"/>
                </w:tcPr>
                <w:p>
                  <w:pPr>
                    <w:pStyle w:val="70"/>
                    <w:rPr>
                      <w:color w:val="auto"/>
                    </w:rPr>
                  </w:pPr>
                  <w:r>
                    <w:rPr>
                      <w:rFonts w:hint="eastAsia"/>
                      <w:color w:val="auto"/>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449" w:type="pct"/>
                  <w:vMerge w:val="continue"/>
                  <w:tcBorders>
                    <w:tl2br w:val="nil"/>
                    <w:tr2bl w:val="nil"/>
                  </w:tcBorders>
                  <w:vAlign w:val="center"/>
                </w:tcPr>
                <w:p>
                  <w:pPr>
                    <w:pStyle w:val="70"/>
                    <w:rPr>
                      <w:color w:val="auto"/>
                    </w:rPr>
                  </w:pPr>
                </w:p>
              </w:tc>
              <w:tc>
                <w:tcPr>
                  <w:tcW w:w="248" w:type="pct"/>
                  <w:vMerge w:val="continue"/>
                  <w:tcBorders>
                    <w:tl2br w:val="nil"/>
                    <w:tr2bl w:val="nil"/>
                  </w:tcBorders>
                  <w:vAlign w:val="center"/>
                </w:tcPr>
                <w:p>
                  <w:pPr>
                    <w:pStyle w:val="70"/>
                    <w:rPr>
                      <w:color w:val="auto"/>
                    </w:rPr>
                  </w:pPr>
                </w:p>
              </w:tc>
              <w:tc>
                <w:tcPr>
                  <w:tcW w:w="380" w:type="pct"/>
                  <w:tcBorders>
                    <w:tl2br w:val="nil"/>
                    <w:tr2bl w:val="nil"/>
                  </w:tcBorders>
                  <w:vAlign w:val="center"/>
                </w:tcPr>
                <w:p>
                  <w:pPr>
                    <w:pStyle w:val="70"/>
                    <w:rPr>
                      <w:color w:val="auto"/>
                    </w:rPr>
                  </w:pPr>
                  <w:r>
                    <w:rPr>
                      <w:rFonts w:hint="eastAsia"/>
                      <w:color w:val="auto"/>
                    </w:rPr>
                    <w:t>环境风险防控</w:t>
                  </w:r>
                </w:p>
              </w:tc>
              <w:tc>
                <w:tcPr>
                  <w:tcW w:w="1938" w:type="pct"/>
                  <w:tcBorders>
                    <w:tl2br w:val="nil"/>
                    <w:tr2bl w:val="nil"/>
                  </w:tcBorders>
                  <w:vAlign w:val="center"/>
                </w:tcPr>
                <w:p>
                  <w:pPr>
                    <w:pStyle w:val="70"/>
                    <w:jc w:val="both"/>
                    <w:rPr>
                      <w:color w:val="auto"/>
                    </w:rPr>
                  </w:pPr>
                  <w:r>
                    <w:rPr>
                      <w:color w:val="auto"/>
                    </w:rPr>
                    <w:t>1.</w:t>
                  </w:r>
                  <w:r>
                    <w:rPr>
                      <w:rFonts w:hint="eastAsia"/>
                      <w:color w:val="auto"/>
                    </w:rPr>
                    <w:t>开展土壤环境风险源识别，建立土壤污染源管控制度。列入土壤污染风险源清单中的企业，要制定隐患整治方案，报环境保护部门备案并由县人民政府审核后实施。</w:t>
                  </w:r>
                </w:p>
                <w:p>
                  <w:pPr>
                    <w:pStyle w:val="70"/>
                    <w:jc w:val="both"/>
                    <w:rPr>
                      <w:color w:val="auto"/>
                    </w:rPr>
                  </w:pPr>
                  <w:r>
                    <w:rPr>
                      <w:color w:val="auto"/>
                    </w:rPr>
                    <w:t>2.</w:t>
                  </w:r>
                  <w:r>
                    <w:rPr>
                      <w:rFonts w:hint="eastAsia"/>
                      <w:color w:val="auto"/>
                    </w:rPr>
                    <w:t>严格环境风险控制。防范环境风险，定期评估工业集聚区环境和健康风险，加强预案管理，落实防控措施，排除水污染隐患。</w:t>
                  </w:r>
                </w:p>
                <w:p>
                  <w:pPr>
                    <w:pStyle w:val="70"/>
                    <w:rPr>
                      <w:color w:val="auto"/>
                    </w:rPr>
                  </w:pPr>
                  <w:r>
                    <w:rPr>
                      <w:color w:val="auto"/>
                    </w:rPr>
                    <w:t>3.</w:t>
                  </w:r>
                  <w:r>
                    <w:rPr>
                      <w:rFonts w:hint="eastAsia"/>
                      <w:color w:val="auto"/>
                    </w:rPr>
                    <w:t>加强对地下水、地表水污染的动态监测，禁止利用渗坑、渗井排放工业废水和生活污水，控制或杜绝污染。</w:t>
                  </w:r>
                </w:p>
              </w:tc>
              <w:tc>
                <w:tcPr>
                  <w:tcW w:w="1312" w:type="pct"/>
                  <w:tcBorders>
                    <w:tl2br w:val="nil"/>
                    <w:tr2bl w:val="nil"/>
                  </w:tcBorders>
                  <w:vAlign w:val="center"/>
                </w:tcPr>
                <w:p>
                  <w:pPr>
                    <w:pStyle w:val="70"/>
                    <w:rPr>
                      <w:color w:val="auto"/>
                    </w:rPr>
                  </w:pPr>
                  <w:r>
                    <w:rPr>
                      <w:rFonts w:hint="eastAsia"/>
                      <w:color w:val="auto"/>
                    </w:rPr>
                    <w:t>本项目严格管理各类风险物质，环境风险可控</w:t>
                  </w:r>
                </w:p>
              </w:tc>
              <w:tc>
                <w:tcPr>
                  <w:tcW w:w="670" w:type="pct"/>
                  <w:tcBorders>
                    <w:tl2br w:val="nil"/>
                    <w:tr2bl w:val="nil"/>
                  </w:tcBorders>
                  <w:vAlign w:val="center"/>
                </w:tcPr>
                <w:p>
                  <w:pPr>
                    <w:pStyle w:val="70"/>
                    <w:rPr>
                      <w:color w:val="auto"/>
                    </w:rPr>
                  </w:pPr>
                  <w:r>
                    <w:rPr>
                      <w:rFonts w:hint="eastAsia"/>
                      <w:color w:val="auto"/>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449" w:type="pct"/>
                  <w:vMerge w:val="continue"/>
                  <w:tcBorders>
                    <w:tl2br w:val="nil"/>
                    <w:tr2bl w:val="nil"/>
                  </w:tcBorders>
                  <w:vAlign w:val="center"/>
                </w:tcPr>
                <w:p>
                  <w:pPr>
                    <w:pStyle w:val="70"/>
                    <w:rPr>
                      <w:color w:val="auto"/>
                    </w:rPr>
                  </w:pPr>
                </w:p>
              </w:tc>
              <w:tc>
                <w:tcPr>
                  <w:tcW w:w="248" w:type="pct"/>
                  <w:vMerge w:val="continue"/>
                  <w:tcBorders>
                    <w:tl2br w:val="nil"/>
                    <w:tr2bl w:val="nil"/>
                  </w:tcBorders>
                  <w:vAlign w:val="center"/>
                </w:tcPr>
                <w:p>
                  <w:pPr>
                    <w:pStyle w:val="70"/>
                    <w:rPr>
                      <w:color w:val="auto"/>
                    </w:rPr>
                  </w:pPr>
                </w:p>
              </w:tc>
              <w:tc>
                <w:tcPr>
                  <w:tcW w:w="380" w:type="pct"/>
                  <w:tcBorders>
                    <w:tl2br w:val="nil"/>
                    <w:tr2bl w:val="nil"/>
                  </w:tcBorders>
                  <w:vAlign w:val="center"/>
                </w:tcPr>
                <w:p>
                  <w:pPr>
                    <w:pStyle w:val="70"/>
                    <w:rPr>
                      <w:color w:val="auto"/>
                    </w:rPr>
                  </w:pPr>
                  <w:r>
                    <w:rPr>
                      <w:rFonts w:hint="eastAsia"/>
                      <w:color w:val="auto"/>
                    </w:rPr>
                    <w:t>资源利用效率</w:t>
                  </w:r>
                </w:p>
              </w:tc>
              <w:tc>
                <w:tcPr>
                  <w:tcW w:w="1938" w:type="pct"/>
                  <w:tcBorders>
                    <w:tl2br w:val="nil"/>
                    <w:tr2bl w:val="nil"/>
                  </w:tcBorders>
                  <w:vAlign w:val="center"/>
                </w:tcPr>
                <w:p>
                  <w:pPr>
                    <w:pStyle w:val="70"/>
                    <w:rPr>
                      <w:color w:val="auto"/>
                    </w:rPr>
                  </w:pPr>
                  <w:r>
                    <w:rPr>
                      <w:rFonts w:hint="eastAsia"/>
                      <w:color w:val="auto"/>
                    </w:rPr>
                    <w:t>围绕资源高效循环利用，加大先进节能技术和减排技术的推广应用，推动结构性、技术性和制度性节能减排。强化行业环境监督管理，以重点领域、重点行业和重点企业为突破口，实施节能减排技术改造和重点工程建设。进一步加强节能监察队伍建设，逐步推行碳排放交易、合同能源管理的节能模式，引导企业做好能源利用状况报告的评审和产品能耗对标工作，加强能耗计量专业化和信息化，提高节能监察工作能力。</w:t>
                  </w:r>
                </w:p>
              </w:tc>
              <w:tc>
                <w:tcPr>
                  <w:tcW w:w="1312" w:type="pct"/>
                  <w:tcBorders>
                    <w:tl2br w:val="nil"/>
                    <w:tr2bl w:val="nil"/>
                  </w:tcBorders>
                  <w:vAlign w:val="center"/>
                </w:tcPr>
                <w:p>
                  <w:pPr>
                    <w:pStyle w:val="70"/>
                    <w:jc w:val="both"/>
                    <w:rPr>
                      <w:color w:val="auto"/>
                    </w:rPr>
                  </w:pPr>
                  <w:r>
                    <w:rPr>
                      <w:rFonts w:hint="eastAsia"/>
                      <w:color w:val="auto"/>
                    </w:rPr>
                    <w:t>本项目主要利用资源包括生产和生活用水、电力以及天然气。由于项目在用水量、生产过程中的电力和天然气消耗量均较低，占地面积较小，因此对区域水资源、土地资源和能源的消耗较小。</w:t>
                  </w:r>
                </w:p>
              </w:tc>
              <w:tc>
                <w:tcPr>
                  <w:tcW w:w="670" w:type="pct"/>
                  <w:tcBorders>
                    <w:tl2br w:val="nil"/>
                    <w:tr2bl w:val="nil"/>
                  </w:tcBorders>
                  <w:vAlign w:val="center"/>
                </w:tcPr>
                <w:p>
                  <w:pPr>
                    <w:pStyle w:val="70"/>
                    <w:rPr>
                      <w:color w:val="auto"/>
                    </w:rPr>
                  </w:pPr>
                  <w:r>
                    <w:rPr>
                      <w:rFonts w:hint="eastAsia"/>
                      <w:color w:val="auto"/>
                    </w:rPr>
                    <w:t>符合</w:t>
                  </w:r>
                </w:p>
              </w:tc>
            </w:tr>
          </w:tbl>
          <w:p>
            <w:pPr>
              <w:pStyle w:val="24"/>
              <w:ind w:firstLine="0" w:firstLineChars="0"/>
            </w:pPr>
            <w:r>
              <w:t>3</w:t>
            </w:r>
            <w:r>
              <w:rPr>
                <w:rFonts w:hint="eastAsia"/>
                <w:lang w:eastAsia="zh-CN"/>
              </w:rPr>
              <w:t>、</w:t>
            </w:r>
            <w:r>
              <w:t>与</w:t>
            </w:r>
            <w:r>
              <w:rPr>
                <w:rFonts w:hint="eastAsia"/>
                <w:lang w:val="en-US" w:eastAsia="zh-CN"/>
              </w:rPr>
              <w:t>其他</w:t>
            </w:r>
            <w:r>
              <w:t>符合性分析</w:t>
            </w:r>
          </w:p>
          <w:p>
            <w:pPr>
              <w:pStyle w:val="23"/>
            </w:pPr>
            <w:r>
              <w:t>表</w:t>
            </w:r>
            <w:r>
              <w:rPr>
                <w:rFonts w:hint="eastAsia"/>
                <w:lang w:val="en-US" w:eastAsia="zh-CN"/>
              </w:rPr>
              <w:t>1-7   其他</w:t>
            </w:r>
            <w:r>
              <w:t>符合性分析</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97"/>
              <w:gridCol w:w="2463"/>
              <w:gridCol w:w="1837"/>
              <w:gridCol w:w="6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pPr>
                    <w:pStyle w:val="70"/>
                  </w:pPr>
                  <w:bookmarkStart w:id="4" w:name="_Hlk97245357"/>
                  <w:r>
                    <w:t>规划</w:t>
                  </w:r>
                </w:p>
              </w:tc>
              <w:tc>
                <w:tcPr>
                  <w:tcW w:w="1785" w:type="pct"/>
                  <w:tcBorders>
                    <w:tl2br w:val="nil"/>
                    <w:tr2bl w:val="nil"/>
                  </w:tcBorders>
                  <w:vAlign w:val="center"/>
                </w:tcPr>
                <w:p>
                  <w:pPr>
                    <w:pStyle w:val="70"/>
                  </w:pPr>
                  <w:r>
                    <w:t>规划要求</w:t>
                  </w:r>
                </w:p>
              </w:tc>
              <w:tc>
                <w:tcPr>
                  <w:tcW w:w="1331" w:type="pct"/>
                  <w:tcBorders>
                    <w:tl2br w:val="nil"/>
                    <w:tr2bl w:val="nil"/>
                  </w:tcBorders>
                  <w:vAlign w:val="center"/>
                </w:tcPr>
                <w:p>
                  <w:pPr>
                    <w:pStyle w:val="70"/>
                  </w:pPr>
                  <w:r>
                    <w:t>本项目情况</w:t>
                  </w:r>
                </w:p>
              </w:tc>
              <w:tc>
                <w:tcPr>
                  <w:tcW w:w="506" w:type="pct"/>
                  <w:tcBorders>
                    <w:tl2br w:val="nil"/>
                    <w:tr2bl w:val="nil"/>
                  </w:tcBorders>
                  <w:vAlign w:val="center"/>
                </w:tcPr>
                <w:p>
                  <w:pPr>
                    <w:pStyle w:val="70"/>
                  </w:pPr>
                  <w: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pPr>
                    <w:pStyle w:val="70"/>
                  </w:pPr>
                  <w:r>
                    <w:t>《中华人民共和国国民经济和社会发展第十四个五年规划和2035年远景目标纲要》</w:t>
                  </w:r>
                </w:p>
              </w:tc>
              <w:tc>
                <w:tcPr>
                  <w:tcW w:w="1785" w:type="pct"/>
                  <w:tcBorders>
                    <w:tl2br w:val="nil"/>
                    <w:tr2bl w:val="nil"/>
                  </w:tcBorders>
                  <w:vAlign w:val="center"/>
                </w:tcPr>
                <w:p>
                  <w:pPr>
                    <w:pStyle w:val="70"/>
                  </w:pPr>
                  <w:r>
                    <w:t>推进农业绿色转型，加强产地环境保护治理，发展节水农业和旱作农业，深入实施农药化肥减量行动，治理农膜污染，提升农膜回收利用率，推进秸秆综合利用和畜禽粪污资源化利用。</w:t>
                  </w:r>
                </w:p>
              </w:tc>
              <w:tc>
                <w:tcPr>
                  <w:tcW w:w="1331" w:type="pct"/>
                  <w:tcBorders>
                    <w:tl2br w:val="nil"/>
                    <w:tr2bl w:val="nil"/>
                  </w:tcBorders>
                  <w:vAlign w:val="center"/>
                </w:tcPr>
                <w:p>
                  <w:pPr>
                    <w:pStyle w:val="70"/>
                  </w:pPr>
                  <w:r>
                    <w:t>本项目为秸秆饲料化利用，符合国家政策。</w:t>
                  </w:r>
                </w:p>
              </w:tc>
              <w:tc>
                <w:tcPr>
                  <w:tcW w:w="506"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pPr>
                    <w:pStyle w:val="70"/>
                  </w:pPr>
                  <w:r>
                    <w:t>《新疆维吾尔自治区国民经济和社会发展第十四个五年规划和2035年远景目标纲要》</w:t>
                  </w:r>
                </w:p>
              </w:tc>
              <w:tc>
                <w:tcPr>
                  <w:tcW w:w="1785" w:type="pct"/>
                  <w:tcBorders>
                    <w:tl2br w:val="nil"/>
                    <w:tr2bl w:val="nil"/>
                  </w:tcBorders>
                  <w:vAlign w:val="center"/>
                </w:tcPr>
                <w:p>
                  <w:pPr>
                    <w:pStyle w:val="70"/>
                  </w:pPr>
                  <w:r>
                    <w:t>加强化肥农药减量化和土壤污染治理，强化白色污染治理，推进农作物秸秆和畜禽养殖废弃物资源化利用。</w:t>
                  </w:r>
                </w:p>
              </w:tc>
              <w:tc>
                <w:tcPr>
                  <w:tcW w:w="1331" w:type="pct"/>
                  <w:tcBorders>
                    <w:tl2br w:val="nil"/>
                    <w:tr2bl w:val="nil"/>
                  </w:tcBorders>
                  <w:vAlign w:val="center"/>
                </w:tcPr>
                <w:p>
                  <w:pPr>
                    <w:pStyle w:val="70"/>
                  </w:pPr>
                  <w:r>
                    <w:t>本项目为秸秆饲料化利用，符合自治区政策。</w:t>
                  </w:r>
                </w:p>
              </w:tc>
              <w:tc>
                <w:tcPr>
                  <w:tcW w:w="506"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pPr>
                    <w:pStyle w:val="70"/>
                  </w:pPr>
                  <w:r>
                    <w:t>新疆生态环境保护</w:t>
                  </w:r>
                  <w:r>
                    <w:rPr>
                      <w:rFonts w:hint="eastAsia"/>
                      <w:lang w:eastAsia="zh-CN"/>
                    </w:rPr>
                    <w:t>“</w:t>
                  </w:r>
                  <w:r>
                    <w:t>十四五</w:t>
                  </w:r>
                  <w:r>
                    <w:rPr>
                      <w:rFonts w:hint="eastAsia"/>
                      <w:lang w:eastAsia="zh-CN"/>
                    </w:rPr>
                    <w:t>”</w:t>
                  </w:r>
                  <w:r>
                    <w:t>规划</w:t>
                  </w:r>
                </w:p>
              </w:tc>
              <w:tc>
                <w:tcPr>
                  <w:tcW w:w="1785" w:type="pct"/>
                  <w:tcBorders>
                    <w:tl2br w:val="nil"/>
                    <w:tr2bl w:val="nil"/>
                  </w:tcBorders>
                  <w:vAlign w:val="center"/>
                </w:tcPr>
                <w:p>
                  <w:pPr>
                    <w:pStyle w:val="70"/>
                  </w:pPr>
                  <w:r>
                    <w:t>全面推进绿色矿山建设，规范绿色矿山第三方评估，推广矿产资源节约与综合利用先进技术；</w:t>
                  </w:r>
                  <w:r>
                    <w:rPr>
                      <w:rFonts w:hint="eastAsia"/>
                      <w:lang w:val="en-US" w:eastAsia="zh-CN"/>
                    </w:rPr>
                    <w:t>充</w:t>
                  </w:r>
                  <w:r>
                    <w:t>分运用新型、高效的防尘、降尘、除尘技术，加强矿山粉尘治理。</w:t>
                  </w:r>
                </w:p>
              </w:tc>
              <w:tc>
                <w:tcPr>
                  <w:tcW w:w="1331" w:type="pct"/>
                  <w:tcBorders>
                    <w:tl2br w:val="nil"/>
                    <w:tr2bl w:val="nil"/>
                  </w:tcBorders>
                  <w:vAlign w:val="center"/>
                </w:tcPr>
                <w:p>
                  <w:pPr>
                    <w:pStyle w:val="70"/>
                  </w:pPr>
                  <w:r>
                    <w:t>本项目主要为秸秆饲料化利用，在严格落实各项污染防治措施的前提下，项目建设对环境影响较小。项目符合新疆生态环境保护</w:t>
                  </w:r>
                  <w:r>
                    <w:rPr>
                      <w:rFonts w:hint="eastAsia"/>
                      <w:lang w:eastAsia="zh-CN"/>
                    </w:rPr>
                    <w:t>“</w:t>
                  </w:r>
                  <w:r>
                    <w:t>十四五</w:t>
                  </w:r>
                  <w:r>
                    <w:rPr>
                      <w:rFonts w:hint="eastAsia"/>
                      <w:lang w:eastAsia="zh-CN"/>
                    </w:rPr>
                    <w:t>”</w:t>
                  </w:r>
                  <w:r>
                    <w:t>规划。</w:t>
                  </w:r>
                </w:p>
              </w:tc>
              <w:tc>
                <w:tcPr>
                  <w:tcW w:w="506"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pPr>
                    <w:pStyle w:val="70"/>
                  </w:pPr>
                  <w:r>
                    <w:rPr>
                      <w:rFonts w:hint="eastAsia"/>
                    </w:rPr>
                    <w:t>《新疆巴音郭楞蒙古自治州</w:t>
                  </w:r>
                  <w:r>
                    <w:rPr>
                      <w:rFonts w:hint="eastAsia"/>
                      <w:lang w:eastAsia="zh-CN"/>
                    </w:rPr>
                    <w:t>“</w:t>
                  </w:r>
                  <w:r>
                    <w:rPr>
                      <w:rFonts w:hint="eastAsia"/>
                    </w:rPr>
                    <w:t>十四五</w:t>
                  </w:r>
                  <w:r>
                    <w:rPr>
                      <w:rFonts w:hint="eastAsia"/>
                      <w:lang w:eastAsia="zh-CN"/>
                    </w:rPr>
                    <w:t>”</w:t>
                  </w:r>
                  <w:r>
                    <w:rPr>
                      <w:rFonts w:hint="eastAsia"/>
                    </w:rPr>
                    <w:t>土壤、地下水和农村生态环境保护规划》</w:t>
                  </w:r>
                </w:p>
              </w:tc>
              <w:tc>
                <w:tcPr>
                  <w:tcW w:w="1785" w:type="pct"/>
                  <w:tcBorders>
                    <w:tl2br w:val="nil"/>
                    <w:tr2bl w:val="nil"/>
                  </w:tcBorders>
                  <w:vAlign w:val="center"/>
                </w:tcPr>
                <w:p>
                  <w:pPr>
                    <w:pStyle w:val="70"/>
                  </w:pPr>
                  <w:r>
                    <w:rPr>
                      <w:rFonts w:hint="eastAsia"/>
                    </w:rPr>
                    <w:t>严格建设项目环境影响评价制度。对涉及有毒有害物质可能造成土壤污染的新</w:t>
                  </w:r>
                  <w:r>
                    <w:rPr>
                      <w:rFonts w:hint="eastAsia"/>
                      <w:lang w:eastAsia="zh-CN"/>
                    </w:rPr>
                    <w:t>（</w:t>
                  </w:r>
                  <w:r>
                    <w:rPr>
                      <w:rFonts w:hint="eastAsia"/>
                    </w:rPr>
                    <w:t>改、扩</w:t>
                  </w:r>
                  <w:r>
                    <w:rPr>
                      <w:rFonts w:hint="eastAsia"/>
                      <w:lang w:eastAsia="zh-CN"/>
                    </w:rPr>
                    <w:t>）</w:t>
                  </w:r>
                  <w:r>
                    <w:rPr>
                      <w:rFonts w:hint="eastAsia"/>
                    </w:rPr>
                    <w:t>建项目进行环境影响评价，提出并落实防腐蚀、防渗漏、防遗撒等土壤污染防治具体措施。</w:t>
                  </w:r>
                </w:p>
              </w:tc>
              <w:tc>
                <w:tcPr>
                  <w:tcW w:w="1331" w:type="pct"/>
                  <w:tcBorders>
                    <w:tl2br w:val="nil"/>
                    <w:tr2bl w:val="nil"/>
                  </w:tcBorders>
                  <w:vAlign w:val="center"/>
                </w:tcPr>
                <w:p>
                  <w:pPr>
                    <w:pStyle w:val="70"/>
                  </w:pPr>
                  <w:r>
                    <w:rPr>
                      <w:rFonts w:hint="eastAsia"/>
                    </w:rPr>
                    <w:t>本项目生产车间内部地面及运输道路硬化，严格落实环评提出的各项环保措施并按标准建设</w:t>
                  </w:r>
                  <w:r>
                    <w:t>危险废物</w:t>
                  </w:r>
                  <w:r>
                    <w:rPr>
                      <w:rFonts w:hint="eastAsia"/>
                      <w:lang w:val="en-US" w:eastAsia="zh-CN"/>
                    </w:rPr>
                    <w:t>贮存库</w:t>
                  </w:r>
                  <w:r>
                    <w:rPr>
                      <w:rFonts w:hint="eastAsia"/>
                    </w:rPr>
                    <w:t>，严格管理危险废物可有效防止土壤污染。</w:t>
                  </w:r>
                </w:p>
              </w:tc>
              <w:tc>
                <w:tcPr>
                  <w:tcW w:w="506"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pPr>
                    <w:pStyle w:val="70"/>
                  </w:pPr>
                  <w:r>
                    <w:t>《关于</w:t>
                  </w:r>
                  <w:r>
                    <w:rPr>
                      <w:rFonts w:hint="eastAsia"/>
                      <w:lang w:eastAsia="zh-CN"/>
                    </w:rPr>
                    <w:t>“</w:t>
                  </w:r>
                  <w:r>
                    <w:t>十四五</w:t>
                  </w:r>
                  <w:r>
                    <w:rPr>
                      <w:rFonts w:hint="eastAsia"/>
                      <w:lang w:eastAsia="zh-CN"/>
                    </w:rPr>
                    <w:t>”</w:t>
                  </w:r>
                  <w:r>
                    <w:t>大宗固体废弃物综合利用的指导意见》（发改环资〔2021〕381号）</w:t>
                  </w:r>
                </w:p>
              </w:tc>
              <w:tc>
                <w:tcPr>
                  <w:tcW w:w="1785" w:type="pct"/>
                  <w:tcBorders>
                    <w:tl2br w:val="nil"/>
                    <w:tr2bl w:val="nil"/>
                  </w:tcBorders>
                  <w:vAlign w:val="center"/>
                </w:tcPr>
                <w:p>
                  <w:pPr>
                    <w:pStyle w:val="70"/>
                  </w:pPr>
                  <w:r>
                    <w:t>（十一）农作物秸秆。大力推进秸秆综合利用，推动秸秆综合利用产业提质增效。坚持农用优先，持续推进秸秆肥料化、饲料化和基料化利用，发挥好秸秆耕地保育和种养结合功能。</w:t>
                  </w:r>
                </w:p>
              </w:tc>
              <w:tc>
                <w:tcPr>
                  <w:tcW w:w="1331" w:type="pct"/>
                  <w:tcBorders>
                    <w:tl2br w:val="nil"/>
                    <w:tr2bl w:val="nil"/>
                  </w:tcBorders>
                  <w:vAlign w:val="center"/>
                </w:tcPr>
                <w:p>
                  <w:pPr>
                    <w:pStyle w:val="70"/>
                  </w:pPr>
                  <w:r>
                    <w:t>本项目属于秸秆综合利用，符合政策</w:t>
                  </w:r>
                </w:p>
              </w:tc>
              <w:tc>
                <w:tcPr>
                  <w:tcW w:w="506"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pPr>
                    <w:pStyle w:val="70"/>
                  </w:pPr>
                  <w:r>
                    <w:t>《国家发展改革委关于印发</w:t>
                  </w:r>
                  <w:r>
                    <w:rPr>
                      <w:rFonts w:hint="eastAsia"/>
                      <w:lang w:eastAsia="zh-CN"/>
                    </w:rPr>
                    <w:t>“</w:t>
                  </w:r>
                  <w:r>
                    <w:t>十四五</w:t>
                  </w:r>
                  <w:r>
                    <w:rPr>
                      <w:rFonts w:hint="eastAsia"/>
                      <w:lang w:eastAsia="zh-CN"/>
                    </w:rPr>
                    <w:t>”</w:t>
                  </w:r>
                  <w:r>
                    <w:t>循环经济发展规划的通知》（发改环资〔2021〕969号）</w:t>
                  </w:r>
                </w:p>
                <w:p>
                  <w:pPr>
                    <w:pStyle w:val="70"/>
                  </w:pPr>
                </w:p>
              </w:tc>
              <w:tc>
                <w:tcPr>
                  <w:tcW w:w="1785" w:type="pct"/>
                  <w:tcBorders>
                    <w:tl2br w:val="nil"/>
                    <w:tr2bl w:val="nil"/>
                  </w:tcBorders>
                  <w:vAlign w:val="center"/>
                </w:tcPr>
                <w:p>
                  <w:pPr>
                    <w:pStyle w:val="70"/>
                  </w:pPr>
                  <w:r>
                    <w:t>1.加强农林废弃物资源化利用。推动农作物秸秆、畜禽粪污、林业废弃物、农产品加工副产物等农林废弃物高效利用。加强农作物秸秆综合利用，坚持农用优先，加大秸秆还田力度，发挥耕地保育功能，鼓励秸秆离田产业化利用，开发新材料新产品，提高秸秆饲料、燃料、原料等附加值。</w:t>
                  </w:r>
                </w:p>
              </w:tc>
              <w:tc>
                <w:tcPr>
                  <w:tcW w:w="1331" w:type="pct"/>
                  <w:tcBorders>
                    <w:tl2br w:val="nil"/>
                    <w:tr2bl w:val="nil"/>
                  </w:tcBorders>
                  <w:vAlign w:val="center"/>
                </w:tcPr>
                <w:p>
                  <w:pPr>
                    <w:pStyle w:val="70"/>
                  </w:pPr>
                  <w:r>
                    <w:rPr>
                      <w:rFonts w:hint="eastAsia"/>
                      <w:lang w:eastAsia="zh-CN"/>
                    </w:rPr>
                    <w:t>本项目</w:t>
                  </w:r>
                  <w:r>
                    <w:t>属于秸秆资源饲料化利用，符合政策。</w:t>
                  </w:r>
                </w:p>
              </w:tc>
              <w:tc>
                <w:tcPr>
                  <w:tcW w:w="506"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pPr>
                    <w:pStyle w:val="70"/>
                  </w:pPr>
                  <w:r>
                    <w:t>《产业结构调整指导目录（2024年本</w:t>
                  </w:r>
                  <w:r>
                    <w:rPr>
                      <w:rFonts w:hint="eastAsia"/>
                      <w:lang w:eastAsia="zh-CN"/>
                    </w:rPr>
                    <w:t>）</w:t>
                  </w:r>
                  <w:r>
                    <w:t>》</w:t>
                  </w:r>
                </w:p>
              </w:tc>
              <w:tc>
                <w:tcPr>
                  <w:tcW w:w="1785" w:type="pct"/>
                  <w:tcBorders>
                    <w:tl2br w:val="nil"/>
                    <w:tr2bl w:val="nil"/>
                  </w:tcBorders>
                  <w:vAlign w:val="center"/>
                </w:tcPr>
                <w:p>
                  <w:pPr>
                    <w:pStyle w:val="70"/>
                  </w:pPr>
                  <w:r>
                    <w:t>/</w:t>
                  </w:r>
                </w:p>
              </w:tc>
              <w:tc>
                <w:tcPr>
                  <w:tcW w:w="1331" w:type="pct"/>
                  <w:tcBorders>
                    <w:tl2br w:val="nil"/>
                    <w:tr2bl w:val="nil"/>
                  </w:tcBorders>
                  <w:vAlign w:val="center"/>
                </w:tcPr>
                <w:p>
                  <w:pPr>
                    <w:pStyle w:val="70"/>
                  </w:pPr>
                  <w:r>
                    <w:t>本项目属于第一类</w:t>
                  </w:r>
                  <w:r>
                    <w:rPr>
                      <w:rFonts w:hint="eastAsia"/>
                      <w:lang w:eastAsia="zh-CN"/>
                    </w:rPr>
                    <w:t>“</w:t>
                  </w:r>
                  <w:r>
                    <w:t>鼓励类</w:t>
                  </w:r>
                  <w:r>
                    <w:rPr>
                      <w:rFonts w:hint="eastAsia"/>
                      <w:lang w:eastAsia="zh-CN"/>
                    </w:rPr>
                    <w:t>”</w:t>
                  </w:r>
                  <w:r>
                    <w:t>中</w:t>
                  </w:r>
                  <w:r>
                    <w:rPr>
                      <w:rFonts w:hint="eastAsia"/>
                      <w:lang w:eastAsia="zh-CN"/>
                    </w:rPr>
                    <w:t>“</w:t>
                  </w:r>
                  <w:r>
                    <w:t>一、农林牧渔业</w:t>
                  </w:r>
                  <w:r>
                    <w:rPr>
                      <w:rFonts w:hint="eastAsia"/>
                      <w:lang w:eastAsia="zh-CN"/>
                    </w:rPr>
                    <w:t>”</w:t>
                  </w:r>
                  <w:r>
                    <w:t>类</w:t>
                  </w:r>
                  <w:r>
                    <w:rPr>
                      <w:rFonts w:hint="eastAsia"/>
                      <w:lang w:eastAsia="zh-CN"/>
                    </w:rPr>
                    <w:t>“</w:t>
                  </w:r>
                  <w:r>
                    <w:t>17、农作物秸秆综合利用（秸秆肥料化利</w:t>
                  </w:r>
                  <w:r>
                    <w:rPr>
                      <w:rFonts w:hint="eastAsia"/>
                    </w:rPr>
                    <w:t>用</w:t>
                  </w:r>
                  <w:r>
                    <w:t>）</w:t>
                  </w:r>
                  <w:r>
                    <w:rPr>
                      <w:rFonts w:hint="eastAsia"/>
                      <w:lang w:eastAsia="zh-CN"/>
                    </w:rPr>
                    <w:t>”</w:t>
                  </w:r>
                  <w:r>
                    <w:t>符合国家产业政策。</w:t>
                  </w:r>
                </w:p>
              </w:tc>
              <w:tc>
                <w:tcPr>
                  <w:tcW w:w="506"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pPr>
                    <w:pStyle w:val="70"/>
                  </w:pPr>
                  <w:r>
                    <w:t>《关于</w:t>
                  </w:r>
                  <w:r>
                    <w:rPr>
                      <w:rFonts w:hint="eastAsia"/>
                      <w:lang w:eastAsia="zh-CN"/>
                    </w:rPr>
                    <w:t>“</w:t>
                  </w:r>
                  <w:r>
                    <w:t>十四五</w:t>
                  </w:r>
                  <w:r>
                    <w:rPr>
                      <w:rFonts w:hint="eastAsia"/>
                      <w:lang w:eastAsia="zh-CN"/>
                    </w:rPr>
                    <w:t>”</w:t>
                  </w:r>
                  <w:r>
                    <w:t>大宗固体废弃物综合利用的指导意见》（发改环资〔2021〕381号）</w:t>
                  </w:r>
                </w:p>
              </w:tc>
              <w:tc>
                <w:tcPr>
                  <w:tcW w:w="1785" w:type="pct"/>
                  <w:tcBorders>
                    <w:tl2br w:val="nil"/>
                    <w:tr2bl w:val="nil"/>
                  </w:tcBorders>
                  <w:vAlign w:val="center"/>
                </w:tcPr>
                <w:p>
                  <w:pPr>
                    <w:pStyle w:val="70"/>
                  </w:pPr>
                  <w:r>
                    <w:t>（十一）农作物秸秆。大力推进秸秆综合利用，推动秸秆综合利用产业提质增效。坚持农用优先，持续推进秸秆肥料化、饲料化和基料化利用，发挥好秸秆耕地保育和种养结合功能。</w:t>
                  </w:r>
                </w:p>
              </w:tc>
              <w:tc>
                <w:tcPr>
                  <w:tcW w:w="1331" w:type="pct"/>
                  <w:tcBorders>
                    <w:tl2br w:val="nil"/>
                    <w:tr2bl w:val="nil"/>
                  </w:tcBorders>
                  <w:vAlign w:val="center"/>
                </w:tcPr>
                <w:p>
                  <w:pPr>
                    <w:pStyle w:val="70"/>
                  </w:pPr>
                  <w:r>
                    <w:t>本项目属于秸秆综合利用，符合政策</w:t>
                  </w:r>
                </w:p>
              </w:tc>
              <w:tc>
                <w:tcPr>
                  <w:tcW w:w="506" w:type="pc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0" w:hRule="atLeast"/>
                <w:jc w:val="center"/>
              </w:trPr>
              <w:tc>
                <w:tcPr>
                  <w:tcW w:w="1375" w:type="pct"/>
                  <w:vMerge w:val="restart"/>
                  <w:tcBorders>
                    <w:tl2br w:val="nil"/>
                    <w:tr2bl w:val="nil"/>
                  </w:tcBorders>
                  <w:vAlign w:val="center"/>
                </w:tcPr>
                <w:p>
                  <w:pPr>
                    <w:pStyle w:val="70"/>
                  </w:pPr>
                  <w:r>
                    <w:rPr>
                      <w:rFonts w:hint="default" w:ascii="Times New Roman" w:hAnsi="Times New Roman" w:eastAsia="宋体" w:cs="Times New Roman"/>
                      <w:color w:val="000000"/>
                      <w:sz w:val="21"/>
                      <w:szCs w:val="21"/>
                      <w:lang w:val="en-US" w:eastAsia="zh-CN"/>
                    </w:rPr>
                    <w:t>《新疆维吾尔自治区2025年空气质量持续改善行动实施方案》（新政办发〔2024〕58号）</w:t>
                  </w:r>
                </w:p>
              </w:tc>
              <w:tc>
                <w:tcPr>
                  <w:tcW w:w="1785" w:type="pct"/>
                  <w:tcBorders>
                    <w:tl2br w:val="nil"/>
                    <w:tr2bl w:val="nil"/>
                  </w:tcBorders>
                  <w:vAlign w:val="center"/>
                </w:tcPr>
                <w:p>
                  <w:pPr>
                    <w:pStyle w:val="70"/>
                    <w:numPr>
                      <w:ilvl w:val="0"/>
                      <w:numId w:val="3"/>
                    </w:numPr>
                  </w:pPr>
                  <w:r>
                    <w:rPr>
                      <w:rFonts w:hint="eastAsia" w:ascii="Times New Roman" w:hAnsi="Times New Roman" w:eastAsia="宋体" w:cs="Times New Roman"/>
                    </w:rPr>
                    <w:t>坚决遏制高耗能、高排放、低水平项目盲目上马。新改扩建项目严格落实国家和自治区产业规划、产业政策、生态环境分区管控方案、规划环评、项目环评、节能审查、产能置换、重点污染物总量控制、污染物排放区域削减、碳排放达峰目标等相关要求，原则上采用清洁运输方式，达到能效标杆水平、环保绩效A级水平。涉及产能置换的项目，被置换产能及设备关停后，新建项目方可投产。</w:t>
                  </w:r>
                </w:p>
              </w:tc>
              <w:tc>
                <w:tcPr>
                  <w:tcW w:w="1331" w:type="pct"/>
                  <w:tcBorders>
                    <w:tl2br w:val="nil"/>
                    <w:tr2bl w:val="nil"/>
                  </w:tcBorders>
                  <w:vAlign w:val="center"/>
                </w:tcPr>
                <w:p>
                  <w:pPr>
                    <w:pStyle w:val="70"/>
                    <w:rPr>
                      <w:rFonts w:hint="default" w:eastAsia="宋体"/>
                      <w:lang w:val="en-US" w:eastAsia="zh-CN"/>
                    </w:rPr>
                  </w:pPr>
                  <w:r>
                    <w:rPr>
                      <w:rFonts w:hint="eastAsia"/>
                      <w:lang w:val="en-US" w:eastAsia="zh-CN"/>
                    </w:rPr>
                    <w:t>本项目采用国内先进生产工艺及一体化生产设备，不属于</w:t>
                  </w:r>
                  <w:r>
                    <w:rPr>
                      <w:rFonts w:hint="eastAsia" w:ascii="Times New Roman" w:hAnsi="Times New Roman" w:eastAsia="宋体" w:cs="Times New Roman"/>
                    </w:rPr>
                    <w:t>高耗能、高排放、低水平项目</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并且建成后严格落实各项产业政策。</w:t>
                  </w:r>
                </w:p>
              </w:tc>
              <w:tc>
                <w:tcPr>
                  <w:tcW w:w="506" w:type="pct"/>
                  <w:vMerge w:val="restart"/>
                  <w:tcBorders>
                    <w:tl2br w:val="nil"/>
                    <w:tr2bl w:val="nil"/>
                  </w:tcBorders>
                  <w:vAlign w:val="center"/>
                </w:tcPr>
                <w:p>
                  <w:pPr>
                    <w:pStyle w:val="70"/>
                  </w:pPr>
                  <w: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0" w:hRule="atLeast"/>
                <w:jc w:val="center"/>
              </w:trPr>
              <w:tc>
                <w:tcPr>
                  <w:tcW w:w="1375" w:type="pct"/>
                  <w:vMerge w:val="continue"/>
                  <w:tcBorders>
                    <w:tl2br w:val="nil"/>
                    <w:tr2bl w:val="nil"/>
                  </w:tcBorders>
                  <w:vAlign w:val="center"/>
                </w:tcPr>
                <w:p>
                  <w:pPr>
                    <w:pStyle w:val="70"/>
                  </w:pPr>
                </w:p>
              </w:tc>
              <w:tc>
                <w:tcPr>
                  <w:tcW w:w="1785" w:type="pct"/>
                  <w:tcBorders>
                    <w:tl2br w:val="nil"/>
                    <w:tr2bl w:val="nil"/>
                  </w:tcBorders>
                  <w:vAlign w:val="center"/>
                </w:tcPr>
                <w:p>
                  <w:pPr>
                    <w:pStyle w:val="70"/>
                    <w:numPr>
                      <w:ilvl w:val="0"/>
                      <w:numId w:val="0"/>
                    </w:numPr>
                    <w:jc w:val="both"/>
                    <w:rPr>
                      <w:rFonts w:ascii="Times New Roman" w:hAnsi="Times New Roman" w:eastAsia="宋体" w:cs="Times New Roman"/>
                    </w:rPr>
                  </w:pPr>
                  <w:r>
                    <w:rPr>
                      <w:rFonts w:hint="eastAsia" w:ascii="Times New Roman" w:hAnsi="Times New Roman" w:eastAsia="宋体" w:cs="Times New Roman"/>
                    </w:rPr>
                    <w:t>（二）退出重点行业落后产能。严格执行《产业结构调整指导目录》，依法依规淘汰落后产能。联防联控区进一步提高落后产能能耗、环保、质量、安全、技术等要求，逐步退出限制类涉气行业工艺和装备。提升工业重点领域产能能效标杆水平，到2025年，重点行业能效标杆水平产能比例力争达到30%，能效基准水平以下产能基本清零。联防联控区淘汰炭化室高度4.3米及以下焦炉。</w:t>
                  </w:r>
                </w:p>
              </w:tc>
              <w:tc>
                <w:tcPr>
                  <w:tcW w:w="1331" w:type="pct"/>
                  <w:tcBorders>
                    <w:tl2br w:val="nil"/>
                    <w:tr2bl w:val="nil"/>
                  </w:tcBorders>
                  <w:vAlign w:val="center"/>
                </w:tcPr>
                <w:p>
                  <w:pPr>
                    <w:pStyle w:val="70"/>
                    <w:rPr>
                      <w:rFonts w:ascii="Times New Roman" w:hAnsi="Times New Roman" w:eastAsia="宋体" w:cs="Times New Roman"/>
                    </w:rPr>
                  </w:pPr>
                  <w:r>
                    <w:t>本项目属于</w:t>
                  </w:r>
                  <w:r>
                    <w:rPr>
                      <w:rFonts w:hint="eastAsia" w:ascii="Times New Roman" w:hAnsi="Times New Roman" w:eastAsia="宋体" w:cs="Times New Roman"/>
                    </w:rPr>
                    <w:t>《产业结构调整指导目录</w:t>
                  </w:r>
                  <w:r>
                    <w:t>（2024年本</w:t>
                  </w:r>
                  <w:r>
                    <w:rPr>
                      <w:rFonts w:hint="eastAsia"/>
                      <w:lang w:eastAsia="zh-CN"/>
                    </w:rPr>
                    <w:t>）</w:t>
                  </w:r>
                  <w:r>
                    <w:rPr>
                      <w:rFonts w:hint="eastAsia" w:ascii="Times New Roman" w:hAnsi="Times New Roman" w:eastAsia="宋体" w:cs="Times New Roman"/>
                    </w:rPr>
                    <w:t>》</w:t>
                  </w:r>
                  <w:r>
                    <w:t>第一类</w:t>
                  </w:r>
                  <w:r>
                    <w:rPr>
                      <w:rFonts w:hint="eastAsia"/>
                      <w:lang w:eastAsia="zh-CN"/>
                    </w:rPr>
                    <w:t>“</w:t>
                  </w:r>
                  <w:r>
                    <w:t>鼓励类</w:t>
                  </w:r>
                  <w:r>
                    <w:rPr>
                      <w:rFonts w:hint="eastAsia"/>
                      <w:lang w:eastAsia="zh-CN"/>
                    </w:rPr>
                    <w:t>”</w:t>
                  </w:r>
                  <w:r>
                    <w:t>中</w:t>
                  </w:r>
                  <w:r>
                    <w:rPr>
                      <w:rFonts w:hint="eastAsia"/>
                      <w:lang w:eastAsia="zh-CN"/>
                    </w:rPr>
                    <w:t>“</w:t>
                  </w:r>
                  <w:r>
                    <w:t>一、农林牧渔业</w:t>
                  </w:r>
                  <w:r>
                    <w:rPr>
                      <w:rFonts w:hint="eastAsia"/>
                      <w:lang w:eastAsia="zh-CN"/>
                    </w:rPr>
                    <w:t>”</w:t>
                  </w:r>
                  <w:r>
                    <w:t>类</w:t>
                  </w:r>
                  <w:r>
                    <w:rPr>
                      <w:rFonts w:hint="eastAsia"/>
                      <w:lang w:eastAsia="zh-CN"/>
                    </w:rPr>
                    <w:t>“</w:t>
                  </w:r>
                  <w:r>
                    <w:t>17、农作物秸秆综合利用（秸秆肥料化利</w:t>
                  </w:r>
                  <w:r>
                    <w:rPr>
                      <w:rFonts w:hint="eastAsia"/>
                    </w:rPr>
                    <w:t>用</w:t>
                  </w:r>
                  <w:r>
                    <w:t>）</w:t>
                  </w:r>
                  <w:r>
                    <w:rPr>
                      <w:rFonts w:hint="eastAsia"/>
                      <w:lang w:eastAsia="zh-CN"/>
                    </w:rPr>
                    <w:t>”</w:t>
                  </w:r>
                  <w:r>
                    <w:t>符合国家产业政策。</w:t>
                  </w:r>
                </w:p>
              </w:tc>
              <w:tc>
                <w:tcPr>
                  <w:tcW w:w="506" w:type="pct"/>
                  <w:vMerge w:val="continue"/>
                  <w:tcBorders>
                    <w:tl2br w:val="nil"/>
                    <w:tr2bl w:val="nil"/>
                  </w:tcBorders>
                  <w:vAlign w:val="center"/>
                </w:tcPr>
                <w:p>
                  <w:pPr>
                    <w:pStyle w:val="70"/>
                    <w:rPr>
                      <w:rFonts w:ascii="Times New Roman" w:hAnsi="Times New Roman"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95" w:hRule="atLeast"/>
                <w:jc w:val="center"/>
              </w:trPr>
              <w:tc>
                <w:tcPr>
                  <w:tcW w:w="1375" w:type="pct"/>
                  <w:vMerge w:val="continue"/>
                  <w:tcBorders>
                    <w:tl2br w:val="nil"/>
                    <w:tr2bl w:val="nil"/>
                  </w:tcBorders>
                  <w:vAlign w:val="center"/>
                </w:tcPr>
                <w:p>
                  <w:pPr>
                    <w:pStyle w:val="70"/>
                    <w:rPr>
                      <w:rFonts w:ascii="Times New Roman" w:hAnsi="Times New Roman" w:eastAsia="宋体" w:cs="Times New Roman"/>
                    </w:rPr>
                  </w:pPr>
                </w:p>
              </w:tc>
              <w:tc>
                <w:tcPr>
                  <w:tcW w:w="1785" w:type="pct"/>
                  <w:tcBorders>
                    <w:tl2br w:val="nil"/>
                    <w:tr2bl w:val="nil"/>
                  </w:tcBorders>
                  <w:vAlign w:val="center"/>
                </w:tcPr>
                <w:p>
                  <w:pPr>
                    <w:pStyle w:val="70"/>
                    <w:rPr>
                      <w:rFonts w:ascii="Times New Roman" w:hAnsi="Times New Roman" w:eastAsia="宋体" w:cs="Times New Roman"/>
                    </w:rPr>
                  </w:pPr>
                  <w:r>
                    <w:rPr>
                      <w:rFonts w:ascii="Times New Roman" w:hAnsi="Times New Roman" w:eastAsia="宋体" w:cs="Times New Roman"/>
                    </w:rPr>
                    <w:t>（十五）加强秸秆综合利用和禁烧。</w:t>
                  </w:r>
                  <w:r>
                    <w:rPr>
                      <w:rFonts w:hint="default" w:ascii="Times New Roman" w:hAnsi="Times New Roman" w:eastAsia="宋体" w:cs="Times New Roman"/>
                    </w:rPr>
                    <w:t>提高秸秆还田标准化、规范化水平，健全秸秆收储运服务体系，提升产业化能力，提高离田效能。全区秸秆综合利用率达到90%以上。各地结合实际精准划分禁烧范围，加强秸秆焚烧监管，开展秸秆焚烧重点时段巡查。</w:t>
                  </w:r>
                </w:p>
              </w:tc>
              <w:tc>
                <w:tcPr>
                  <w:tcW w:w="1331" w:type="pct"/>
                  <w:tcBorders>
                    <w:tl2br w:val="nil"/>
                    <w:tr2bl w:val="nil"/>
                  </w:tcBorders>
                  <w:vAlign w:val="center"/>
                </w:tcPr>
                <w:p>
                  <w:pPr>
                    <w:pStyle w:val="70"/>
                    <w:rPr>
                      <w:rFonts w:hint="eastAsia" w:ascii="Times New Roman" w:hAnsi="Times New Roman" w:eastAsia="宋体" w:cs="Times New Roman"/>
                      <w:lang w:eastAsia="zh-CN"/>
                    </w:rPr>
                  </w:pPr>
                  <w:r>
                    <w:t>本项目属于秸秆综合利用，符合政策</w:t>
                  </w:r>
                  <w:r>
                    <w:rPr>
                      <w:rFonts w:hint="eastAsia"/>
                      <w:lang w:eastAsia="zh-CN"/>
                    </w:rPr>
                    <w:t>。</w:t>
                  </w:r>
                </w:p>
              </w:tc>
              <w:tc>
                <w:tcPr>
                  <w:tcW w:w="506" w:type="pct"/>
                  <w:vMerge w:val="continue"/>
                  <w:tcBorders>
                    <w:tl2br w:val="nil"/>
                    <w:tr2bl w:val="nil"/>
                  </w:tcBorders>
                  <w:vAlign w:val="center"/>
                </w:tcPr>
                <w:p>
                  <w:pPr>
                    <w:pStyle w:val="70"/>
                    <w:rPr>
                      <w:rFonts w:ascii="Times New Roman" w:hAnsi="Times New Roman" w:eastAsia="宋体" w:cs="Times New Roman"/>
                    </w:rPr>
                  </w:pPr>
                </w:p>
              </w:tc>
            </w:tr>
            <w:bookmarkEnd w:id="4"/>
          </w:tbl>
          <w:p>
            <w:pPr>
              <w:pStyle w:val="24"/>
              <w:ind w:firstLine="482"/>
            </w:pPr>
            <w:r>
              <w:rPr>
                <w:rFonts w:hint="eastAsia"/>
              </w:rPr>
              <w:t>4、</w:t>
            </w:r>
            <w:r>
              <w:t>项目排污管理类别分析</w:t>
            </w:r>
          </w:p>
          <w:p>
            <w:pPr>
              <w:ind w:firstLine="480"/>
            </w:pPr>
            <w:r>
              <w:t>对照《固定污染源排污许可分类管理名录》（2019版），本项目属于</w:t>
            </w:r>
            <w:r>
              <w:rPr>
                <w:rFonts w:hint="eastAsia"/>
                <w:lang w:eastAsia="zh-CN"/>
              </w:rPr>
              <w:t>“</w:t>
            </w:r>
            <w:r>
              <w:t>八、农副食品加工业，饲料加工132</w:t>
            </w:r>
            <w:r>
              <w:rPr>
                <w:rFonts w:hint="eastAsia"/>
                <w:lang w:eastAsia="zh-CN"/>
              </w:rPr>
              <w:t>”</w:t>
            </w:r>
            <w:r>
              <w:t>，属于简化管理。</w:t>
            </w:r>
          </w:p>
          <w:p>
            <w:pPr>
              <w:pStyle w:val="24"/>
              <w:ind w:firstLine="482"/>
            </w:pPr>
            <w:r>
              <w:rPr>
                <w:rFonts w:hint="eastAsia"/>
              </w:rPr>
              <w:t>5</w:t>
            </w:r>
            <w:r>
              <w:t>、项目选址合理性分析</w:t>
            </w:r>
          </w:p>
          <w:p>
            <w:pPr>
              <w:ind w:firstLine="1044"/>
              <w:jc w:val="center"/>
            </w:pPr>
            <w:r>
              <w:rPr>
                <w:rFonts w:hint="eastAsia"/>
              </w:rPr>
              <w:t>本项目为非粮饲料加工，属于园区鼓励引进项目，位于园区适建区，符合园区</w:t>
            </w:r>
            <w:r>
              <w:rPr>
                <w:rFonts w:hint="eastAsia"/>
                <w:lang w:eastAsia="zh-CN"/>
              </w:rPr>
              <w:t>“</w:t>
            </w:r>
            <w:r>
              <w:rPr>
                <w:rFonts w:hint="eastAsia"/>
              </w:rPr>
              <w:t>五线</w:t>
            </w:r>
            <w:r>
              <w:rPr>
                <w:rFonts w:hint="eastAsia"/>
                <w:lang w:eastAsia="zh-CN"/>
              </w:rPr>
              <w:t>”</w:t>
            </w:r>
            <w:r>
              <w:rPr>
                <w:rFonts w:hint="eastAsia"/>
              </w:rPr>
              <w:t>规划控制要求。本项目无敏感环境保护目标</w:t>
            </w:r>
            <w:r>
              <w:rPr>
                <w:rFonts w:hint="eastAsia"/>
                <w:lang w:eastAsia="zh-CN"/>
              </w:rPr>
              <w:t>，</w:t>
            </w:r>
            <w:r>
              <w:rPr>
                <w:rFonts w:hint="eastAsia"/>
                <w:lang w:val="en-US" w:eastAsia="zh-CN"/>
              </w:rPr>
              <w:t>距离本项目最近企业为西侧</w:t>
            </w:r>
            <w:r>
              <w:rPr>
                <w:rFonts w:hint="default"/>
                <w:lang w:val="en-US" w:eastAsia="zh-CN"/>
              </w:rPr>
              <w:t>和静县大漠疆雪酒业有限公司</w:t>
            </w:r>
            <w:r>
              <w:rPr>
                <w:rFonts w:hint="eastAsia"/>
                <w:lang w:val="en-US" w:eastAsia="zh-CN"/>
              </w:rPr>
              <w:t>，通过查阅《和静县大漠疆雪酒业有限公司年产1000吨白酒及配制酒项目环境影响报告书》，本项目卫</w:t>
            </w:r>
            <w:r>
              <w:rPr>
                <w:rFonts w:ascii="Times New Roman" w:hAnsi="Times New Roman"/>
              </w:rPr>
              <w:t>生防护距离为50m</w:t>
            </w:r>
            <w:r>
              <w:rPr>
                <w:rFonts w:hint="eastAsia" w:ascii="Times New Roman" w:hAnsi="Times New Roman"/>
                <w:lang w:eastAsia="zh-CN"/>
              </w:rPr>
              <w:t>，</w:t>
            </w:r>
            <w:r>
              <w:rPr>
                <w:rFonts w:hint="eastAsia" w:ascii="Times New Roman" w:hAnsi="Times New Roman"/>
                <w:lang w:val="en-US" w:eastAsia="zh-CN"/>
              </w:rPr>
              <w:t>本项目厂界距离</w:t>
            </w:r>
            <w:r>
              <w:rPr>
                <w:rFonts w:hint="eastAsia"/>
                <w:lang w:val="en-US" w:eastAsia="zh-CN"/>
              </w:rPr>
              <w:t>和静县大漠疆雪酒业有限公司最近厂房距离为55m，因此符合卫生防护距离要求。</w:t>
            </w:r>
            <w:r>
              <w:rPr>
                <w:rFonts w:hint="eastAsia"/>
              </w:rPr>
              <w:t>本项目产生的主要污染物为颗粒物，通过相应的环保措施处理后各污染物可达标排放，不会对周边环境产生影响。工业园区内基础设施完善，包括道路、供水和供电以及通讯网络。此外，园区配备了工业配套设施，如污水处理（园区污水管网）和废物处理设施</w:t>
            </w:r>
            <w:r>
              <w:rPr>
                <w:rFonts w:hint="eastAsia"/>
                <w:lang w:eastAsia="zh-CN"/>
              </w:rPr>
              <w:t>（</w:t>
            </w:r>
            <w:r>
              <w:rPr>
                <w:rFonts w:hint="eastAsia"/>
              </w:rPr>
              <w:t>园区固体废弃物填埋处理厂）为企业的生产经营提供了良好的条件。综上，本项目选址合理。</w:t>
            </w:r>
          </w:p>
        </w:tc>
      </w:tr>
    </w:tbl>
    <w:p>
      <w:pPr>
        <w:ind w:firstLine="600"/>
        <w:outlineLvl w:val="0"/>
        <w:rPr>
          <w:rFonts w:eastAsia="黑体"/>
          <w:sz w:val="30"/>
        </w:rPr>
        <w:sectPr>
          <w:footerReference r:id="rId11" w:type="default"/>
          <w:pgSz w:w="11906" w:h="16838"/>
          <w:pgMar w:top="1701" w:right="1531" w:bottom="1701" w:left="1531" w:header="851" w:footer="1077" w:gutter="0"/>
          <w:pgNumType w:start="1"/>
          <w:cols w:space="720" w:num="1"/>
          <w:docGrid w:linePitch="312" w:charSpace="0"/>
        </w:sectPr>
      </w:pPr>
    </w:p>
    <w:p>
      <w:pPr>
        <w:pStyle w:val="22"/>
        <w:ind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23" w:type="dxa"/>
            <w:vAlign w:val="center"/>
          </w:tcPr>
          <w:p>
            <w:pPr>
              <w:pStyle w:val="22"/>
              <w:adjustRightInd w:val="0"/>
              <w:snapToGrid w:val="0"/>
              <w:spacing w:before="0" w:beforeAutospacing="0" w:after="0" w:afterAutospacing="0"/>
              <w:ind w:firstLine="0" w:firstLineChars="0"/>
              <w:jc w:val="both"/>
              <w:rPr>
                <w:rFonts w:ascii="Times New Roman" w:hAnsi="Times New Roman"/>
                <w:sz w:val="21"/>
                <w:szCs w:val="21"/>
              </w:rPr>
            </w:pPr>
            <w:r>
              <w:rPr>
                <w:rFonts w:ascii="Times New Roman" w:hAnsi="Times New Roman"/>
                <w:szCs w:val="24"/>
              </w:rPr>
              <w:t>建设内容</w:t>
            </w:r>
          </w:p>
        </w:tc>
        <w:tc>
          <w:tcPr>
            <w:tcW w:w="7540" w:type="dxa"/>
          </w:tcPr>
          <w:p>
            <w:pPr>
              <w:adjustRightInd w:val="0"/>
              <w:snapToGrid w:val="0"/>
              <w:ind w:firstLine="482"/>
              <w:jc w:val="left"/>
              <w:rPr>
                <w:szCs w:val="24"/>
              </w:rPr>
            </w:pPr>
            <w:r>
              <w:rPr>
                <w:b/>
                <w:bCs/>
                <w:szCs w:val="24"/>
              </w:rPr>
              <w:t>1项目背景</w:t>
            </w:r>
          </w:p>
          <w:p>
            <w:pPr>
              <w:ind w:firstLine="480"/>
              <w:rPr>
                <w:szCs w:val="24"/>
              </w:rPr>
            </w:pPr>
            <w:r>
              <w:t>新疆胜发牧业有限公司</w:t>
            </w:r>
            <w:r>
              <w:rPr>
                <w:rFonts w:hint="eastAsia"/>
              </w:rPr>
              <w:t>（原为</w:t>
            </w:r>
            <w:r>
              <w:rPr>
                <w:rFonts w:hint="eastAsia"/>
                <w:szCs w:val="24"/>
              </w:rPr>
              <w:t>新疆牧泰源生物科技股份有限公司</w:t>
            </w:r>
            <w:r>
              <w:rPr>
                <w:rFonts w:hint="eastAsia"/>
              </w:rPr>
              <w:t>）2012年12月，拟于</w:t>
            </w:r>
            <w:r>
              <w:rPr>
                <w:rFonts w:hint="eastAsia"/>
                <w:szCs w:val="24"/>
              </w:rPr>
              <w:t>和静工业园区额勒再特片区建设年产60万吨秸秆青（黄）储饲料和全价颗粒饲料建设项目，并于2</w:t>
            </w:r>
            <w:r>
              <w:rPr>
                <w:szCs w:val="24"/>
              </w:rPr>
              <w:t>021</w:t>
            </w:r>
            <w:r>
              <w:rPr>
                <w:rFonts w:hint="eastAsia"/>
                <w:szCs w:val="24"/>
              </w:rPr>
              <w:t>年12月1日取得了巴州生态环境局出具的批复文件（巴环评价函</w:t>
            </w:r>
            <w:r>
              <w:t>〔202</w:t>
            </w:r>
            <w:r>
              <w:rPr>
                <w:rFonts w:hint="eastAsia"/>
              </w:rPr>
              <w:t>1</w:t>
            </w:r>
            <w:r>
              <w:t>〕</w:t>
            </w:r>
            <w:r>
              <w:rPr>
                <w:rFonts w:hint="eastAsia"/>
                <w:szCs w:val="24"/>
              </w:rPr>
              <w:t>292号），因市场因素，</w:t>
            </w:r>
            <w:r>
              <w:rPr>
                <w:rFonts w:hint="eastAsia"/>
                <w:szCs w:val="24"/>
                <w:lang w:eastAsia="zh-CN"/>
              </w:rPr>
              <w:t>本项目</w:t>
            </w:r>
            <w:r>
              <w:rPr>
                <w:rFonts w:hint="eastAsia"/>
                <w:szCs w:val="24"/>
              </w:rPr>
              <w:t>至今未能开工建设。</w:t>
            </w:r>
          </w:p>
          <w:p>
            <w:pPr>
              <w:ind w:firstLine="480"/>
            </w:pPr>
            <w:r>
              <w:t>现新疆胜发牧业有限公司</w:t>
            </w:r>
            <w:r>
              <w:rPr>
                <w:rFonts w:hint="eastAsia"/>
              </w:rPr>
              <w:t>经过综合考虑，拟将选址变更为新疆</w:t>
            </w:r>
            <w:r>
              <w:rPr>
                <w:rFonts w:hint="eastAsia"/>
                <w:lang w:val="en-US" w:eastAsia="zh-CN"/>
              </w:rPr>
              <w:t>维吾尔自治区</w:t>
            </w:r>
            <w:r>
              <w:rPr>
                <w:rFonts w:hint="eastAsia"/>
              </w:rPr>
              <w:t>巴音郭楞蒙古自治州和静工业园区</w:t>
            </w:r>
            <w:r>
              <w:rPr>
                <w:szCs w:val="24"/>
              </w:rPr>
              <w:t>额勒再特工业片区</w:t>
            </w:r>
            <w:r>
              <w:rPr>
                <w:rFonts w:hint="eastAsia"/>
              </w:rPr>
              <w:t>和静县大漠疆雪酒业有限公司西侧、经九路东侧，产品规模调整为</w:t>
            </w:r>
            <w:r>
              <w:t>年产20万吨秸秆青（黄）储饲料和40万吨全价颗粒饲料</w:t>
            </w:r>
            <w:r>
              <w:rPr>
                <w:rFonts w:hint="eastAsia"/>
              </w:rPr>
              <w:t>，根据</w:t>
            </w:r>
            <w:r>
              <w:t>《污染影响类建设项目重大变动清单（试行）》</w:t>
            </w:r>
            <w:r>
              <w:rPr>
                <w:rFonts w:hint="eastAsia"/>
              </w:rPr>
              <w:t>（</w:t>
            </w:r>
            <w:r>
              <w:t>环办环评函〔2020〕688号</w:t>
            </w:r>
            <w:r>
              <w:rPr>
                <w:rFonts w:hint="eastAsia"/>
              </w:rPr>
              <w:t>）</w:t>
            </w:r>
            <w:r>
              <w:t>文件</w:t>
            </w:r>
            <w:r>
              <w:rPr>
                <w:rFonts w:hint="eastAsia"/>
              </w:rPr>
              <w:t>，本次变动符合文件中</w:t>
            </w:r>
            <w:r>
              <w:rPr>
                <w:rFonts w:hint="eastAsia"/>
                <w:lang w:eastAsia="zh-CN"/>
              </w:rPr>
              <w:t>“</w:t>
            </w:r>
            <w:r>
              <w:rPr>
                <w:rFonts w:hint="eastAsia"/>
              </w:rPr>
              <w:t>规模</w:t>
            </w:r>
            <w:r>
              <w:rPr>
                <w:rFonts w:hint="eastAsia"/>
                <w:lang w:eastAsia="zh-CN"/>
              </w:rPr>
              <w:t>”“</w:t>
            </w:r>
            <w:r>
              <w:rPr>
                <w:rFonts w:hint="eastAsia"/>
              </w:rPr>
              <w:t>地点</w:t>
            </w:r>
            <w:r>
              <w:rPr>
                <w:rFonts w:hint="eastAsia"/>
                <w:lang w:eastAsia="zh-CN"/>
              </w:rPr>
              <w:t>”“</w:t>
            </w:r>
            <w:r>
              <w:rPr>
                <w:rFonts w:hint="eastAsia"/>
              </w:rPr>
              <w:t>生产工艺</w:t>
            </w:r>
            <w:r>
              <w:rPr>
                <w:rFonts w:hint="eastAsia"/>
                <w:lang w:eastAsia="zh-CN"/>
              </w:rPr>
              <w:t>”</w:t>
            </w:r>
            <w:r>
              <w:rPr>
                <w:rFonts w:hint="eastAsia"/>
              </w:rPr>
              <w:t>的变动情形，因此，本项目按照重大变动重新报批。</w:t>
            </w:r>
          </w:p>
          <w:p>
            <w:pPr>
              <w:pStyle w:val="24"/>
              <w:ind w:firstLine="482"/>
            </w:pPr>
            <w:r>
              <w:t>2项目建设内容</w:t>
            </w:r>
          </w:p>
          <w:p>
            <w:pPr>
              <w:pStyle w:val="24"/>
              <w:ind w:firstLine="482"/>
            </w:pPr>
            <w:r>
              <w:t>2.1项目名称、性质、建设单位、地点</w:t>
            </w:r>
          </w:p>
          <w:p>
            <w:pPr>
              <w:ind w:firstLine="480"/>
              <w:rPr>
                <w:szCs w:val="24"/>
              </w:rPr>
            </w:pPr>
            <w:r>
              <w:rPr>
                <w:szCs w:val="24"/>
              </w:rPr>
              <w:t>项目名称：</w:t>
            </w:r>
            <w:bookmarkStart w:id="5" w:name="_Hlk62768676"/>
            <w:r>
              <w:rPr>
                <w:szCs w:val="24"/>
              </w:rPr>
              <w:t>年产20万吨秸秆青（黄）储饲料和40万吨全价颗粒饲料项目</w:t>
            </w:r>
          </w:p>
          <w:bookmarkEnd w:id="5"/>
          <w:p>
            <w:pPr>
              <w:ind w:firstLine="480"/>
              <w:rPr>
                <w:szCs w:val="24"/>
              </w:rPr>
            </w:pPr>
            <w:r>
              <w:rPr>
                <w:szCs w:val="24"/>
              </w:rPr>
              <w:t>建设性质：新建</w:t>
            </w:r>
          </w:p>
          <w:p>
            <w:pPr>
              <w:ind w:firstLine="480"/>
              <w:rPr>
                <w:szCs w:val="24"/>
              </w:rPr>
            </w:pPr>
            <w:r>
              <w:rPr>
                <w:szCs w:val="24"/>
              </w:rPr>
              <w:t>建设单位：新疆胜发牧业有限公司</w:t>
            </w:r>
          </w:p>
          <w:p>
            <w:pPr>
              <w:adjustRightInd w:val="0"/>
              <w:snapToGrid w:val="0"/>
              <w:ind w:firstLine="480"/>
              <w:jc w:val="left"/>
              <w:rPr>
                <w:szCs w:val="24"/>
              </w:rPr>
            </w:pPr>
            <w:r>
              <w:rPr>
                <w:szCs w:val="24"/>
              </w:rPr>
              <w:t>建设地点：</w:t>
            </w:r>
            <w:r>
              <w:rPr>
                <w:bCs/>
                <w:szCs w:val="24"/>
              </w:rPr>
              <w:t>本项目位于</w:t>
            </w:r>
            <w:r>
              <w:rPr>
                <w:rFonts w:hint="eastAsia"/>
              </w:rPr>
              <w:t>新疆</w:t>
            </w:r>
            <w:r>
              <w:rPr>
                <w:rFonts w:hint="eastAsia"/>
                <w:lang w:val="en-US" w:eastAsia="zh-CN"/>
              </w:rPr>
              <w:t>维吾尔自治区</w:t>
            </w:r>
            <w:r>
              <w:rPr>
                <w:rFonts w:hint="eastAsia"/>
              </w:rPr>
              <w:t>巴音郭楞蒙古自治州和静工业园区</w:t>
            </w:r>
            <w:r>
              <w:rPr>
                <w:szCs w:val="24"/>
              </w:rPr>
              <w:t>额勒再特工业片区</w:t>
            </w:r>
            <w:r>
              <w:rPr>
                <w:rFonts w:hint="eastAsia"/>
              </w:rPr>
              <w:t>和静县大漠疆雪酒业有限公司西侧、经九路东侧</w:t>
            </w:r>
            <w:r>
              <w:rPr>
                <w:bCs/>
                <w:szCs w:val="24"/>
              </w:rPr>
              <w:t>。行政区隶属和静县管辖。中心地理坐标：</w:t>
            </w:r>
            <w:r>
              <w:rPr>
                <w:szCs w:val="24"/>
              </w:rPr>
              <w:t>东经86°13'29.10</w:t>
            </w:r>
            <w:r>
              <w:rPr>
                <w:rFonts w:hint="eastAsia"/>
                <w:szCs w:val="24"/>
              </w:rPr>
              <w:t>3</w:t>
            </w:r>
            <w:r>
              <w:rPr>
                <w:szCs w:val="24"/>
              </w:rPr>
              <w:t>"，北纬42°19'12.11</w:t>
            </w:r>
            <w:r>
              <w:rPr>
                <w:rFonts w:hint="eastAsia"/>
                <w:szCs w:val="24"/>
              </w:rPr>
              <w:t>2</w:t>
            </w:r>
            <w:r>
              <w:rPr>
                <w:szCs w:val="24"/>
              </w:rPr>
              <w:t>"</w:t>
            </w:r>
            <w:r>
              <w:rPr>
                <w:bCs/>
                <w:szCs w:val="24"/>
              </w:rPr>
              <w:t>。地理位置见《附图</w:t>
            </w:r>
            <w:r>
              <w:rPr>
                <w:rFonts w:hint="eastAsia"/>
                <w:bCs/>
                <w:szCs w:val="24"/>
              </w:rPr>
              <w:t>1</w:t>
            </w:r>
            <w:r>
              <w:rPr>
                <w:bCs/>
                <w:szCs w:val="24"/>
              </w:rPr>
              <w:t>项目地理位置图》。</w:t>
            </w:r>
          </w:p>
          <w:p>
            <w:pPr>
              <w:adjustRightInd w:val="0"/>
              <w:snapToGrid w:val="0"/>
              <w:ind w:firstLine="480"/>
              <w:jc w:val="left"/>
              <w:rPr>
                <w:bCs/>
                <w:szCs w:val="24"/>
              </w:rPr>
            </w:pPr>
            <w:r>
              <w:rPr>
                <w:bCs/>
                <w:szCs w:val="24"/>
              </w:rPr>
              <w:t>项目区</w:t>
            </w:r>
            <w:r>
              <w:rPr>
                <w:rFonts w:hint="eastAsia"/>
                <w:szCs w:val="24"/>
              </w:rPr>
              <w:t>北侧</w:t>
            </w:r>
            <w:r>
              <w:rPr>
                <w:szCs w:val="24"/>
              </w:rPr>
              <w:t>为天山路</w:t>
            </w:r>
            <w:r>
              <w:rPr>
                <w:rFonts w:hint="eastAsia"/>
                <w:szCs w:val="24"/>
              </w:rPr>
              <w:t>，南侧</w:t>
            </w:r>
            <w:r>
              <w:rPr>
                <w:szCs w:val="24"/>
              </w:rPr>
              <w:t>为279县道</w:t>
            </w:r>
            <w:r>
              <w:rPr>
                <w:rFonts w:hint="eastAsia"/>
                <w:szCs w:val="24"/>
              </w:rPr>
              <w:t>，</w:t>
            </w:r>
            <w:r>
              <w:rPr>
                <w:szCs w:val="24"/>
              </w:rPr>
              <w:t>西侧为和静县大漠疆雪酒业有限公司</w:t>
            </w:r>
            <w:r>
              <w:rPr>
                <w:rFonts w:hint="eastAsia"/>
                <w:szCs w:val="24"/>
              </w:rPr>
              <w:t>，</w:t>
            </w:r>
            <w:r>
              <w:rPr>
                <w:szCs w:val="24"/>
              </w:rPr>
              <w:t>东侧为经</w:t>
            </w:r>
            <w:r>
              <w:rPr>
                <w:rFonts w:hint="eastAsia"/>
                <w:szCs w:val="24"/>
              </w:rPr>
              <w:t>九</w:t>
            </w:r>
            <w:r>
              <w:rPr>
                <w:szCs w:val="24"/>
              </w:rPr>
              <w:t>路</w:t>
            </w:r>
            <w:r>
              <w:rPr>
                <w:bCs/>
                <w:szCs w:val="24"/>
              </w:rPr>
              <w:t>。具体见《附图</w:t>
            </w:r>
            <w:r>
              <w:rPr>
                <w:rFonts w:hint="eastAsia"/>
                <w:bCs/>
                <w:szCs w:val="24"/>
              </w:rPr>
              <w:t>2</w:t>
            </w:r>
            <w:r>
              <w:rPr>
                <w:bCs/>
                <w:szCs w:val="24"/>
              </w:rPr>
              <w:t>项目周边</w:t>
            </w:r>
            <w:r>
              <w:rPr>
                <w:rFonts w:hint="eastAsia"/>
                <w:bCs/>
                <w:szCs w:val="24"/>
              </w:rPr>
              <w:t>环境</w:t>
            </w:r>
            <w:r>
              <w:rPr>
                <w:bCs/>
                <w:szCs w:val="24"/>
              </w:rPr>
              <w:t>关系图》。</w:t>
            </w:r>
          </w:p>
          <w:p>
            <w:pPr>
              <w:adjustRightInd w:val="0"/>
              <w:snapToGrid w:val="0"/>
              <w:ind w:firstLine="482"/>
              <w:jc w:val="left"/>
              <w:rPr>
                <w:b/>
                <w:bCs/>
                <w:szCs w:val="24"/>
              </w:rPr>
            </w:pPr>
            <w:r>
              <w:rPr>
                <w:b/>
                <w:bCs/>
                <w:szCs w:val="24"/>
              </w:rPr>
              <w:t>2.2建设内容及规模</w:t>
            </w:r>
          </w:p>
          <w:p>
            <w:pPr>
              <w:pStyle w:val="8"/>
              <w:ind w:firstLine="480"/>
            </w:pPr>
            <w:r>
              <w:t>项目主要为</w:t>
            </w:r>
            <w:r>
              <w:rPr>
                <w:rFonts w:hint="eastAsia"/>
              </w:rPr>
              <w:t>秸秆</w:t>
            </w:r>
            <w:r>
              <w:t>青（黄）储饲料</w:t>
            </w:r>
            <w:r>
              <w:rPr>
                <w:rFonts w:hint="eastAsia"/>
              </w:rPr>
              <w:t>和</w:t>
            </w:r>
            <w:r>
              <w:t>全价颗粒饲料加工生产，占地面积</w:t>
            </w:r>
            <w:r>
              <w:rPr>
                <w:rFonts w:hint="eastAsia"/>
              </w:rPr>
              <w:t>为</w:t>
            </w:r>
            <w:r>
              <w:t>379</w:t>
            </w:r>
            <w:r>
              <w:rPr>
                <w:rFonts w:hint="eastAsia"/>
                <w:lang w:val="en-US" w:eastAsia="zh-CN"/>
              </w:rPr>
              <w:t>76</w:t>
            </w:r>
            <w:r>
              <w:t>m</w:t>
            </w:r>
            <w:r>
              <w:rPr>
                <w:vertAlign w:val="superscript"/>
              </w:rPr>
              <w:t>2</w:t>
            </w:r>
            <w:r>
              <w:t>（56.97亩），总建筑面积23837.23m</w:t>
            </w:r>
            <w:r>
              <w:rPr>
                <w:vertAlign w:val="superscript"/>
              </w:rPr>
              <w:t>2</w:t>
            </w:r>
            <w:r>
              <w:rPr>
                <w:rFonts w:hint="eastAsia"/>
              </w:rPr>
              <w:t>。新建</w:t>
            </w:r>
            <w:r>
              <w:t>综合研发楼</w:t>
            </w:r>
            <w:r>
              <w:rPr>
                <w:rFonts w:hint="eastAsia"/>
              </w:rPr>
              <w:t>、钢板</w:t>
            </w:r>
            <w:r>
              <w:rPr>
                <w:rFonts w:hint="eastAsia"/>
                <w:lang w:val="en-US" w:eastAsia="zh-CN"/>
              </w:rPr>
              <w:t>筒</w:t>
            </w:r>
            <w:r>
              <w:rPr>
                <w:rFonts w:hint="eastAsia"/>
              </w:rPr>
              <w:t>仓、</w:t>
            </w:r>
            <w:r>
              <w:t>反刍料设备塔楼（车间）</w:t>
            </w:r>
            <w:r>
              <w:rPr>
                <w:rFonts w:hint="eastAsia"/>
              </w:rPr>
              <w:t>、</w:t>
            </w:r>
            <w:r>
              <w:t>原料</w:t>
            </w:r>
            <w:r>
              <w:rPr>
                <w:rFonts w:hint="eastAsia"/>
              </w:rPr>
              <w:t>草料加工车间、成品车间、成品库、编织袋库、燃气锅炉</w:t>
            </w:r>
            <w:r>
              <w:t>房</w:t>
            </w:r>
            <w:r>
              <w:rPr>
                <w:rFonts w:hint="eastAsia"/>
              </w:rPr>
              <w:t>、生产辅助用房、</w:t>
            </w:r>
            <w:r>
              <w:t>配套化粪池、危险废物</w:t>
            </w:r>
            <w:r>
              <w:rPr>
                <w:rFonts w:hint="eastAsia"/>
                <w:lang w:val="en-US" w:eastAsia="zh-CN"/>
              </w:rPr>
              <w:t>贮存库</w:t>
            </w:r>
            <w:r>
              <w:rPr>
                <w:rFonts w:hint="eastAsia"/>
              </w:rPr>
              <w:t>、消防泵房水池等</w:t>
            </w:r>
            <w:r>
              <w:t>具体建设详细内容见表2</w:t>
            </w:r>
            <w:r>
              <w:rPr>
                <w:rFonts w:hint="eastAsia"/>
              </w:rPr>
              <w:t>.2</w:t>
            </w:r>
            <w:r>
              <w:t>-1。</w:t>
            </w:r>
          </w:p>
          <w:p>
            <w:pPr>
              <w:widowControl/>
              <w:ind w:firstLine="480"/>
              <w:jc w:val="left"/>
            </w:pPr>
            <w:r>
              <w:t>项目总投资28000万元为企业自筹，其中环保投资</w:t>
            </w:r>
            <w:r>
              <w:rPr>
                <w:rFonts w:hint="eastAsia"/>
                <w:lang w:val="en-US" w:eastAsia="zh-CN"/>
              </w:rPr>
              <w:t>188</w:t>
            </w:r>
            <w:r>
              <w:t>万元，占总投资</w:t>
            </w:r>
            <w:r>
              <w:rPr>
                <w:rFonts w:hint="eastAsia"/>
              </w:rPr>
              <w:t>0.</w:t>
            </w:r>
            <w:r>
              <w:rPr>
                <w:rFonts w:hint="eastAsia"/>
                <w:lang w:val="en-US" w:eastAsia="zh-CN"/>
              </w:rPr>
              <w:t>67</w:t>
            </w:r>
            <w:r>
              <w:t>%，购置原料接收系统、粉碎系统、配料混合系统、制粒系统、成品包装系统</w:t>
            </w:r>
            <w:r>
              <w:rPr>
                <w:rFonts w:hint="eastAsia"/>
              </w:rPr>
              <w:t>、化验仪器等设备设施，组成</w:t>
            </w:r>
            <w:r>
              <w:t>2</w:t>
            </w:r>
            <w:r>
              <w:rPr>
                <w:rFonts w:hint="eastAsia"/>
              </w:rPr>
              <w:t>条生产线，其中一条年产</w:t>
            </w:r>
            <w:r>
              <w:rPr>
                <w:szCs w:val="24"/>
              </w:rPr>
              <w:t>40万吨全价颗粒饲料</w:t>
            </w:r>
            <w:r>
              <w:rPr>
                <w:rFonts w:hint="eastAsia"/>
              </w:rPr>
              <w:t>和另一条</w:t>
            </w:r>
            <w:r>
              <w:rPr>
                <w:szCs w:val="24"/>
              </w:rPr>
              <w:t>20万吨秸秆青（黄）储饲料</w:t>
            </w:r>
            <w:r>
              <w:rPr>
                <w:rFonts w:hint="eastAsia"/>
              </w:rPr>
              <w:t>生产线。</w:t>
            </w:r>
          </w:p>
          <w:p>
            <w:pPr>
              <w:pStyle w:val="65"/>
            </w:pPr>
            <w:r>
              <w:t>表</w:t>
            </w:r>
            <w:r>
              <w:rPr>
                <w:rFonts w:hint="eastAsia"/>
              </w:rPr>
              <w:t>2.2-1</w:t>
            </w:r>
            <w:r>
              <w:t xml:space="preserve">   项目工程组成一览表</w:t>
            </w:r>
          </w:p>
          <w:tbl>
            <w:tblPr>
              <w:tblStyle w:val="27"/>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194"/>
              <w:gridCol w:w="1626"/>
              <w:gridCol w:w="1385"/>
              <w:gridCol w:w="41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jc w:val="center"/>
              </w:trPr>
              <w:tc>
                <w:tcPr>
                  <w:tcW w:w="1685" w:type="pct"/>
                  <w:gridSpan w:val="2"/>
                  <w:tcBorders>
                    <w:tl2br w:val="nil"/>
                    <w:tr2bl w:val="nil"/>
                  </w:tcBorders>
                  <w:vAlign w:val="center"/>
                </w:tcPr>
                <w:p>
                  <w:pPr>
                    <w:pStyle w:val="70"/>
                  </w:pPr>
                  <w:bookmarkStart w:id="6" w:name="_Hlk71572411"/>
                  <w:r>
                    <w:t>组成</w:t>
                  </w:r>
                </w:p>
              </w:tc>
              <w:tc>
                <w:tcPr>
                  <w:tcW w:w="3314" w:type="pct"/>
                  <w:gridSpan w:val="2"/>
                  <w:tcBorders>
                    <w:tl2br w:val="nil"/>
                    <w:tr2bl w:val="nil"/>
                  </w:tcBorders>
                  <w:vAlign w:val="center"/>
                </w:tcPr>
                <w:p>
                  <w:pPr>
                    <w:pStyle w:val="70"/>
                  </w:pPr>
                  <w:r>
                    <w:t>建设内容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restart"/>
                  <w:tcBorders>
                    <w:tl2br w:val="nil"/>
                    <w:tr2bl w:val="nil"/>
                  </w:tcBorders>
                  <w:vAlign w:val="center"/>
                </w:tcPr>
                <w:p>
                  <w:pPr>
                    <w:pStyle w:val="70"/>
                  </w:pPr>
                  <w:r>
                    <w:t>主体工程</w:t>
                  </w:r>
                </w:p>
              </w:tc>
              <w:tc>
                <w:tcPr>
                  <w:tcW w:w="970" w:type="pct"/>
                  <w:tcBorders>
                    <w:tl2br w:val="nil"/>
                    <w:tr2bl w:val="nil"/>
                  </w:tcBorders>
                  <w:vAlign w:val="center"/>
                </w:tcPr>
                <w:p>
                  <w:pPr>
                    <w:pStyle w:val="70"/>
                  </w:pPr>
                  <w:r>
                    <w:t>反刍料设备塔楼（车间）</w:t>
                  </w:r>
                </w:p>
              </w:tc>
              <w:tc>
                <w:tcPr>
                  <w:tcW w:w="3314" w:type="pct"/>
                  <w:gridSpan w:val="2"/>
                  <w:tcBorders>
                    <w:tl2br w:val="nil"/>
                    <w:tr2bl w:val="nil"/>
                  </w:tcBorders>
                  <w:vAlign w:val="center"/>
                </w:tcPr>
                <w:p>
                  <w:pPr>
                    <w:pStyle w:val="70"/>
                  </w:pPr>
                  <w:r>
                    <w:t>建筑面积</w:t>
                  </w:r>
                  <w:r>
                    <w:rPr>
                      <w:rFonts w:hint="eastAsia"/>
                    </w:rPr>
                    <w:t>为</w:t>
                  </w:r>
                  <w:r>
                    <w:t>2497.50m</w:t>
                  </w:r>
                  <w:r>
                    <w:rPr>
                      <w:vertAlign w:val="superscript"/>
                    </w:rPr>
                    <w:t>2</w:t>
                  </w:r>
                  <w:r>
                    <w:t>，建筑高度32.50米5F，</w:t>
                  </w:r>
                  <w:r>
                    <w:rPr>
                      <w:rFonts w:hint="eastAsia"/>
                    </w:rPr>
                    <w:t>反刍料设备塔楼（车间）设置1条全价颗粒饲料生产线，可年产40万吨全</w:t>
                  </w:r>
                  <w:r>
                    <w:rPr>
                      <w:rFonts w:hint="eastAsia"/>
                      <w:lang w:val="en-US" w:eastAsia="zh-CN"/>
                    </w:rPr>
                    <w:t>价</w:t>
                  </w:r>
                  <w:r>
                    <w:rPr>
                      <w:rFonts w:hint="eastAsia"/>
                    </w:rPr>
                    <w:t>颗粒饲料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原料草料加工车间</w:t>
                  </w:r>
                </w:p>
              </w:tc>
              <w:tc>
                <w:tcPr>
                  <w:tcW w:w="3314" w:type="pct"/>
                  <w:gridSpan w:val="2"/>
                  <w:tcBorders>
                    <w:tl2br w:val="nil"/>
                    <w:tr2bl w:val="nil"/>
                  </w:tcBorders>
                  <w:vAlign w:val="center"/>
                </w:tcPr>
                <w:p>
                  <w:pPr>
                    <w:pStyle w:val="70"/>
                  </w:pPr>
                  <w:r>
                    <w:t>建筑面积4756.05m</w:t>
                  </w:r>
                  <w:r>
                    <w:rPr>
                      <w:vertAlign w:val="superscript"/>
                    </w:rPr>
                    <w:t>2</w:t>
                  </w:r>
                  <w:r>
                    <w:t>，建筑高度8.50米1F，</w:t>
                  </w:r>
                  <w:r>
                    <w:rPr>
                      <w:rFonts w:hint="eastAsia"/>
                    </w:rPr>
                    <w:t>设置1条秸秆青（黄）储饲料生产线，可年产20万吨秸秆青（黄）储饲料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restart"/>
                  <w:tcBorders>
                    <w:tl2br w:val="nil"/>
                    <w:tr2bl w:val="nil"/>
                  </w:tcBorders>
                  <w:vAlign w:val="center"/>
                </w:tcPr>
                <w:p>
                  <w:pPr>
                    <w:pStyle w:val="70"/>
                  </w:pPr>
                  <w:r>
                    <w:t>辅助工程</w:t>
                  </w:r>
                </w:p>
              </w:tc>
              <w:tc>
                <w:tcPr>
                  <w:tcW w:w="970" w:type="pct"/>
                  <w:tcBorders>
                    <w:tl2br w:val="nil"/>
                    <w:tr2bl w:val="nil"/>
                  </w:tcBorders>
                  <w:vAlign w:val="center"/>
                </w:tcPr>
                <w:p>
                  <w:pPr>
                    <w:pStyle w:val="70"/>
                  </w:pPr>
                  <w:r>
                    <w:t>生产辅助用房</w:t>
                  </w:r>
                </w:p>
              </w:tc>
              <w:tc>
                <w:tcPr>
                  <w:tcW w:w="3314" w:type="pct"/>
                  <w:gridSpan w:val="2"/>
                  <w:tcBorders>
                    <w:tl2br w:val="nil"/>
                    <w:tr2bl w:val="nil"/>
                  </w:tcBorders>
                  <w:vAlign w:val="center"/>
                </w:tcPr>
                <w:p>
                  <w:pPr>
                    <w:pStyle w:val="70"/>
                  </w:pPr>
                  <w:r>
                    <w:t>建筑面积329.93m</w:t>
                  </w:r>
                  <w:r>
                    <w:rPr>
                      <w:vertAlign w:val="superscript"/>
                    </w:rPr>
                    <w:t>2</w:t>
                  </w:r>
                  <w:r>
                    <w:t>，建筑高度4.95米1F，砖混结构</w:t>
                  </w:r>
                  <w:r>
                    <w:rPr>
                      <w:rFonts w:hint="eastAsia"/>
                    </w:rPr>
                    <w:t>，储存设备配件、零件、叉车、铲车等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shd w:val="clear" w:color="auto" w:fill="auto"/>
                  <w:vAlign w:val="center"/>
                </w:tcPr>
                <w:p>
                  <w:pPr>
                    <w:pStyle w:val="70"/>
                  </w:pPr>
                  <w:r>
                    <w:t>综合研发楼</w:t>
                  </w:r>
                </w:p>
              </w:tc>
              <w:tc>
                <w:tcPr>
                  <w:tcW w:w="3314" w:type="pct"/>
                  <w:gridSpan w:val="2"/>
                  <w:tcBorders>
                    <w:tl2br w:val="nil"/>
                    <w:tr2bl w:val="nil"/>
                  </w:tcBorders>
                  <w:shd w:val="clear" w:color="auto" w:fill="auto"/>
                  <w:vAlign w:val="center"/>
                </w:tcPr>
                <w:p>
                  <w:pPr>
                    <w:pStyle w:val="70"/>
                    <w:rPr>
                      <w:rFonts w:hint="eastAsia" w:eastAsia="宋体"/>
                      <w:color w:val="auto"/>
                      <w:lang w:eastAsia="zh-CN"/>
                    </w:rPr>
                  </w:pPr>
                  <w:r>
                    <w:rPr>
                      <w:color w:val="auto"/>
                    </w:rPr>
                    <w:t>占地面积1139.70m</w:t>
                  </w:r>
                  <w:r>
                    <w:rPr>
                      <w:color w:val="auto"/>
                      <w:vertAlign w:val="superscript"/>
                    </w:rPr>
                    <w:t>2</w:t>
                  </w:r>
                  <w:r>
                    <w:rPr>
                      <w:color w:val="auto"/>
                    </w:rPr>
                    <w:t>，建筑面积3919.10m</w:t>
                  </w:r>
                  <w:r>
                    <w:rPr>
                      <w:color w:val="auto"/>
                      <w:vertAlign w:val="superscript"/>
                    </w:rPr>
                    <w:t>2</w:t>
                  </w:r>
                  <w:r>
                    <w:rPr>
                      <w:color w:val="auto"/>
                    </w:rPr>
                    <w:t>，建筑高度17.85米3F</w:t>
                  </w:r>
                  <w:r>
                    <w:rPr>
                      <w:rFonts w:hint="eastAsia"/>
                      <w:color w:val="auto"/>
                    </w:rPr>
                    <w:t>，</w:t>
                  </w:r>
                  <w:r>
                    <w:rPr>
                      <w:color w:val="auto"/>
                    </w:rPr>
                    <w:t>框架结构</w:t>
                  </w:r>
                  <w:r>
                    <w:rPr>
                      <w:rFonts w:hint="eastAsia"/>
                      <w:color w:val="auto"/>
                    </w:rPr>
                    <w:t>，主要用于办公区、配方室、化验室</w:t>
                  </w:r>
                  <w:r>
                    <w:rPr>
                      <w:rFonts w:hint="eastAsia"/>
                      <w:color w:val="auto"/>
                      <w:lang w:eastAsia="zh-CN"/>
                    </w:rPr>
                    <w:t>（</w:t>
                  </w:r>
                  <w:r>
                    <w:t>使用精密专业仪器检测pH值、干物质含量等关键</w:t>
                  </w:r>
                  <w:r>
                    <w:rPr>
                      <w:rFonts w:hint="eastAsia"/>
                      <w:lang w:val="en-US" w:eastAsia="zh-CN"/>
                    </w:rPr>
                    <w:t>指标，不涉及使用化学药剂</w:t>
                  </w:r>
                  <w:r>
                    <w:rPr>
                      <w:rFonts w:hint="eastAsia"/>
                      <w:color w:val="auto"/>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门卫室</w:t>
                  </w:r>
                </w:p>
              </w:tc>
              <w:tc>
                <w:tcPr>
                  <w:tcW w:w="3314" w:type="pct"/>
                  <w:gridSpan w:val="2"/>
                  <w:tcBorders>
                    <w:tl2br w:val="nil"/>
                    <w:tr2bl w:val="nil"/>
                  </w:tcBorders>
                  <w:vAlign w:val="center"/>
                </w:tcPr>
                <w:p>
                  <w:pPr>
                    <w:pStyle w:val="70"/>
                    <w:rPr>
                      <w:color w:val="auto"/>
                    </w:rPr>
                  </w:pPr>
                  <w:r>
                    <w:rPr>
                      <w:color w:val="auto"/>
                    </w:rPr>
                    <w:t>建筑面积24.24m</w:t>
                  </w:r>
                  <w:r>
                    <w:rPr>
                      <w:color w:val="auto"/>
                      <w:vertAlign w:val="superscript"/>
                    </w:rPr>
                    <w:t>2</w:t>
                  </w:r>
                  <w:r>
                    <w:rPr>
                      <w:color w:val="auto"/>
                    </w:rPr>
                    <w:t>，建筑高度4.65米1F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消防水池泵房</w:t>
                  </w:r>
                </w:p>
              </w:tc>
              <w:tc>
                <w:tcPr>
                  <w:tcW w:w="3314" w:type="pct"/>
                  <w:gridSpan w:val="2"/>
                  <w:tcBorders>
                    <w:tl2br w:val="nil"/>
                    <w:tr2bl w:val="nil"/>
                  </w:tcBorders>
                  <w:vAlign w:val="center"/>
                </w:tcPr>
                <w:p>
                  <w:pPr>
                    <w:pStyle w:val="70"/>
                    <w:rPr>
                      <w:rFonts w:hint="eastAsia" w:eastAsia="宋体"/>
                      <w:lang w:eastAsia="zh-CN"/>
                    </w:rPr>
                  </w:pPr>
                  <w:r>
                    <w:t>建筑面积</w:t>
                  </w:r>
                  <w:r>
                    <w:rPr>
                      <w:rFonts w:hint="eastAsia"/>
                    </w:rPr>
                    <w:t>为</w:t>
                  </w:r>
                  <w:r>
                    <w:t>244.27m</w:t>
                  </w:r>
                  <w:r>
                    <w:rPr>
                      <w:vertAlign w:val="superscript"/>
                    </w:rPr>
                    <w:t>2</w:t>
                  </w:r>
                  <w:r>
                    <w:t>建筑高度4.95米，砖混结构</w:t>
                  </w:r>
                  <w:r>
                    <w:rPr>
                      <w:rFonts w:hint="eastAsia"/>
                    </w:rPr>
                    <w:t>，</w:t>
                  </w:r>
                  <w:r>
                    <w:t>水池的容积是</w:t>
                  </w:r>
                  <w:r>
                    <w:rPr>
                      <w:rFonts w:hint="eastAsia"/>
                    </w:rPr>
                    <w:t>4</w:t>
                  </w:r>
                  <w:r>
                    <w:t>m</w:t>
                  </w:r>
                  <w:r>
                    <w:rPr>
                      <w:rFonts w:hint="eastAsia"/>
                      <w:vertAlign w:val="superscript"/>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rPr>
                      <w:rFonts w:hint="eastAsia"/>
                    </w:rPr>
                    <w:t>燃气锅炉房</w:t>
                  </w:r>
                </w:p>
              </w:tc>
              <w:tc>
                <w:tcPr>
                  <w:tcW w:w="3314" w:type="pct"/>
                  <w:gridSpan w:val="2"/>
                  <w:tcBorders>
                    <w:tl2br w:val="nil"/>
                    <w:tr2bl w:val="nil"/>
                  </w:tcBorders>
                  <w:vAlign w:val="center"/>
                </w:tcPr>
                <w:p>
                  <w:pPr>
                    <w:pStyle w:val="70"/>
                  </w:pPr>
                  <w:r>
                    <w:rPr>
                      <w:rFonts w:hint="eastAsia"/>
                    </w:rPr>
                    <w:t>新建燃气锅炉房，设置1台3t/h燃气蒸汽锅炉，建筑面积为243.81</w:t>
                  </w:r>
                  <w:r>
                    <w:t>m</w:t>
                  </w:r>
                  <w:r>
                    <w:rPr>
                      <w:rFonts w:hint="eastAsia"/>
                      <w:vertAlign w:val="superscript"/>
                    </w:rPr>
                    <w:t>2</w:t>
                  </w:r>
                  <w:r>
                    <w:rPr>
                      <w:rFonts w:hint="eastAsia"/>
                    </w:rPr>
                    <w:t>，</w:t>
                  </w:r>
                  <w:r>
                    <w:t>1F</w:t>
                  </w:r>
                  <w:r>
                    <w:rPr>
                      <w:rFonts w:hint="eastAsia"/>
                    </w:rPr>
                    <w:t>，主要用于生产制粒工段提供</w:t>
                  </w:r>
                  <w:r>
                    <w:rPr>
                      <w:rFonts w:hint="eastAsia"/>
                      <w:lang w:eastAsia="zh-CN"/>
                    </w:rPr>
                    <w:t>水蒸气</w:t>
                  </w:r>
                  <w:r>
                    <w:rPr>
                      <w:rFonts w:hint="eastAsia"/>
                    </w:rPr>
                    <w:t>及生活供暖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restart"/>
                  <w:tcBorders>
                    <w:tl2br w:val="nil"/>
                    <w:tr2bl w:val="nil"/>
                  </w:tcBorders>
                  <w:vAlign w:val="center"/>
                </w:tcPr>
                <w:p>
                  <w:pPr>
                    <w:pStyle w:val="70"/>
                  </w:pPr>
                  <w:r>
                    <w:t>储运工程</w:t>
                  </w:r>
                </w:p>
              </w:tc>
              <w:tc>
                <w:tcPr>
                  <w:tcW w:w="970" w:type="pct"/>
                  <w:tcBorders>
                    <w:tl2br w:val="nil"/>
                    <w:tr2bl w:val="nil"/>
                  </w:tcBorders>
                  <w:vAlign w:val="center"/>
                </w:tcPr>
                <w:p>
                  <w:pPr>
                    <w:pStyle w:val="70"/>
                  </w:pPr>
                  <w:r>
                    <w:t>钢板</w:t>
                  </w:r>
                  <w:r>
                    <w:rPr>
                      <w:rFonts w:hint="eastAsia"/>
                    </w:rPr>
                    <w:t>筒</w:t>
                  </w:r>
                  <w:r>
                    <w:t>仓</w:t>
                  </w:r>
                </w:p>
              </w:tc>
              <w:tc>
                <w:tcPr>
                  <w:tcW w:w="3314" w:type="pct"/>
                  <w:gridSpan w:val="2"/>
                  <w:tcBorders>
                    <w:tl2br w:val="nil"/>
                    <w:tr2bl w:val="nil"/>
                  </w:tcBorders>
                  <w:vAlign w:val="center"/>
                </w:tcPr>
                <w:p>
                  <w:pPr>
                    <w:pStyle w:val="70"/>
                  </w:pPr>
                  <w:r>
                    <w:t>建筑面积1557.40m</w:t>
                  </w:r>
                  <w:r>
                    <w:rPr>
                      <w:vertAlign w:val="superscript"/>
                    </w:rPr>
                    <w:t>2</w:t>
                  </w:r>
                  <w:r>
                    <w:t>，建筑高度29.70米1F，钢结构</w:t>
                  </w:r>
                  <w:r>
                    <w:rPr>
                      <w:rFonts w:hint="eastAsia"/>
                    </w:rPr>
                    <w:t>，主要</w:t>
                  </w:r>
                  <w:r>
                    <w:t>用于储</w:t>
                  </w:r>
                  <w:r>
                    <w:rPr>
                      <w:rFonts w:hint="eastAsia"/>
                    </w:rPr>
                    <w:t>备</w:t>
                  </w:r>
                  <w:r>
                    <w:t>饲料原料，如玉米、豆粕</w:t>
                  </w:r>
                  <w:r>
                    <w:rPr>
                      <w:rFonts w:hint="eastAsia"/>
                    </w:rPr>
                    <w:t>、棉籽</w:t>
                  </w:r>
                </w:p>
              </w:tc>
            </w:tr>
            <w:bookmarkEnd w:id="6"/>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编织袋库</w:t>
                  </w:r>
                </w:p>
              </w:tc>
              <w:tc>
                <w:tcPr>
                  <w:tcW w:w="3314" w:type="pct"/>
                  <w:gridSpan w:val="2"/>
                  <w:tcBorders>
                    <w:tl2br w:val="nil"/>
                    <w:tr2bl w:val="nil"/>
                  </w:tcBorders>
                  <w:vAlign w:val="center"/>
                </w:tcPr>
                <w:p>
                  <w:pPr>
                    <w:pStyle w:val="70"/>
                  </w:pPr>
                  <w:r>
                    <w:t>建筑面积1381.41m</w:t>
                  </w:r>
                  <w:r>
                    <w:rPr>
                      <w:vertAlign w:val="superscript"/>
                    </w:rPr>
                    <w:t>2</w:t>
                  </w:r>
                  <w:r>
                    <w:t>，建筑高度8.15米1F，钢结构</w:t>
                  </w:r>
                  <w:r>
                    <w:rPr>
                      <w:rFonts w:hint="eastAsia"/>
                    </w:rPr>
                    <w:t>，主要用于储存包装饲料的编织袋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成品</w:t>
                  </w:r>
                  <w:r>
                    <w:rPr>
                      <w:rFonts w:hint="eastAsia"/>
                    </w:rPr>
                    <w:t>库</w:t>
                  </w:r>
                </w:p>
              </w:tc>
              <w:tc>
                <w:tcPr>
                  <w:tcW w:w="3314" w:type="pct"/>
                  <w:gridSpan w:val="2"/>
                  <w:tcBorders>
                    <w:tl2br w:val="nil"/>
                    <w:tr2bl w:val="nil"/>
                  </w:tcBorders>
                  <w:vAlign w:val="center"/>
                </w:tcPr>
                <w:p>
                  <w:pPr>
                    <w:pStyle w:val="70"/>
                  </w:pPr>
                  <w:r>
                    <w:t>建筑面积3154.77m</w:t>
                  </w:r>
                  <w:r>
                    <w:rPr>
                      <w:vertAlign w:val="superscript"/>
                    </w:rPr>
                    <w:t>2</w:t>
                  </w:r>
                  <w:r>
                    <w:t>，建筑高度8.15米1F，钢结构</w:t>
                  </w:r>
                  <w:r>
                    <w:rPr>
                      <w:rFonts w:hint="eastAsia"/>
                    </w:rPr>
                    <w:t>，用于成品饲料的储存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原料库</w:t>
                  </w:r>
                </w:p>
              </w:tc>
              <w:tc>
                <w:tcPr>
                  <w:tcW w:w="3314" w:type="pct"/>
                  <w:gridSpan w:val="2"/>
                  <w:tcBorders>
                    <w:tl2br w:val="nil"/>
                    <w:tr2bl w:val="nil"/>
                  </w:tcBorders>
                  <w:vAlign w:val="center"/>
                </w:tcPr>
                <w:p>
                  <w:pPr>
                    <w:pStyle w:val="70"/>
                  </w:pPr>
                  <w:r>
                    <w:t>建筑面积2932.29m</w:t>
                  </w:r>
                  <w:r>
                    <w:rPr>
                      <w:vertAlign w:val="superscript"/>
                    </w:rPr>
                    <w:t>2</w:t>
                  </w:r>
                  <w:r>
                    <w:t>，建筑高度8.15米1F，钢结构</w:t>
                  </w:r>
                  <w:r>
                    <w:rPr>
                      <w:rFonts w:hint="eastAsia"/>
                    </w:rPr>
                    <w:t>，用于</w:t>
                  </w:r>
                  <w:r>
                    <w:t>储存</w:t>
                  </w:r>
                  <w:r>
                    <w:rPr>
                      <w:rFonts w:hint="eastAsia"/>
                    </w:rPr>
                    <w:t>原料如草料、秸秆、棉籽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成品</w:t>
                  </w:r>
                  <w:r>
                    <w:rPr>
                      <w:rFonts w:hint="eastAsia"/>
                    </w:rPr>
                    <w:t>车间</w:t>
                  </w:r>
                </w:p>
              </w:tc>
              <w:tc>
                <w:tcPr>
                  <w:tcW w:w="3314" w:type="pct"/>
                  <w:gridSpan w:val="2"/>
                  <w:tcBorders>
                    <w:tl2br w:val="nil"/>
                    <w:tr2bl w:val="nil"/>
                  </w:tcBorders>
                  <w:vAlign w:val="center"/>
                </w:tcPr>
                <w:p>
                  <w:pPr>
                    <w:pStyle w:val="70"/>
                  </w:pPr>
                  <w:r>
                    <w:t>建筑面积</w:t>
                  </w:r>
                  <w:r>
                    <w:rPr>
                      <w:rFonts w:hint="eastAsia"/>
                    </w:rPr>
                    <w:t>2853.59</w:t>
                  </w:r>
                  <w:r>
                    <w:t>m</w:t>
                  </w:r>
                  <w:r>
                    <w:rPr>
                      <w:vertAlign w:val="superscript"/>
                    </w:rPr>
                    <w:t>2</w:t>
                  </w:r>
                  <w:r>
                    <w:t>，建筑高度8.50米1F，钢结构</w:t>
                  </w:r>
                  <w:r>
                    <w:rPr>
                      <w:rFonts w:hint="eastAsia"/>
                    </w:rPr>
                    <w:t>，用于成品饲料的储存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卸粮棚</w:t>
                  </w:r>
                </w:p>
              </w:tc>
              <w:tc>
                <w:tcPr>
                  <w:tcW w:w="3314" w:type="pct"/>
                  <w:gridSpan w:val="2"/>
                  <w:tcBorders>
                    <w:tl2br w:val="nil"/>
                    <w:tr2bl w:val="nil"/>
                  </w:tcBorders>
                  <w:vAlign w:val="center"/>
                </w:tcPr>
                <w:p>
                  <w:pPr>
                    <w:pStyle w:val="70"/>
                  </w:pPr>
                  <w:r>
                    <w:t>建筑面积126m</w:t>
                  </w:r>
                  <w:r>
                    <w:rPr>
                      <w:vertAlign w:val="superscript"/>
                    </w:rPr>
                    <w:t>2</w:t>
                  </w:r>
                  <w:r>
                    <w:t>，建筑高度18.50米1F，钢结构</w:t>
                  </w:r>
                  <w:r>
                    <w:rPr>
                      <w:rFonts w:hint="eastAsia"/>
                    </w:rPr>
                    <w:t>，主要用于原料玉米、</w:t>
                  </w:r>
                  <w:r>
                    <w:t>粕料等的卸料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1#地下传送带</w:t>
                  </w:r>
                </w:p>
              </w:tc>
              <w:tc>
                <w:tcPr>
                  <w:tcW w:w="3314" w:type="pct"/>
                  <w:gridSpan w:val="2"/>
                  <w:tcBorders>
                    <w:tl2br w:val="nil"/>
                    <w:tr2bl w:val="nil"/>
                  </w:tcBorders>
                  <w:vAlign w:val="center"/>
                </w:tcPr>
                <w:p>
                  <w:pPr>
                    <w:pStyle w:val="70"/>
                  </w:pPr>
                  <w:r>
                    <w:t>占地面积1139.70m</w:t>
                  </w:r>
                  <w:r>
                    <w:rPr>
                      <w:vertAlign w:val="superscript"/>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2#地下传送带</w:t>
                  </w:r>
                </w:p>
              </w:tc>
              <w:tc>
                <w:tcPr>
                  <w:tcW w:w="3314" w:type="pct"/>
                  <w:gridSpan w:val="2"/>
                  <w:tcBorders>
                    <w:tl2br w:val="nil"/>
                    <w:tr2bl w:val="nil"/>
                  </w:tcBorders>
                  <w:vAlign w:val="center"/>
                </w:tcPr>
                <w:p>
                  <w:pPr>
                    <w:pStyle w:val="70"/>
                  </w:pPr>
                  <w:r>
                    <w:t>占地面积1139.70m</w:t>
                  </w:r>
                  <w:r>
                    <w:rPr>
                      <w:vertAlign w:val="superscript"/>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restart"/>
                  <w:tcBorders>
                    <w:tl2br w:val="nil"/>
                    <w:tr2bl w:val="nil"/>
                  </w:tcBorders>
                  <w:vAlign w:val="center"/>
                </w:tcPr>
                <w:p>
                  <w:pPr>
                    <w:pStyle w:val="70"/>
                  </w:pPr>
                  <w:r>
                    <w:t>公用工程</w:t>
                  </w:r>
                </w:p>
              </w:tc>
              <w:tc>
                <w:tcPr>
                  <w:tcW w:w="970" w:type="pct"/>
                  <w:tcBorders>
                    <w:tl2br w:val="nil"/>
                    <w:tr2bl w:val="nil"/>
                  </w:tcBorders>
                  <w:vAlign w:val="center"/>
                </w:tcPr>
                <w:p>
                  <w:pPr>
                    <w:pStyle w:val="70"/>
                  </w:pPr>
                  <w:r>
                    <w:t>供电</w:t>
                  </w:r>
                </w:p>
              </w:tc>
              <w:tc>
                <w:tcPr>
                  <w:tcW w:w="3314" w:type="pct"/>
                  <w:gridSpan w:val="2"/>
                  <w:tcBorders>
                    <w:tl2br w:val="nil"/>
                    <w:tr2bl w:val="nil"/>
                  </w:tcBorders>
                  <w:vAlign w:val="center"/>
                </w:tcPr>
                <w:p>
                  <w:pPr>
                    <w:pStyle w:val="70"/>
                  </w:pPr>
                  <w:r>
                    <w:rPr>
                      <w:rFonts w:hint="eastAsia"/>
                    </w:rPr>
                    <w:t>依托园区市政电网接入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供水</w:t>
                  </w:r>
                </w:p>
              </w:tc>
              <w:tc>
                <w:tcPr>
                  <w:tcW w:w="3314" w:type="pct"/>
                  <w:gridSpan w:val="2"/>
                  <w:tcBorders>
                    <w:tl2br w:val="nil"/>
                    <w:tr2bl w:val="nil"/>
                  </w:tcBorders>
                  <w:vAlign w:val="center"/>
                </w:tcPr>
                <w:p>
                  <w:pPr>
                    <w:pStyle w:val="70"/>
                  </w:pPr>
                  <w:r>
                    <w:rPr>
                      <w:rFonts w:hint="eastAsia"/>
                    </w:rPr>
                    <w:t>依托园区市政供水管网接入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排水</w:t>
                  </w:r>
                </w:p>
              </w:tc>
              <w:tc>
                <w:tcPr>
                  <w:tcW w:w="3314" w:type="pct"/>
                  <w:gridSpan w:val="2"/>
                  <w:tcBorders>
                    <w:tl2br w:val="nil"/>
                    <w:tr2bl w:val="nil"/>
                  </w:tcBorders>
                  <w:vAlign w:val="center"/>
                </w:tcPr>
                <w:p>
                  <w:pPr>
                    <w:pStyle w:val="70"/>
                  </w:pPr>
                  <w:r>
                    <w:rPr>
                      <w:rFonts w:hint="eastAsia"/>
                    </w:rPr>
                    <w:t>生活污水经化粪池预处理后排入园区污水管网，锅炉</w:t>
                  </w:r>
                  <w:r>
                    <w:rPr>
                      <w:rFonts w:hint="eastAsia"/>
                      <w:lang w:val="en-US" w:eastAsia="zh-CN"/>
                    </w:rPr>
                    <w:t>废水</w:t>
                  </w:r>
                  <w:r>
                    <w:rPr>
                      <w:rFonts w:hint="eastAsia"/>
                    </w:rPr>
                    <w:t>和软水制备废水排入园区污水管网。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供热</w:t>
                  </w:r>
                </w:p>
              </w:tc>
              <w:tc>
                <w:tcPr>
                  <w:tcW w:w="3314" w:type="pct"/>
                  <w:gridSpan w:val="2"/>
                  <w:tcBorders>
                    <w:tl2br w:val="nil"/>
                    <w:tr2bl w:val="nil"/>
                  </w:tcBorders>
                  <w:vAlign w:val="center"/>
                </w:tcPr>
                <w:p>
                  <w:pPr>
                    <w:pStyle w:val="70"/>
                  </w:pPr>
                  <w:r>
                    <w:rPr>
                      <w:rFonts w:hint="eastAsia"/>
                    </w:rPr>
                    <w:t>设置1台3t/h燃气蒸汽锅炉，提供</w:t>
                  </w:r>
                  <w:r>
                    <w:rPr>
                      <w:rFonts w:hint="eastAsia"/>
                      <w:lang w:eastAsia="zh-CN"/>
                    </w:rPr>
                    <w:t>水蒸气</w:t>
                  </w:r>
                  <w:r>
                    <w:rPr>
                      <w:rFonts w:hint="eastAsia"/>
                    </w:rPr>
                    <w:t>及生活供暖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restart"/>
                  <w:tcBorders>
                    <w:tl2br w:val="nil"/>
                    <w:tr2bl w:val="nil"/>
                  </w:tcBorders>
                  <w:vAlign w:val="center"/>
                </w:tcPr>
                <w:p>
                  <w:pPr>
                    <w:pStyle w:val="70"/>
                  </w:pPr>
                  <w:r>
                    <w:t>环保工程</w:t>
                  </w:r>
                </w:p>
              </w:tc>
              <w:tc>
                <w:tcPr>
                  <w:tcW w:w="970" w:type="pct"/>
                  <w:vMerge w:val="restart"/>
                  <w:tcBorders>
                    <w:tl2br w:val="nil"/>
                    <w:tr2bl w:val="nil"/>
                  </w:tcBorders>
                  <w:vAlign w:val="center"/>
                </w:tcPr>
                <w:p>
                  <w:pPr>
                    <w:pStyle w:val="70"/>
                  </w:pPr>
                  <w:r>
                    <w:t>废气</w:t>
                  </w:r>
                </w:p>
              </w:tc>
              <w:tc>
                <w:tcPr>
                  <w:tcW w:w="827" w:type="pct"/>
                  <w:tcBorders>
                    <w:tl2br w:val="nil"/>
                    <w:tr2bl w:val="nil"/>
                  </w:tcBorders>
                  <w:vAlign w:val="center"/>
                </w:tcPr>
                <w:p>
                  <w:pPr>
                    <w:pStyle w:val="70"/>
                  </w:pPr>
                  <w:r>
                    <w:rPr>
                      <w:rFonts w:hint="eastAsia"/>
                    </w:rPr>
                    <w:t>燃气锅炉</w:t>
                  </w:r>
                </w:p>
              </w:tc>
              <w:tc>
                <w:tcPr>
                  <w:tcW w:w="2487" w:type="pct"/>
                  <w:tcBorders>
                    <w:tl2br w:val="nil"/>
                    <w:tr2bl w:val="nil"/>
                  </w:tcBorders>
                  <w:vAlign w:val="center"/>
                </w:tcPr>
                <w:p>
                  <w:pPr>
                    <w:pStyle w:val="70"/>
                  </w:pPr>
                  <w:r>
                    <w:rPr>
                      <w:rFonts w:hint="eastAsia"/>
                    </w:rPr>
                    <w:t>采用</w:t>
                  </w:r>
                  <w:r>
                    <w:t>低氮燃烧器+</w:t>
                  </w:r>
                  <w:r>
                    <w:rPr>
                      <w:rFonts w:hint="eastAsia"/>
                      <w:lang w:val="en-US" w:eastAsia="zh-CN"/>
                    </w:rPr>
                    <w:t>12</w:t>
                  </w:r>
                  <w:r>
                    <w:t>m</w:t>
                  </w:r>
                  <w:r>
                    <w:rPr>
                      <w:rFonts w:hint="eastAsia"/>
                    </w:rPr>
                    <w:t>高排气筒排放</w:t>
                  </w:r>
                  <w:r>
                    <w:t>DA00</w:t>
                  </w:r>
                  <w:r>
                    <w:rPr>
                      <w:rFonts w:hint="eastAsia"/>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vMerge w:val="continue"/>
                  <w:tcBorders>
                    <w:tl2br w:val="nil"/>
                    <w:tr2bl w:val="nil"/>
                  </w:tcBorders>
                  <w:vAlign w:val="center"/>
                </w:tcPr>
                <w:p>
                  <w:pPr>
                    <w:pStyle w:val="70"/>
                  </w:pPr>
                </w:p>
              </w:tc>
              <w:tc>
                <w:tcPr>
                  <w:tcW w:w="827" w:type="pct"/>
                  <w:tcBorders>
                    <w:tl2br w:val="nil"/>
                    <w:tr2bl w:val="nil"/>
                  </w:tcBorders>
                  <w:vAlign w:val="center"/>
                </w:tcPr>
                <w:p>
                  <w:pPr>
                    <w:pStyle w:val="70"/>
                  </w:pPr>
                  <w:r>
                    <w:rPr>
                      <w:rFonts w:hint="eastAsia"/>
                    </w:rPr>
                    <w:t>卸料工序</w:t>
                  </w:r>
                </w:p>
              </w:tc>
              <w:tc>
                <w:tcPr>
                  <w:tcW w:w="2487" w:type="pct"/>
                  <w:tcBorders>
                    <w:tl2br w:val="nil"/>
                    <w:tr2bl w:val="nil"/>
                  </w:tcBorders>
                  <w:vAlign w:val="center"/>
                </w:tcPr>
                <w:p>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2台脉冲式布袋除尘器</w:t>
                  </w:r>
                  <w:r>
                    <w:t>+</w:t>
                  </w:r>
                  <w:r>
                    <w:rPr>
                      <w:rFonts w:hint="eastAsia"/>
                    </w:rPr>
                    <w:t>1</w:t>
                  </w:r>
                  <w:r>
                    <w:t>根</w:t>
                  </w:r>
                  <w:r>
                    <w:rPr>
                      <w:rFonts w:hint="eastAsia"/>
                    </w:rPr>
                    <w:t>15</w:t>
                  </w:r>
                  <w:r>
                    <w:t>m高排气筒DA00</w:t>
                  </w:r>
                  <w:r>
                    <w:rPr>
                      <w:rFonts w:hint="eastAsia"/>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vMerge w:val="continue"/>
                  <w:tcBorders>
                    <w:tl2br w:val="nil"/>
                    <w:tr2bl w:val="nil"/>
                  </w:tcBorders>
                  <w:vAlign w:val="center"/>
                </w:tcPr>
                <w:p>
                  <w:pPr>
                    <w:pStyle w:val="70"/>
                  </w:pPr>
                </w:p>
              </w:tc>
              <w:tc>
                <w:tcPr>
                  <w:tcW w:w="827" w:type="pct"/>
                  <w:tcBorders>
                    <w:tl2br w:val="nil"/>
                    <w:tr2bl w:val="nil"/>
                  </w:tcBorders>
                  <w:vAlign w:val="center"/>
                </w:tcPr>
                <w:p>
                  <w:pPr>
                    <w:pStyle w:val="70"/>
                  </w:pPr>
                  <w:r>
                    <w:rPr>
                      <w:rFonts w:hint="eastAsia"/>
                    </w:rPr>
                    <w:t>投料工序</w:t>
                  </w:r>
                </w:p>
              </w:tc>
              <w:tc>
                <w:tcPr>
                  <w:tcW w:w="2487" w:type="pct"/>
                  <w:tcBorders>
                    <w:tl2br w:val="nil"/>
                    <w:tr2bl w:val="nil"/>
                  </w:tcBorders>
                  <w:vAlign w:val="center"/>
                </w:tcPr>
                <w:p>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3台脉冲式布袋除尘器</w:t>
                  </w:r>
                  <w:r>
                    <w:t>+</w:t>
                  </w:r>
                  <w:r>
                    <w:rPr>
                      <w:rFonts w:hint="eastAsia"/>
                    </w:rPr>
                    <w:t>1</w:t>
                  </w:r>
                  <w:r>
                    <w:t>根</w:t>
                  </w:r>
                  <w:r>
                    <w:rPr>
                      <w:rFonts w:hint="eastAsia"/>
                    </w:rPr>
                    <w:t>15</w:t>
                  </w:r>
                  <w:r>
                    <w:t>m高排气筒DA00</w:t>
                  </w:r>
                  <w:r>
                    <w:rPr>
                      <w:rFonts w:hint="eastAsia"/>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vMerge w:val="continue"/>
                  <w:tcBorders>
                    <w:tl2br w:val="nil"/>
                    <w:tr2bl w:val="nil"/>
                  </w:tcBorders>
                  <w:vAlign w:val="center"/>
                </w:tcPr>
                <w:p>
                  <w:pPr>
                    <w:pStyle w:val="70"/>
                  </w:pPr>
                </w:p>
              </w:tc>
              <w:tc>
                <w:tcPr>
                  <w:tcW w:w="827" w:type="pct"/>
                  <w:tcBorders>
                    <w:tl2br w:val="nil"/>
                    <w:tr2bl w:val="nil"/>
                  </w:tcBorders>
                  <w:vAlign w:val="center"/>
                </w:tcPr>
                <w:p>
                  <w:pPr>
                    <w:pStyle w:val="70"/>
                  </w:pPr>
                  <w:r>
                    <w:rPr>
                      <w:rFonts w:hint="eastAsia"/>
                    </w:rPr>
                    <w:t>粉碎工序</w:t>
                  </w:r>
                </w:p>
              </w:tc>
              <w:tc>
                <w:tcPr>
                  <w:tcW w:w="2487" w:type="pct"/>
                  <w:tcBorders>
                    <w:tl2br w:val="nil"/>
                    <w:tr2bl w:val="nil"/>
                  </w:tcBorders>
                  <w:vAlign w:val="center"/>
                </w:tcPr>
                <w:p>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2台脉冲式布袋除尘器</w:t>
                  </w:r>
                  <w:r>
                    <w:t>+</w:t>
                  </w:r>
                  <w:r>
                    <w:rPr>
                      <w:rFonts w:hint="eastAsia"/>
                    </w:rPr>
                    <w:t>1</w:t>
                  </w:r>
                  <w:r>
                    <w:t>根</w:t>
                  </w:r>
                  <w:r>
                    <w:rPr>
                      <w:rFonts w:hint="eastAsia"/>
                    </w:rPr>
                    <w:t>15</w:t>
                  </w:r>
                  <w:r>
                    <w:t>m高排气筒DA00</w:t>
                  </w:r>
                  <w:r>
                    <w:rPr>
                      <w:rFonts w:hint="eastAsia"/>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vMerge w:val="continue"/>
                  <w:tcBorders>
                    <w:tl2br w:val="nil"/>
                    <w:tr2bl w:val="nil"/>
                  </w:tcBorders>
                  <w:vAlign w:val="center"/>
                </w:tcPr>
                <w:p>
                  <w:pPr>
                    <w:pStyle w:val="70"/>
                  </w:pPr>
                </w:p>
              </w:tc>
              <w:tc>
                <w:tcPr>
                  <w:tcW w:w="827" w:type="pct"/>
                  <w:tcBorders>
                    <w:tl2br w:val="nil"/>
                    <w:tr2bl w:val="nil"/>
                  </w:tcBorders>
                  <w:vAlign w:val="center"/>
                </w:tcPr>
                <w:p>
                  <w:pPr>
                    <w:pStyle w:val="70"/>
                  </w:pPr>
                  <w:r>
                    <w:rPr>
                      <w:rFonts w:hint="eastAsia"/>
                    </w:rPr>
                    <w:t>混合工序</w:t>
                  </w:r>
                </w:p>
              </w:tc>
              <w:tc>
                <w:tcPr>
                  <w:tcW w:w="2487" w:type="pct"/>
                  <w:tcBorders>
                    <w:tl2br w:val="nil"/>
                    <w:tr2bl w:val="nil"/>
                  </w:tcBorders>
                  <w:vAlign w:val="center"/>
                </w:tcPr>
                <w:p>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1台脉冲式布袋除尘器</w:t>
                  </w:r>
                  <w:r>
                    <w:t>+</w:t>
                  </w:r>
                  <w:r>
                    <w:rPr>
                      <w:rFonts w:hint="eastAsia"/>
                    </w:rPr>
                    <w:t>1</w:t>
                  </w:r>
                  <w:r>
                    <w:t>根</w:t>
                  </w:r>
                  <w:r>
                    <w:rPr>
                      <w:rFonts w:hint="eastAsia"/>
                    </w:rPr>
                    <w:t>15</w:t>
                  </w:r>
                  <w:r>
                    <w:t>m高排气筒DA00</w:t>
                  </w:r>
                  <w:r>
                    <w:rPr>
                      <w:rFonts w:hint="eastAsia"/>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vMerge w:val="continue"/>
                  <w:tcBorders>
                    <w:tl2br w:val="nil"/>
                    <w:tr2bl w:val="nil"/>
                  </w:tcBorders>
                  <w:vAlign w:val="center"/>
                </w:tcPr>
                <w:p>
                  <w:pPr>
                    <w:pStyle w:val="70"/>
                  </w:pPr>
                </w:p>
              </w:tc>
              <w:tc>
                <w:tcPr>
                  <w:tcW w:w="827" w:type="pct"/>
                  <w:tcBorders>
                    <w:tl2br w:val="nil"/>
                    <w:tr2bl w:val="nil"/>
                  </w:tcBorders>
                  <w:vAlign w:val="center"/>
                </w:tcPr>
                <w:p>
                  <w:pPr>
                    <w:pStyle w:val="70"/>
                  </w:pPr>
                  <w:r>
                    <w:rPr>
                      <w:rFonts w:hint="eastAsia"/>
                    </w:rPr>
                    <w:t>冷却工序</w:t>
                  </w:r>
                </w:p>
              </w:tc>
              <w:tc>
                <w:tcPr>
                  <w:tcW w:w="2487" w:type="pct"/>
                  <w:tcBorders>
                    <w:tl2br w:val="nil"/>
                    <w:tr2bl w:val="nil"/>
                  </w:tcBorders>
                  <w:vAlign w:val="center"/>
                </w:tcPr>
                <w:p>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w:t>
                  </w:r>
                  <w:r>
                    <w:rPr>
                      <w:rFonts w:hint="eastAsia"/>
                      <w:lang w:val="en-US" w:eastAsia="zh-CN"/>
                    </w:rPr>
                    <w:t>1</w:t>
                  </w:r>
                  <w:r>
                    <w:rPr>
                      <w:rFonts w:hint="eastAsia"/>
                    </w:rPr>
                    <w:t>台旋风沙克龙除尘器+15m高排气筒</w:t>
                  </w:r>
                  <w:r>
                    <w:t>DA00</w:t>
                  </w:r>
                  <w:r>
                    <w:rPr>
                      <w:rFonts w:hint="eastAsia"/>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vMerge w:val="continue"/>
                  <w:tcBorders>
                    <w:tl2br w:val="nil"/>
                    <w:tr2bl w:val="nil"/>
                  </w:tcBorders>
                  <w:vAlign w:val="center"/>
                </w:tcPr>
                <w:p>
                  <w:pPr>
                    <w:pStyle w:val="70"/>
                  </w:pPr>
                </w:p>
              </w:tc>
              <w:tc>
                <w:tcPr>
                  <w:tcW w:w="827" w:type="pct"/>
                  <w:tcBorders>
                    <w:tl2br w:val="nil"/>
                    <w:tr2bl w:val="nil"/>
                  </w:tcBorders>
                  <w:vAlign w:val="center"/>
                </w:tcPr>
                <w:p>
                  <w:pPr>
                    <w:pStyle w:val="70"/>
                  </w:pPr>
                  <w:r>
                    <w:rPr>
                      <w:rFonts w:hint="eastAsia"/>
                    </w:rPr>
                    <w:t>包装工序</w:t>
                  </w:r>
                </w:p>
              </w:tc>
              <w:tc>
                <w:tcPr>
                  <w:tcW w:w="2487" w:type="pct"/>
                  <w:tcBorders>
                    <w:tl2br w:val="nil"/>
                    <w:tr2bl w:val="nil"/>
                  </w:tcBorders>
                  <w:vAlign w:val="center"/>
                </w:tcPr>
                <w:p>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2套脉冲式布袋除尘器</w:t>
                  </w:r>
                  <w:r>
                    <w:t>+</w:t>
                  </w:r>
                  <w:r>
                    <w:rPr>
                      <w:rFonts w:hint="eastAsia"/>
                    </w:rPr>
                    <w:t>1</w:t>
                  </w:r>
                  <w:r>
                    <w:t>根</w:t>
                  </w:r>
                  <w:r>
                    <w:rPr>
                      <w:rFonts w:hint="eastAsia"/>
                    </w:rPr>
                    <w:t>15</w:t>
                  </w:r>
                  <w:r>
                    <w:t>m高排气筒DA00</w:t>
                  </w:r>
                  <w:r>
                    <w:rPr>
                      <w:rFonts w:hint="eastAsia"/>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废水</w:t>
                  </w:r>
                </w:p>
              </w:tc>
              <w:tc>
                <w:tcPr>
                  <w:tcW w:w="3314" w:type="pct"/>
                  <w:gridSpan w:val="2"/>
                  <w:tcBorders>
                    <w:tl2br w:val="nil"/>
                    <w:tr2bl w:val="nil"/>
                  </w:tcBorders>
                  <w:vAlign w:val="center"/>
                </w:tcPr>
                <w:p>
                  <w:pPr>
                    <w:pStyle w:val="70"/>
                  </w:pPr>
                  <w:r>
                    <w:rPr>
                      <w:rFonts w:hint="eastAsia"/>
                    </w:rPr>
                    <w:t>锅炉</w:t>
                  </w:r>
                  <w:r>
                    <w:rPr>
                      <w:rFonts w:hint="eastAsia"/>
                      <w:lang w:val="en-US" w:eastAsia="zh-CN"/>
                    </w:rPr>
                    <w:t>废水</w:t>
                  </w:r>
                  <w:r>
                    <w:rPr>
                      <w:rFonts w:hint="eastAsia"/>
                    </w:rPr>
                    <w:t>和软水制备废水排入园区污水管网；生活废水经化粪池（18m</w:t>
                  </w:r>
                  <w:r>
                    <w:rPr>
                      <w:rFonts w:hint="eastAsia"/>
                      <w:vertAlign w:val="superscript"/>
                      <w:lang w:val="en-US" w:eastAsia="zh-CN"/>
                    </w:rPr>
                    <w:t>3</w:t>
                  </w:r>
                  <w:r>
                    <w:rPr>
                      <w:rFonts w:hint="eastAsia"/>
                    </w:rPr>
                    <w:t>）预处理后排入园区污水管网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噪声</w:t>
                  </w:r>
                </w:p>
              </w:tc>
              <w:tc>
                <w:tcPr>
                  <w:tcW w:w="3314" w:type="pct"/>
                  <w:gridSpan w:val="2"/>
                  <w:tcBorders>
                    <w:tl2br w:val="nil"/>
                    <w:tr2bl w:val="nil"/>
                  </w:tcBorders>
                  <w:vAlign w:val="center"/>
                </w:tcPr>
                <w:p>
                  <w:pPr>
                    <w:pStyle w:val="70"/>
                  </w:pPr>
                  <w:r>
                    <w:rPr>
                      <w:rFonts w:hint="eastAsia"/>
                    </w:rPr>
                    <w:t>选用低噪声设备，并对高噪声设备进行基础隔声、加装消音器、减振措施，厂房隔声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vMerge w:val="restart"/>
                  <w:tcBorders>
                    <w:tl2br w:val="nil"/>
                    <w:tr2bl w:val="nil"/>
                  </w:tcBorders>
                  <w:vAlign w:val="center"/>
                </w:tcPr>
                <w:p>
                  <w:pPr>
                    <w:pStyle w:val="70"/>
                  </w:pPr>
                  <w:r>
                    <w:t>固体废物</w:t>
                  </w:r>
                </w:p>
              </w:tc>
              <w:tc>
                <w:tcPr>
                  <w:tcW w:w="3314" w:type="pct"/>
                  <w:gridSpan w:val="2"/>
                  <w:tcBorders>
                    <w:tl2br w:val="nil"/>
                    <w:tr2bl w:val="nil"/>
                  </w:tcBorders>
                  <w:vAlign w:val="center"/>
                </w:tcPr>
                <w:p>
                  <w:pPr>
                    <w:pStyle w:val="70"/>
                  </w:pPr>
                  <w:r>
                    <w:rPr>
                      <w:rFonts w:hint="eastAsia"/>
                    </w:rPr>
                    <w:t>生活办公区设置垃圾桶，生活垃圾集中收集后</w:t>
                  </w:r>
                  <w:r>
                    <w:t>交由环卫部门统一清运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vMerge w:val="continue"/>
                  <w:tcBorders>
                    <w:tl2br w:val="nil"/>
                    <w:tr2bl w:val="nil"/>
                  </w:tcBorders>
                  <w:vAlign w:val="center"/>
                </w:tcPr>
                <w:p>
                  <w:pPr>
                    <w:pStyle w:val="70"/>
                  </w:pPr>
                </w:p>
              </w:tc>
              <w:tc>
                <w:tcPr>
                  <w:tcW w:w="3314" w:type="pct"/>
                  <w:gridSpan w:val="2"/>
                  <w:tcBorders>
                    <w:tl2br w:val="nil"/>
                    <w:tr2bl w:val="nil"/>
                  </w:tcBorders>
                  <w:vAlign w:val="center"/>
                </w:tcPr>
                <w:p>
                  <w:pPr>
                    <w:pStyle w:val="70"/>
                    <w:rPr>
                      <w:rFonts w:hint="eastAsia" w:eastAsia="宋体"/>
                      <w:lang w:eastAsia="zh-CN"/>
                    </w:rPr>
                  </w:pPr>
                  <w:r>
                    <w:rPr>
                      <w:rFonts w:hint="eastAsia"/>
                    </w:rPr>
                    <w:t>除尘器收集粉尘全部</w:t>
                  </w:r>
                  <w:r>
                    <w:rPr>
                      <w:rFonts w:hint="eastAsia"/>
                      <w:lang w:val="en-US" w:eastAsia="zh-CN"/>
                    </w:rPr>
                    <w:t>回用于生产线</w:t>
                  </w:r>
                  <w:r>
                    <w:rPr>
                      <w:rFonts w:hint="eastAsia"/>
                    </w:rPr>
                    <w:t>；除尘器产生的废</w:t>
                  </w:r>
                  <w:r>
                    <w:rPr>
                      <w:rFonts w:hint="eastAsia"/>
                      <w:lang w:val="en-US" w:eastAsia="zh-CN"/>
                    </w:rPr>
                    <w:t>旧</w:t>
                  </w:r>
                  <w:r>
                    <w:rPr>
                      <w:rFonts w:hint="eastAsia"/>
                    </w:rPr>
                    <w:t>布袋交由厂家回收处理；软水制备系统产生的离子交换树脂由厂家回收处理</w:t>
                  </w:r>
                  <w:r>
                    <w:rPr>
                      <w:rFonts w:hint="eastAsia"/>
                      <w:lang w:eastAsia="zh-CN"/>
                    </w:rPr>
                    <w:t>；</w:t>
                  </w:r>
                  <w:r>
                    <w:rPr>
                      <w:rFonts w:hint="default" w:ascii="Times New Roman" w:hAnsi="Times New Roman" w:eastAsia="宋体" w:cs="Times New Roman"/>
                      <w:sz w:val="21"/>
                      <w:szCs w:val="21"/>
                      <w:lang w:val="en-US" w:eastAsia="zh-CN"/>
                    </w:rPr>
                    <w:t>清筛工序</w:t>
                  </w:r>
                  <w:r>
                    <w:rPr>
                      <w:rFonts w:hint="eastAsia" w:ascii="Times New Roman" w:hAnsi="Times New Roman" w:eastAsia="宋体" w:cs="Times New Roman"/>
                      <w:sz w:val="21"/>
                      <w:szCs w:val="21"/>
                      <w:lang w:val="en-US" w:eastAsia="zh-CN"/>
                    </w:rPr>
                    <w:t>、除铁工序杂质</w:t>
                  </w:r>
                  <w:r>
                    <w:rPr>
                      <w:rFonts w:hint="eastAsia"/>
                      <w:lang w:val="en-US" w:eastAsia="zh-CN"/>
                    </w:rPr>
                    <w:t>可回收物品回收至收购站，不可回收物为塑料等普通生活垃圾，与生活垃圾一同</w:t>
                  </w:r>
                  <w:r>
                    <w:t>交由环卫部门统一清运</w:t>
                  </w:r>
                  <w:r>
                    <w:rPr>
                      <w:rFonts w:hint="eastAsia"/>
                      <w:lang w:eastAsia="zh-CN"/>
                    </w:rPr>
                    <w:t>；</w:t>
                  </w:r>
                  <w:r>
                    <w:rPr>
                      <w:rFonts w:hint="eastAsia"/>
                      <w:lang w:val="en-US" w:eastAsia="zh-CN"/>
                    </w:rPr>
                    <w:t>化粪池污泥定期由吸污车清掏，拉运至污水处理厂进行脱水处置，干化后的污泥最终进入生活垃圾场填埋处置；</w:t>
                  </w:r>
                  <w:r>
                    <w:t>生活垃圾集中收集后交由环卫部门统一清运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pPr>
                    <w:pStyle w:val="70"/>
                  </w:pPr>
                </w:p>
              </w:tc>
              <w:tc>
                <w:tcPr>
                  <w:tcW w:w="970" w:type="pct"/>
                  <w:tcBorders>
                    <w:tl2br w:val="nil"/>
                    <w:tr2bl w:val="nil"/>
                  </w:tcBorders>
                  <w:vAlign w:val="center"/>
                </w:tcPr>
                <w:p>
                  <w:pPr>
                    <w:pStyle w:val="70"/>
                  </w:pPr>
                  <w:r>
                    <w:t>危险废物</w:t>
                  </w:r>
                </w:p>
              </w:tc>
              <w:tc>
                <w:tcPr>
                  <w:tcW w:w="3314" w:type="pct"/>
                  <w:gridSpan w:val="2"/>
                  <w:tcBorders>
                    <w:tl2br w:val="nil"/>
                    <w:tr2bl w:val="nil"/>
                  </w:tcBorders>
                  <w:vAlign w:val="center"/>
                </w:tcPr>
                <w:p>
                  <w:pPr>
                    <w:pStyle w:val="70"/>
                  </w:pPr>
                  <w:r>
                    <w:rPr>
                      <w:rFonts w:hint="eastAsia"/>
                    </w:rPr>
                    <w:t>维修设备产生的废</w:t>
                  </w:r>
                  <w:r>
                    <w:rPr>
                      <w:rFonts w:hint="eastAsia"/>
                      <w:lang w:val="en-US" w:eastAsia="zh-CN"/>
                    </w:rPr>
                    <w:t>润滑油，</w:t>
                  </w:r>
                  <w:r>
                    <w:rPr>
                      <w:rFonts w:hint="eastAsia"/>
                    </w:rPr>
                    <w:t>委托有资质单位定期清运</w:t>
                  </w:r>
                </w:p>
              </w:tc>
            </w:tr>
          </w:tbl>
          <w:p>
            <w:pPr>
              <w:pStyle w:val="24"/>
              <w:ind w:firstLine="482"/>
            </w:pPr>
            <w:r>
              <w:t>2.3主要设备</w:t>
            </w:r>
          </w:p>
          <w:p>
            <w:pPr>
              <w:adjustRightInd w:val="0"/>
              <w:snapToGrid w:val="0"/>
              <w:ind w:firstLine="480"/>
              <w:jc w:val="left"/>
              <w:rPr>
                <w:bCs/>
                <w:szCs w:val="24"/>
              </w:rPr>
            </w:pPr>
            <w:r>
              <w:rPr>
                <w:bCs/>
                <w:szCs w:val="24"/>
              </w:rPr>
              <w:t>项目主要生产设备见表</w:t>
            </w:r>
            <w:r>
              <w:rPr>
                <w:rFonts w:hint="eastAsia"/>
                <w:bCs/>
                <w:szCs w:val="24"/>
              </w:rPr>
              <w:t>2.3-1</w:t>
            </w:r>
            <w:r>
              <w:rPr>
                <w:bCs/>
                <w:szCs w:val="24"/>
              </w:rPr>
              <w:t>：</w:t>
            </w:r>
          </w:p>
          <w:p>
            <w:pPr>
              <w:pStyle w:val="65"/>
            </w:pPr>
            <w:r>
              <w:t>表2</w:t>
            </w:r>
            <w:r>
              <w:rPr>
                <w:rFonts w:hint="eastAsia"/>
              </w:rPr>
              <w:t>.3-1</w:t>
            </w:r>
            <w:r>
              <w:t xml:space="preserve">   主要生产设备</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2451"/>
              <w:gridCol w:w="823"/>
              <w:gridCol w:w="1000"/>
              <w:gridCol w:w="1007"/>
              <w:gridCol w:w="444"/>
              <w:gridCol w:w="100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lang w:val="en-GB"/>
                    </w:rPr>
                    <w:t>序号</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lang w:val="en-GB"/>
                    </w:rPr>
                    <w:t>设备名称</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规格/型号</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lang w:val="en-GB"/>
                    </w:rPr>
                    <w:t>数量</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b/>
                      <w:bCs w:val="0"/>
                      <w:color w:val="auto"/>
                    </w:rPr>
                    <w:t>筒</w:t>
                  </w:r>
                  <w:r>
                    <w:rPr>
                      <w:b/>
                      <w:bCs w:val="0"/>
                      <w:color w:val="auto"/>
                    </w:rPr>
                    <w:t>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投料口</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4.0*6.0m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脉冲除尘器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TBLMFa40-2000（国粮）</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val="en-GB" w:eastAsia="zh-CN"/>
                    </w:rPr>
                  </w:pPr>
                  <w:r>
                    <w:rPr>
                      <w:rFonts w:hint="eastAsia"/>
                      <w:color w:val="auto"/>
                      <w:lang w:val="en-US" w:eastAsia="zh-CN"/>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除尘风机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4-72No4.5A</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消声器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XSQ-350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TGSS40-100TPH</w:t>
                  </w:r>
                  <w:r>
                    <w:rPr>
                      <w:rFonts w:hint="eastAsia"/>
                      <w:color w:val="auto"/>
                    </w:rPr>
                    <w:t xml:space="preserve">  </w:t>
                  </w:r>
                  <w:r>
                    <w:rPr>
                      <w:color w:val="auto"/>
                    </w:rPr>
                    <w:t>L≈8m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tcBorders>
                    <w:top w:val="single" w:color="auto" w:sz="4" w:space="0"/>
                    <w:left w:val="single" w:color="auto" w:sz="4" w:space="0"/>
                    <w:right w:val="single" w:color="auto" w:sz="4" w:space="0"/>
                  </w:tcBorders>
                  <w:vAlign w:val="center"/>
                </w:tcPr>
                <w:p>
                  <w:pPr>
                    <w:pStyle w:val="70"/>
                    <w:rPr>
                      <w:color w:val="auto"/>
                    </w:rPr>
                  </w:pPr>
                  <w:r>
                    <w:rPr>
                      <w:color w:val="auto"/>
                    </w:rPr>
                    <w:t>6</w:t>
                  </w:r>
                </w:p>
              </w:tc>
              <w:tc>
                <w:tcPr>
                  <w:tcW w:w="1463" w:type="pct"/>
                  <w:tcBorders>
                    <w:top w:val="single" w:color="auto" w:sz="4" w:space="0"/>
                    <w:left w:val="single" w:color="auto" w:sz="4" w:space="0"/>
                    <w:right w:val="single" w:color="auto" w:sz="4" w:space="0"/>
                  </w:tcBorders>
                  <w:vAlign w:val="center"/>
                </w:tcPr>
                <w:p>
                  <w:pPr>
                    <w:pStyle w:val="70"/>
                    <w:rPr>
                      <w:color w:val="auto"/>
                      <w:lang w:val="en-GB"/>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TGSS40-100TPH</w:t>
                  </w:r>
                  <w:r>
                    <w:rPr>
                      <w:rFonts w:hint="eastAsia"/>
                      <w:color w:val="auto"/>
                    </w:rPr>
                    <w:t xml:space="preserve">  </w:t>
                  </w:r>
                  <w:r>
                    <w:rPr>
                      <w:color w:val="auto"/>
                    </w:rPr>
                    <w:t>L≈4.5m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left w:val="single" w:color="auto" w:sz="4" w:space="0"/>
                    <w:bottom w:val="single" w:color="auto" w:sz="4" w:space="0"/>
                    <w:right w:val="single" w:color="auto" w:sz="4" w:space="0"/>
                  </w:tcBorders>
                  <w:vAlign w:val="center"/>
                </w:tcPr>
                <w:p>
                  <w:pPr>
                    <w:pStyle w:val="70"/>
                    <w:rPr>
                      <w:color w:val="auto"/>
                    </w:rPr>
                  </w:pPr>
                  <w:r>
                    <w:rPr>
                      <w:color w:val="auto"/>
                    </w:rPr>
                    <w:t>7</w:t>
                  </w:r>
                </w:p>
              </w:tc>
              <w:tc>
                <w:tcPr>
                  <w:tcW w:w="1463" w:type="pct"/>
                  <w:tcBorders>
                    <w:left w:val="single" w:color="auto" w:sz="4" w:space="0"/>
                    <w:bottom w:val="single" w:color="auto" w:sz="4" w:space="0"/>
                    <w:right w:val="single" w:color="auto" w:sz="4" w:space="0"/>
                  </w:tcBorders>
                  <w:vAlign w:val="center"/>
                </w:tcPr>
                <w:p>
                  <w:pPr>
                    <w:pStyle w:val="70"/>
                    <w:rPr>
                      <w:color w:val="auto"/>
                      <w:lang w:val="en-GB"/>
                    </w:rPr>
                  </w:pPr>
                  <w:r>
                    <w:rPr>
                      <w:color w:val="auto"/>
                    </w:rPr>
                    <w:t>提升机井架</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2.5*2.5m</w:t>
                  </w:r>
                  <w:r>
                    <w:rPr>
                      <w:rFonts w:hint="eastAsia"/>
                      <w:color w:val="auto"/>
                    </w:rPr>
                    <w:t xml:space="preserve">  </w:t>
                  </w:r>
                  <w:r>
                    <w:rPr>
                      <w:color w:val="auto"/>
                    </w:rPr>
                    <w:t>H≈14m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TDTG60/33-100TPH</w:t>
                  </w:r>
                  <w:r>
                    <w:rPr>
                      <w:rFonts w:hint="eastAsia"/>
                      <w:color w:val="auto"/>
                    </w:rPr>
                    <w:t xml:space="preserve">  </w:t>
                  </w:r>
                  <w:r>
                    <w:rPr>
                      <w:color w:val="auto"/>
                    </w:rPr>
                    <w:t>H≈20m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电动三通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TBDD2*32*30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10</w:t>
                  </w:r>
                </w:p>
              </w:tc>
              <w:tc>
                <w:tcPr>
                  <w:tcW w:w="1463" w:type="pct"/>
                  <w:tcBorders>
                    <w:top w:val="single" w:color="auto" w:sz="4" w:space="0"/>
                    <w:left w:val="single" w:color="auto" w:sz="4" w:space="0"/>
                    <w:right w:val="single" w:color="auto" w:sz="4" w:space="0"/>
                  </w:tcBorders>
                  <w:vAlign w:val="center"/>
                </w:tcPr>
                <w:p>
                  <w:pPr>
                    <w:pStyle w:val="70"/>
                    <w:rPr>
                      <w:color w:val="auto"/>
                    </w:rPr>
                  </w:pPr>
                  <w:r>
                    <w:rPr>
                      <w:color w:val="auto"/>
                    </w:rPr>
                    <w:t>双筒清理筛</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TCQY125</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11</w:t>
                  </w:r>
                </w:p>
              </w:tc>
              <w:tc>
                <w:tcPr>
                  <w:tcW w:w="1463" w:type="pct"/>
                  <w:tcBorders>
                    <w:left w:val="single" w:color="auto" w:sz="4" w:space="0"/>
                    <w:bottom w:val="single" w:color="auto" w:sz="4" w:space="0"/>
                    <w:right w:val="single" w:color="auto" w:sz="4" w:space="0"/>
                  </w:tcBorders>
                  <w:vAlign w:val="center"/>
                </w:tcPr>
                <w:p>
                  <w:pPr>
                    <w:pStyle w:val="70"/>
                    <w:rPr>
                      <w:color w:val="auto"/>
                    </w:rPr>
                  </w:pPr>
                  <w:r>
                    <w:rPr>
                      <w:color w:val="auto"/>
                    </w:rPr>
                    <w:t>清理筛平台</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val="en-US" w:eastAsia="zh-CN"/>
                    </w:rPr>
                  </w:pPr>
                  <w:r>
                    <w:rPr>
                      <w:rFonts w:hint="eastAsia"/>
                      <w:color w:val="auto"/>
                      <w:lang w:val="en-US" w:eastAsia="zh-CN"/>
                    </w:rPr>
                    <w:t>旋风</w:t>
                  </w:r>
                  <w:r>
                    <w:rPr>
                      <w:rFonts w:hint="eastAsia"/>
                      <w:color w:val="auto"/>
                    </w:rPr>
                    <w:t>沙克龙</w:t>
                  </w:r>
                  <w:r>
                    <w:rPr>
                      <w:rFonts w:hint="eastAsia"/>
                      <w:color w:val="auto"/>
                      <w:lang w:val="en-US" w:eastAsia="zh-CN"/>
                    </w:rPr>
                    <w:t>除尘器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XX-55-1200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关风器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GFY24L</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464" w:type="pct"/>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14</w:t>
                  </w:r>
                </w:p>
              </w:tc>
              <w:tc>
                <w:tcPr>
                  <w:tcW w:w="1954" w:type="pct"/>
                  <w:gridSpan w:val="2"/>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TBLMFY39-2000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关风器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GFY16L</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除尘风机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4-72No4.5A</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消声器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XSQ-450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电动三通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TBDD2*32*30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上料位</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凡宜：SE111-24DCV</w:t>
                  </w:r>
                  <w:r>
                    <w:rPr>
                      <w:color w:val="auto"/>
                    </w:rPr>
                    <w:br w:type="textWrapping"/>
                  </w:r>
                  <w:r>
                    <w:rPr>
                      <w:color w:val="auto"/>
                    </w:rPr>
                    <w:t>思派：SR2-10F-DC24V</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杂质仓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1.5m</w:t>
                  </w:r>
                  <w:r>
                    <w:rPr>
                      <w:rFonts w:hint="eastAsia"/>
                      <w:color w:val="auto"/>
                      <w:vertAlign w:val="superscript"/>
                    </w:rPr>
                    <w:t>3</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手动闸门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D250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永磁筒</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TCXT40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提升机井架</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2.5*2.5m</w:t>
                  </w:r>
                  <w:r>
                    <w:rPr>
                      <w:rFonts w:hint="eastAsia"/>
                      <w:color w:val="auto"/>
                    </w:rPr>
                    <w:t xml:space="preserve">  </w:t>
                  </w:r>
                  <w:r>
                    <w:rPr>
                      <w:color w:val="auto"/>
                    </w:rPr>
                    <w:t>H≈36m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TDTG60/33-100TPH</w:t>
                  </w:r>
                  <w:r>
                    <w:rPr>
                      <w:rFonts w:hint="eastAsia"/>
                      <w:color w:val="auto"/>
                    </w:rPr>
                    <w:t xml:space="preserve">   </w:t>
                  </w:r>
                  <w:r>
                    <w:rPr>
                      <w:color w:val="auto"/>
                    </w:rPr>
                    <w:t>H≈40m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刮板栈桥</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1.4*1.2m</w:t>
                  </w:r>
                  <w:r>
                    <w:rPr>
                      <w:rFonts w:hint="eastAsia"/>
                      <w:color w:val="auto"/>
                    </w:rPr>
                    <w:t xml:space="preserve">  </w:t>
                  </w:r>
                  <w:r>
                    <w:rPr>
                      <w:color w:val="auto"/>
                    </w:rPr>
                    <w:t>L≈24m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TGSS40-100TPH</w:t>
                  </w:r>
                  <w:r>
                    <w:rPr>
                      <w:rFonts w:hint="eastAsia"/>
                      <w:color w:val="auto"/>
                    </w:rPr>
                    <w:t xml:space="preserve"> </w:t>
                  </w:r>
                  <w:r>
                    <w:rPr>
                      <w:color w:val="auto"/>
                    </w:rPr>
                    <w:t>L≈20m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自清闸门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TZMD40*80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钢板筒仓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∅10.97*H20.30m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上料位</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凡宜：SE111-24DCV</w:t>
                  </w:r>
                  <w:r>
                    <w:rPr>
                      <w:color w:val="auto"/>
                    </w:rPr>
                    <w:br w:type="textWrapping"/>
                  </w:r>
                  <w:r>
                    <w:rPr>
                      <w:color w:val="auto"/>
                    </w:rPr>
                    <w:t>思派：SR2-10F-DC24V</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仓顶风机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BT35-11</w:t>
                  </w:r>
                  <w:r>
                    <w:rPr>
                      <w:rFonts w:hint="eastAsia"/>
                      <w:color w:val="auto"/>
                    </w:rPr>
                    <w:t>N-</w:t>
                  </w:r>
                  <w:r>
                    <w:rPr>
                      <w:color w:val="auto"/>
                    </w:rPr>
                    <w:t>4</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测温系统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CLC10.97</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下料位</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凡宜：SE111-24DCV</w:t>
                  </w:r>
                  <w:r>
                    <w:rPr>
                      <w:color w:val="auto"/>
                    </w:rPr>
                    <w:br w:type="textWrapping"/>
                  </w:r>
                  <w:r>
                    <w:rPr>
                      <w:color w:val="auto"/>
                    </w:rPr>
                    <w:t>思派：SR2-10F-DC24V</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仓底风机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4-72No5A</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手动闸门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TZMS32*32</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电动闸门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TZMD32*32</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电动三通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TBDD2*32*30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TGSS32-50TPH</w:t>
                  </w:r>
                  <w:r>
                    <w:rPr>
                      <w:rFonts w:hint="eastAsia"/>
                      <w:color w:val="auto"/>
                    </w:rPr>
                    <w:t xml:space="preserve">  </w:t>
                  </w:r>
                  <w:r>
                    <w:rPr>
                      <w:color w:val="auto"/>
                    </w:rPr>
                    <w:t>L≈22m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TGSS32-50TPH</w:t>
                  </w:r>
                  <w:r>
                    <w:rPr>
                      <w:rFonts w:hint="eastAsia"/>
                      <w:color w:val="auto"/>
                    </w:rPr>
                    <w:t xml:space="preserve">  </w:t>
                  </w:r>
                  <w:r>
                    <w:rPr>
                      <w:color w:val="auto"/>
                    </w:rPr>
                    <w:t>L≈16m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TGSS32-50TPH</w:t>
                  </w:r>
                  <w:r>
                    <w:rPr>
                      <w:rFonts w:hint="eastAsia"/>
                      <w:color w:val="auto"/>
                    </w:rPr>
                    <w:t xml:space="preserve">  </w:t>
                  </w:r>
                  <w:r>
                    <w:rPr>
                      <w:color w:val="auto"/>
                    </w:rPr>
                    <w:t>L≈20m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pStyle w:val="70"/>
                    <w:rPr>
                      <w:color w:val="auto"/>
                    </w:rPr>
                  </w:pPr>
                  <w:r>
                    <w:rPr>
                      <w:b/>
                      <w:bCs w:val="0"/>
                      <w:color w:val="auto"/>
                      <w:lang w:val="en-GB"/>
                    </w:rPr>
                    <w:t>一、原料接收、初清工段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eastAsia="zh-CN"/>
                    </w:rPr>
                  </w:pPr>
                  <w:r>
                    <w:rPr>
                      <w:color w:val="auto"/>
                    </w:rPr>
                    <w:t>TDTG60/30b</w:t>
                  </w:r>
                  <w:r>
                    <w:rPr>
                      <w:rFonts w:hint="eastAsia"/>
                      <w:color w:val="auto"/>
                    </w:rPr>
                    <w:t xml:space="preserve"> </w:t>
                  </w:r>
                  <w:r>
                    <w:rPr>
                      <w:rFonts w:hint="eastAsia"/>
                      <w:color w:val="auto"/>
                      <w:lang w:eastAsia="zh-CN"/>
                    </w:rPr>
                    <w:t>（</w:t>
                  </w:r>
                  <w:r>
                    <w:rPr>
                      <w:color w:val="auto"/>
                    </w:rPr>
                    <w:t>约36m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永磁筒</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TXCT30-K</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TBLMFa6-800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旋转分配器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TFPX</w:t>
                  </w:r>
                  <w:r>
                    <w:rPr>
                      <w:rFonts w:hint="eastAsia"/>
                      <w:color w:val="auto"/>
                    </w:rPr>
                    <w:t>-</w:t>
                  </w:r>
                  <w:r>
                    <w:rPr>
                      <w:color w:val="auto"/>
                    </w:rPr>
                    <w:t>4×ф300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下料坑、栅筛</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LD-3.1mx3.1m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TBLMFa24-1500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4-72-3.6A</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消音器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XYQ-Φ250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双螺旋输送机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val="en-GB" w:eastAsia="zh-CN"/>
                    </w:rPr>
                  </w:pPr>
                  <w:r>
                    <w:rPr>
                      <w:color w:val="auto"/>
                    </w:rPr>
                    <w:t>TLSS25*25（约5m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val="en-GB" w:eastAsia="zh-CN"/>
                    </w:rPr>
                  </w:pPr>
                  <w:r>
                    <w:rPr>
                      <w:color w:val="auto"/>
                    </w:rPr>
                    <w:t>TGSS32慢速刮板（约25m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val="en-GB" w:eastAsia="zh-CN"/>
                    </w:rPr>
                  </w:pPr>
                  <w:r>
                    <w:rPr>
                      <w:color w:val="auto"/>
                    </w:rPr>
                    <w:t>TDTG50/28b</w:t>
                  </w:r>
                  <w:r>
                    <w:rPr>
                      <w:rFonts w:hint="eastAsia"/>
                      <w:color w:val="auto"/>
                    </w:rPr>
                    <w:t xml:space="preserve"> </w:t>
                  </w:r>
                  <w:r>
                    <w:rPr>
                      <w:rFonts w:hint="eastAsia"/>
                      <w:color w:val="auto"/>
                      <w:lang w:eastAsia="zh-CN"/>
                    </w:rPr>
                    <w:t>（</w:t>
                  </w:r>
                  <w:r>
                    <w:rPr>
                      <w:color w:val="auto"/>
                    </w:rPr>
                    <w:t>约36m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永磁筒</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TXCT30-F-25芯</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消音器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XYQ-Φ250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4-72-3.0A</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20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高压圆筒脉冲-锥斗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TBLMY9-1500-锥斗</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21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关风器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GFWZY-7</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22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气动蝶阀-通风</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Ф150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23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24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旋转分配器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TFPX</w:t>
                  </w:r>
                  <w:r>
                    <w:rPr>
                      <w:rFonts w:hint="eastAsia"/>
                      <w:color w:val="auto"/>
                    </w:rPr>
                    <w:t>-</w:t>
                  </w:r>
                  <w:r>
                    <w:rPr>
                      <w:color w:val="auto"/>
                    </w:rPr>
                    <w:t>4×ф300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pStyle w:val="70"/>
                    <w:rPr>
                      <w:color w:val="auto"/>
                    </w:rPr>
                  </w:pPr>
                  <w:r>
                    <w:rPr>
                      <w:b/>
                      <w:bCs w:val="0"/>
                      <w:color w:val="auto"/>
                    </w:rPr>
                    <w:t>二、粉碎二段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tcBorders>
                    <w:top w:val="single" w:color="auto" w:sz="4" w:space="0"/>
                    <w:left w:val="single" w:color="auto" w:sz="4" w:space="0"/>
                    <w:right w:val="single" w:color="auto" w:sz="4" w:space="0"/>
                  </w:tcBorders>
                  <w:vAlign w:val="center"/>
                </w:tcPr>
                <w:p>
                  <w:pPr>
                    <w:pStyle w:val="70"/>
                    <w:rPr>
                      <w:color w:val="auto"/>
                    </w:rPr>
                  </w:pPr>
                  <w:r>
                    <w:rPr>
                      <w:color w:val="auto"/>
                      <w:lang w:val="en-GB"/>
                    </w:rPr>
                    <w:t>1</w:t>
                  </w:r>
                </w:p>
              </w:tc>
              <w:tc>
                <w:tcPr>
                  <w:tcW w:w="1463" w:type="pct"/>
                  <w:tcBorders>
                    <w:top w:val="single" w:color="auto" w:sz="4" w:space="0"/>
                    <w:left w:val="single" w:color="auto" w:sz="4" w:space="0"/>
                    <w:right w:val="single" w:color="auto" w:sz="4" w:space="0"/>
                  </w:tcBorders>
                  <w:vAlign w:val="center"/>
                </w:tcPr>
                <w:p>
                  <w:pPr>
                    <w:pStyle w:val="70"/>
                    <w:rPr>
                      <w:color w:val="auto"/>
                    </w:rPr>
                  </w:pPr>
                  <w:r>
                    <w:rPr>
                      <w:color w:val="auto"/>
                    </w:rPr>
                    <w:t>待粉碎料仓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仓容共120</w:t>
                  </w:r>
                  <w:r>
                    <w:rPr>
                      <w:rFonts w:hint="eastAsia"/>
                      <w:color w:val="auto"/>
                      <w:lang w:val="en-US" w:eastAsia="zh-CN"/>
                    </w:rPr>
                    <w:t>m</w:t>
                  </w:r>
                  <w:r>
                    <w:rPr>
                      <w:color w:val="auto"/>
                      <w:vertAlign w:val="superscript"/>
                    </w:rPr>
                    <w:t>3</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14</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vMerge w:val="restart"/>
                  <w:tcBorders>
                    <w:left w:val="single" w:color="auto" w:sz="4" w:space="0"/>
                    <w:right w:val="single" w:color="auto" w:sz="4" w:space="0"/>
                  </w:tcBorders>
                  <w:vAlign w:val="center"/>
                </w:tcPr>
                <w:p>
                  <w:pPr>
                    <w:pStyle w:val="70"/>
                    <w:rPr>
                      <w:color w:val="auto"/>
                    </w:rPr>
                  </w:pPr>
                  <w:r>
                    <w:rPr>
                      <w:color w:val="auto"/>
                      <w:lang w:val="en-GB"/>
                    </w:rPr>
                    <w:t>2</w:t>
                  </w:r>
                </w:p>
              </w:tc>
              <w:tc>
                <w:tcPr>
                  <w:tcW w:w="1463" w:type="pct"/>
                  <w:tcBorders>
                    <w:left w:val="single" w:color="auto" w:sz="4" w:space="0"/>
                    <w:bottom w:val="single" w:color="auto" w:sz="4" w:space="0"/>
                    <w:right w:val="single" w:color="auto" w:sz="4" w:space="0"/>
                  </w:tcBorders>
                  <w:vAlign w:val="center"/>
                </w:tcPr>
                <w:p>
                  <w:pPr>
                    <w:pStyle w:val="70"/>
                    <w:rPr>
                      <w:color w:val="auto"/>
                    </w:rPr>
                  </w:pPr>
                  <w:r>
                    <w:rPr>
                      <w:color w:val="auto"/>
                    </w:rPr>
                    <w:t>上料位器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TZMQ40×40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16</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4</w:t>
                  </w:r>
                </w:p>
              </w:tc>
              <w:tc>
                <w:tcPr>
                  <w:tcW w:w="1463" w:type="pct"/>
                  <w:tcBorders>
                    <w:top w:val="single" w:color="auto" w:sz="4" w:space="0"/>
                    <w:left w:val="single" w:color="auto" w:sz="4" w:space="0"/>
                    <w:right w:val="single" w:color="auto" w:sz="4" w:space="0"/>
                  </w:tcBorders>
                  <w:vAlign w:val="center"/>
                </w:tcPr>
                <w:p>
                  <w:pPr>
                    <w:pStyle w:val="70"/>
                    <w:rPr>
                      <w:color w:val="auto"/>
                    </w:rPr>
                  </w:pPr>
                  <w:r>
                    <w:rPr>
                      <w:color w:val="auto"/>
                    </w:rPr>
                    <w:t>气动双向分配阀门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TFPFQ40×40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5</w:t>
                  </w:r>
                </w:p>
              </w:tc>
              <w:tc>
                <w:tcPr>
                  <w:tcW w:w="1463" w:type="pct"/>
                  <w:tcBorders>
                    <w:left w:val="single" w:color="auto" w:sz="4" w:space="0"/>
                    <w:right w:val="single" w:color="auto" w:sz="4" w:space="0"/>
                  </w:tcBorders>
                  <w:vAlign w:val="center"/>
                </w:tcPr>
                <w:p>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10</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6</w:t>
                  </w:r>
                </w:p>
              </w:tc>
              <w:tc>
                <w:tcPr>
                  <w:tcW w:w="1463" w:type="pct"/>
                  <w:tcBorders>
                    <w:left w:val="single" w:color="auto" w:sz="4" w:space="0"/>
                    <w:bottom w:val="single" w:color="auto" w:sz="4" w:space="0"/>
                    <w:right w:val="single" w:color="auto" w:sz="4" w:space="0"/>
                  </w:tcBorders>
                  <w:vAlign w:val="center"/>
                </w:tcPr>
                <w:p>
                  <w:pPr>
                    <w:pStyle w:val="70"/>
                    <w:rPr>
                      <w:color w:val="auto"/>
                    </w:rPr>
                  </w:pPr>
                  <w:r>
                    <w:rPr>
                      <w:color w:val="auto"/>
                    </w:rPr>
                    <w:t>去石叶轮喂料器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SWLY 60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锤片粉碎机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SFSP72*60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现场控制盒</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8</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脉冲除尘器-方（粉碎）</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TBLMFa 56-2000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eastAsia="zh-CN"/>
                    </w:rPr>
                  </w:pPr>
                  <w:r>
                    <w:rPr>
                      <w:rFonts w:hint="eastAsia"/>
                      <w:color w:val="auto"/>
                      <w:lang w:val="en-US" w:eastAsia="zh-CN"/>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风网管道</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XSQ-400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6</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11</w:t>
                  </w:r>
                </w:p>
              </w:tc>
              <w:tc>
                <w:tcPr>
                  <w:tcW w:w="1463" w:type="pct"/>
                  <w:tcBorders>
                    <w:top w:val="single" w:color="auto" w:sz="4" w:space="0"/>
                    <w:left w:val="single" w:color="auto" w:sz="4" w:space="0"/>
                    <w:right w:val="single" w:color="auto" w:sz="4" w:space="0"/>
                  </w:tcBorders>
                  <w:vAlign w:val="center"/>
                </w:tcPr>
                <w:p>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6-23-12No.7C</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12</w:t>
                  </w:r>
                </w:p>
              </w:tc>
              <w:tc>
                <w:tcPr>
                  <w:tcW w:w="1463" w:type="pct"/>
                  <w:tcBorders>
                    <w:left w:val="single" w:color="auto" w:sz="4" w:space="0"/>
                    <w:bottom w:val="single" w:color="auto" w:sz="4" w:space="0"/>
                    <w:right w:val="single" w:color="auto" w:sz="4" w:space="0"/>
                  </w:tcBorders>
                  <w:vAlign w:val="center"/>
                </w:tcPr>
                <w:p>
                  <w:pPr>
                    <w:pStyle w:val="70"/>
                    <w:rPr>
                      <w:color w:val="auto"/>
                    </w:rPr>
                  </w:pPr>
                  <w:r>
                    <w:rPr>
                      <w:color w:val="auto"/>
                    </w:rPr>
                    <w:t>消音器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XYQ-Φ400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沉降室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闭风螺旋输送机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SWLL25</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eastAsia="zh-CN"/>
                    </w:rPr>
                  </w:pPr>
                  <w:r>
                    <w:rPr>
                      <w:color w:val="auto"/>
                    </w:rPr>
                    <w:t>TDTG36/28b</w:t>
                  </w:r>
                  <w:r>
                    <w:rPr>
                      <w:rFonts w:hint="eastAsia"/>
                      <w:color w:val="auto"/>
                    </w:rPr>
                    <w:t xml:space="preserve">  </w:t>
                  </w:r>
                  <w:r>
                    <w:rPr>
                      <w:rFonts w:hint="eastAsia"/>
                      <w:color w:val="auto"/>
                      <w:lang w:eastAsia="zh-CN"/>
                    </w:rPr>
                    <w:t>（</w:t>
                  </w:r>
                  <w:r>
                    <w:rPr>
                      <w:color w:val="auto"/>
                    </w:rPr>
                    <w:t>约36m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TBLMFa4-600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旋转分配器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TFPX</w:t>
                  </w:r>
                  <w:r>
                    <w:rPr>
                      <w:rFonts w:hint="eastAsia"/>
                      <w:color w:val="auto"/>
                    </w:rPr>
                    <w:t>-</w:t>
                  </w:r>
                  <w:r>
                    <w:rPr>
                      <w:color w:val="auto"/>
                    </w:rPr>
                    <w:t>10×ф250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去石叶轮喂料器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SWLY 60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现场控制盒</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XSQ-400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0000FF"/>
                    </w:rPr>
                  </w:pPr>
                  <w:r>
                    <w:rPr>
                      <w:color w:val="auto"/>
                    </w:rPr>
                    <w:t>25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脉冲除尘器-方（粉碎）</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TBLMFa56-2000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风网管道</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XSQ-400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6-23-12No.7C</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消音器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XSQ-Φ400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沉降室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闭风螺旋输送机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SWLL25</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eastAsia="zh-CN"/>
                    </w:rPr>
                  </w:pPr>
                  <w:r>
                    <w:rPr>
                      <w:color w:val="auto"/>
                    </w:rPr>
                    <w:t>TDTG36/28b</w:t>
                  </w:r>
                  <w:r>
                    <w:rPr>
                      <w:rFonts w:hint="eastAsia"/>
                      <w:color w:val="auto"/>
                    </w:rPr>
                    <w:t xml:space="preserve"> </w:t>
                  </w:r>
                  <w:r>
                    <w:rPr>
                      <w:rFonts w:hint="eastAsia"/>
                      <w:color w:val="auto"/>
                      <w:lang w:eastAsia="zh-CN"/>
                    </w:rPr>
                    <w:t>（</w:t>
                  </w:r>
                  <w:r>
                    <w:rPr>
                      <w:color w:val="auto"/>
                    </w:rPr>
                    <w:t>约36m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TBLMFa4-600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旋转分配器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TFPX10×ф250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pStyle w:val="70"/>
                    <w:rPr>
                      <w:color w:val="auto"/>
                    </w:rPr>
                  </w:pPr>
                  <w:r>
                    <w:rPr>
                      <w:b/>
                      <w:bCs w:val="0"/>
                      <w:color w:val="auto"/>
                    </w:rPr>
                    <w:t>三、配料混合工段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配料仓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25*4+15*24=400M3</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28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上料位器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28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28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TWLL40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TWLL32</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TWLL25</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TWLL20*20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TWLL20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DN200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2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配料秤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PLC-1500KG</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right w:val="single" w:color="auto" w:sz="4" w:space="0"/>
                  </w:tcBorders>
                  <w:vAlign w:val="center"/>
                </w:tcPr>
                <w:p>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8</w:t>
                  </w:r>
                </w:p>
              </w:tc>
              <w:tc>
                <w:tcPr>
                  <w:tcW w:w="1463" w:type="pct"/>
                  <w:tcBorders>
                    <w:left w:val="single" w:color="auto" w:sz="4" w:space="0"/>
                    <w:bottom w:val="single" w:color="auto" w:sz="4" w:space="0"/>
                    <w:right w:val="single" w:color="auto" w:sz="4" w:space="0"/>
                  </w:tcBorders>
                  <w:vAlign w:val="center"/>
                </w:tcPr>
                <w:p>
                  <w:pPr>
                    <w:pStyle w:val="70"/>
                    <w:rPr>
                      <w:color w:val="auto"/>
                    </w:rPr>
                  </w:pPr>
                  <w:r>
                    <w:rPr>
                      <w:color w:val="auto"/>
                    </w:rPr>
                    <w:t>气动圆弧闸门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YZMQ70*70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DN600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DN300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配料秤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PLC-1500KG</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气动圆弧闸门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YZMQ70*70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DN600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DN300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配料秤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PLC-1000KG</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气动圆弧闸门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YZMQ50*50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DN400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DN400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TBLMFa4-600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4脉冲小料投料口</w:t>
                  </w:r>
                </w:p>
                <w:p>
                  <w:pPr>
                    <w:pStyle w:val="70"/>
                    <w:rPr>
                      <w:color w:val="auto"/>
                    </w:rPr>
                  </w:pPr>
                  <w:r>
                    <w:rPr>
                      <w:color w:val="auto"/>
                    </w:rPr>
                    <w:t>（无锁无网）</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TL4-550S1</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投料口振动筛550（电动）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ZDS2-550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小料检查秤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PLC-100KG</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DN250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气动圆</w:t>
                  </w:r>
                  <w:r>
                    <w:rPr>
                      <w:rFonts w:hint="eastAsia"/>
                      <w:color w:val="auto"/>
                    </w:rPr>
                    <w:t>形</w:t>
                  </w:r>
                  <w:r>
                    <w:rPr>
                      <w:color w:val="auto"/>
                    </w:rPr>
                    <w:t>侧三通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TBDQy2×25/30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DN250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微量称</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100kg</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4-72N02.8A</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rFonts w:hint="default" w:eastAsia="宋体"/>
                      <w:color w:val="auto"/>
                      <w:lang w:val="en-US" w:eastAsia="zh-CN"/>
                    </w:rPr>
                  </w:pPr>
                  <w:r>
                    <w:rPr>
                      <w:rFonts w:hint="eastAsia"/>
                      <w:color w:val="auto"/>
                      <w:lang w:val="en-US" w:eastAsia="zh-CN"/>
                    </w:rPr>
                    <w:t>27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投料口</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10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配料仓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3*6+1*4=共20M3</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10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10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空气振动器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SOT系列</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10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TWLLy16</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6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TWLLy12</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DN200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6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DN150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配料秤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PLC-250KG</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空气振动器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SOT系列</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DN250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DN250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配料秤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PLC-100KG</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空气振动器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SOT系列</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DN250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DN250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双轴高效混合机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SSHJ4da</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eastAsia="zh-CN"/>
                    </w:rPr>
                  </w:pPr>
                  <w:r>
                    <w:rPr>
                      <w:color w:val="auto"/>
                    </w:rPr>
                    <w:t>TGSS32慢速刮板（约7.5m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TBLMFa4-600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eastAsia="zh-CN"/>
                    </w:rPr>
                  </w:pPr>
                  <w:r>
                    <w:rPr>
                      <w:color w:val="auto"/>
                    </w:rPr>
                    <w:t>TDTG50/28a</w:t>
                  </w:r>
                  <w:r>
                    <w:rPr>
                      <w:rFonts w:hint="eastAsia"/>
                      <w:color w:val="auto"/>
                      <w:lang w:eastAsia="zh-CN"/>
                    </w:rPr>
                    <w:t>（</w:t>
                  </w:r>
                  <w:r>
                    <w:rPr>
                      <w:color w:val="auto"/>
                    </w:rPr>
                    <w:t>约36m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成品检验筛</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SQLZ75×65×140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永磁筒</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TXCT30-F-25芯</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TBLMFa6-800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50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旋转分配器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TFPX6×ф250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51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eastAsia="zh-CN"/>
                    </w:rPr>
                  </w:pPr>
                  <w:r>
                    <w:rPr>
                      <w:color w:val="auto"/>
                    </w:rPr>
                    <w:t>TGSS25（约5m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52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eastAsia="zh-CN"/>
                    </w:rPr>
                  </w:pPr>
                  <w:r>
                    <w:rPr>
                      <w:color w:val="auto"/>
                    </w:rPr>
                    <w:t>TGSS25（约10m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53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气动闸门（托底自清）</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TZMQ25×73</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5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54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TBDQ2×25×30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5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pStyle w:val="70"/>
                    <w:rPr>
                      <w:color w:val="auto"/>
                    </w:rPr>
                  </w:pPr>
                  <w:r>
                    <w:rPr>
                      <w:b/>
                      <w:bCs w:val="0"/>
                      <w:color w:val="auto"/>
                    </w:rPr>
                    <w:t>四、制粒</w:t>
                  </w:r>
                  <w:r>
                    <w:rPr>
                      <w:rFonts w:hint="eastAsia"/>
                      <w:b/>
                      <w:bCs w:val="0"/>
                      <w:color w:val="auto"/>
                    </w:rPr>
                    <w:t>冷却</w:t>
                  </w:r>
                  <w:r>
                    <w:rPr>
                      <w:b/>
                      <w:bCs w:val="0"/>
                      <w:color w:val="auto"/>
                    </w:rPr>
                    <w:t>工段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待制粒仓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40*4=160m</w:t>
                  </w:r>
                  <w:r>
                    <w:rPr>
                      <w:color w:val="auto"/>
                      <w:vertAlign w:val="superscript"/>
                    </w:rPr>
                    <w:t>3</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83" w:type="pct"/>
                  <w:vMerge w:val="restart"/>
                  <w:tcBorders>
                    <w:top w:val="single" w:color="auto" w:sz="4" w:space="0"/>
                    <w:left w:val="single" w:color="auto" w:sz="4" w:space="0"/>
                    <w:right w:val="single" w:color="auto" w:sz="4" w:space="0"/>
                  </w:tcBorders>
                  <w:vAlign w:val="center"/>
                </w:tcPr>
                <w:p>
                  <w:pPr>
                    <w:pStyle w:val="70"/>
                    <w:rPr>
                      <w:color w:val="auto"/>
                    </w:rPr>
                  </w:pPr>
                  <w:r>
                    <w:rPr>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上料位器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TZMQ50×50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喂料器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SWLD23</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调质器</w:t>
                  </w:r>
                  <w:r>
                    <w:rPr>
                      <w:rFonts w:hint="eastAsia"/>
                      <w:color w:val="auto"/>
                      <w:lang w:eastAsia="zh-CN"/>
                    </w:rPr>
                    <w:t>（</w:t>
                  </w:r>
                  <w:r>
                    <w:rPr>
                      <w:color w:val="auto"/>
                    </w:rPr>
                    <w:t>夹套型）</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STZG400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调质器</w:t>
                  </w:r>
                  <w:r>
                    <w:rPr>
                      <w:rFonts w:hint="eastAsia"/>
                      <w:color w:val="auto"/>
                      <w:lang w:eastAsia="zh-CN"/>
                    </w:rPr>
                    <w:t>（</w:t>
                  </w:r>
                  <w:r>
                    <w:rPr>
                      <w:color w:val="auto"/>
                    </w:rPr>
                    <w:t>夹套型）</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STZG400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蒸汽管路系统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齿轮制粒机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SZLH420D</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颗粒机现场控制盒</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出料斗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闭风喂料器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16L</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逆流冷却器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SKLN6B</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破碎机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SSLG20×140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卸料器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HF-1200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关风器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GFWZY-9</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冷却风网</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标准配置</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4-72-8C</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消音器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XSQ-Φ750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val="en-GB" w:eastAsia="zh-CN"/>
                    </w:rPr>
                  </w:pPr>
                  <w:r>
                    <w:rPr>
                      <w:color w:val="auto"/>
                    </w:rPr>
                    <w:t>TDTG36/28b</w:t>
                  </w:r>
                  <w:r>
                    <w:rPr>
                      <w:rFonts w:hint="eastAsia"/>
                      <w:color w:val="auto"/>
                    </w:rPr>
                    <w:t xml:space="preserve">  </w:t>
                  </w:r>
                  <w:r>
                    <w:rPr>
                      <w:rFonts w:hint="eastAsia"/>
                      <w:color w:val="auto"/>
                      <w:lang w:eastAsia="zh-CN"/>
                    </w:rPr>
                    <w:t>（</w:t>
                  </w:r>
                  <w:r>
                    <w:rPr>
                      <w:color w:val="auto"/>
                    </w:rPr>
                    <w:t>约36m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回转分级筛</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SFJH125*3</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旋转分配器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TFPX·6×ф200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后喷涂系统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TBDQ2×20/30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上料位器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约1立方</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24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TZMQ25×25</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pStyle w:val="70"/>
                    <w:rPr>
                      <w:color w:val="auto"/>
                    </w:rPr>
                  </w:pPr>
                  <w:r>
                    <w:rPr>
                      <w:b/>
                      <w:bCs w:val="0"/>
                      <w:color w:val="auto"/>
                    </w:rPr>
                    <w:t>五、成品包装工段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成品仓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40*8=320M</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防分级流管</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上料位器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TZMQ50×50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气动圆三通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TBDQy2×25/30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2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振动分级筛</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SFJZ100×1</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2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气动圆三通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TBDQy2×20/30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2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螺旋输送机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TLSS20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2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双斗皮带秤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eastAsia="zh-CN"/>
                    </w:rPr>
                  </w:pPr>
                  <w:r>
                    <w:rPr>
                      <w:color w:val="auto"/>
                    </w:rPr>
                    <w:t>SDBY-P</w:t>
                  </w:r>
                  <w:r>
                    <w:rPr>
                      <w:rFonts w:hint="eastAsia"/>
                      <w:color w:val="auto"/>
                      <w:lang w:eastAsia="zh-CN"/>
                    </w:rPr>
                    <w:t>（</w:t>
                  </w:r>
                  <w:r>
                    <w:rPr>
                      <w:color w:val="auto"/>
                    </w:rPr>
                    <w:t>S</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缝口组合输送机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TFKB-40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包装秤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SDBY50SP</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缝口输送组合机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TFKB-40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机械手码垛系统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标准配置</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消音器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XYQ-Φ250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20</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4-72-3.6A</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高压圆筒脉冲-锥斗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TBLMY26-2000-锥斗</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关风器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GFWZY-7</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pStyle w:val="70"/>
                    <w:rPr>
                      <w:color w:val="auto"/>
                    </w:rPr>
                  </w:pPr>
                  <w:r>
                    <w:rPr>
                      <w:b/>
                      <w:bCs w:val="0"/>
                      <w:color w:val="auto"/>
                    </w:rPr>
                    <w:t>六、辅助二段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螺杆式空压机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SA-22A/0.85</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储气罐</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C-1.5/0.8</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冷冻干燥机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ADH-30F</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大糖蜜罐</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default" w:eastAsia="宋体"/>
                      <w:color w:val="auto"/>
                      <w:lang w:val="en-US" w:eastAsia="zh-CN"/>
                    </w:rPr>
                  </w:pPr>
                  <w:r>
                    <w:rPr>
                      <w:color w:val="auto"/>
                    </w:rPr>
                    <w:t>3</w:t>
                  </w:r>
                  <w:r>
                    <w:rPr>
                      <w:rFonts w:hint="eastAsia"/>
                      <w:color w:val="auto"/>
                      <w:lang w:val="en-US" w:eastAsia="zh-CN"/>
                    </w:rPr>
                    <w:t>0t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大油罐</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color w:val="auto"/>
                      <w:lang w:eastAsia="zh-CN"/>
                    </w:rPr>
                  </w:pPr>
                  <w:r>
                    <w:rPr>
                      <w:color w:val="auto"/>
                    </w:rPr>
                    <w:t>30</w:t>
                  </w:r>
                  <w:r>
                    <w:rPr>
                      <w:rFonts w:hint="eastAsia"/>
                      <w:color w:val="auto"/>
                      <w:lang w:val="en-US" w:eastAsia="zh-CN"/>
                    </w:rPr>
                    <w:t>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液体泵送系统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SYTB80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2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液体日用罐</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SYTV32</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液体计量称</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SYTC100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8</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油脂</w:t>
                  </w:r>
                  <w:r>
                    <w:rPr>
                      <w:color w:val="auto"/>
                    </w:rPr>
                    <w:t>添加系统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STJT500</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油脂</w:t>
                  </w:r>
                  <w:r>
                    <w:rPr>
                      <w:color w:val="auto"/>
                    </w:rPr>
                    <w:t>添加管路</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1混合机、2调质器</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color w:val="auto"/>
                      <w:lang w:val="en-GB"/>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b/>
                      <w:bCs w:val="0"/>
                      <w:color w:val="auto"/>
                    </w:rPr>
                    <w:t>七</w:t>
                  </w:r>
                  <w:r>
                    <w:rPr>
                      <w:b/>
                      <w:bCs w:val="0"/>
                      <w:color w:val="auto"/>
                    </w:rPr>
                    <w:t>、</w:t>
                  </w:r>
                  <w:r>
                    <w:rPr>
                      <w:rFonts w:hint="eastAsia"/>
                      <w:b/>
                      <w:bCs w:val="0"/>
                      <w:color w:val="auto"/>
                    </w:rPr>
                    <w:t>公共设施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燃气蒸汽锅炉</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WNS6-1.25-QY</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低氮燃烧系统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吊物设施及安装</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设备运输及吊装</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化验仪器设备</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6</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铲车</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lang w:val="en-GB"/>
                    </w:rPr>
                  </w:pPr>
                  <w:r>
                    <w:rPr>
                      <w:rFonts w:hint="eastAsia"/>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叉车</w:t>
                  </w:r>
                </w:p>
              </w:tc>
              <w:tc>
                <w:tcPr>
                  <w:tcW w:w="1954" w:type="pct"/>
                  <w:gridSpan w:val="4"/>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pPr>
                    <w:pStyle w:val="70"/>
                    <w:rPr>
                      <w:color w:val="auto"/>
                    </w:rPr>
                  </w:pPr>
                  <w:r>
                    <w:rPr>
                      <w:rFonts w:hint="eastAsia"/>
                      <w:color w:val="auto"/>
                    </w:rPr>
                    <w:t>台</w:t>
                  </w:r>
                </w:p>
              </w:tc>
            </w:tr>
          </w:tbl>
          <w:p>
            <w:pPr>
              <w:pStyle w:val="24"/>
              <w:ind w:firstLine="482"/>
            </w:pPr>
            <w:r>
              <w:t>2.</w:t>
            </w:r>
            <w:r>
              <w:rPr>
                <w:rFonts w:hint="eastAsia"/>
              </w:rPr>
              <w:t>4</w:t>
            </w:r>
            <w:r>
              <w:t>主要产品及产能</w:t>
            </w:r>
          </w:p>
          <w:p>
            <w:pPr>
              <w:pStyle w:val="65"/>
              <w:rPr>
                <w:color w:val="auto"/>
                <w:szCs w:val="21"/>
              </w:rPr>
            </w:pPr>
            <w:r>
              <w:rPr>
                <w:rFonts w:hint="eastAsia"/>
                <w:color w:val="auto"/>
                <w:szCs w:val="21"/>
              </w:rPr>
              <w:t>表2.4-1  项目产品方案一览表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205"/>
              <w:gridCol w:w="1674"/>
              <w:gridCol w:w="1826"/>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pStyle w:val="70"/>
                    <w:rPr>
                      <w:lang w:val="en-GB"/>
                    </w:rPr>
                  </w:pPr>
                  <w:r>
                    <w:rPr>
                      <w:lang w:val="en-GB"/>
                    </w:rPr>
                    <w:t>序号</w:t>
                  </w:r>
                </w:p>
              </w:tc>
              <w:tc>
                <w:tcPr>
                  <w:tcW w:w="1315" w:type="pct"/>
                  <w:tcBorders>
                    <w:top w:val="single" w:color="auto" w:sz="4" w:space="0"/>
                    <w:left w:val="single" w:color="auto" w:sz="4" w:space="0"/>
                    <w:bottom w:val="single" w:color="auto" w:sz="4" w:space="0"/>
                    <w:right w:val="single" w:color="auto" w:sz="4" w:space="0"/>
                  </w:tcBorders>
                  <w:vAlign w:val="center"/>
                </w:tcPr>
                <w:p>
                  <w:pPr>
                    <w:pStyle w:val="70"/>
                  </w:pPr>
                  <w:r>
                    <w:rPr>
                      <w:lang w:val="en-GB"/>
                    </w:rPr>
                    <w:t>产品</w:t>
                  </w:r>
                  <w:r>
                    <w:rPr>
                      <w:rFonts w:hint="eastAsia"/>
                    </w:rPr>
                    <w:t>名称</w:t>
                  </w:r>
                </w:p>
              </w:tc>
              <w:tc>
                <w:tcPr>
                  <w:tcW w:w="999" w:type="pct"/>
                  <w:tcBorders>
                    <w:top w:val="single" w:color="auto" w:sz="4" w:space="0"/>
                    <w:left w:val="single" w:color="auto" w:sz="4" w:space="0"/>
                    <w:bottom w:val="single" w:color="auto" w:sz="4" w:space="0"/>
                    <w:right w:val="single" w:color="auto" w:sz="4" w:space="0"/>
                  </w:tcBorders>
                  <w:vAlign w:val="center"/>
                </w:tcPr>
                <w:p>
                  <w:pPr>
                    <w:pStyle w:val="70"/>
                    <w:rPr>
                      <w:lang w:val="en-GB"/>
                    </w:rPr>
                  </w:pPr>
                  <w:r>
                    <w:rPr>
                      <w:rFonts w:hint="eastAsia"/>
                    </w:rPr>
                    <w:t>计量</w:t>
                  </w:r>
                  <w:r>
                    <w:rPr>
                      <w:lang w:val="en-GB"/>
                    </w:rPr>
                    <w:t>单位</w:t>
                  </w:r>
                </w:p>
              </w:tc>
              <w:tc>
                <w:tcPr>
                  <w:tcW w:w="1090" w:type="pct"/>
                  <w:tcBorders>
                    <w:top w:val="single" w:color="auto" w:sz="4" w:space="0"/>
                    <w:left w:val="single" w:color="auto" w:sz="4" w:space="0"/>
                    <w:bottom w:val="single" w:color="auto" w:sz="4" w:space="0"/>
                    <w:right w:val="single" w:color="auto" w:sz="4" w:space="0"/>
                  </w:tcBorders>
                  <w:vAlign w:val="center"/>
                </w:tcPr>
                <w:p>
                  <w:pPr>
                    <w:pStyle w:val="70"/>
                    <w:rPr>
                      <w:lang w:val="en-GB"/>
                    </w:rPr>
                  </w:pPr>
                  <w:r>
                    <w:rPr>
                      <w:rFonts w:hint="eastAsia"/>
                    </w:rPr>
                    <w:t>设计</w:t>
                  </w:r>
                  <w:r>
                    <w:rPr>
                      <w:lang w:val="en-GB"/>
                    </w:rPr>
                    <w:t>产能</w:t>
                  </w:r>
                </w:p>
              </w:tc>
              <w:tc>
                <w:tcPr>
                  <w:tcW w:w="1161" w:type="pct"/>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pStyle w:val="70"/>
                    <w:rPr>
                      <w:lang w:val="en-GB"/>
                    </w:rPr>
                  </w:pPr>
                  <w:r>
                    <w:rPr>
                      <w:lang w:val="en-GB"/>
                    </w:rPr>
                    <w:t>1</w:t>
                  </w:r>
                </w:p>
              </w:tc>
              <w:tc>
                <w:tcPr>
                  <w:tcW w:w="1315" w:type="pct"/>
                  <w:tcBorders>
                    <w:top w:val="single" w:color="auto" w:sz="4" w:space="0"/>
                    <w:left w:val="single" w:color="auto" w:sz="4" w:space="0"/>
                    <w:bottom w:val="single" w:color="auto" w:sz="4" w:space="0"/>
                    <w:right w:val="single" w:color="auto" w:sz="4" w:space="0"/>
                  </w:tcBorders>
                  <w:vAlign w:val="center"/>
                </w:tcPr>
                <w:p>
                  <w:pPr>
                    <w:pStyle w:val="70"/>
                  </w:pPr>
                  <w:r>
                    <w:t>青（黄）储饲料</w:t>
                  </w:r>
                </w:p>
              </w:tc>
              <w:tc>
                <w:tcPr>
                  <w:tcW w:w="999" w:type="pct"/>
                  <w:tcBorders>
                    <w:top w:val="single" w:color="auto" w:sz="4" w:space="0"/>
                    <w:left w:val="single" w:color="auto" w:sz="4" w:space="0"/>
                    <w:bottom w:val="single" w:color="auto" w:sz="4" w:space="0"/>
                    <w:right w:val="single" w:color="auto" w:sz="4" w:space="0"/>
                  </w:tcBorders>
                  <w:vAlign w:val="center"/>
                </w:tcPr>
                <w:p>
                  <w:pPr>
                    <w:pStyle w:val="70"/>
                    <w:rPr>
                      <w:lang w:val="en-GB"/>
                    </w:rPr>
                  </w:pPr>
                  <w:r>
                    <w:rPr>
                      <w:rFonts w:hint="eastAsia"/>
                    </w:rPr>
                    <w:t>万</w:t>
                  </w:r>
                  <w:r>
                    <w:rPr>
                      <w:lang w:val="en-GB"/>
                    </w:rPr>
                    <w:t>t/a</w:t>
                  </w:r>
                </w:p>
              </w:tc>
              <w:tc>
                <w:tcPr>
                  <w:tcW w:w="1090" w:type="pct"/>
                  <w:tcBorders>
                    <w:top w:val="single" w:color="auto" w:sz="4" w:space="0"/>
                    <w:left w:val="single" w:color="auto" w:sz="4" w:space="0"/>
                    <w:bottom w:val="single" w:color="auto" w:sz="4" w:space="0"/>
                    <w:right w:val="single" w:color="auto" w:sz="4" w:space="0"/>
                  </w:tcBorders>
                  <w:vAlign w:val="center"/>
                </w:tcPr>
                <w:p>
                  <w:pPr>
                    <w:pStyle w:val="70"/>
                  </w:pPr>
                  <w:r>
                    <w:t>20</w:t>
                  </w:r>
                </w:p>
              </w:tc>
              <w:tc>
                <w:tcPr>
                  <w:tcW w:w="1161" w:type="pct"/>
                  <w:vMerge w:val="restart"/>
                  <w:tcBorders>
                    <w:top w:val="single" w:color="auto" w:sz="4" w:space="0"/>
                    <w:left w:val="single" w:color="auto" w:sz="4" w:space="0"/>
                    <w:right w:val="single" w:color="auto" w:sz="4" w:space="0"/>
                  </w:tcBorders>
                  <w:vAlign w:val="center"/>
                </w:tcPr>
                <w:p>
                  <w:pPr>
                    <w:pStyle w:val="70"/>
                  </w:pPr>
                  <w:r>
                    <w:rPr>
                      <w:rFonts w:hint="eastAsia"/>
                      <w:lang w:val="en-US" w:eastAsia="zh-CN"/>
                    </w:rPr>
                    <w:t>产品</w:t>
                  </w:r>
                  <w:r>
                    <w:rPr>
                      <w:rFonts w:hint="eastAsia"/>
                    </w:rPr>
                    <w:t>达到《饲料卫生标准》（GB 13078）和《饲料标签标准》（GB 10648）要求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pStyle w:val="70"/>
                    <w:rPr>
                      <w:lang w:val="en-GB"/>
                    </w:rPr>
                  </w:pPr>
                  <w:r>
                    <w:rPr>
                      <w:lang w:val="en-GB"/>
                    </w:rPr>
                    <w:t>2</w:t>
                  </w:r>
                </w:p>
              </w:tc>
              <w:tc>
                <w:tcPr>
                  <w:tcW w:w="1315" w:type="pct"/>
                  <w:tcBorders>
                    <w:top w:val="single" w:color="auto" w:sz="4" w:space="0"/>
                    <w:left w:val="single" w:color="auto" w:sz="4" w:space="0"/>
                    <w:bottom w:val="single" w:color="auto" w:sz="4" w:space="0"/>
                    <w:right w:val="single" w:color="auto" w:sz="4" w:space="0"/>
                  </w:tcBorders>
                  <w:vAlign w:val="center"/>
                </w:tcPr>
                <w:p>
                  <w:pPr>
                    <w:pStyle w:val="70"/>
                  </w:pPr>
                  <w:r>
                    <w:rPr>
                      <w:rFonts w:hint="eastAsia"/>
                    </w:rPr>
                    <w:t>全价</w:t>
                  </w:r>
                  <w:r>
                    <w:t>颗粒饲料</w:t>
                  </w:r>
                </w:p>
              </w:tc>
              <w:tc>
                <w:tcPr>
                  <w:tcW w:w="999" w:type="pct"/>
                  <w:tcBorders>
                    <w:top w:val="single" w:color="auto" w:sz="4" w:space="0"/>
                    <w:left w:val="single" w:color="auto" w:sz="4" w:space="0"/>
                    <w:bottom w:val="single" w:color="auto" w:sz="4" w:space="0"/>
                    <w:right w:val="single" w:color="auto" w:sz="4" w:space="0"/>
                  </w:tcBorders>
                  <w:vAlign w:val="center"/>
                </w:tcPr>
                <w:p>
                  <w:pPr>
                    <w:pStyle w:val="70"/>
                    <w:rPr>
                      <w:lang w:val="en-GB"/>
                    </w:rPr>
                  </w:pPr>
                  <w:r>
                    <w:rPr>
                      <w:rFonts w:hint="eastAsia"/>
                    </w:rPr>
                    <w:t>万</w:t>
                  </w:r>
                  <w:r>
                    <w:rPr>
                      <w:lang w:val="en-GB"/>
                    </w:rPr>
                    <w:t>t/a</w:t>
                  </w:r>
                </w:p>
              </w:tc>
              <w:tc>
                <w:tcPr>
                  <w:tcW w:w="1090" w:type="pct"/>
                  <w:tcBorders>
                    <w:top w:val="single" w:color="auto" w:sz="4" w:space="0"/>
                    <w:left w:val="single" w:color="auto" w:sz="4" w:space="0"/>
                    <w:bottom w:val="single" w:color="auto" w:sz="4" w:space="0"/>
                    <w:right w:val="single" w:color="auto" w:sz="4" w:space="0"/>
                  </w:tcBorders>
                  <w:vAlign w:val="center"/>
                </w:tcPr>
                <w:p>
                  <w:pPr>
                    <w:pStyle w:val="70"/>
                  </w:pPr>
                  <w:r>
                    <w:t>40</w:t>
                  </w:r>
                </w:p>
              </w:tc>
              <w:tc>
                <w:tcPr>
                  <w:tcW w:w="1161" w:type="pct"/>
                  <w:vMerge w:val="continue"/>
                  <w:tcBorders>
                    <w:left w:val="single" w:color="auto" w:sz="4" w:space="0"/>
                    <w:right w:val="single" w:color="auto" w:sz="4" w:space="0"/>
                  </w:tcBorders>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gridSpan w:val="2"/>
                  <w:tcBorders>
                    <w:top w:val="single" w:color="auto" w:sz="4" w:space="0"/>
                    <w:left w:val="single" w:color="auto" w:sz="4" w:space="0"/>
                    <w:bottom w:val="single" w:color="auto" w:sz="4" w:space="0"/>
                    <w:right w:val="single" w:color="auto" w:sz="4" w:space="0"/>
                  </w:tcBorders>
                  <w:vAlign w:val="center"/>
                </w:tcPr>
                <w:p>
                  <w:pPr>
                    <w:pStyle w:val="70"/>
                  </w:pPr>
                  <w:r>
                    <w:rPr>
                      <w:rFonts w:hint="eastAsia"/>
                    </w:rPr>
                    <w:t>合计</w:t>
                  </w:r>
                </w:p>
              </w:tc>
              <w:tc>
                <w:tcPr>
                  <w:tcW w:w="999" w:type="pct"/>
                  <w:tcBorders>
                    <w:top w:val="single" w:color="auto" w:sz="4" w:space="0"/>
                    <w:left w:val="single" w:color="auto" w:sz="4" w:space="0"/>
                    <w:bottom w:val="single" w:color="auto" w:sz="4" w:space="0"/>
                    <w:right w:val="single" w:color="auto" w:sz="4" w:space="0"/>
                  </w:tcBorders>
                  <w:vAlign w:val="center"/>
                </w:tcPr>
                <w:p>
                  <w:pPr>
                    <w:pStyle w:val="70"/>
                    <w:rPr>
                      <w:lang w:val="en-GB"/>
                    </w:rPr>
                  </w:pPr>
                  <w:r>
                    <w:rPr>
                      <w:rFonts w:hint="eastAsia"/>
                    </w:rPr>
                    <w:t>万</w:t>
                  </w:r>
                  <w:r>
                    <w:rPr>
                      <w:lang w:val="en-GB"/>
                    </w:rPr>
                    <w:t>t/a</w:t>
                  </w:r>
                </w:p>
              </w:tc>
              <w:tc>
                <w:tcPr>
                  <w:tcW w:w="1090" w:type="pct"/>
                  <w:tcBorders>
                    <w:top w:val="single" w:color="auto" w:sz="4" w:space="0"/>
                    <w:left w:val="single" w:color="auto" w:sz="4" w:space="0"/>
                    <w:bottom w:val="single" w:color="auto" w:sz="4" w:space="0"/>
                    <w:right w:val="single" w:color="auto" w:sz="4" w:space="0"/>
                  </w:tcBorders>
                  <w:vAlign w:val="center"/>
                </w:tcPr>
                <w:p>
                  <w:pPr>
                    <w:pStyle w:val="70"/>
                  </w:pPr>
                  <w:r>
                    <w:rPr>
                      <w:rFonts w:hint="eastAsia"/>
                    </w:rPr>
                    <w:t>60</w:t>
                  </w:r>
                </w:p>
              </w:tc>
              <w:tc>
                <w:tcPr>
                  <w:tcW w:w="1161" w:type="pct"/>
                  <w:vMerge w:val="continue"/>
                  <w:tcBorders>
                    <w:left w:val="single" w:color="auto" w:sz="4" w:space="0"/>
                    <w:bottom w:val="single" w:color="auto" w:sz="4" w:space="0"/>
                    <w:right w:val="single" w:color="auto" w:sz="4" w:space="0"/>
                  </w:tcBorders>
                  <w:vAlign w:val="center"/>
                </w:tcPr>
                <w:p>
                  <w:pPr>
                    <w:pStyle w:val="70"/>
                  </w:pPr>
                </w:p>
              </w:tc>
            </w:tr>
          </w:tbl>
          <w:p>
            <w:pPr>
              <w:adjustRightInd w:val="0"/>
              <w:snapToGrid w:val="0"/>
              <w:spacing w:before="100" w:beforeAutospacing="1"/>
              <w:ind w:firstLine="482"/>
              <w:jc w:val="left"/>
              <w:rPr>
                <w:b/>
                <w:bCs/>
                <w:szCs w:val="24"/>
              </w:rPr>
            </w:pPr>
            <w:r>
              <w:rPr>
                <w:b/>
                <w:bCs/>
                <w:szCs w:val="24"/>
              </w:rPr>
              <w:t>2.</w:t>
            </w:r>
            <w:r>
              <w:rPr>
                <w:rFonts w:hint="eastAsia"/>
                <w:b/>
                <w:bCs/>
                <w:szCs w:val="24"/>
              </w:rPr>
              <w:t>5</w:t>
            </w:r>
            <w:r>
              <w:rPr>
                <w:b/>
                <w:bCs/>
                <w:szCs w:val="24"/>
              </w:rPr>
              <w:t>原辅料</w:t>
            </w:r>
          </w:p>
          <w:p>
            <w:pPr>
              <w:ind w:firstLine="480"/>
            </w:pPr>
            <w:r>
              <w:t>原辅料及年耗量见表</w:t>
            </w:r>
            <w:r>
              <w:rPr>
                <w:rFonts w:hint="eastAsia"/>
              </w:rPr>
              <w:t>2.5-1、辅料理化性质见表2.5-2、2.5-3、2.5-4。</w:t>
            </w:r>
          </w:p>
          <w:p>
            <w:pPr>
              <w:pStyle w:val="65"/>
            </w:pPr>
            <w:r>
              <w:t>表2</w:t>
            </w:r>
            <w:r>
              <w:rPr>
                <w:rFonts w:hint="eastAsia"/>
              </w:rPr>
              <w:t>.5-1</w:t>
            </w:r>
            <w:r>
              <w:t xml:space="preserve">   原辅材料及能源年耗量一览表</w:t>
            </w:r>
          </w:p>
          <w:tbl>
            <w:tblPr>
              <w:tblStyle w:val="27"/>
              <w:tblW w:w="5000" w:type="pct"/>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04"/>
              <w:gridCol w:w="2601"/>
              <w:gridCol w:w="1736"/>
              <w:gridCol w:w="3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color w:val="auto"/>
                    </w:rPr>
                  </w:pPr>
                  <w:r>
                    <w:rPr>
                      <w:color w:val="auto"/>
                    </w:rPr>
                    <w:t>序号</w:t>
                  </w:r>
                </w:p>
              </w:tc>
              <w:tc>
                <w:tcPr>
                  <w:tcW w:w="1554" w:type="pct"/>
                  <w:tcBorders>
                    <w:tl2br w:val="nil"/>
                    <w:tr2bl w:val="nil"/>
                  </w:tcBorders>
                  <w:vAlign w:val="center"/>
                </w:tcPr>
                <w:p>
                  <w:pPr>
                    <w:pStyle w:val="70"/>
                    <w:rPr>
                      <w:color w:val="auto"/>
                    </w:rPr>
                  </w:pPr>
                  <w:r>
                    <w:rPr>
                      <w:color w:val="auto"/>
                    </w:rPr>
                    <w:t>名称</w:t>
                  </w:r>
                </w:p>
              </w:tc>
              <w:tc>
                <w:tcPr>
                  <w:tcW w:w="1037" w:type="pct"/>
                  <w:tcBorders>
                    <w:tl2br w:val="nil"/>
                    <w:tr2bl w:val="nil"/>
                  </w:tcBorders>
                  <w:vAlign w:val="center"/>
                </w:tcPr>
                <w:p>
                  <w:pPr>
                    <w:pStyle w:val="70"/>
                    <w:rPr>
                      <w:color w:val="auto"/>
                    </w:rPr>
                  </w:pPr>
                  <w:r>
                    <w:rPr>
                      <w:color w:val="auto"/>
                    </w:rPr>
                    <w:t>消耗量</w:t>
                  </w:r>
                </w:p>
              </w:tc>
              <w:tc>
                <w:tcPr>
                  <w:tcW w:w="1986" w:type="pct"/>
                  <w:tcBorders>
                    <w:tl2br w:val="nil"/>
                    <w:tr2bl w:val="nil"/>
                  </w:tcBorders>
                  <w:vAlign w:val="center"/>
                </w:tcPr>
                <w:p>
                  <w:pPr>
                    <w:pStyle w:val="70"/>
                    <w:rPr>
                      <w:color w:val="auto"/>
                    </w:rPr>
                  </w:pPr>
                  <w:r>
                    <w:rPr>
                      <w:rFonts w:hint="eastAsia"/>
                      <w:color w:val="auto"/>
                    </w:rPr>
                    <w:t>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color w:val="auto"/>
                    </w:rPr>
                  </w:pPr>
                  <w:r>
                    <w:rPr>
                      <w:color w:val="auto"/>
                    </w:rPr>
                    <w:t>1</w:t>
                  </w:r>
                </w:p>
              </w:tc>
              <w:tc>
                <w:tcPr>
                  <w:tcW w:w="1554" w:type="pct"/>
                  <w:tcBorders>
                    <w:tl2br w:val="nil"/>
                    <w:tr2bl w:val="nil"/>
                  </w:tcBorders>
                  <w:vAlign w:val="center"/>
                </w:tcPr>
                <w:p>
                  <w:pPr>
                    <w:pStyle w:val="70"/>
                    <w:rPr>
                      <w:color w:val="auto"/>
                    </w:rPr>
                  </w:pPr>
                  <w:r>
                    <w:rPr>
                      <w:color w:val="auto"/>
                    </w:rPr>
                    <w:t>牧草</w:t>
                  </w:r>
                </w:p>
              </w:tc>
              <w:tc>
                <w:tcPr>
                  <w:tcW w:w="1037" w:type="pct"/>
                  <w:tcBorders>
                    <w:tl2br w:val="nil"/>
                    <w:tr2bl w:val="nil"/>
                  </w:tcBorders>
                  <w:vAlign w:val="center"/>
                </w:tcPr>
                <w:p>
                  <w:pPr>
                    <w:pStyle w:val="70"/>
                    <w:rPr>
                      <w:color w:val="auto"/>
                    </w:rPr>
                  </w:pPr>
                  <w:r>
                    <w:rPr>
                      <w:rFonts w:hint="eastAsia"/>
                      <w:color w:val="auto"/>
                    </w:rPr>
                    <w:t>1</w:t>
                  </w:r>
                  <w:r>
                    <w:rPr>
                      <w:rFonts w:hint="eastAsia"/>
                      <w:color w:val="auto"/>
                      <w:lang w:val="en-US" w:eastAsia="zh-CN"/>
                    </w:rPr>
                    <w:t>5</w:t>
                  </w:r>
                  <w:r>
                    <w:rPr>
                      <w:rFonts w:hint="eastAsia"/>
                      <w:color w:val="auto"/>
                    </w:rPr>
                    <w:t>万</w:t>
                  </w:r>
                  <w:r>
                    <w:rPr>
                      <w:color w:val="auto"/>
                    </w:rPr>
                    <w:t>t/a</w:t>
                  </w:r>
                </w:p>
              </w:tc>
              <w:tc>
                <w:tcPr>
                  <w:tcW w:w="1986" w:type="pct"/>
                  <w:tcBorders>
                    <w:tl2br w:val="nil"/>
                    <w:tr2bl w:val="nil"/>
                  </w:tcBorders>
                  <w:vAlign w:val="center"/>
                </w:tcPr>
                <w:p>
                  <w:pPr>
                    <w:pStyle w:val="70"/>
                    <w:rPr>
                      <w:color w:val="auto"/>
                    </w:rPr>
                  </w:pPr>
                  <w:r>
                    <w:rPr>
                      <w:color w:val="auto"/>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color w:val="auto"/>
                    </w:rPr>
                  </w:pPr>
                  <w:r>
                    <w:rPr>
                      <w:color w:val="auto"/>
                    </w:rPr>
                    <w:t>2</w:t>
                  </w:r>
                </w:p>
              </w:tc>
              <w:tc>
                <w:tcPr>
                  <w:tcW w:w="1554" w:type="pct"/>
                  <w:tcBorders>
                    <w:tl2br w:val="nil"/>
                    <w:tr2bl w:val="nil"/>
                  </w:tcBorders>
                  <w:vAlign w:val="center"/>
                </w:tcPr>
                <w:p>
                  <w:pPr>
                    <w:pStyle w:val="70"/>
                    <w:rPr>
                      <w:color w:val="auto"/>
                    </w:rPr>
                  </w:pPr>
                  <w:r>
                    <w:rPr>
                      <w:color w:val="auto"/>
                    </w:rPr>
                    <w:t>秸秆</w:t>
                  </w:r>
                </w:p>
              </w:tc>
              <w:tc>
                <w:tcPr>
                  <w:tcW w:w="1037" w:type="pct"/>
                  <w:tcBorders>
                    <w:tl2br w:val="nil"/>
                    <w:tr2bl w:val="nil"/>
                  </w:tcBorders>
                  <w:vAlign w:val="center"/>
                </w:tcPr>
                <w:p>
                  <w:pPr>
                    <w:pStyle w:val="70"/>
                    <w:rPr>
                      <w:color w:val="auto"/>
                    </w:rPr>
                  </w:pPr>
                  <w:r>
                    <w:rPr>
                      <w:rFonts w:hint="eastAsia"/>
                      <w:color w:val="auto"/>
                      <w:lang w:val="en-US" w:eastAsia="zh-CN"/>
                    </w:rPr>
                    <w:t>4.9</w:t>
                  </w:r>
                  <w:r>
                    <w:rPr>
                      <w:rFonts w:hint="eastAsia"/>
                      <w:color w:val="auto"/>
                    </w:rPr>
                    <w:t>万</w:t>
                  </w:r>
                  <w:r>
                    <w:rPr>
                      <w:color w:val="auto"/>
                    </w:rPr>
                    <w:t>t/a</w:t>
                  </w:r>
                </w:p>
              </w:tc>
              <w:tc>
                <w:tcPr>
                  <w:tcW w:w="1986" w:type="pct"/>
                  <w:tcBorders>
                    <w:tl2br w:val="nil"/>
                    <w:tr2bl w:val="nil"/>
                  </w:tcBorders>
                  <w:vAlign w:val="center"/>
                </w:tcPr>
                <w:p>
                  <w:pPr>
                    <w:pStyle w:val="70"/>
                    <w:rPr>
                      <w:color w:val="auto"/>
                    </w:rPr>
                  </w:pPr>
                  <w:r>
                    <w:rPr>
                      <w:color w:val="auto"/>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color w:val="auto"/>
                    </w:rPr>
                  </w:pPr>
                  <w:r>
                    <w:rPr>
                      <w:color w:val="auto"/>
                    </w:rPr>
                    <w:t>3</w:t>
                  </w:r>
                </w:p>
              </w:tc>
              <w:tc>
                <w:tcPr>
                  <w:tcW w:w="1554" w:type="pct"/>
                  <w:tcBorders>
                    <w:tl2br w:val="nil"/>
                    <w:tr2bl w:val="nil"/>
                  </w:tcBorders>
                  <w:vAlign w:val="center"/>
                </w:tcPr>
                <w:p>
                  <w:pPr>
                    <w:pStyle w:val="70"/>
                    <w:rPr>
                      <w:color w:val="auto"/>
                    </w:rPr>
                  </w:pPr>
                  <w:r>
                    <w:rPr>
                      <w:color w:val="auto"/>
                    </w:rPr>
                    <w:t>棉仔壳</w:t>
                  </w:r>
                </w:p>
              </w:tc>
              <w:tc>
                <w:tcPr>
                  <w:tcW w:w="1037" w:type="pct"/>
                  <w:tcBorders>
                    <w:tl2br w:val="nil"/>
                    <w:tr2bl w:val="nil"/>
                  </w:tcBorders>
                  <w:vAlign w:val="center"/>
                </w:tcPr>
                <w:p>
                  <w:pPr>
                    <w:pStyle w:val="70"/>
                    <w:rPr>
                      <w:color w:val="auto"/>
                    </w:rPr>
                  </w:pPr>
                  <w:r>
                    <w:rPr>
                      <w:rFonts w:hint="eastAsia"/>
                      <w:color w:val="auto"/>
                    </w:rPr>
                    <w:t>5万</w:t>
                  </w:r>
                  <w:r>
                    <w:rPr>
                      <w:color w:val="auto"/>
                    </w:rPr>
                    <w:t>t/a</w:t>
                  </w:r>
                </w:p>
              </w:tc>
              <w:tc>
                <w:tcPr>
                  <w:tcW w:w="1986" w:type="pct"/>
                  <w:tcBorders>
                    <w:tl2br w:val="nil"/>
                    <w:tr2bl w:val="nil"/>
                  </w:tcBorders>
                  <w:vAlign w:val="center"/>
                </w:tcPr>
                <w:p>
                  <w:pPr>
                    <w:pStyle w:val="70"/>
                    <w:rPr>
                      <w:color w:val="auto"/>
                    </w:rPr>
                  </w:pPr>
                  <w:r>
                    <w:rPr>
                      <w:color w:val="auto"/>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color w:val="auto"/>
                    </w:rPr>
                  </w:pPr>
                  <w:r>
                    <w:rPr>
                      <w:color w:val="auto"/>
                    </w:rPr>
                    <w:t>4</w:t>
                  </w:r>
                </w:p>
              </w:tc>
              <w:tc>
                <w:tcPr>
                  <w:tcW w:w="1554" w:type="pct"/>
                  <w:tcBorders>
                    <w:tl2br w:val="nil"/>
                    <w:tr2bl w:val="nil"/>
                  </w:tcBorders>
                  <w:vAlign w:val="center"/>
                </w:tcPr>
                <w:p>
                  <w:pPr>
                    <w:pStyle w:val="70"/>
                    <w:rPr>
                      <w:color w:val="auto"/>
                    </w:rPr>
                  </w:pPr>
                  <w:r>
                    <w:rPr>
                      <w:color w:val="auto"/>
                    </w:rPr>
                    <w:t>豆粕</w:t>
                  </w:r>
                </w:p>
              </w:tc>
              <w:tc>
                <w:tcPr>
                  <w:tcW w:w="1037" w:type="pct"/>
                  <w:tcBorders>
                    <w:tl2br w:val="nil"/>
                    <w:tr2bl w:val="nil"/>
                  </w:tcBorders>
                  <w:vAlign w:val="center"/>
                </w:tcPr>
                <w:p>
                  <w:pPr>
                    <w:pStyle w:val="70"/>
                    <w:rPr>
                      <w:color w:val="auto"/>
                    </w:rPr>
                  </w:pPr>
                  <w:r>
                    <w:rPr>
                      <w:rFonts w:hint="eastAsia"/>
                      <w:color w:val="auto"/>
                    </w:rPr>
                    <w:t>2万</w:t>
                  </w:r>
                  <w:r>
                    <w:rPr>
                      <w:color w:val="auto"/>
                    </w:rPr>
                    <w:t>t/a</w:t>
                  </w:r>
                </w:p>
              </w:tc>
              <w:tc>
                <w:tcPr>
                  <w:tcW w:w="1986" w:type="pct"/>
                  <w:tcBorders>
                    <w:tl2br w:val="nil"/>
                    <w:tr2bl w:val="nil"/>
                  </w:tcBorders>
                  <w:shd w:val="clear" w:color="auto" w:fill="auto"/>
                  <w:vAlign w:val="center"/>
                </w:tcPr>
                <w:p>
                  <w:pPr>
                    <w:pStyle w:val="70"/>
                    <w:rPr>
                      <w:color w:val="auto"/>
                    </w:rPr>
                  </w:pPr>
                  <w:r>
                    <w:rPr>
                      <w:color w:val="auto"/>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color w:val="auto"/>
                    </w:rPr>
                  </w:pPr>
                  <w:r>
                    <w:rPr>
                      <w:rFonts w:hint="eastAsia"/>
                      <w:color w:val="auto"/>
                    </w:rPr>
                    <w:t>5</w:t>
                  </w:r>
                </w:p>
              </w:tc>
              <w:tc>
                <w:tcPr>
                  <w:tcW w:w="1554" w:type="pct"/>
                  <w:tcBorders>
                    <w:tl2br w:val="nil"/>
                    <w:tr2bl w:val="nil"/>
                  </w:tcBorders>
                  <w:vAlign w:val="center"/>
                </w:tcPr>
                <w:p>
                  <w:pPr>
                    <w:pStyle w:val="70"/>
                    <w:rPr>
                      <w:color w:val="auto"/>
                    </w:rPr>
                  </w:pPr>
                  <w:r>
                    <w:rPr>
                      <w:rFonts w:hint="eastAsia"/>
                      <w:color w:val="auto"/>
                    </w:rPr>
                    <w:t>玉米</w:t>
                  </w:r>
                </w:p>
              </w:tc>
              <w:tc>
                <w:tcPr>
                  <w:tcW w:w="1037" w:type="pct"/>
                  <w:tcBorders>
                    <w:tl2br w:val="nil"/>
                    <w:tr2bl w:val="nil"/>
                  </w:tcBorders>
                  <w:vAlign w:val="center"/>
                </w:tcPr>
                <w:p>
                  <w:pPr>
                    <w:pStyle w:val="70"/>
                    <w:rPr>
                      <w:color w:val="auto"/>
                    </w:rPr>
                  </w:pPr>
                  <w:r>
                    <w:rPr>
                      <w:rFonts w:hint="eastAsia"/>
                      <w:color w:val="auto"/>
                    </w:rPr>
                    <w:t>20万</w:t>
                  </w:r>
                  <w:r>
                    <w:rPr>
                      <w:color w:val="auto"/>
                    </w:rPr>
                    <w:t>t/a</w:t>
                  </w:r>
                </w:p>
              </w:tc>
              <w:tc>
                <w:tcPr>
                  <w:tcW w:w="1986" w:type="pct"/>
                  <w:tcBorders>
                    <w:tl2br w:val="nil"/>
                    <w:tr2bl w:val="nil"/>
                  </w:tcBorders>
                  <w:shd w:val="clear" w:color="auto" w:fill="auto"/>
                  <w:vAlign w:val="center"/>
                </w:tcPr>
                <w:p>
                  <w:pPr>
                    <w:pStyle w:val="70"/>
                    <w:rPr>
                      <w:color w:val="auto"/>
                    </w:rPr>
                  </w:pPr>
                  <w:r>
                    <w:rPr>
                      <w:color w:val="auto"/>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color w:val="auto"/>
                    </w:rPr>
                  </w:pPr>
                  <w:r>
                    <w:rPr>
                      <w:rFonts w:hint="eastAsia"/>
                      <w:color w:val="auto"/>
                    </w:rPr>
                    <w:t>6</w:t>
                  </w:r>
                </w:p>
              </w:tc>
              <w:tc>
                <w:tcPr>
                  <w:tcW w:w="1554" w:type="pct"/>
                  <w:tcBorders>
                    <w:tl2br w:val="nil"/>
                    <w:tr2bl w:val="nil"/>
                  </w:tcBorders>
                  <w:vAlign w:val="center"/>
                </w:tcPr>
                <w:p>
                  <w:pPr>
                    <w:pStyle w:val="70"/>
                    <w:rPr>
                      <w:color w:val="auto"/>
                    </w:rPr>
                  </w:pPr>
                  <w:r>
                    <w:rPr>
                      <w:rFonts w:hint="eastAsia"/>
                      <w:color w:val="auto"/>
                    </w:rPr>
                    <w:t>麸皮</w:t>
                  </w:r>
                </w:p>
              </w:tc>
              <w:tc>
                <w:tcPr>
                  <w:tcW w:w="1037" w:type="pct"/>
                  <w:tcBorders>
                    <w:tl2br w:val="nil"/>
                    <w:tr2bl w:val="nil"/>
                  </w:tcBorders>
                  <w:vAlign w:val="center"/>
                </w:tcPr>
                <w:p>
                  <w:pPr>
                    <w:pStyle w:val="70"/>
                    <w:rPr>
                      <w:color w:val="auto"/>
                    </w:rPr>
                  </w:pPr>
                  <w:r>
                    <w:rPr>
                      <w:rFonts w:hint="eastAsia"/>
                      <w:color w:val="auto"/>
                      <w:lang w:val="en-US" w:eastAsia="zh-CN"/>
                    </w:rPr>
                    <w:t>3</w:t>
                  </w:r>
                  <w:r>
                    <w:rPr>
                      <w:rFonts w:hint="eastAsia"/>
                      <w:color w:val="auto"/>
                    </w:rPr>
                    <w:t>万</w:t>
                  </w:r>
                  <w:r>
                    <w:rPr>
                      <w:color w:val="auto"/>
                    </w:rPr>
                    <w:t>t/a</w:t>
                  </w:r>
                </w:p>
              </w:tc>
              <w:tc>
                <w:tcPr>
                  <w:tcW w:w="1986" w:type="pct"/>
                  <w:tcBorders>
                    <w:tl2br w:val="nil"/>
                    <w:tr2bl w:val="nil"/>
                  </w:tcBorders>
                  <w:vAlign w:val="center"/>
                </w:tcPr>
                <w:p>
                  <w:pPr>
                    <w:pStyle w:val="70"/>
                    <w:rPr>
                      <w:color w:val="auto"/>
                    </w:rPr>
                  </w:pPr>
                  <w:r>
                    <w:rPr>
                      <w:color w:val="auto"/>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color w:val="auto"/>
                    </w:rPr>
                  </w:pPr>
                  <w:r>
                    <w:rPr>
                      <w:rFonts w:hint="eastAsia"/>
                      <w:color w:val="auto"/>
                    </w:rPr>
                    <w:t>7</w:t>
                  </w:r>
                </w:p>
              </w:tc>
              <w:tc>
                <w:tcPr>
                  <w:tcW w:w="1554" w:type="pct"/>
                  <w:tcBorders>
                    <w:tl2br w:val="nil"/>
                    <w:tr2bl w:val="nil"/>
                  </w:tcBorders>
                  <w:vAlign w:val="center"/>
                </w:tcPr>
                <w:p>
                  <w:pPr>
                    <w:pStyle w:val="70"/>
                    <w:rPr>
                      <w:color w:val="auto"/>
                    </w:rPr>
                  </w:pPr>
                  <w:r>
                    <w:rPr>
                      <w:rFonts w:hint="eastAsia"/>
                      <w:color w:val="auto"/>
                    </w:rPr>
                    <w:t>棉粕</w:t>
                  </w:r>
                </w:p>
              </w:tc>
              <w:tc>
                <w:tcPr>
                  <w:tcW w:w="1037" w:type="pct"/>
                  <w:tcBorders>
                    <w:tl2br w:val="nil"/>
                    <w:tr2bl w:val="nil"/>
                  </w:tcBorders>
                  <w:vAlign w:val="center"/>
                </w:tcPr>
                <w:p>
                  <w:pPr>
                    <w:pStyle w:val="70"/>
                    <w:rPr>
                      <w:color w:val="auto"/>
                    </w:rPr>
                  </w:pPr>
                  <w:r>
                    <w:rPr>
                      <w:rFonts w:hint="eastAsia"/>
                      <w:color w:val="auto"/>
                      <w:lang w:val="en-US" w:eastAsia="zh-CN"/>
                    </w:rPr>
                    <w:t>5</w:t>
                  </w:r>
                  <w:r>
                    <w:rPr>
                      <w:rFonts w:hint="eastAsia"/>
                      <w:color w:val="auto"/>
                    </w:rPr>
                    <w:t>万</w:t>
                  </w:r>
                  <w:r>
                    <w:rPr>
                      <w:color w:val="auto"/>
                    </w:rPr>
                    <w:t>t/a</w:t>
                  </w:r>
                </w:p>
              </w:tc>
              <w:tc>
                <w:tcPr>
                  <w:tcW w:w="1986" w:type="pct"/>
                  <w:tcBorders>
                    <w:tl2br w:val="nil"/>
                    <w:tr2bl w:val="nil"/>
                  </w:tcBorders>
                  <w:vAlign w:val="center"/>
                </w:tcPr>
                <w:p>
                  <w:pPr>
                    <w:pStyle w:val="70"/>
                    <w:rPr>
                      <w:color w:val="auto"/>
                    </w:rPr>
                  </w:pPr>
                  <w:r>
                    <w:rPr>
                      <w:rFonts w:hint="eastAsia"/>
                      <w:color w:val="auto"/>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color w:val="auto"/>
                    </w:rPr>
                  </w:pPr>
                  <w:r>
                    <w:rPr>
                      <w:rFonts w:hint="eastAsia"/>
                      <w:color w:val="auto"/>
                    </w:rPr>
                    <w:t>8</w:t>
                  </w:r>
                </w:p>
              </w:tc>
              <w:tc>
                <w:tcPr>
                  <w:tcW w:w="1554" w:type="pct"/>
                  <w:tcBorders>
                    <w:tl2br w:val="nil"/>
                    <w:tr2bl w:val="nil"/>
                  </w:tcBorders>
                  <w:vAlign w:val="center"/>
                </w:tcPr>
                <w:p>
                  <w:pPr>
                    <w:pStyle w:val="70"/>
                    <w:rPr>
                      <w:color w:val="auto"/>
                    </w:rPr>
                  </w:pPr>
                  <w:r>
                    <w:rPr>
                      <w:rFonts w:hint="eastAsia"/>
                      <w:color w:val="auto"/>
                    </w:rPr>
                    <w:t>菌剂</w:t>
                  </w:r>
                </w:p>
              </w:tc>
              <w:tc>
                <w:tcPr>
                  <w:tcW w:w="1037" w:type="pct"/>
                  <w:tcBorders>
                    <w:tl2br w:val="nil"/>
                    <w:tr2bl w:val="nil"/>
                  </w:tcBorders>
                  <w:vAlign w:val="center"/>
                </w:tcPr>
                <w:p>
                  <w:pPr>
                    <w:pStyle w:val="70"/>
                    <w:rPr>
                      <w:color w:val="auto"/>
                    </w:rPr>
                  </w:pPr>
                  <w:r>
                    <w:rPr>
                      <w:rFonts w:hint="eastAsia"/>
                      <w:color w:val="auto"/>
                      <w:lang w:val="en-US" w:eastAsia="zh-CN"/>
                    </w:rPr>
                    <w:t>5000</w:t>
                  </w:r>
                  <w:r>
                    <w:rPr>
                      <w:color w:val="auto"/>
                    </w:rPr>
                    <w:t>t/a</w:t>
                  </w:r>
                </w:p>
              </w:tc>
              <w:tc>
                <w:tcPr>
                  <w:tcW w:w="1986" w:type="pct"/>
                  <w:tcBorders>
                    <w:tl2br w:val="nil"/>
                    <w:tr2bl w:val="nil"/>
                  </w:tcBorders>
                  <w:vAlign w:val="center"/>
                </w:tcPr>
                <w:p>
                  <w:pPr>
                    <w:pStyle w:val="70"/>
                    <w:rPr>
                      <w:color w:val="auto"/>
                    </w:rPr>
                  </w:pPr>
                  <w:r>
                    <w:rPr>
                      <w:color w:val="auto"/>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color w:val="auto"/>
                    </w:rPr>
                  </w:pPr>
                  <w:r>
                    <w:rPr>
                      <w:rFonts w:hint="eastAsia"/>
                      <w:color w:val="auto"/>
                    </w:rPr>
                    <w:t>9</w:t>
                  </w:r>
                </w:p>
              </w:tc>
              <w:tc>
                <w:tcPr>
                  <w:tcW w:w="1554" w:type="pct"/>
                  <w:tcBorders>
                    <w:tl2br w:val="nil"/>
                    <w:tr2bl w:val="nil"/>
                  </w:tcBorders>
                  <w:vAlign w:val="center"/>
                </w:tcPr>
                <w:p>
                  <w:pPr>
                    <w:pStyle w:val="70"/>
                    <w:rPr>
                      <w:color w:val="auto"/>
                    </w:rPr>
                  </w:pPr>
                  <w:r>
                    <w:rPr>
                      <w:rFonts w:hint="eastAsia"/>
                      <w:color w:val="auto"/>
                    </w:rPr>
                    <w:t>预混料</w:t>
                  </w:r>
                </w:p>
              </w:tc>
              <w:tc>
                <w:tcPr>
                  <w:tcW w:w="1037" w:type="pct"/>
                  <w:tcBorders>
                    <w:tl2br w:val="nil"/>
                    <w:tr2bl w:val="nil"/>
                  </w:tcBorders>
                  <w:vAlign w:val="center"/>
                </w:tcPr>
                <w:p>
                  <w:pPr>
                    <w:pStyle w:val="70"/>
                    <w:rPr>
                      <w:color w:val="auto"/>
                    </w:rPr>
                  </w:pPr>
                  <w:r>
                    <w:rPr>
                      <w:rFonts w:hint="eastAsia"/>
                      <w:color w:val="auto"/>
                      <w:lang w:val="en-US" w:eastAsia="zh-CN"/>
                    </w:rPr>
                    <w:t>2</w:t>
                  </w:r>
                  <w:r>
                    <w:rPr>
                      <w:rFonts w:hint="eastAsia"/>
                      <w:color w:val="auto"/>
                    </w:rPr>
                    <w:t>万</w:t>
                  </w:r>
                  <w:r>
                    <w:rPr>
                      <w:color w:val="auto"/>
                    </w:rPr>
                    <w:t>t/a</w:t>
                  </w:r>
                </w:p>
              </w:tc>
              <w:tc>
                <w:tcPr>
                  <w:tcW w:w="1986" w:type="pct"/>
                  <w:tcBorders>
                    <w:tl2br w:val="nil"/>
                    <w:tr2bl w:val="nil"/>
                  </w:tcBorders>
                  <w:vAlign w:val="center"/>
                </w:tcPr>
                <w:p>
                  <w:pPr>
                    <w:pStyle w:val="70"/>
                    <w:rPr>
                      <w:color w:val="auto"/>
                    </w:rPr>
                  </w:pPr>
                  <w:r>
                    <w:rPr>
                      <w:color w:val="auto"/>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color w:val="auto"/>
                    </w:rPr>
                  </w:pPr>
                  <w:r>
                    <w:rPr>
                      <w:rFonts w:hint="eastAsia"/>
                      <w:color w:val="auto"/>
                    </w:rPr>
                    <w:t>10</w:t>
                  </w:r>
                </w:p>
              </w:tc>
              <w:tc>
                <w:tcPr>
                  <w:tcW w:w="1554" w:type="pct"/>
                  <w:tcBorders>
                    <w:tl2br w:val="nil"/>
                    <w:tr2bl w:val="nil"/>
                  </w:tcBorders>
                  <w:vAlign w:val="center"/>
                </w:tcPr>
                <w:p>
                  <w:pPr>
                    <w:pStyle w:val="70"/>
                    <w:rPr>
                      <w:color w:val="auto"/>
                    </w:rPr>
                  </w:pPr>
                  <w:r>
                    <w:rPr>
                      <w:color w:val="auto"/>
                    </w:rPr>
                    <w:t>油脂</w:t>
                  </w:r>
                </w:p>
              </w:tc>
              <w:tc>
                <w:tcPr>
                  <w:tcW w:w="1037" w:type="pct"/>
                  <w:tcBorders>
                    <w:tl2br w:val="nil"/>
                    <w:tr2bl w:val="nil"/>
                  </w:tcBorders>
                  <w:vAlign w:val="center"/>
                </w:tcPr>
                <w:p>
                  <w:pPr>
                    <w:pStyle w:val="70"/>
                    <w:rPr>
                      <w:color w:val="auto"/>
                    </w:rPr>
                  </w:pPr>
                  <w:r>
                    <w:rPr>
                      <w:rFonts w:hint="eastAsia"/>
                      <w:color w:val="auto"/>
                      <w:lang w:val="en-US" w:eastAsia="zh-CN"/>
                    </w:rPr>
                    <w:t>5</w:t>
                  </w:r>
                  <w:r>
                    <w:rPr>
                      <w:rFonts w:hint="eastAsia"/>
                      <w:color w:val="auto"/>
                    </w:rPr>
                    <w:t>000</w:t>
                  </w:r>
                  <w:r>
                    <w:rPr>
                      <w:color w:val="auto"/>
                    </w:rPr>
                    <w:t>t/a</w:t>
                  </w:r>
                </w:p>
              </w:tc>
              <w:tc>
                <w:tcPr>
                  <w:tcW w:w="1986" w:type="pct"/>
                  <w:tcBorders>
                    <w:tl2br w:val="nil"/>
                    <w:tr2bl w:val="nil"/>
                  </w:tcBorders>
                  <w:vAlign w:val="center"/>
                </w:tcPr>
                <w:p>
                  <w:pPr>
                    <w:pStyle w:val="70"/>
                    <w:rPr>
                      <w:color w:val="auto"/>
                    </w:rPr>
                  </w:pPr>
                  <w:r>
                    <w:rPr>
                      <w:color w:val="auto"/>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rFonts w:hint="default" w:eastAsia="宋体"/>
                      <w:color w:val="auto"/>
                      <w:lang w:val="en-US" w:eastAsia="zh-CN"/>
                    </w:rPr>
                  </w:pPr>
                  <w:r>
                    <w:rPr>
                      <w:rFonts w:hint="eastAsia"/>
                      <w:color w:val="auto"/>
                      <w:lang w:val="en-US" w:eastAsia="zh-CN"/>
                    </w:rPr>
                    <w:t>11</w:t>
                  </w:r>
                </w:p>
              </w:tc>
              <w:tc>
                <w:tcPr>
                  <w:tcW w:w="1554" w:type="pct"/>
                  <w:tcBorders>
                    <w:tl2br w:val="nil"/>
                    <w:tr2bl w:val="nil"/>
                  </w:tcBorders>
                  <w:vAlign w:val="center"/>
                </w:tcPr>
                <w:p>
                  <w:pPr>
                    <w:pStyle w:val="70"/>
                    <w:rPr>
                      <w:rFonts w:hint="eastAsia" w:eastAsia="宋体"/>
                      <w:color w:val="auto"/>
                      <w:lang w:val="en-US" w:eastAsia="zh-CN"/>
                    </w:rPr>
                  </w:pPr>
                  <w:r>
                    <w:rPr>
                      <w:rFonts w:hint="eastAsia"/>
                      <w:color w:val="auto"/>
                      <w:lang w:val="en-US" w:eastAsia="zh-CN"/>
                    </w:rPr>
                    <w:t>添加剂</w:t>
                  </w:r>
                </w:p>
              </w:tc>
              <w:tc>
                <w:tcPr>
                  <w:tcW w:w="1037" w:type="pct"/>
                  <w:tcBorders>
                    <w:tl2br w:val="nil"/>
                    <w:tr2bl w:val="nil"/>
                  </w:tcBorders>
                  <w:vAlign w:val="center"/>
                </w:tcPr>
                <w:p>
                  <w:pPr>
                    <w:pStyle w:val="70"/>
                    <w:rPr>
                      <w:rFonts w:hint="default" w:eastAsia="宋体"/>
                      <w:color w:val="auto"/>
                      <w:lang w:val="en-US" w:eastAsia="zh-CN"/>
                    </w:rPr>
                  </w:pPr>
                  <w:r>
                    <w:rPr>
                      <w:rFonts w:hint="eastAsia"/>
                      <w:color w:val="auto"/>
                      <w:lang w:val="en-US" w:eastAsia="zh-CN"/>
                    </w:rPr>
                    <w:t>1000</w:t>
                  </w:r>
                  <w:r>
                    <w:rPr>
                      <w:color w:val="auto"/>
                    </w:rPr>
                    <w:t>t/a</w:t>
                  </w:r>
                </w:p>
              </w:tc>
              <w:tc>
                <w:tcPr>
                  <w:tcW w:w="1986" w:type="pct"/>
                  <w:tcBorders>
                    <w:tl2br w:val="nil"/>
                    <w:tr2bl w:val="nil"/>
                  </w:tcBorders>
                  <w:vAlign w:val="center"/>
                </w:tcPr>
                <w:p>
                  <w:pPr>
                    <w:pStyle w:val="70"/>
                    <w:rPr>
                      <w:color w:val="auto"/>
                    </w:rPr>
                  </w:pPr>
                  <w:r>
                    <w:rPr>
                      <w:color w:val="auto"/>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00" w:type="pct"/>
                  <w:gridSpan w:val="4"/>
                  <w:tcBorders>
                    <w:tl2br w:val="nil"/>
                    <w:tr2bl w:val="nil"/>
                  </w:tcBorders>
                  <w:vAlign w:val="center"/>
                </w:tcPr>
                <w:p>
                  <w:pPr>
                    <w:pStyle w:val="70"/>
                    <w:rPr>
                      <w:color w:val="auto"/>
                    </w:rPr>
                  </w:pPr>
                  <w:r>
                    <w:rPr>
                      <w:rFonts w:hint="eastAsia"/>
                      <w:color w:val="auto"/>
                    </w:rPr>
                    <w:t>能源消耗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color w:val="auto"/>
                    </w:rPr>
                  </w:pPr>
                  <w:r>
                    <w:rPr>
                      <w:rFonts w:hint="eastAsia"/>
                      <w:color w:val="auto"/>
                    </w:rPr>
                    <w:t>1</w:t>
                  </w:r>
                </w:p>
              </w:tc>
              <w:tc>
                <w:tcPr>
                  <w:tcW w:w="1554" w:type="pct"/>
                  <w:tcBorders>
                    <w:tl2br w:val="nil"/>
                    <w:tr2bl w:val="nil"/>
                  </w:tcBorders>
                  <w:vAlign w:val="center"/>
                </w:tcPr>
                <w:p>
                  <w:pPr>
                    <w:pStyle w:val="70"/>
                    <w:rPr>
                      <w:color w:val="auto"/>
                    </w:rPr>
                  </w:pPr>
                  <w:r>
                    <w:rPr>
                      <w:color w:val="auto"/>
                    </w:rPr>
                    <w:t>电</w:t>
                  </w:r>
                </w:p>
              </w:tc>
              <w:tc>
                <w:tcPr>
                  <w:tcW w:w="1037" w:type="pct"/>
                  <w:tcBorders>
                    <w:tl2br w:val="nil"/>
                    <w:tr2bl w:val="nil"/>
                  </w:tcBorders>
                  <w:vAlign w:val="center"/>
                </w:tcPr>
                <w:p>
                  <w:pPr>
                    <w:pStyle w:val="70"/>
                    <w:rPr>
                      <w:color w:val="auto"/>
                    </w:rPr>
                  </w:pPr>
                  <w:r>
                    <w:rPr>
                      <w:rFonts w:hint="eastAsia"/>
                      <w:color w:val="auto"/>
                    </w:rPr>
                    <w:t>180</w:t>
                  </w:r>
                  <w:r>
                    <w:rPr>
                      <w:color w:val="auto"/>
                    </w:rPr>
                    <w:t>万kW·h/a</w:t>
                  </w:r>
                </w:p>
              </w:tc>
              <w:tc>
                <w:tcPr>
                  <w:tcW w:w="1986" w:type="pct"/>
                  <w:tcBorders>
                    <w:tl2br w:val="nil"/>
                    <w:tr2bl w:val="nil"/>
                  </w:tcBorders>
                  <w:vAlign w:val="center"/>
                </w:tcPr>
                <w:p>
                  <w:pPr>
                    <w:pStyle w:val="70"/>
                    <w:rPr>
                      <w:color w:val="auto"/>
                    </w:rPr>
                  </w:pPr>
                  <w:r>
                    <w:rPr>
                      <w:color w:val="auto"/>
                    </w:rPr>
                    <w:t>项目供电由市政电网接入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pPr>
                    <w:pStyle w:val="70"/>
                    <w:rPr>
                      <w:color w:val="auto"/>
                    </w:rPr>
                  </w:pPr>
                  <w:r>
                    <w:rPr>
                      <w:rFonts w:hint="eastAsia"/>
                      <w:color w:val="auto"/>
                    </w:rPr>
                    <w:t>2</w:t>
                  </w:r>
                </w:p>
              </w:tc>
              <w:tc>
                <w:tcPr>
                  <w:tcW w:w="1554" w:type="pct"/>
                  <w:tcBorders>
                    <w:tl2br w:val="nil"/>
                    <w:tr2bl w:val="nil"/>
                  </w:tcBorders>
                  <w:vAlign w:val="center"/>
                </w:tcPr>
                <w:p>
                  <w:pPr>
                    <w:pStyle w:val="70"/>
                    <w:rPr>
                      <w:color w:val="auto"/>
                    </w:rPr>
                  </w:pPr>
                  <w:r>
                    <w:rPr>
                      <w:color w:val="auto"/>
                    </w:rPr>
                    <w:t>水</w:t>
                  </w:r>
                </w:p>
              </w:tc>
              <w:tc>
                <w:tcPr>
                  <w:tcW w:w="1037" w:type="pct"/>
                  <w:tcBorders>
                    <w:tl2br w:val="nil"/>
                    <w:tr2bl w:val="nil"/>
                  </w:tcBorders>
                  <w:vAlign w:val="center"/>
                </w:tcPr>
                <w:p>
                  <w:pPr>
                    <w:pStyle w:val="70"/>
                    <w:rPr>
                      <w:color w:val="auto"/>
                    </w:rPr>
                  </w:pPr>
                  <w:r>
                    <w:rPr>
                      <w:rFonts w:hint="eastAsia"/>
                      <w:color w:val="auto"/>
                    </w:rPr>
                    <w:t>33580</w:t>
                  </w:r>
                  <w:r>
                    <w:rPr>
                      <w:color w:val="auto"/>
                    </w:rPr>
                    <w:t>m</w:t>
                  </w:r>
                  <w:r>
                    <w:rPr>
                      <w:color w:val="auto"/>
                      <w:vertAlign w:val="superscript"/>
                    </w:rPr>
                    <w:t>3</w:t>
                  </w:r>
                  <w:r>
                    <w:rPr>
                      <w:color w:val="auto"/>
                    </w:rPr>
                    <w:t>/a</w:t>
                  </w:r>
                </w:p>
              </w:tc>
              <w:tc>
                <w:tcPr>
                  <w:tcW w:w="1986" w:type="pct"/>
                  <w:tcBorders>
                    <w:tl2br w:val="nil"/>
                    <w:tr2bl w:val="nil"/>
                  </w:tcBorders>
                  <w:vAlign w:val="center"/>
                </w:tcPr>
                <w:p>
                  <w:pPr>
                    <w:pStyle w:val="70"/>
                    <w:rPr>
                      <w:color w:val="auto"/>
                    </w:rPr>
                  </w:pPr>
                  <w:r>
                    <w:rPr>
                      <w:color w:val="auto"/>
                    </w:rPr>
                    <w:t>项目供水由园区供水管网接入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shd w:val="clear" w:color="auto" w:fill="auto"/>
                  <w:vAlign w:val="center"/>
                </w:tcPr>
                <w:p>
                  <w:pPr>
                    <w:pStyle w:val="70"/>
                    <w:rPr>
                      <w:color w:val="auto"/>
                    </w:rPr>
                  </w:pPr>
                  <w:r>
                    <w:rPr>
                      <w:rFonts w:hint="eastAsia"/>
                      <w:color w:val="auto"/>
                    </w:rPr>
                    <w:t>3</w:t>
                  </w:r>
                </w:p>
              </w:tc>
              <w:tc>
                <w:tcPr>
                  <w:tcW w:w="1554" w:type="pct"/>
                  <w:tcBorders>
                    <w:tl2br w:val="nil"/>
                    <w:tr2bl w:val="nil"/>
                  </w:tcBorders>
                  <w:shd w:val="clear" w:color="auto" w:fill="auto"/>
                  <w:vAlign w:val="center"/>
                </w:tcPr>
                <w:p>
                  <w:pPr>
                    <w:pStyle w:val="70"/>
                    <w:rPr>
                      <w:color w:val="auto"/>
                    </w:rPr>
                  </w:pPr>
                  <w:r>
                    <w:rPr>
                      <w:color w:val="auto"/>
                    </w:rPr>
                    <w:t>天然气</w:t>
                  </w:r>
                </w:p>
              </w:tc>
              <w:tc>
                <w:tcPr>
                  <w:tcW w:w="1037" w:type="pct"/>
                  <w:tcBorders>
                    <w:tl2br w:val="nil"/>
                    <w:tr2bl w:val="nil"/>
                  </w:tcBorders>
                  <w:vAlign w:val="center"/>
                </w:tcPr>
                <w:p>
                  <w:pPr>
                    <w:pStyle w:val="70"/>
                    <w:rPr>
                      <w:color w:val="auto"/>
                    </w:rPr>
                  </w:pPr>
                  <w:r>
                    <w:rPr>
                      <w:rFonts w:hint="eastAsia"/>
                      <w:color w:val="auto"/>
                    </w:rPr>
                    <w:t>225</w:t>
                  </w:r>
                  <w:r>
                    <w:rPr>
                      <w:color w:val="auto"/>
                    </w:rPr>
                    <w:t>万m</w:t>
                  </w:r>
                  <w:r>
                    <w:rPr>
                      <w:color w:val="auto"/>
                      <w:vertAlign w:val="superscript"/>
                    </w:rPr>
                    <w:t>3/</w:t>
                  </w:r>
                  <w:r>
                    <w:rPr>
                      <w:color w:val="auto"/>
                    </w:rPr>
                    <w:t>a</w:t>
                  </w:r>
                </w:p>
              </w:tc>
              <w:tc>
                <w:tcPr>
                  <w:tcW w:w="1986" w:type="pct"/>
                  <w:tcBorders>
                    <w:tl2br w:val="nil"/>
                    <w:tr2bl w:val="nil"/>
                  </w:tcBorders>
                  <w:vAlign w:val="center"/>
                </w:tcPr>
                <w:p>
                  <w:pPr>
                    <w:pStyle w:val="70"/>
                    <w:rPr>
                      <w:color w:val="auto"/>
                    </w:rPr>
                  </w:pPr>
                  <w:r>
                    <w:rPr>
                      <w:rFonts w:hint="eastAsia"/>
                      <w:color w:val="auto"/>
                    </w:rPr>
                    <w:t>园区天然气管网接入</w:t>
                  </w:r>
                </w:p>
              </w:tc>
            </w:tr>
          </w:tbl>
          <w:p>
            <w:pPr>
              <w:pStyle w:val="62"/>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lang w:val="en-US" w:eastAsia="zh-CN"/>
              </w:rPr>
            </w:pPr>
            <w:r>
              <w:rPr>
                <w:rFonts w:hint="eastAsia" w:ascii="Times New Roman" w:hAnsi="Times New Roman" w:eastAsia="宋体" w:cs="Times New Roman"/>
                <w:b/>
                <w:color w:val="000000" w:themeColor="text1"/>
                <w:kern w:val="2"/>
                <w:sz w:val="21"/>
                <w:szCs w:val="20"/>
                <w:lang w:val="en-US" w:eastAsia="zh-CN" w:bidi="ar-SA"/>
                <w14:textFill>
                  <w14:solidFill>
                    <w14:schemeClr w14:val="tx1"/>
                  </w14:solidFill>
                </w14:textFill>
              </w:rPr>
              <w:t>表2.5-2  产品物料平衡表 单位（t/a）</w:t>
            </w:r>
          </w:p>
          <w:tbl>
            <w:tblPr>
              <w:tblStyle w:val="27"/>
              <w:tblW w:w="83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900"/>
              <w:gridCol w:w="1356"/>
              <w:gridCol w:w="1754"/>
              <w:gridCol w:w="1507"/>
              <w:gridCol w:w="12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restart"/>
                  <w:tcBorders>
                    <w:tl2br w:val="nil"/>
                    <w:tr2bl w:val="nil"/>
                  </w:tcBorders>
                  <w:noWrap w:val="0"/>
                  <w:vAlign w:val="center"/>
                </w:tcPr>
                <w:p>
                  <w:pPr>
                    <w:pStyle w:val="70"/>
                    <w:bidi w:val="0"/>
                    <w:rPr>
                      <w:rFonts w:hint="default"/>
                      <w:lang w:val="en-US" w:eastAsia="zh-CN"/>
                    </w:rPr>
                  </w:pPr>
                  <w:r>
                    <w:rPr>
                      <w:rFonts w:hint="eastAsia"/>
                      <w:lang w:val="en-US" w:eastAsia="zh-CN"/>
                    </w:rPr>
                    <w:t>产品</w:t>
                  </w:r>
                </w:p>
              </w:tc>
              <w:tc>
                <w:tcPr>
                  <w:tcW w:w="2256" w:type="dxa"/>
                  <w:gridSpan w:val="2"/>
                  <w:tcBorders>
                    <w:tl2br w:val="nil"/>
                    <w:tr2bl w:val="nil"/>
                  </w:tcBorders>
                  <w:noWrap w:val="0"/>
                  <w:vAlign w:val="center"/>
                </w:tcPr>
                <w:p>
                  <w:pPr>
                    <w:pStyle w:val="70"/>
                    <w:bidi w:val="0"/>
                    <w:rPr>
                      <w:rFonts w:hint="default"/>
                      <w:lang w:val="en-US" w:eastAsia="zh-CN"/>
                    </w:rPr>
                  </w:pPr>
                  <w:r>
                    <w:rPr>
                      <w:rFonts w:hint="eastAsia"/>
                      <w:lang w:val="en-US" w:eastAsia="zh-CN"/>
                    </w:rPr>
                    <w:t>原料</w:t>
                  </w:r>
                </w:p>
              </w:tc>
              <w:tc>
                <w:tcPr>
                  <w:tcW w:w="3261" w:type="dxa"/>
                  <w:gridSpan w:val="2"/>
                  <w:tcBorders>
                    <w:tl2br w:val="nil"/>
                    <w:tr2bl w:val="nil"/>
                  </w:tcBorders>
                  <w:noWrap w:val="0"/>
                  <w:vAlign w:val="center"/>
                </w:tcPr>
                <w:p>
                  <w:pPr>
                    <w:pStyle w:val="70"/>
                    <w:bidi w:val="0"/>
                    <w:rPr>
                      <w:rFonts w:hint="default"/>
                      <w:lang w:val="en-US" w:eastAsia="zh-CN"/>
                    </w:rPr>
                  </w:pPr>
                  <w:r>
                    <w:rPr>
                      <w:rFonts w:hint="eastAsia"/>
                      <w:lang w:val="en-US" w:eastAsia="zh-CN"/>
                    </w:rPr>
                    <w:t>产品</w:t>
                  </w:r>
                </w:p>
              </w:tc>
              <w:tc>
                <w:tcPr>
                  <w:tcW w:w="1246" w:type="dxa"/>
                  <w:vMerge w:val="restart"/>
                  <w:tcBorders>
                    <w:tl2br w:val="nil"/>
                    <w:tr2bl w:val="nil"/>
                  </w:tcBorders>
                  <w:noWrap w:val="0"/>
                  <w:vAlign w:val="center"/>
                </w:tcPr>
                <w:p>
                  <w:pPr>
                    <w:pStyle w:val="70"/>
                    <w:bidi w:val="0"/>
                    <w:rPr>
                      <w:rFonts w:hint="eastAsia"/>
                      <w:lang w:val="en-US" w:eastAsia="zh-CN"/>
                    </w:rPr>
                  </w:pPr>
                  <w:r>
                    <w:rPr>
                      <w:rFonts w:hint="eastAsia"/>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pPr>
                    <w:pStyle w:val="70"/>
                    <w:bidi w:val="0"/>
                    <w:rPr>
                      <w:rFonts w:hint="eastAsia"/>
                      <w:lang w:val="en-US" w:eastAsia="zh-CN"/>
                    </w:rPr>
                  </w:pPr>
                </w:p>
              </w:tc>
              <w:tc>
                <w:tcPr>
                  <w:tcW w:w="900" w:type="dxa"/>
                  <w:tcBorders>
                    <w:tl2br w:val="nil"/>
                    <w:tr2bl w:val="nil"/>
                  </w:tcBorders>
                  <w:noWrap w:val="0"/>
                  <w:vAlign w:val="center"/>
                </w:tcPr>
                <w:p>
                  <w:pPr>
                    <w:pStyle w:val="70"/>
                    <w:bidi w:val="0"/>
                    <w:rPr>
                      <w:rFonts w:hint="eastAsia"/>
                      <w:lang w:val="en-US" w:eastAsia="zh-CN"/>
                    </w:rPr>
                  </w:pPr>
                  <w:r>
                    <w:rPr>
                      <w:rFonts w:hint="eastAsia"/>
                      <w:lang w:val="en-US" w:eastAsia="zh-CN"/>
                    </w:rPr>
                    <w:t>名称</w:t>
                  </w:r>
                </w:p>
              </w:tc>
              <w:tc>
                <w:tcPr>
                  <w:tcW w:w="1356" w:type="dxa"/>
                  <w:tcBorders>
                    <w:tl2br w:val="nil"/>
                    <w:tr2bl w:val="nil"/>
                  </w:tcBorders>
                  <w:noWrap w:val="0"/>
                  <w:vAlign w:val="center"/>
                </w:tcPr>
                <w:p>
                  <w:pPr>
                    <w:pStyle w:val="70"/>
                    <w:bidi w:val="0"/>
                    <w:rPr>
                      <w:rFonts w:hint="eastAsia"/>
                      <w:lang w:val="en-US" w:eastAsia="zh-CN"/>
                    </w:rPr>
                  </w:pPr>
                  <w:r>
                    <w:rPr>
                      <w:rFonts w:hint="eastAsia"/>
                      <w:lang w:val="en-US" w:eastAsia="zh-CN"/>
                    </w:rPr>
                    <w:t>数量</w:t>
                  </w:r>
                </w:p>
              </w:tc>
              <w:tc>
                <w:tcPr>
                  <w:tcW w:w="1754" w:type="dxa"/>
                  <w:tcBorders>
                    <w:tl2br w:val="nil"/>
                    <w:tr2bl w:val="nil"/>
                  </w:tcBorders>
                  <w:noWrap w:val="0"/>
                  <w:vAlign w:val="center"/>
                </w:tcPr>
                <w:p>
                  <w:pPr>
                    <w:pStyle w:val="70"/>
                    <w:bidi w:val="0"/>
                    <w:rPr>
                      <w:rFonts w:hint="eastAsia"/>
                      <w:lang w:val="en-US" w:eastAsia="zh-CN"/>
                    </w:rPr>
                  </w:pPr>
                  <w:r>
                    <w:rPr>
                      <w:rFonts w:hint="eastAsia"/>
                      <w:lang w:val="en-US" w:eastAsia="zh-CN"/>
                    </w:rPr>
                    <w:t>名称</w:t>
                  </w:r>
                </w:p>
              </w:tc>
              <w:tc>
                <w:tcPr>
                  <w:tcW w:w="1507" w:type="dxa"/>
                  <w:tcBorders>
                    <w:tl2br w:val="nil"/>
                    <w:tr2bl w:val="nil"/>
                  </w:tcBorders>
                  <w:noWrap w:val="0"/>
                  <w:vAlign w:val="center"/>
                </w:tcPr>
                <w:p>
                  <w:pPr>
                    <w:pStyle w:val="70"/>
                    <w:bidi w:val="0"/>
                    <w:rPr>
                      <w:rFonts w:hint="eastAsia"/>
                      <w:lang w:val="en-US" w:eastAsia="zh-CN"/>
                    </w:rPr>
                  </w:pPr>
                  <w:r>
                    <w:rPr>
                      <w:rFonts w:hint="eastAsia"/>
                      <w:lang w:val="en-US" w:eastAsia="zh-CN"/>
                    </w:rPr>
                    <w:t>数量</w:t>
                  </w:r>
                </w:p>
              </w:tc>
              <w:tc>
                <w:tcPr>
                  <w:tcW w:w="1246" w:type="dxa"/>
                  <w:vMerge w:val="continue"/>
                  <w:tcBorders>
                    <w:tl2br w:val="nil"/>
                    <w:tr2bl w:val="nil"/>
                  </w:tcBorders>
                  <w:noWrap w:val="0"/>
                  <w:vAlign w:val="center"/>
                </w:tcPr>
                <w:p>
                  <w:pPr>
                    <w:pStyle w:val="70"/>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restart"/>
                  <w:tcBorders>
                    <w:tl2br w:val="nil"/>
                    <w:tr2bl w:val="nil"/>
                  </w:tcBorders>
                  <w:noWrap w:val="0"/>
                  <w:vAlign w:val="center"/>
                </w:tcPr>
                <w:p>
                  <w:pPr>
                    <w:pStyle w:val="70"/>
                    <w:bidi w:val="0"/>
                    <w:rPr>
                      <w:rFonts w:hint="default"/>
                      <w:lang w:val="en-US" w:eastAsia="zh-CN"/>
                    </w:rPr>
                  </w:pPr>
                  <w:r>
                    <w:rPr>
                      <w:rFonts w:hint="eastAsia"/>
                      <w:lang w:val="en-US" w:eastAsia="zh-CN"/>
                    </w:rPr>
                    <w:t>全价颗粒饲料</w:t>
                  </w:r>
                </w:p>
              </w:tc>
              <w:tc>
                <w:tcPr>
                  <w:tcW w:w="900" w:type="dxa"/>
                  <w:tcBorders>
                    <w:tl2br w:val="nil"/>
                    <w:tr2bl w:val="nil"/>
                  </w:tcBorders>
                  <w:noWrap w:val="0"/>
                  <w:vAlign w:val="center"/>
                </w:tcPr>
                <w:p>
                  <w:pPr>
                    <w:pStyle w:val="70"/>
                    <w:bidi w:val="0"/>
                    <w:rPr>
                      <w:rFonts w:hint="default"/>
                      <w:lang w:val="en-US" w:eastAsia="zh-CN"/>
                    </w:rPr>
                  </w:pPr>
                  <w:r>
                    <w:rPr>
                      <w:rFonts w:hint="eastAsia"/>
                      <w:lang w:val="en-US" w:eastAsia="zh-CN"/>
                    </w:rPr>
                    <w:t>玉米</w:t>
                  </w:r>
                </w:p>
              </w:tc>
              <w:tc>
                <w:tcPr>
                  <w:tcW w:w="1356" w:type="dxa"/>
                  <w:tcBorders>
                    <w:tl2br w:val="nil"/>
                    <w:tr2bl w:val="nil"/>
                  </w:tcBorders>
                  <w:noWrap w:val="0"/>
                  <w:vAlign w:val="center"/>
                </w:tcPr>
                <w:p>
                  <w:pPr>
                    <w:pStyle w:val="70"/>
                    <w:bidi w:val="0"/>
                    <w:rPr>
                      <w:rFonts w:hint="default"/>
                      <w:lang w:val="en-US" w:eastAsia="zh-CN"/>
                    </w:rPr>
                  </w:pPr>
                  <w:r>
                    <w:rPr>
                      <w:rFonts w:hint="eastAsia"/>
                      <w:lang w:val="en-US" w:eastAsia="zh-CN"/>
                    </w:rPr>
                    <w:t>200000</w:t>
                  </w:r>
                </w:p>
              </w:tc>
              <w:tc>
                <w:tcPr>
                  <w:tcW w:w="1754" w:type="dxa"/>
                  <w:vMerge w:val="restart"/>
                  <w:tcBorders>
                    <w:tl2br w:val="nil"/>
                    <w:tr2bl w:val="nil"/>
                  </w:tcBorders>
                  <w:noWrap w:val="0"/>
                  <w:vAlign w:val="center"/>
                </w:tcPr>
                <w:p>
                  <w:pPr>
                    <w:pStyle w:val="70"/>
                    <w:bidi w:val="0"/>
                    <w:rPr>
                      <w:rFonts w:hint="default"/>
                      <w:lang w:val="en-US" w:eastAsia="zh-CN"/>
                    </w:rPr>
                  </w:pPr>
                  <w:r>
                    <w:rPr>
                      <w:rFonts w:hint="eastAsia"/>
                      <w:lang w:val="en-US" w:eastAsia="zh-CN"/>
                    </w:rPr>
                    <w:t>全价颗粒饲料</w:t>
                  </w:r>
                </w:p>
              </w:tc>
              <w:tc>
                <w:tcPr>
                  <w:tcW w:w="1507" w:type="dxa"/>
                  <w:vMerge w:val="restart"/>
                  <w:tcBorders>
                    <w:tl2br w:val="nil"/>
                    <w:tr2bl w:val="nil"/>
                  </w:tcBorders>
                  <w:noWrap w:val="0"/>
                  <w:vAlign w:val="center"/>
                </w:tcPr>
                <w:p>
                  <w:pPr>
                    <w:pStyle w:val="70"/>
                    <w:bidi w:val="0"/>
                    <w:rPr>
                      <w:rFonts w:hint="default"/>
                      <w:lang w:val="en-US" w:eastAsia="zh-CN"/>
                    </w:rPr>
                  </w:pPr>
                  <w:r>
                    <w:rPr>
                      <w:rFonts w:hint="eastAsia"/>
                      <w:lang w:val="en-US" w:eastAsia="zh-CN"/>
                    </w:rPr>
                    <w:t>399995.3</w:t>
                  </w:r>
                </w:p>
              </w:tc>
              <w:tc>
                <w:tcPr>
                  <w:tcW w:w="1246" w:type="dxa"/>
                  <w:vMerge w:val="restart"/>
                  <w:tcBorders>
                    <w:tl2br w:val="nil"/>
                    <w:tr2bl w:val="nil"/>
                  </w:tcBorders>
                  <w:noWrap w:val="0"/>
                  <w:vAlign w:val="center"/>
                </w:tcPr>
                <w:p>
                  <w:pPr>
                    <w:pStyle w:val="70"/>
                    <w:bidi w:val="0"/>
                    <w:rPr>
                      <w:rFonts w:hint="default"/>
                      <w:lang w:val="en-US" w:eastAsia="zh-CN"/>
                    </w:rPr>
                  </w:pPr>
                  <w:r>
                    <w:rPr>
                      <w:rFonts w:hint="eastAsia"/>
                      <w:lang w:val="en-US" w:eastAsia="zh-CN"/>
                    </w:rPr>
                    <w:t>生产过程除尘器收集粉尘全部回用于生产线，进入产品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pPr>
                    <w:pStyle w:val="70"/>
                    <w:bidi w:val="0"/>
                    <w:rPr>
                      <w:rFonts w:hint="eastAsia"/>
                      <w:lang w:val="en-US" w:eastAsia="zh-CN"/>
                    </w:rPr>
                  </w:pPr>
                </w:p>
              </w:tc>
              <w:tc>
                <w:tcPr>
                  <w:tcW w:w="900" w:type="dxa"/>
                  <w:tcBorders>
                    <w:tl2br w:val="nil"/>
                    <w:tr2bl w:val="nil"/>
                  </w:tcBorders>
                  <w:noWrap w:val="0"/>
                  <w:vAlign w:val="center"/>
                </w:tcPr>
                <w:p>
                  <w:pPr>
                    <w:pStyle w:val="70"/>
                    <w:bidi w:val="0"/>
                    <w:rPr>
                      <w:rFonts w:hint="default"/>
                      <w:lang w:val="en-US" w:eastAsia="zh-CN"/>
                    </w:rPr>
                  </w:pPr>
                  <w:r>
                    <w:rPr>
                      <w:color w:val="auto"/>
                    </w:rPr>
                    <w:t>豆粕</w:t>
                  </w:r>
                </w:p>
              </w:tc>
              <w:tc>
                <w:tcPr>
                  <w:tcW w:w="1356" w:type="dxa"/>
                  <w:tcBorders>
                    <w:tl2br w:val="nil"/>
                    <w:tr2bl w:val="nil"/>
                  </w:tcBorders>
                  <w:noWrap w:val="0"/>
                  <w:vAlign w:val="center"/>
                </w:tcPr>
                <w:p>
                  <w:pPr>
                    <w:pStyle w:val="70"/>
                    <w:bidi w:val="0"/>
                    <w:rPr>
                      <w:rFonts w:hint="default"/>
                      <w:lang w:val="en-US" w:eastAsia="zh-CN"/>
                    </w:rPr>
                  </w:pPr>
                  <w:r>
                    <w:rPr>
                      <w:rFonts w:hint="eastAsia"/>
                      <w:lang w:val="en-US" w:eastAsia="zh-CN"/>
                    </w:rPr>
                    <w:t>20000</w:t>
                  </w:r>
                </w:p>
              </w:tc>
              <w:tc>
                <w:tcPr>
                  <w:tcW w:w="1754" w:type="dxa"/>
                  <w:vMerge w:val="continue"/>
                  <w:tcBorders>
                    <w:tl2br w:val="nil"/>
                    <w:tr2bl w:val="nil"/>
                  </w:tcBorders>
                  <w:noWrap w:val="0"/>
                  <w:vAlign w:val="center"/>
                </w:tcPr>
                <w:p>
                  <w:pPr>
                    <w:pStyle w:val="70"/>
                    <w:bidi w:val="0"/>
                    <w:rPr>
                      <w:rFonts w:hint="eastAsia"/>
                      <w:lang w:val="en-US" w:eastAsia="zh-CN"/>
                    </w:rPr>
                  </w:pPr>
                </w:p>
              </w:tc>
              <w:tc>
                <w:tcPr>
                  <w:tcW w:w="1507" w:type="dxa"/>
                  <w:vMerge w:val="continue"/>
                  <w:tcBorders>
                    <w:tl2br w:val="nil"/>
                    <w:tr2bl w:val="nil"/>
                  </w:tcBorders>
                  <w:noWrap w:val="0"/>
                  <w:vAlign w:val="center"/>
                </w:tcPr>
                <w:p>
                  <w:pPr>
                    <w:pStyle w:val="70"/>
                    <w:bidi w:val="0"/>
                    <w:rPr>
                      <w:rFonts w:hint="default"/>
                      <w:lang w:val="en-US" w:eastAsia="zh-CN"/>
                    </w:rPr>
                  </w:pPr>
                </w:p>
              </w:tc>
              <w:tc>
                <w:tcPr>
                  <w:tcW w:w="1246" w:type="dxa"/>
                  <w:vMerge w:val="continue"/>
                  <w:tcBorders>
                    <w:tl2br w:val="nil"/>
                    <w:tr2bl w:val="nil"/>
                  </w:tcBorders>
                  <w:noWrap w:val="0"/>
                  <w:vAlign w:val="center"/>
                </w:tcPr>
                <w:p>
                  <w:pPr>
                    <w:pStyle w:val="70"/>
                    <w:bidi w:val="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pPr>
                    <w:pStyle w:val="70"/>
                    <w:bidi w:val="0"/>
                    <w:rPr>
                      <w:rFonts w:hint="eastAsia"/>
                      <w:lang w:val="en-US" w:eastAsia="zh-CN"/>
                    </w:rPr>
                  </w:pPr>
                </w:p>
              </w:tc>
              <w:tc>
                <w:tcPr>
                  <w:tcW w:w="900" w:type="dxa"/>
                  <w:tcBorders>
                    <w:tl2br w:val="nil"/>
                    <w:tr2bl w:val="nil"/>
                  </w:tcBorders>
                  <w:noWrap w:val="0"/>
                  <w:vAlign w:val="center"/>
                </w:tcPr>
                <w:p>
                  <w:pPr>
                    <w:pStyle w:val="70"/>
                    <w:bidi w:val="0"/>
                    <w:rPr>
                      <w:rFonts w:hint="default"/>
                      <w:lang w:val="en-US" w:eastAsia="zh-CN"/>
                    </w:rPr>
                  </w:pPr>
                  <w:r>
                    <w:rPr>
                      <w:color w:val="auto"/>
                    </w:rPr>
                    <w:t>棉仔壳</w:t>
                  </w:r>
                </w:p>
              </w:tc>
              <w:tc>
                <w:tcPr>
                  <w:tcW w:w="1356" w:type="dxa"/>
                  <w:tcBorders>
                    <w:tl2br w:val="nil"/>
                    <w:tr2bl w:val="nil"/>
                  </w:tcBorders>
                  <w:noWrap w:val="0"/>
                  <w:vAlign w:val="center"/>
                </w:tcPr>
                <w:p>
                  <w:pPr>
                    <w:pStyle w:val="70"/>
                    <w:bidi w:val="0"/>
                    <w:rPr>
                      <w:rFonts w:hint="default"/>
                      <w:lang w:val="en-US" w:eastAsia="zh-CN"/>
                    </w:rPr>
                  </w:pPr>
                  <w:r>
                    <w:rPr>
                      <w:rFonts w:hint="eastAsia"/>
                      <w:lang w:val="en-US" w:eastAsia="zh-CN"/>
                    </w:rPr>
                    <w:t>50000</w:t>
                  </w:r>
                </w:p>
              </w:tc>
              <w:tc>
                <w:tcPr>
                  <w:tcW w:w="1754" w:type="dxa"/>
                  <w:vMerge w:val="continue"/>
                  <w:tcBorders>
                    <w:tl2br w:val="nil"/>
                    <w:tr2bl w:val="nil"/>
                  </w:tcBorders>
                  <w:noWrap w:val="0"/>
                  <w:vAlign w:val="center"/>
                </w:tcPr>
                <w:p>
                  <w:pPr>
                    <w:pStyle w:val="70"/>
                    <w:bidi w:val="0"/>
                    <w:rPr>
                      <w:rFonts w:hint="eastAsia"/>
                      <w:lang w:val="en-US" w:eastAsia="zh-CN"/>
                    </w:rPr>
                  </w:pPr>
                </w:p>
              </w:tc>
              <w:tc>
                <w:tcPr>
                  <w:tcW w:w="1507" w:type="dxa"/>
                  <w:vMerge w:val="continue"/>
                  <w:tcBorders>
                    <w:tl2br w:val="nil"/>
                    <w:tr2bl w:val="nil"/>
                  </w:tcBorders>
                  <w:noWrap w:val="0"/>
                  <w:vAlign w:val="center"/>
                </w:tcPr>
                <w:p>
                  <w:pPr>
                    <w:pStyle w:val="70"/>
                    <w:bidi w:val="0"/>
                    <w:rPr>
                      <w:rFonts w:hint="default"/>
                      <w:lang w:val="en-US" w:eastAsia="zh-CN"/>
                    </w:rPr>
                  </w:pPr>
                </w:p>
              </w:tc>
              <w:tc>
                <w:tcPr>
                  <w:tcW w:w="1246" w:type="dxa"/>
                  <w:vMerge w:val="continue"/>
                  <w:tcBorders>
                    <w:tl2br w:val="nil"/>
                    <w:tr2bl w:val="nil"/>
                  </w:tcBorders>
                  <w:noWrap w:val="0"/>
                  <w:vAlign w:val="center"/>
                </w:tcPr>
                <w:p>
                  <w:pPr>
                    <w:pStyle w:val="70"/>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pPr>
                    <w:pStyle w:val="70"/>
                    <w:bidi w:val="0"/>
                    <w:rPr>
                      <w:rFonts w:hint="eastAsia"/>
                      <w:lang w:val="en-US" w:eastAsia="zh-CN"/>
                    </w:rPr>
                  </w:pPr>
                </w:p>
              </w:tc>
              <w:tc>
                <w:tcPr>
                  <w:tcW w:w="900" w:type="dxa"/>
                  <w:tcBorders>
                    <w:tl2br w:val="nil"/>
                    <w:tr2bl w:val="nil"/>
                  </w:tcBorders>
                  <w:noWrap w:val="0"/>
                  <w:vAlign w:val="center"/>
                </w:tcPr>
                <w:p>
                  <w:pPr>
                    <w:pStyle w:val="70"/>
                    <w:bidi w:val="0"/>
                    <w:rPr>
                      <w:rFonts w:hint="default"/>
                      <w:lang w:val="en-US" w:eastAsia="zh-CN"/>
                    </w:rPr>
                  </w:pPr>
                  <w:r>
                    <w:rPr>
                      <w:rFonts w:hint="eastAsia"/>
                      <w:color w:val="auto"/>
                    </w:rPr>
                    <w:t>棉粕</w:t>
                  </w:r>
                </w:p>
              </w:tc>
              <w:tc>
                <w:tcPr>
                  <w:tcW w:w="1356" w:type="dxa"/>
                  <w:tcBorders>
                    <w:tl2br w:val="nil"/>
                    <w:tr2bl w:val="nil"/>
                  </w:tcBorders>
                  <w:noWrap w:val="0"/>
                  <w:vAlign w:val="center"/>
                </w:tcPr>
                <w:p>
                  <w:pPr>
                    <w:pStyle w:val="70"/>
                    <w:bidi w:val="0"/>
                    <w:rPr>
                      <w:rFonts w:hint="default"/>
                      <w:lang w:val="en-US" w:eastAsia="zh-CN"/>
                    </w:rPr>
                  </w:pPr>
                  <w:r>
                    <w:rPr>
                      <w:rFonts w:hint="eastAsia"/>
                      <w:lang w:val="en-US" w:eastAsia="zh-CN"/>
                    </w:rPr>
                    <w:t>50000</w:t>
                  </w:r>
                </w:p>
              </w:tc>
              <w:tc>
                <w:tcPr>
                  <w:tcW w:w="1754" w:type="dxa"/>
                  <w:vMerge w:val="continue"/>
                  <w:tcBorders>
                    <w:tl2br w:val="nil"/>
                    <w:tr2bl w:val="nil"/>
                  </w:tcBorders>
                  <w:noWrap w:val="0"/>
                  <w:vAlign w:val="center"/>
                </w:tcPr>
                <w:p>
                  <w:pPr>
                    <w:pStyle w:val="70"/>
                    <w:bidi w:val="0"/>
                    <w:rPr>
                      <w:rFonts w:hint="default"/>
                      <w:lang w:val="en-US" w:eastAsia="zh-CN"/>
                    </w:rPr>
                  </w:pPr>
                </w:p>
              </w:tc>
              <w:tc>
                <w:tcPr>
                  <w:tcW w:w="1507" w:type="dxa"/>
                  <w:vMerge w:val="continue"/>
                  <w:tcBorders>
                    <w:tl2br w:val="nil"/>
                    <w:tr2bl w:val="nil"/>
                  </w:tcBorders>
                  <w:noWrap w:val="0"/>
                  <w:vAlign w:val="center"/>
                </w:tcPr>
                <w:p>
                  <w:pPr>
                    <w:pStyle w:val="70"/>
                    <w:bidi w:val="0"/>
                    <w:rPr>
                      <w:rFonts w:hint="default"/>
                      <w:lang w:val="en-US" w:eastAsia="zh-CN"/>
                    </w:rPr>
                  </w:pPr>
                </w:p>
              </w:tc>
              <w:tc>
                <w:tcPr>
                  <w:tcW w:w="1246" w:type="dxa"/>
                  <w:vMerge w:val="continue"/>
                  <w:tcBorders>
                    <w:tl2br w:val="nil"/>
                    <w:tr2bl w:val="nil"/>
                  </w:tcBorders>
                  <w:noWrap w:val="0"/>
                  <w:vAlign w:val="center"/>
                </w:tcPr>
                <w:p>
                  <w:pPr>
                    <w:pStyle w:val="70"/>
                    <w:bidi w:val="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pPr>
                    <w:pStyle w:val="70"/>
                    <w:bidi w:val="0"/>
                    <w:rPr>
                      <w:rFonts w:hint="eastAsia"/>
                      <w:lang w:val="en-US" w:eastAsia="zh-CN"/>
                    </w:rPr>
                  </w:pPr>
                </w:p>
              </w:tc>
              <w:tc>
                <w:tcPr>
                  <w:tcW w:w="900" w:type="dxa"/>
                  <w:tcBorders>
                    <w:tl2br w:val="nil"/>
                    <w:tr2bl w:val="nil"/>
                  </w:tcBorders>
                  <w:noWrap w:val="0"/>
                  <w:vAlign w:val="center"/>
                </w:tcPr>
                <w:p>
                  <w:pPr>
                    <w:pStyle w:val="70"/>
                    <w:bidi w:val="0"/>
                    <w:rPr>
                      <w:rFonts w:hint="eastAsia"/>
                      <w:color w:val="auto"/>
                    </w:rPr>
                  </w:pPr>
                  <w:r>
                    <w:rPr>
                      <w:rFonts w:hint="eastAsia"/>
                      <w:color w:val="auto"/>
                    </w:rPr>
                    <w:t>麸皮</w:t>
                  </w:r>
                </w:p>
              </w:tc>
              <w:tc>
                <w:tcPr>
                  <w:tcW w:w="1356" w:type="dxa"/>
                  <w:tcBorders>
                    <w:tl2br w:val="nil"/>
                    <w:tr2bl w:val="nil"/>
                  </w:tcBorders>
                  <w:noWrap w:val="0"/>
                  <w:vAlign w:val="center"/>
                </w:tcPr>
                <w:p>
                  <w:pPr>
                    <w:pStyle w:val="70"/>
                    <w:bidi w:val="0"/>
                    <w:rPr>
                      <w:rFonts w:hint="default"/>
                      <w:lang w:val="en-US" w:eastAsia="zh-CN"/>
                    </w:rPr>
                  </w:pPr>
                  <w:r>
                    <w:rPr>
                      <w:rFonts w:hint="eastAsia"/>
                      <w:lang w:val="en-US" w:eastAsia="zh-CN"/>
                    </w:rPr>
                    <w:t>30000</w:t>
                  </w:r>
                </w:p>
              </w:tc>
              <w:tc>
                <w:tcPr>
                  <w:tcW w:w="1754" w:type="dxa"/>
                  <w:tcBorders>
                    <w:tl2br w:val="nil"/>
                    <w:tr2bl w:val="nil"/>
                  </w:tcBorders>
                  <w:noWrap w:val="0"/>
                  <w:vAlign w:val="center"/>
                </w:tcPr>
                <w:p>
                  <w:pPr>
                    <w:pStyle w:val="70"/>
                    <w:bidi w:val="0"/>
                    <w:rPr>
                      <w:rFonts w:hint="default"/>
                      <w:lang w:val="en-US" w:eastAsia="zh-CN"/>
                    </w:rPr>
                  </w:pPr>
                  <w:r>
                    <w:rPr>
                      <w:rFonts w:hint="eastAsia"/>
                      <w:lang w:val="en-US" w:eastAsia="zh-CN"/>
                    </w:rPr>
                    <w:t>除尘器收集粉尘</w:t>
                  </w:r>
                </w:p>
              </w:tc>
              <w:tc>
                <w:tcPr>
                  <w:tcW w:w="1507" w:type="dxa"/>
                  <w:tcBorders>
                    <w:tl2br w:val="nil"/>
                    <w:tr2bl w:val="nil"/>
                  </w:tcBorders>
                  <w:noWrap w:val="0"/>
                  <w:vAlign w:val="center"/>
                </w:tcPr>
                <w:p>
                  <w:pPr>
                    <w:pStyle w:val="70"/>
                    <w:bidi w:val="0"/>
                    <w:rPr>
                      <w:rFonts w:hint="default"/>
                      <w:lang w:val="en-US" w:eastAsia="zh-CN"/>
                    </w:rPr>
                  </w:pPr>
                  <w:r>
                    <w:rPr>
                      <w:rFonts w:hint="eastAsia"/>
                      <w:lang w:val="en-US" w:eastAsia="zh-CN"/>
                    </w:rPr>
                    <w:t>0</w:t>
                  </w:r>
                </w:p>
              </w:tc>
              <w:tc>
                <w:tcPr>
                  <w:tcW w:w="1246" w:type="dxa"/>
                  <w:vMerge w:val="continue"/>
                  <w:tcBorders>
                    <w:tl2br w:val="nil"/>
                    <w:tr2bl w:val="nil"/>
                  </w:tcBorders>
                  <w:noWrap w:val="0"/>
                  <w:vAlign w:val="center"/>
                </w:tcPr>
                <w:p>
                  <w:pPr>
                    <w:pStyle w:val="70"/>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pPr>
                    <w:pStyle w:val="70"/>
                    <w:bidi w:val="0"/>
                    <w:rPr>
                      <w:rFonts w:hint="eastAsia"/>
                      <w:lang w:val="en-US" w:eastAsia="zh-CN"/>
                    </w:rPr>
                  </w:pPr>
                </w:p>
              </w:tc>
              <w:tc>
                <w:tcPr>
                  <w:tcW w:w="900" w:type="dxa"/>
                  <w:tcBorders>
                    <w:tl2br w:val="nil"/>
                    <w:tr2bl w:val="nil"/>
                  </w:tcBorders>
                  <w:noWrap w:val="0"/>
                  <w:vAlign w:val="center"/>
                </w:tcPr>
                <w:p>
                  <w:pPr>
                    <w:pStyle w:val="70"/>
                    <w:bidi w:val="0"/>
                    <w:rPr>
                      <w:rFonts w:hint="eastAsia" w:eastAsia="宋体"/>
                      <w:color w:val="auto"/>
                      <w:lang w:val="en-US" w:eastAsia="zh-CN"/>
                    </w:rPr>
                  </w:pPr>
                  <w:r>
                    <w:rPr>
                      <w:rFonts w:hint="eastAsia"/>
                      <w:color w:val="auto"/>
                      <w:lang w:val="en-US" w:eastAsia="zh-CN"/>
                    </w:rPr>
                    <w:t>油脂</w:t>
                  </w:r>
                </w:p>
              </w:tc>
              <w:tc>
                <w:tcPr>
                  <w:tcW w:w="1356" w:type="dxa"/>
                  <w:tcBorders>
                    <w:tl2br w:val="nil"/>
                    <w:tr2bl w:val="nil"/>
                  </w:tcBorders>
                  <w:noWrap w:val="0"/>
                  <w:vAlign w:val="center"/>
                </w:tcPr>
                <w:p>
                  <w:pPr>
                    <w:pStyle w:val="70"/>
                    <w:bidi w:val="0"/>
                    <w:rPr>
                      <w:rFonts w:hint="default"/>
                      <w:lang w:val="en-US" w:eastAsia="zh-CN"/>
                    </w:rPr>
                  </w:pPr>
                  <w:r>
                    <w:rPr>
                      <w:rFonts w:hint="eastAsia"/>
                      <w:lang w:val="en-US" w:eastAsia="zh-CN"/>
                    </w:rPr>
                    <w:t>5000</w:t>
                  </w:r>
                </w:p>
              </w:tc>
              <w:tc>
                <w:tcPr>
                  <w:tcW w:w="1754" w:type="dxa"/>
                  <w:vMerge w:val="restart"/>
                  <w:tcBorders>
                    <w:tl2br w:val="nil"/>
                    <w:tr2bl w:val="nil"/>
                  </w:tcBorders>
                  <w:noWrap w:val="0"/>
                  <w:vAlign w:val="center"/>
                </w:tcPr>
                <w:p>
                  <w:pPr>
                    <w:pStyle w:val="70"/>
                    <w:bidi w:val="0"/>
                    <w:rPr>
                      <w:rFonts w:hint="default"/>
                      <w:lang w:val="en-US" w:eastAsia="zh-CN"/>
                    </w:rPr>
                  </w:pPr>
                  <w:r>
                    <w:rPr>
                      <w:rFonts w:hint="eastAsia"/>
                      <w:lang w:val="en-US" w:eastAsia="zh-CN"/>
                    </w:rPr>
                    <w:t>无组织粉尘</w:t>
                  </w:r>
                </w:p>
              </w:tc>
              <w:tc>
                <w:tcPr>
                  <w:tcW w:w="1507" w:type="dxa"/>
                  <w:vMerge w:val="restart"/>
                  <w:tcBorders>
                    <w:tl2br w:val="nil"/>
                    <w:tr2bl w:val="nil"/>
                  </w:tcBorders>
                  <w:noWrap w:val="0"/>
                  <w:vAlign w:val="center"/>
                </w:tcPr>
                <w:p>
                  <w:pPr>
                    <w:pStyle w:val="70"/>
                    <w:bidi w:val="0"/>
                    <w:rPr>
                      <w:rFonts w:hint="default"/>
                      <w:lang w:val="en-US" w:eastAsia="zh-CN"/>
                    </w:rPr>
                  </w:pPr>
                  <w:r>
                    <w:rPr>
                      <w:rFonts w:hint="eastAsia"/>
                      <w:lang w:val="en-US" w:eastAsia="zh-CN"/>
                    </w:rPr>
                    <w:t>4.7</w:t>
                  </w:r>
                </w:p>
              </w:tc>
              <w:tc>
                <w:tcPr>
                  <w:tcW w:w="1246" w:type="dxa"/>
                  <w:vMerge w:val="continue"/>
                  <w:tcBorders>
                    <w:tl2br w:val="nil"/>
                    <w:tr2bl w:val="nil"/>
                  </w:tcBorders>
                  <w:noWrap w:val="0"/>
                  <w:vAlign w:val="center"/>
                </w:tcPr>
                <w:p>
                  <w:pPr>
                    <w:pStyle w:val="70"/>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pPr>
                    <w:pStyle w:val="70"/>
                    <w:bidi w:val="0"/>
                    <w:rPr>
                      <w:rFonts w:hint="eastAsia"/>
                      <w:lang w:val="en-US" w:eastAsia="zh-CN"/>
                    </w:rPr>
                  </w:pPr>
                </w:p>
              </w:tc>
              <w:tc>
                <w:tcPr>
                  <w:tcW w:w="900" w:type="dxa"/>
                  <w:tcBorders>
                    <w:tl2br w:val="nil"/>
                    <w:tr2bl w:val="nil"/>
                  </w:tcBorders>
                  <w:noWrap w:val="0"/>
                  <w:vAlign w:val="center"/>
                </w:tcPr>
                <w:p>
                  <w:pPr>
                    <w:pStyle w:val="70"/>
                    <w:bidi w:val="0"/>
                    <w:rPr>
                      <w:rFonts w:hint="default"/>
                      <w:color w:val="auto"/>
                      <w:lang w:val="en-US" w:eastAsia="zh-CN"/>
                    </w:rPr>
                  </w:pPr>
                  <w:r>
                    <w:rPr>
                      <w:rFonts w:hint="eastAsia"/>
                      <w:color w:val="auto"/>
                      <w:lang w:val="en-US" w:eastAsia="zh-CN"/>
                    </w:rPr>
                    <w:t>菌剂</w:t>
                  </w:r>
                </w:p>
              </w:tc>
              <w:tc>
                <w:tcPr>
                  <w:tcW w:w="1356" w:type="dxa"/>
                  <w:tcBorders>
                    <w:tl2br w:val="nil"/>
                    <w:tr2bl w:val="nil"/>
                  </w:tcBorders>
                  <w:noWrap w:val="0"/>
                  <w:vAlign w:val="center"/>
                </w:tcPr>
                <w:p>
                  <w:pPr>
                    <w:pStyle w:val="70"/>
                    <w:bidi w:val="0"/>
                    <w:rPr>
                      <w:rFonts w:hint="default"/>
                      <w:lang w:val="en-US" w:eastAsia="zh-CN"/>
                    </w:rPr>
                  </w:pPr>
                  <w:r>
                    <w:rPr>
                      <w:rFonts w:hint="eastAsia"/>
                      <w:lang w:val="en-US" w:eastAsia="zh-CN"/>
                    </w:rPr>
                    <w:t>5000</w:t>
                  </w:r>
                </w:p>
              </w:tc>
              <w:tc>
                <w:tcPr>
                  <w:tcW w:w="1754" w:type="dxa"/>
                  <w:vMerge w:val="continue"/>
                  <w:tcBorders>
                    <w:tl2br w:val="nil"/>
                    <w:tr2bl w:val="nil"/>
                  </w:tcBorders>
                  <w:noWrap w:val="0"/>
                  <w:vAlign w:val="center"/>
                </w:tcPr>
                <w:p>
                  <w:pPr>
                    <w:pStyle w:val="70"/>
                    <w:bidi w:val="0"/>
                    <w:rPr>
                      <w:rFonts w:hint="eastAsia"/>
                      <w:lang w:val="en-US" w:eastAsia="zh-CN"/>
                    </w:rPr>
                  </w:pPr>
                </w:p>
              </w:tc>
              <w:tc>
                <w:tcPr>
                  <w:tcW w:w="1507" w:type="dxa"/>
                  <w:vMerge w:val="continue"/>
                  <w:tcBorders>
                    <w:tl2br w:val="nil"/>
                    <w:tr2bl w:val="nil"/>
                  </w:tcBorders>
                  <w:noWrap w:val="0"/>
                  <w:vAlign w:val="center"/>
                </w:tcPr>
                <w:p>
                  <w:pPr>
                    <w:pStyle w:val="70"/>
                    <w:bidi w:val="0"/>
                    <w:rPr>
                      <w:rFonts w:hint="eastAsia"/>
                      <w:lang w:val="en-US" w:eastAsia="zh-CN"/>
                    </w:rPr>
                  </w:pPr>
                </w:p>
              </w:tc>
              <w:tc>
                <w:tcPr>
                  <w:tcW w:w="1246" w:type="dxa"/>
                  <w:vMerge w:val="continue"/>
                  <w:tcBorders>
                    <w:tl2br w:val="nil"/>
                    <w:tr2bl w:val="nil"/>
                  </w:tcBorders>
                  <w:noWrap w:val="0"/>
                  <w:vAlign w:val="center"/>
                </w:tcPr>
                <w:p>
                  <w:pPr>
                    <w:pStyle w:val="70"/>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pPr>
                    <w:pStyle w:val="70"/>
                    <w:bidi w:val="0"/>
                    <w:rPr>
                      <w:rFonts w:hint="eastAsia"/>
                      <w:lang w:val="en-US" w:eastAsia="zh-CN"/>
                    </w:rPr>
                  </w:pPr>
                </w:p>
              </w:tc>
              <w:tc>
                <w:tcPr>
                  <w:tcW w:w="900" w:type="dxa"/>
                  <w:tcBorders>
                    <w:tl2br w:val="nil"/>
                    <w:tr2bl w:val="nil"/>
                  </w:tcBorders>
                  <w:noWrap w:val="0"/>
                  <w:vAlign w:val="center"/>
                </w:tcPr>
                <w:p>
                  <w:pPr>
                    <w:pStyle w:val="70"/>
                    <w:bidi w:val="0"/>
                    <w:rPr>
                      <w:rFonts w:hint="eastAsia"/>
                      <w:color w:val="auto"/>
                      <w:lang w:val="en-US" w:eastAsia="zh-CN"/>
                    </w:rPr>
                  </w:pPr>
                  <w:r>
                    <w:rPr>
                      <w:rFonts w:hint="eastAsia"/>
                      <w:color w:val="auto"/>
                    </w:rPr>
                    <w:t>预混料</w:t>
                  </w:r>
                </w:p>
              </w:tc>
              <w:tc>
                <w:tcPr>
                  <w:tcW w:w="1356" w:type="dxa"/>
                  <w:tcBorders>
                    <w:tl2br w:val="nil"/>
                    <w:tr2bl w:val="nil"/>
                  </w:tcBorders>
                  <w:noWrap w:val="0"/>
                  <w:vAlign w:val="center"/>
                </w:tcPr>
                <w:p>
                  <w:pPr>
                    <w:pStyle w:val="70"/>
                    <w:bidi w:val="0"/>
                    <w:rPr>
                      <w:rFonts w:hint="default"/>
                      <w:lang w:val="en-US" w:eastAsia="zh-CN"/>
                    </w:rPr>
                  </w:pPr>
                  <w:r>
                    <w:rPr>
                      <w:rFonts w:hint="eastAsia"/>
                      <w:lang w:val="en-US" w:eastAsia="zh-CN"/>
                    </w:rPr>
                    <w:t>20000</w:t>
                  </w:r>
                </w:p>
              </w:tc>
              <w:tc>
                <w:tcPr>
                  <w:tcW w:w="1754" w:type="dxa"/>
                  <w:vMerge w:val="continue"/>
                  <w:tcBorders>
                    <w:tl2br w:val="nil"/>
                    <w:tr2bl w:val="nil"/>
                  </w:tcBorders>
                  <w:noWrap w:val="0"/>
                  <w:vAlign w:val="center"/>
                </w:tcPr>
                <w:p>
                  <w:pPr>
                    <w:pStyle w:val="70"/>
                    <w:bidi w:val="0"/>
                    <w:rPr>
                      <w:rFonts w:hint="eastAsia"/>
                      <w:lang w:val="en-US" w:eastAsia="zh-CN"/>
                    </w:rPr>
                  </w:pPr>
                </w:p>
              </w:tc>
              <w:tc>
                <w:tcPr>
                  <w:tcW w:w="1507" w:type="dxa"/>
                  <w:vMerge w:val="continue"/>
                  <w:tcBorders>
                    <w:tl2br w:val="nil"/>
                    <w:tr2bl w:val="nil"/>
                  </w:tcBorders>
                  <w:noWrap w:val="0"/>
                  <w:vAlign w:val="center"/>
                </w:tcPr>
                <w:p>
                  <w:pPr>
                    <w:pStyle w:val="70"/>
                    <w:bidi w:val="0"/>
                    <w:rPr>
                      <w:rFonts w:hint="eastAsia"/>
                      <w:lang w:val="en-US" w:eastAsia="zh-CN"/>
                    </w:rPr>
                  </w:pPr>
                </w:p>
              </w:tc>
              <w:tc>
                <w:tcPr>
                  <w:tcW w:w="1246" w:type="dxa"/>
                  <w:vMerge w:val="continue"/>
                  <w:tcBorders>
                    <w:tl2br w:val="nil"/>
                    <w:tr2bl w:val="nil"/>
                  </w:tcBorders>
                  <w:noWrap w:val="0"/>
                  <w:vAlign w:val="center"/>
                </w:tcPr>
                <w:p>
                  <w:pPr>
                    <w:pStyle w:val="70"/>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pPr>
                    <w:pStyle w:val="70"/>
                    <w:bidi w:val="0"/>
                    <w:rPr>
                      <w:rFonts w:hint="eastAsia"/>
                      <w:lang w:val="en-US" w:eastAsia="zh-CN"/>
                    </w:rPr>
                  </w:pPr>
                </w:p>
              </w:tc>
              <w:tc>
                <w:tcPr>
                  <w:tcW w:w="900" w:type="dxa"/>
                  <w:tcBorders>
                    <w:tl2br w:val="nil"/>
                    <w:tr2bl w:val="nil"/>
                  </w:tcBorders>
                  <w:noWrap w:val="0"/>
                  <w:vAlign w:val="center"/>
                </w:tcPr>
                <w:p>
                  <w:pPr>
                    <w:pStyle w:val="70"/>
                    <w:bidi w:val="0"/>
                    <w:rPr>
                      <w:rFonts w:hint="eastAsia" w:eastAsia="宋体"/>
                      <w:color w:val="auto"/>
                      <w:lang w:val="en-US" w:eastAsia="zh-CN"/>
                    </w:rPr>
                  </w:pPr>
                  <w:r>
                    <w:rPr>
                      <w:rFonts w:hint="eastAsia"/>
                      <w:color w:val="auto"/>
                      <w:lang w:val="en-US" w:eastAsia="zh-CN"/>
                    </w:rPr>
                    <w:t>水</w:t>
                  </w:r>
                </w:p>
              </w:tc>
              <w:tc>
                <w:tcPr>
                  <w:tcW w:w="1356" w:type="dxa"/>
                  <w:tcBorders>
                    <w:tl2br w:val="nil"/>
                    <w:tr2bl w:val="nil"/>
                  </w:tcBorders>
                  <w:noWrap w:val="0"/>
                  <w:vAlign w:val="center"/>
                </w:tcPr>
                <w:p>
                  <w:pPr>
                    <w:pStyle w:val="70"/>
                    <w:bidi w:val="0"/>
                    <w:rPr>
                      <w:rFonts w:hint="default"/>
                      <w:lang w:val="en-US" w:eastAsia="zh-CN"/>
                    </w:rPr>
                  </w:pPr>
                  <w:r>
                    <w:rPr>
                      <w:rFonts w:hint="eastAsia"/>
                      <w:lang w:val="en-US" w:eastAsia="zh-CN"/>
                    </w:rPr>
                    <w:t>20000</w:t>
                  </w:r>
                </w:p>
              </w:tc>
              <w:tc>
                <w:tcPr>
                  <w:tcW w:w="1754" w:type="dxa"/>
                  <w:vMerge w:val="continue"/>
                  <w:tcBorders>
                    <w:tl2br w:val="nil"/>
                    <w:tr2bl w:val="nil"/>
                  </w:tcBorders>
                  <w:noWrap w:val="0"/>
                  <w:vAlign w:val="center"/>
                </w:tcPr>
                <w:p>
                  <w:pPr>
                    <w:pStyle w:val="70"/>
                    <w:bidi w:val="0"/>
                    <w:rPr>
                      <w:rFonts w:hint="eastAsia"/>
                      <w:lang w:val="en-US" w:eastAsia="zh-CN"/>
                    </w:rPr>
                  </w:pPr>
                </w:p>
              </w:tc>
              <w:tc>
                <w:tcPr>
                  <w:tcW w:w="1507" w:type="dxa"/>
                  <w:vMerge w:val="continue"/>
                  <w:tcBorders>
                    <w:tl2br w:val="nil"/>
                    <w:tr2bl w:val="nil"/>
                  </w:tcBorders>
                  <w:noWrap w:val="0"/>
                  <w:vAlign w:val="center"/>
                </w:tcPr>
                <w:p>
                  <w:pPr>
                    <w:pStyle w:val="70"/>
                    <w:bidi w:val="0"/>
                    <w:rPr>
                      <w:rFonts w:hint="eastAsia"/>
                      <w:lang w:val="en-US" w:eastAsia="zh-CN"/>
                    </w:rPr>
                  </w:pPr>
                </w:p>
              </w:tc>
              <w:tc>
                <w:tcPr>
                  <w:tcW w:w="1246" w:type="dxa"/>
                  <w:vMerge w:val="continue"/>
                  <w:tcBorders>
                    <w:tl2br w:val="nil"/>
                    <w:tr2bl w:val="nil"/>
                  </w:tcBorders>
                  <w:noWrap w:val="0"/>
                  <w:vAlign w:val="center"/>
                </w:tcPr>
                <w:p>
                  <w:pPr>
                    <w:pStyle w:val="70"/>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556" w:type="dxa"/>
                  <w:vMerge w:val="continue"/>
                  <w:tcBorders>
                    <w:tl2br w:val="nil"/>
                    <w:tr2bl w:val="nil"/>
                  </w:tcBorders>
                  <w:noWrap w:val="0"/>
                  <w:vAlign w:val="center"/>
                </w:tcPr>
                <w:p>
                  <w:pPr>
                    <w:pStyle w:val="70"/>
                    <w:bidi w:val="0"/>
                    <w:rPr>
                      <w:rFonts w:hint="default"/>
                      <w:lang w:val="en-US" w:eastAsia="zh-CN"/>
                    </w:rPr>
                  </w:pPr>
                </w:p>
              </w:tc>
              <w:tc>
                <w:tcPr>
                  <w:tcW w:w="900" w:type="dxa"/>
                  <w:tcBorders>
                    <w:tl2br w:val="nil"/>
                    <w:tr2bl w:val="nil"/>
                  </w:tcBorders>
                  <w:noWrap w:val="0"/>
                  <w:vAlign w:val="center"/>
                </w:tcPr>
                <w:p>
                  <w:pPr>
                    <w:pStyle w:val="70"/>
                    <w:bidi w:val="0"/>
                    <w:rPr>
                      <w:rFonts w:hint="default"/>
                      <w:lang w:val="en-US" w:eastAsia="zh-CN"/>
                    </w:rPr>
                  </w:pPr>
                  <w:r>
                    <w:rPr>
                      <w:rFonts w:hint="eastAsia"/>
                      <w:lang w:val="en-US" w:eastAsia="zh-CN"/>
                    </w:rPr>
                    <w:t>合计</w:t>
                  </w:r>
                </w:p>
              </w:tc>
              <w:tc>
                <w:tcPr>
                  <w:tcW w:w="1356" w:type="dxa"/>
                  <w:tcBorders>
                    <w:tl2br w:val="nil"/>
                    <w:tr2bl w:val="nil"/>
                  </w:tcBorders>
                  <w:noWrap w:val="0"/>
                  <w:vAlign w:val="center"/>
                </w:tcPr>
                <w:p>
                  <w:pPr>
                    <w:pStyle w:val="70"/>
                    <w:bidi w:val="0"/>
                    <w:rPr>
                      <w:rFonts w:hint="default"/>
                      <w:lang w:val="en-US" w:eastAsia="zh-CN"/>
                    </w:rPr>
                  </w:pPr>
                  <w:r>
                    <w:rPr>
                      <w:rFonts w:hint="eastAsia"/>
                      <w:lang w:val="en-US" w:eastAsia="zh-CN"/>
                    </w:rPr>
                    <w:t>400000</w:t>
                  </w:r>
                </w:p>
              </w:tc>
              <w:tc>
                <w:tcPr>
                  <w:tcW w:w="1754" w:type="dxa"/>
                  <w:tcBorders>
                    <w:tl2br w:val="nil"/>
                    <w:tr2bl w:val="nil"/>
                  </w:tcBorders>
                  <w:noWrap w:val="0"/>
                  <w:vAlign w:val="center"/>
                </w:tcPr>
                <w:p>
                  <w:pPr>
                    <w:pStyle w:val="70"/>
                    <w:bidi w:val="0"/>
                    <w:rPr>
                      <w:rFonts w:hint="default"/>
                      <w:lang w:val="en-US" w:eastAsia="zh-CN"/>
                    </w:rPr>
                  </w:pPr>
                  <w:r>
                    <w:rPr>
                      <w:rFonts w:hint="eastAsia"/>
                      <w:lang w:val="en-US" w:eastAsia="zh-CN"/>
                    </w:rPr>
                    <w:t>合计</w:t>
                  </w:r>
                </w:p>
              </w:tc>
              <w:tc>
                <w:tcPr>
                  <w:tcW w:w="1507" w:type="dxa"/>
                  <w:tcBorders>
                    <w:tl2br w:val="nil"/>
                    <w:tr2bl w:val="nil"/>
                  </w:tcBorders>
                  <w:noWrap w:val="0"/>
                  <w:vAlign w:val="center"/>
                </w:tcPr>
                <w:p>
                  <w:pPr>
                    <w:pStyle w:val="70"/>
                    <w:bidi w:val="0"/>
                    <w:rPr>
                      <w:rFonts w:hint="default"/>
                      <w:lang w:val="en-US" w:eastAsia="zh-CN"/>
                    </w:rPr>
                  </w:pPr>
                  <w:r>
                    <w:rPr>
                      <w:rFonts w:hint="eastAsia"/>
                      <w:lang w:val="en-US" w:eastAsia="zh-CN"/>
                    </w:rPr>
                    <w:t>400000</w:t>
                  </w:r>
                </w:p>
              </w:tc>
              <w:tc>
                <w:tcPr>
                  <w:tcW w:w="1246" w:type="dxa"/>
                  <w:tcBorders>
                    <w:tl2br w:val="nil"/>
                    <w:tr2bl w:val="nil"/>
                  </w:tcBorders>
                  <w:noWrap w:val="0"/>
                  <w:vAlign w:val="center"/>
                </w:tcPr>
                <w:p>
                  <w:pPr>
                    <w:pStyle w:val="70"/>
                    <w:bidi w:val="0"/>
                    <w:rPr>
                      <w:rFonts w:hint="default"/>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56" w:type="dxa"/>
                  <w:vMerge w:val="restart"/>
                  <w:tcBorders>
                    <w:tl2br w:val="nil"/>
                    <w:tr2bl w:val="nil"/>
                  </w:tcBorders>
                  <w:noWrap w:val="0"/>
                  <w:vAlign w:val="center"/>
                </w:tcPr>
                <w:p>
                  <w:pPr>
                    <w:pStyle w:val="70"/>
                    <w:bidi w:val="0"/>
                    <w:rPr>
                      <w:rFonts w:hint="default"/>
                      <w:lang w:val="en-US" w:eastAsia="zh-CN"/>
                    </w:rPr>
                  </w:pPr>
                  <w:r>
                    <w:t>青（黄）储饲料</w:t>
                  </w:r>
                </w:p>
              </w:tc>
              <w:tc>
                <w:tcPr>
                  <w:tcW w:w="900" w:type="dxa"/>
                  <w:tcBorders>
                    <w:tl2br w:val="nil"/>
                    <w:tr2bl w:val="nil"/>
                  </w:tcBorders>
                  <w:noWrap w:val="0"/>
                  <w:vAlign w:val="center"/>
                </w:tcPr>
                <w:p>
                  <w:pPr>
                    <w:pStyle w:val="70"/>
                    <w:bidi w:val="0"/>
                    <w:rPr>
                      <w:rFonts w:hint="eastAsia"/>
                      <w:lang w:val="en-US" w:eastAsia="zh-CN"/>
                    </w:rPr>
                  </w:pPr>
                  <w:r>
                    <w:rPr>
                      <w:color w:val="auto"/>
                    </w:rPr>
                    <w:t>牧草</w:t>
                  </w:r>
                </w:p>
              </w:tc>
              <w:tc>
                <w:tcPr>
                  <w:tcW w:w="1356" w:type="dxa"/>
                  <w:tcBorders>
                    <w:tl2br w:val="nil"/>
                    <w:tr2bl w:val="nil"/>
                  </w:tcBorders>
                  <w:noWrap w:val="0"/>
                  <w:vAlign w:val="center"/>
                </w:tcPr>
                <w:p>
                  <w:pPr>
                    <w:pStyle w:val="70"/>
                    <w:bidi w:val="0"/>
                    <w:rPr>
                      <w:rFonts w:hint="default"/>
                      <w:lang w:val="en-US" w:eastAsia="zh-CN"/>
                    </w:rPr>
                  </w:pPr>
                  <w:r>
                    <w:rPr>
                      <w:rFonts w:hint="eastAsia"/>
                      <w:lang w:val="en-US" w:eastAsia="zh-CN"/>
                    </w:rPr>
                    <w:t>150000</w:t>
                  </w:r>
                </w:p>
              </w:tc>
              <w:tc>
                <w:tcPr>
                  <w:tcW w:w="1754" w:type="dxa"/>
                  <w:tcBorders>
                    <w:tl2br w:val="nil"/>
                    <w:tr2bl w:val="nil"/>
                  </w:tcBorders>
                  <w:noWrap w:val="0"/>
                  <w:vAlign w:val="center"/>
                </w:tcPr>
                <w:p>
                  <w:pPr>
                    <w:pStyle w:val="70"/>
                    <w:bidi w:val="0"/>
                    <w:rPr>
                      <w:rFonts w:hint="eastAsia"/>
                      <w:lang w:val="en-US" w:eastAsia="zh-CN"/>
                    </w:rPr>
                  </w:pPr>
                  <w:r>
                    <w:t>青（黄）储饲料</w:t>
                  </w:r>
                </w:p>
              </w:tc>
              <w:tc>
                <w:tcPr>
                  <w:tcW w:w="1507" w:type="dxa"/>
                  <w:tcBorders>
                    <w:tl2br w:val="nil"/>
                    <w:tr2bl w:val="nil"/>
                  </w:tcBorders>
                  <w:noWrap w:val="0"/>
                  <w:vAlign w:val="center"/>
                </w:tcPr>
                <w:p>
                  <w:pPr>
                    <w:pStyle w:val="70"/>
                    <w:bidi w:val="0"/>
                    <w:rPr>
                      <w:rFonts w:hint="default"/>
                      <w:lang w:val="en-US" w:eastAsia="zh-CN"/>
                    </w:rPr>
                  </w:pPr>
                  <w:r>
                    <w:rPr>
                      <w:rFonts w:hint="eastAsia"/>
                      <w:lang w:val="en-US" w:eastAsia="zh-CN"/>
                    </w:rPr>
                    <w:t>199998</w:t>
                  </w:r>
                </w:p>
              </w:tc>
              <w:tc>
                <w:tcPr>
                  <w:tcW w:w="1246" w:type="dxa"/>
                  <w:vMerge w:val="restart"/>
                  <w:tcBorders>
                    <w:tl2br w:val="nil"/>
                    <w:tr2bl w:val="nil"/>
                  </w:tcBorders>
                  <w:noWrap w:val="0"/>
                  <w:vAlign w:val="center"/>
                </w:tcPr>
                <w:p>
                  <w:pPr>
                    <w:pStyle w:val="70"/>
                    <w:bidi w:val="0"/>
                    <w:rPr>
                      <w:rFonts w:hint="eastAsia"/>
                      <w:lang w:val="en-US" w:eastAsia="zh-CN"/>
                    </w:rPr>
                  </w:pPr>
                  <w:r>
                    <w:rPr>
                      <w:rFonts w:hint="eastAsia"/>
                      <w:lang w:val="en-US" w:eastAsia="zh-CN"/>
                    </w:rPr>
                    <w:t>生产过程除尘器收集粉尘全部回用于生产线，进入产品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56" w:type="dxa"/>
                  <w:vMerge w:val="continue"/>
                  <w:tcBorders>
                    <w:tl2br w:val="nil"/>
                    <w:tr2bl w:val="nil"/>
                  </w:tcBorders>
                  <w:noWrap w:val="0"/>
                  <w:vAlign w:val="center"/>
                </w:tcPr>
                <w:p>
                  <w:pPr>
                    <w:pStyle w:val="70"/>
                    <w:bidi w:val="0"/>
                  </w:pPr>
                </w:p>
              </w:tc>
              <w:tc>
                <w:tcPr>
                  <w:tcW w:w="900" w:type="dxa"/>
                  <w:vMerge w:val="restart"/>
                  <w:tcBorders>
                    <w:tl2br w:val="nil"/>
                    <w:tr2bl w:val="nil"/>
                  </w:tcBorders>
                  <w:noWrap w:val="0"/>
                  <w:vAlign w:val="center"/>
                </w:tcPr>
                <w:p>
                  <w:pPr>
                    <w:pStyle w:val="70"/>
                    <w:bidi w:val="0"/>
                    <w:rPr>
                      <w:rFonts w:hint="eastAsia" w:eastAsia="宋体"/>
                      <w:color w:val="auto"/>
                      <w:lang w:val="en-US" w:eastAsia="zh-CN"/>
                    </w:rPr>
                  </w:pPr>
                  <w:r>
                    <w:rPr>
                      <w:rFonts w:hint="eastAsia"/>
                      <w:color w:val="auto"/>
                      <w:lang w:val="en-US" w:eastAsia="zh-CN"/>
                    </w:rPr>
                    <w:t>秸秆</w:t>
                  </w:r>
                </w:p>
              </w:tc>
              <w:tc>
                <w:tcPr>
                  <w:tcW w:w="1356" w:type="dxa"/>
                  <w:vMerge w:val="restart"/>
                  <w:tcBorders>
                    <w:tl2br w:val="nil"/>
                    <w:tr2bl w:val="nil"/>
                  </w:tcBorders>
                  <w:noWrap w:val="0"/>
                  <w:vAlign w:val="center"/>
                </w:tcPr>
                <w:p>
                  <w:pPr>
                    <w:pStyle w:val="70"/>
                    <w:bidi w:val="0"/>
                    <w:rPr>
                      <w:rFonts w:hint="default"/>
                      <w:lang w:val="en-US" w:eastAsia="zh-CN"/>
                    </w:rPr>
                  </w:pPr>
                  <w:r>
                    <w:rPr>
                      <w:rFonts w:hint="eastAsia"/>
                      <w:lang w:val="en-US" w:eastAsia="zh-CN"/>
                    </w:rPr>
                    <w:t>49000</w:t>
                  </w:r>
                </w:p>
              </w:tc>
              <w:tc>
                <w:tcPr>
                  <w:tcW w:w="1754" w:type="dxa"/>
                  <w:tcBorders>
                    <w:tl2br w:val="nil"/>
                    <w:tr2bl w:val="nil"/>
                  </w:tcBorders>
                  <w:noWrap w:val="0"/>
                  <w:vAlign w:val="center"/>
                </w:tcPr>
                <w:p>
                  <w:pPr>
                    <w:pStyle w:val="70"/>
                    <w:bidi w:val="0"/>
                    <w:rPr>
                      <w:rFonts w:hint="default"/>
                      <w:lang w:val="en-US" w:eastAsia="zh-CN"/>
                    </w:rPr>
                  </w:pPr>
                  <w:r>
                    <w:rPr>
                      <w:rFonts w:hint="eastAsia"/>
                      <w:lang w:val="en-US" w:eastAsia="zh-CN"/>
                    </w:rPr>
                    <w:t>除尘器收集粉尘</w:t>
                  </w:r>
                </w:p>
              </w:tc>
              <w:tc>
                <w:tcPr>
                  <w:tcW w:w="1507" w:type="dxa"/>
                  <w:tcBorders>
                    <w:tl2br w:val="nil"/>
                    <w:tr2bl w:val="nil"/>
                  </w:tcBorders>
                  <w:noWrap w:val="0"/>
                  <w:vAlign w:val="center"/>
                </w:tcPr>
                <w:p>
                  <w:pPr>
                    <w:pStyle w:val="70"/>
                    <w:bidi w:val="0"/>
                    <w:rPr>
                      <w:rFonts w:hint="default"/>
                      <w:lang w:val="en-US" w:eastAsia="zh-CN"/>
                    </w:rPr>
                  </w:pPr>
                  <w:r>
                    <w:rPr>
                      <w:rFonts w:hint="eastAsia"/>
                      <w:lang w:val="en-US" w:eastAsia="zh-CN"/>
                    </w:rPr>
                    <w:t>0</w:t>
                  </w:r>
                </w:p>
              </w:tc>
              <w:tc>
                <w:tcPr>
                  <w:tcW w:w="1246" w:type="dxa"/>
                  <w:vMerge w:val="continue"/>
                  <w:tcBorders>
                    <w:tl2br w:val="nil"/>
                    <w:tr2bl w:val="nil"/>
                  </w:tcBorders>
                  <w:noWrap w:val="0"/>
                  <w:vAlign w:val="center"/>
                </w:tcPr>
                <w:p>
                  <w:pPr>
                    <w:pStyle w:val="70"/>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6" w:type="dxa"/>
                  <w:vMerge w:val="continue"/>
                  <w:tcBorders>
                    <w:tl2br w:val="nil"/>
                    <w:tr2bl w:val="nil"/>
                  </w:tcBorders>
                  <w:noWrap w:val="0"/>
                  <w:vAlign w:val="center"/>
                </w:tcPr>
                <w:p>
                  <w:pPr>
                    <w:pStyle w:val="70"/>
                    <w:bidi w:val="0"/>
                  </w:pPr>
                </w:p>
              </w:tc>
              <w:tc>
                <w:tcPr>
                  <w:tcW w:w="900" w:type="dxa"/>
                  <w:vMerge w:val="continue"/>
                  <w:tcBorders>
                    <w:tl2br w:val="nil"/>
                    <w:tr2bl w:val="nil"/>
                  </w:tcBorders>
                  <w:noWrap w:val="0"/>
                  <w:vAlign w:val="center"/>
                </w:tcPr>
                <w:p>
                  <w:pPr>
                    <w:pStyle w:val="70"/>
                    <w:bidi w:val="0"/>
                    <w:rPr>
                      <w:rFonts w:hint="eastAsia"/>
                      <w:color w:val="auto"/>
                      <w:lang w:val="en-US" w:eastAsia="zh-CN"/>
                    </w:rPr>
                  </w:pPr>
                </w:p>
              </w:tc>
              <w:tc>
                <w:tcPr>
                  <w:tcW w:w="1356" w:type="dxa"/>
                  <w:vMerge w:val="continue"/>
                  <w:tcBorders>
                    <w:tl2br w:val="nil"/>
                    <w:tr2bl w:val="nil"/>
                  </w:tcBorders>
                  <w:noWrap w:val="0"/>
                  <w:vAlign w:val="center"/>
                </w:tcPr>
                <w:p>
                  <w:pPr>
                    <w:pStyle w:val="70"/>
                    <w:bidi w:val="0"/>
                    <w:rPr>
                      <w:rFonts w:hint="eastAsia"/>
                      <w:lang w:val="en-US" w:eastAsia="zh-CN"/>
                    </w:rPr>
                  </w:pPr>
                </w:p>
              </w:tc>
              <w:tc>
                <w:tcPr>
                  <w:tcW w:w="1754" w:type="dxa"/>
                  <w:vMerge w:val="restart"/>
                  <w:tcBorders>
                    <w:tl2br w:val="nil"/>
                    <w:tr2bl w:val="nil"/>
                  </w:tcBorders>
                  <w:noWrap w:val="0"/>
                  <w:vAlign w:val="center"/>
                </w:tcPr>
                <w:p>
                  <w:pPr>
                    <w:pStyle w:val="70"/>
                    <w:bidi w:val="0"/>
                    <w:rPr>
                      <w:rFonts w:hint="eastAsia"/>
                      <w:lang w:val="en-US" w:eastAsia="zh-CN"/>
                    </w:rPr>
                  </w:pPr>
                  <w:r>
                    <w:rPr>
                      <w:rFonts w:hint="eastAsia"/>
                      <w:lang w:val="en-US" w:eastAsia="zh-CN"/>
                    </w:rPr>
                    <w:t>无组织粉尘</w:t>
                  </w:r>
                </w:p>
              </w:tc>
              <w:tc>
                <w:tcPr>
                  <w:tcW w:w="1507" w:type="dxa"/>
                  <w:vMerge w:val="restart"/>
                  <w:tcBorders>
                    <w:tl2br w:val="nil"/>
                    <w:tr2bl w:val="nil"/>
                  </w:tcBorders>
                  <w:noWrap w:val="0"/>
                  <w:vAlign w:val="center"/>
                </w:tcPr>
                <w:p>
                  <w:pPr>
                    <w:pStyle w:val="70"/>
                    <w:bidi w:val="0"/>
                    <w:rPr>
                      <w:rFonts w:hint="default"/>
                      <w:lang w:val="en-US" w:eastAsia="zh-CN"/>
                    </w:rPr>
                  </w:pPr>
                  <w:r>
                    <w:rPr>
                      <w:rFonts w:hint="eastAsia"/>
                      <w:lang w:val="en-US" w:eastAsia="zh-CN"/>
                    </w:rPr>
                    <w:t>2</w:t>
                  </w:r>
                </w:p>
              </w:tc>
              <w:tc>
                <w:tcPr>
                  <w:tcW w:w="1246" w:type="dxa"/>
                  <w:vMerge w:val="continue"/>
                  <w:tcBorders>
                    <w:tl2br w:val="nil"/>
                    <w:tr2bl w:val="nil"/>
                  </w:tcBorders>
                  <w:noWrap w:val="0"/>
                  <w:vAlign w:val="center"/>
                </w:tcPr>
                <w:p>
                  <w:pPr>
                    <w:pStyle w:val="70"/>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pPr>
                    <w:pStyle w:val="70"/>
                    <w:bidi w:val="0"/>
                  </w:pPr>
                </w:p>
              </w:tc>
              <w:tc>
                <w:tcPr>
                  <w:tcW w:w="900" w:type="dxa"/>
                  <w:tcBorders>
                    <w:tl2br w:val="nil"/>
                    <w:tr2bl w:val="nil"/>
                  </w:tcBorders>
                  <w:noWrap w:val="0"/>
                  <w:vAlign w:val="center"/>
                </w:tcPr>
                <w:p>
                  <w:pPr>
                    <w:pStyle w:val="70"/>
                    <w:bidi w:val="0"/>
                    <w:rPr>
                      <w:rFonts w:hint="default"/>
                      <w:color w:val="auto"/>
                      <w:lang w:val="en-US" w:eastAsia="zh-CN"/>
                    </w:rPr>
                  </w:pPr>
                  <w:r>
                    <w:rPr>
                      <w:rFonts w:hint="eastAsia"/>
                      <w:color w:val="auto"/>
                      <w:lang w:val="en-US" w:eastAsia="zh-CN"/>
                    </w:rPr>
                    <w:t>添加剂</w:t>
                  </w:r>
                </w:p>
              </w:tc>
              <w:tc>
                <w:tcPr>
                  <w:tcW w:w="1356" w:type="dxa"/>
                  <w:tcBorders>
                    <w:tl2br w:val="nil"/>
                    <w:tr2bl w:val="nil"/>
                  </w:tcBorders>
                  <w:noWrap w:val="0"/>
                  <w:vAlign w:val="center"/>
                </w:tcPr>
                <w:p>
                  <w:pPr>
                    <w:pStyle w:val="70"/>
                    <w:bidi w:val="0"/>
                    <w:rPr>
                      <w:rFonts w:hint="default"/>
                      <w:lang w:val="en-US" w:eastAsia="zh-CN"/>
                    </w:rPr>
                  </w:pPr>
                  <w:r>
                    <w:rPr>
                      <w:rFonts w:hint="eastAsia"/>
                      <w:lang w:val="en-US" w:eastAsia="zh-CN"/>
                    </w:rPr>
                    <w:t>1000</w:t>
                  </w:r>
                </w:p>
              </w:tc>
              <w:tc>
                <w:tcPr>
                  <w:tcW w:w="1754" w:type="dxa"/>
                  <w:vMerge w:val="continue"/>
                  <w:tcBorders>
                    <w:tl2br w:val="nil"/>
                    <w:tr2bl w:val="nil"/>
                  </w:tcBorders>
                  <w:noWrap w:val="0"/>
                  <w:vAlign w:val="center"/>
                </w:tcPr>
                <w:p>
                  <w:pPr>
                    <w:pStyle w:val="70"/>
                    <w:bidi w:val="0"/>
                    <w:rPr>
                      <w:rFonts w:hint="eastAsia"/>
                      <w:lang w:val="en-US" w:eastAsia="zh-CN"/>
                    </w:rPr>
                  </w:pPr>
                </w:p>
              </w:tc>
              <w:tc>
                <w:tcPr>
                  <w:tcW w:w="1507" w:type="dxa"/>
                  <w:vMerge w:val="continue"/>
                  <w:tcBorders>
                    <w:tl2br w:val="nil"/>
                    <w:tr2bl w:val="nil"/>
                  </w:tcBorders>
                  <w:noWrap w:val="0"/>
                  <w:vAlign w:val="center"/>
                </w:tcPr>
                <w:p>
                  <w:pPr>
                    <w:pStyle w:val="70"/>
                    <w:bidi w:val="0"/>
                    <w:rPr>
                      <w:rFonts w:hint="eastAsia"/>
                      <w:lang w:val="en-US" w:eastAsia="zh-CN"/>
                    </w:rPr>
                  </w:pPr>
                </w:p>
              </w:tc>
              <w:tc>
                <w:tcPr>
                  <w:tcW w:w="1246" w:type="dxa"/>
                  <w:vMerge w:val="continue"/>
                  <w:tcBorders>
                    <w:tl2br w:val="nil"/>
                    <w:tr2bl w:val="nil"/>
                  </w:tcBorders>
                  <w:noWrap w:val="0"/>
                  <w:vAlign w:val="center"/>
                </w:tcPr>
                <w:p>
                  <w:pPr>
                    <w:pStyle w:val="70"/>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pPr>
                    <w:pStyle w:val="70"/>
                    <w:bidi w:val="0"/>
                  </w:pPr>
                </w:p>
              </w:tc>
              <w:tc>
                <w:tcPr>
                  <w:tcW w:w="900" w:type="dxa"/>
                  <w:tcBorders>
                    <w:tl2br w:val="nil"/>
                    <w:tr2bl w:val="nil"/>
                  </w:tcBorders>
                  <w:noWrap w:val="0"/>
                  <w:vAlign w:val="center"/>
                </w:tcPr>
                <w:p>
                  <w:pPr>
                    <w:pStyle w:val="70"/>
                    <w:bidi w:val="0"/>
                    <w:rPr>
                      <w:rFonts w:hint="default"/>
                      <w:color w:val="auto"/>
                      <w:lang w:val="en-US" w:eastAsia="zh-CN"/>
                    </w:rPr>
                  </w:pPr>
                  <w:r>
                    <w:rPr>
                      <w:rFonts w:hint="eastAsia"/>
                      <w:color w:val="auto"/>
                      <w:lang w:val="en-US" w:eastAsia="zh-CN"/>
                    </w:rPr>
                    <w:t>合计</w:t>
                  </w:r>
                </w:p>
              </w:tc>
              <w:tc>
                <w:tcPr>
                  <w:tcW w:w="1356" w:type="dxa"/>
                  <w:tcBorders>
                    <w:tl2br w:val="nil"/>
                    <w:tr2bl w:val="nil"/>
                  </w:tcBorders>
                  <w:noWrap w:val="0"/>
                  <w:vAlign w:val="center"/>
                </w:tcPr>
                <w:p>
                  <w:pPr>
                    <w:pStyle w:val="70"/>
                    <w:bidi w:val="0"/>
                    <w:rPr>
                      <w:rFonts w:hint="default"/>
                      <w:lang w:val="en-US" w:eastAsia="zh-CN"/>
                    </w:rPr>
                  </w:pPr>
                  <w:r>
                    <w:rPr>
                      <w:rFonts w:hint="eastAsia"/>
                      <w:lang w:val="en-US" w:eastAsia="zh-CN"/>
                    </w:rPr>
                    <w:t>200000</w:t>
                  </w:r>
                </w:p>
              </w:tc>
              <w:tc>
                <w:tcPr>
                  <w:tcW w:w="1754" w:type="dxa"/>
                  <w:tcBorders>
                    <w:tl2br w:val="nil"/>
                    <w:tr2bl w:val="nil"/>
                  </w:tcBorders>
                  <w:noWrap w:val="0"/>
                  <w:vAlign w:val="center"/>
                </w:tcPr>
                <w:p>
                  <w:pPr>
                    <w:pStyle w:val="70"/>
                    <w:bidi w:val="0"/>
                    <w:rPr>
                      <w:rFonts w:hint="default"/>
                      <w:lang w:val="en-US" w:eastAsia="zh-CN"/>
                    </w:rPr>
                  </w:pPr>
                  <w:r>
                    <w:rPr>
                      <w:rFonts w:hint="eastAsia"/>
                      <w:lang w:val="en-US" w:eastAsia="zh-CN"/>
                    </w:rPr>
                    <w:t>合计</w:t>
                  </w:r>
                </w:p>
              </w:tc>
              <w:tc>
                <w:tcPr>
                  <w:tcW w:w="1507" w:type="dxa"/>
                  <w:tcBorders>
                    <w:tl2br w:val="nil"/>
                    <w:tr2bl w:val="nil"/>
                  </w:tcBorders>
                  <w:noWrap w:val="0"/>
                  <w:vAlign w:val="center"/>
                </w:tcPr>
                <w:p>
                  <w:pPr>
                    <w:pStyle w:val="70"/>
                    <w:bidi w:val="0"/>
                    <w:rPr>
                      <w:rFonts w:hint="default"/>
                      <w:lang w:val="en-US" w:eastAsia="zh-CN"/>
                    </w:rPr>
                  </w:pPr>
                  <w:r>
                    <w:rPr>
                      <w:rFonts w:hint="eastAsia"/>
                      <w:lang w:val="en-US" w:eastAsia="zh-CN"/>
                    </w:rPr>
                    <w:t>200000</w:t>
                  </w:r>
                </w:p>
              </w:tc>
              <w:tc>
                <w:tcPr>
                  <w:tcW w:w="1246" w:type="dxa"/>
                  <w:tcBorders>
                    <w:tl2br w:val="nil"/>
                    <w:tr2bl w:val="nil"/>
                  </w:tcBorders>
                  <w:noWrap w:val="0"/>
                  <w:vAlign w:val="center"/>
                </w:tcPr>
                <w:p>
                  <w:pPr>
                    <w:pStyle w:val="70"/>
                    <w:bidi w:val="0"/>
                    <w:rPr>
                      <w:rFonts w:hint="default"/>
                      <w:lang w:val="en-US" w:eastAsia="zh-CN"/>
                    </w:rPr>
                  </w:pPr>
                  <w:r>
                    <w:rPr>
                      <w:rFonts w:hint="eastAsia"/>
                      <w:lang w:val="en-US" w:eastAsia="zh-CN"/>
                    </w:rPr>
                    <w:t>/</w:t>
                  </w:r>
                </w:p>
              </w:tc>
            </w:tr>
          </w:tbl>
          <w:p>
            <w:pPr>
              <w:pStyle w:val="65"/>
            </w:pPr>
            <w:r>
              <w:rPr>
                <w:rFonts w:hint="eastAsia"/>
              </w:rPr>
              <w:t>表2.5-</w:t>
            </w:r>
            <w:r>
              <w:rPr>
                <w:rFonts w:hint="eastAsia"/>
                <w:lang w:val="en-US" w:eastAsia="zh-CN"/>
              </w:rPr>
              <w:t>3</w:t>
            </w:r>
            <w:r>
              <w:rPr>
                <w:rFonts w:hint="eastAsia"/>
              </w:rPr>
              <w:t xml:space="preserve">   天然气成分表一览</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282"/>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序号</w:t>
                  </w:r>
                </w:p>
              </w:tc>
              <w:tc>
                <w:tcPr>
                  <w:tcW w:w="2555" w:type="pct"/>
                  <w:vAlign w:val="center"/>
                </w:tcPr>
                <w:p>
                  <w:pPr>
                    <w:pStyle w:val="70"/>
                  </w:pPr>
                  <w:r>
                    <w:rPr>
                      <w:rFonts w:hint="eastAsia"/>
                    </w:rPr>
                    <w:t>检验项目</w:t>
                  </w:r>
                </w:p>
              </w:tc>
              <w:tc>
                <w:tcPr>
                  <w:tcW w:w="1916" w:type="pct"/>
                  <w:vAlign w:val="center"/>
                </w:tcPr>
                <w:p>
                  <w:pPr>
                    <w:pStyle w:val="70"/>
                  </w:pPr>
                  <w:r>
                    <w:rPr>
                      <w:rFonts w:hint="eastAsia"/>
                    </w:rPr>
                    <w:t>检验值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1</w:t>
                  </w:r>
                </w:p>
              </w:tc>
              <w:tc>
                <w:tcPr>
                  <w:tcW w:w="2555" w:type="pct"/>
                  <w:vAlign w:val="center"/>
                </w:tcPr>
                <w:p>
                  <w:pPr>
                    <w:pStyle w:val="70"/>
                  </w:pPr>
                  <w:r>
                    <w:rPr>
                      <w:rFonts w:hint="eastAsia"/>
                    </w:rPr>
                    <w:t>甲烷（摩尔分数）/%</w:t>
                  </w:r>
                </w:p>
              </w:tc>
              <w:tc>
                <w:tcPr>
                  <w:tcW w:w="1916" w:type="pct"/>
                  <w:vAlign w:val="center"/>
                </w:tcPr>
                <w:p>
                  <w:pPr>
                    <w:pStyle w:val="70"/>
                  </w:pPr>
                  <w:r>
                    <w:rPr>
                      <w:rFonts w:hint="eastAsia"/>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2</w:t>
                  </w:r>
                </w:p>
              </w:tc>
              <w:tc>
                <w:tcPr>
                  <w:tcW w:w="2555" w:type="pct"/>
                  <w:vAlign w:val="center"/>
                </w:tcPr>
                <w:p>
                  <w:pPr>
                    <w:pStyle w:val="70"/>
                  </w:pPr>
                  <w:r>
                    <w:rPr>
                      <w:rFonts w:hint="eastAsia"/>
                    </w:rPr>
                    <w:t>乙烷（摩尔分数）/%</w:t>
                  </w:r>
                </w:p>
              </w:tc>
              <w:tc>
                <w:tcPr>
                  <w:tcW w:w="1916" w:type="pct"/>
                  <w:vAlign w:val="center"/>
                </w:tcPr>
                <w:p>
                  <w:pPr>
                    <w:pStyle w:val="70"/>
                  </w:pPr>
                  <w:r>
                    <w:rPr>
                      <w:rFonts w:hint="eastAsia"/>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3</w:t>
                  </w:r>
                </w:p>
              </w:tc>
              <w:tc>
                <w:tcPr>
                  <w:tcW w:w="2555" w:type="pct"/>
                  <w:vAlign w:val="center"/>
                </w:tcPr>
                <w:p>
                  <w:pPr>
                    <w:pStyle w:val="70"/>
                  </w:pPr>
                  <w:r>
                    <w:rPr>
                      <w:rFonts w:hint="eastAsia"/>
                    </w:rPr>
                    <w:t>丙烷（摩尔分数）/%</w:t>
                  </w:r>
                </w:p>
              </w:tc>
              <w:tc>
                <w:tcPr>
                  <w:tcW w:w="1916" w:type="pct"/>
                  <w:vAlign w:val="center"/>
                </w:tcPr>
                <w:p>
                  <w:pPr>
                    <w:pStyle w:val="70"/>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4</w:t>
                  </w:r>
                </w:p>
              </w:tc>
              <w:tc>
                <w:tcPr>
                  <w:tcW w:w="2555" w:type="pct"/>
                  <w:vAlign w:val="center"/>
                </w:tcPr>
                <w:p>
                  <w:pPr>
                    <w:pStyle w:val="70"/>
                  </w:pPr>
                  <w:r>
                    <w:rPr>
                      <w:rFonts w:hint="eastAsia"/>
                    </w:rPr>
                    <w:t>正丁烷（摩尔分数）/%</w:t>
                  </w:r>
                </w:p>
              </w:tc>
              <w:tc>
                <w:tcPr>
                  <w:tcW w:w="1916" w:type="pct"/>
                  <w:vAlign w:val="center"/>
                </w:tcPr>
                <w:p>
                  <w:pPr>
                    <w:pStyle w:val="70"/>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5</w:t>
                  </w:r>
                </w:p>
              </w:tc>
              <w:tc>
                <w:tcPr>
                  <w:tcW w:w="2555" w:type="pct"/>
                  <w:vAlign w:val="center"/>
                </w:tcPr>
                <w:p>
                  <w:pPr>
                    <w:pStyle w:val="70"/>
                  </w:pPr>
                  <w:r>
                    <w:rPr>
                      <w:rFonts w:hint="eastAsia"/>
                    </w:rPr>
                    <w:t>异丁烷（摩尔分数）/%</w:t>
                  </w:r>
                </w:p>
              </w:tc>
              <w:tc>
                <w:tcPr>
                  <w:tcW w:w="1916" w:type="pct"/>
                  <w:vAlign w:val="center"/>
                </w:tcPr>
                <w:p>
                  <w:pPr>
                    <w:pStyle w:val="70"/>
                  </w:pPr>
                  <w:r>
                    <w:rPr>
                      <w:rFonts w:hint="eastAsia"/>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6</w:t>
                  </w:r>
                </w:p>
              </w:tc>
              <w:tc>
                <w:tcPr>
                  <w:tcW w:w="2555" w:type="pct"/>
                  <w:vAlign w:val="center"/>
                </w:tcPr>
                <w:p>
                  <w:pPr>
                    <w:pStyle w:val="70"/>
                  </w:pPr>
                  <w:r>
                    <w:rPr>
                      <w:rFonts w:hint="eastAsia"/>
                    </w:rPr>
                    <w:t>正戊烷（摩尔分数）/%</w:t>
                  </w:r>
                </w:p>
              </w:tc>
              <w:tc>
                <w:tcPr>
                  <w:tcW w:w="1916" w:type="pct"/>
                  <w:vAlign w:val="center"/>
                </w:tcPr>
                <w:p>
                  <w:pPr>
                    <w:pStyle w:val="70"/>
                    <w:rPr>
                      <w:rFonts w:hint="eastAsia" w:eastAsia="宋体"/>
                      <w:lang w:eastAsia="zh-CN"/>
                    </w:rPr>
                  </w:pPr>
                  <w:r>
                    <w:rPr>
                      <w:rFonts w:hint="eastAsia"/>
                    </w:rPr>
                    <w:t>未检出</w:t>
                  </w:r>
                  <w:r>
                    <w:rPr>
                      <w:rFonts w:hint="eastAsia"/>
                      <w:lang w:eastAsia="zh-CN"/>
                    </w:rPr>
                    <w:t>（</w:t>
                  </w:r>
                  <w:r>
                    <w:rPr>
                      <w:rFonts w:hint="eastAsia"/>
                    </w:rPr>
                    <w:t>&lt;0.01</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7</w:t>
                  </w:r>
                </w:p>
              </w:tc>
              <w:tc>
                <w:tcPr>
                  <w:tcW w:w="2555" w:type="pct"/>
                  <w:vAlign w:val="center"/>
                </w:tcPr>
                <w:p>
                  <w:pPr>
                    <w:pStyle w:val="70"/>
                  </w:pPr>
                  <w:r>
                    <w:rPr>
                      <w:rFonts w:hint="eastAsia"/>
                    </w:rPr>
                    <w:t>异戊烷（摩尔分数）/%</w:t>
                  </w:r>
                </w:p>
              </w:tc>
              <w:tc>
                <w:tcPr>
                  <w:tcW w:w="1916" w:type="pct"/>
                  <w:vAlign w:val="center"/>
                </w:tcPr>
                <w:p>
                  <w:pPr>
                    <w:pStyle w:val="70"/>
                    <w:rPr>
                      <w:rFonts w:hint="eastAsia" w:eastAsia="宋体"/>
                      <w:lang w:eastAsia="zh-CN"/>
                    </w:rPr>
                  </w:pPr>
                  <w:r>
                    <w:rPr>
                      <w:rFonts w:hint="eastAsia"/>
                    </w:rPr>
                    <w:t>未检出</w:t>
                  </w:r>
                  <w:r>
                    <w:rPr>
                      <w:rFonts w:hint="eastAsia"/>
                      <w:lang w:eastAsia="zh-CN"/>
                    </w:rPr>
                    <w:t>（</w:t>
                  </w:r>
                  <w:r>
                    <w:rPr>
                      <w:rFonts w:hint="eastAsia"/>
                    </w:rPr>
                    <w:t>&lt;0.01</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8</w:t>
                  </w:r>
                </w:p>
              </w:tc>
              <w:tc>
                <w:tcPr>
                  <w:tcW w:w="2555" w:type="pct"/>
                  <w:vAlign w:val="center"/>
                </w:tcPr>
                <w:p>
                  <w:pPr>
                    <w:pStyle w:val="70"/>
                  </w:pPr>
                  <w:r>
                    <w:rPr>
                      <w:rFonts w:hint="eastAsia"/>
                    </w:rPr>
                    <w:t>C6（摩尔分数）/%</w:t>
                  </w:r>
                </w:p>
              </w:tc>
              <w:tc>
                <w:tcPr>
                  <w:tcW w:w="1916" w:type="pct"/>
                  <w:vAlign w:val="center"/>
                </w:tcPr>
                <w:p>
                  <w:pPr>
                    <w:pStyle w:val="70"/>
                    <w:rPr>
                      <w:rFonts w:hint="eastAsia" w:eastAsia="宋体"/>
                      <w:lang w:eastAsia="zh-CN"/>
                    </w:rPr>
                  </w:pPr>
                  <w:r>
                    <w:rPr>
                      <w:rFonts w:hint="eastAsia"/>
                    </w:rPr>
                    <w:t>未检出</w:t>
                  </w:r>
                  <w:r>
                    <w:rPr>
                      <w:rFonts w:hint="eastAsia"/>
                      <w:lang w:eastAsia="zh-CN"/>
                    </w:rPr>
                    <w:t>（</w:t>
                  </w:r>
                  <w:r>
                    <w:rPr>
                      <w:rFonts w:hint="eastAsia"/>
                    </w:rPr>
                    <w:t>&lt;0.01</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9</w:t>
                  </w:r>
                </w:p>
              </w:tc>
              <w:tc>
                <w:tcPr>
                  <w:tcW w:w="2555" w:type="pct"/>
                  <w:vAlign w:val="center"/>
                </w:tcPr>
                <w:p>
                  <w:pPr>
                    <w:pStyle w:val="70"/>
                  </w:pPr>
                  <w:r>
                    <w:rPr>
                      <w:rFonts w:hint="eastAsia"/>
                    </w:rPr>
                    <w:t>氧气（摩尔分数）/%</w:t>
                  </w:r>
                </w:p>
              </w:tc>
              <w:tc>
                <w:tcPr>
                  <w:tcW w:w="1916" w:type="pct"/>
                  <w:vAlign w:val="center"/>
                </w:tcPr>
                <w:p>
                  <w:pPr>
                    <w:pStyle w:val="70"/>
                    <w:rPr>
                      <w:rFonts w:hint="eastAsia" w:eastAsia="宋体"/>
                      <w:lang w:eastAsia="zh-CN"/>
                    </w:rPr>
                  </w:pPr>
                  <w:r>
                    <w:rPr>
                      <w:rFonts w:hint="eastAsia"/>
                    </w:rPr>
                    <w:t>未检出</w:t>
                  </w:r>
                  <w:r>
                    <w:rPr>
                      <w:rFonts w:hint="eastAsia"/>
                      <w:lang w:eastAsia="zh-CN"/>
                    </w:rPr>
                    <w:t>（</w:t>
                  </w:r>
                  <w:r>
                    <w:rPr>
                      <w:rFonts w:hint="eastAsia"/>
                    </w:rPr>
                    <w:t>&lt;0.01</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10</w:t>
                  </w:r>
                </w:p>
              </w:tc>
              <w:tc>
                <w:tcPr>
                  <w:tcW w:w="2555" w:type="pct"/>
                  <w:vAlign w:val="center"/>
                </w:tcPr>
                <w:p>
                  <w:pPr>
                    <w:pStyle w:val="70"/>
                  </w:pPr>
                  <w:r>
                    <w:rPr>
                      <w:rFonts w:hint="eastAsia"/>
                    </w:rPr>
                    <w:t>氮气（摩尔分数）/%</w:t>
                  </w:r>
                </w:p>
              </w:tc>
              <w:tc>
                <w:tcPr>
                  <w:tcW w:w="1916" w:type="pct"/>
                  <w:vAlign w:val="center"/>
                </w:tcPr>
                <w:p>
                  <w:pPr>
                    <w:pStyle w:val="70"/>
                    <w:rPr>
                      <w:rFonts w:hint="eastAsia" w:eastAsia="宋体"/>
                      <w:lang w:eastAsia="zh-CN"/>
                    </w:rPr>
                  </w:pPr>
                  <w:r>
                    <w:rPr>
                      <w:rFonts w:hint="eastAsia"/>
                    </w:rPr>
                    <w:t>未检出</w:t>
                  </w:r>
                  <w:r>
                    <w:rPr>
                      <w:rFonts w:hint="eastAsia"/>
                      <w:lang w:eastAsia="zh-CN"/>
                    </w:rPr>
                    <w:t>（</w:t>
                  </w:r>
                  <w:r>
                    <w:rPr>
                      <w:rFonts w:hint="eastAsia"/>
                    </w:rPr>
                    <w:t>&lt;0.01</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11</w:t>
                  </w:r>
                </w:p>
              </w:tc>
              <w:tc>
                <w:tcPr>
                  <w:tcW w:w="2555" w:type="pct"/>
                  <w:vAlign w:val="center"/>
                </w:tcPr>
                <w:p>
                  <w:pPr>
                    <w:pStyle w:val="70"/>
                  </w:pPr>
                  <w:r>
                    <w:rPr>
                      <w:rFonts w:hint="eastAsia"/>
                    </w:rPr>
                    <w:t>二氧化碳（摩尔分数）/%</w:t>
                  </w:r>
                </w:p>
              </w:tc>
              <w:tc>
                <w:tcPr>
                  <w:tcW w:w="1916" w:type="pct"/>
                  <w:vAlign w:val="center"/>
                </w:tcPr>
                <w:p>
                  <w:pPr>
                    <w:pStyle w:val="70"/>
                    <w:rPr>
                      <w:rFonts w:hint="eastAsia" w:eastAsia="宋体"/>
                      <w:lang w:eastAsia="zh-CN"/>
                    </w:rPr>
                  </w:pPr>
                  <w:r>
                    <w:rPr>
                      <w:rFonts w:hint="eastAsia"/>
                    </w:rPr>
                    <w:t>未检出</w:t>
                  </w:r>
                  <w:r>
                    <w:rPr>
                      <w:rFonts w:hint="eastAsia"/>
                      <w:lang w:eastAsia="zh-CN"/>
                    </w:rPr>
                    <w:t>（</w:t>
                  </w:r>
                  <w:r>
                    <w:rPr>
                      <w:rFonts w:hint="eastAsia"/>
                    </w:rPr>
                    <w:t>&lt;0.01</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12</w:t>
                  </w:r>
                </w:p>
              </w:tc>
              <w:tc>
                <w:tcPr>
                  <w:tcW w:w="2555" w:type="pct"/>
                  <w:vAlign w:val="center"/>
                </w:tcPr>
                <w:p>
                  <w:pPr>
                    <w:pStyle w:val="70"/>
                  </w:pPr>
                  <w:r>
                    <w:rPr>
                      <w:rFonts w:hint="eastAsia"/>
                    </w:rPr>
                    <w:t>低位发热量/（MJ/m</w:t>
                  </w:r>
                  <w:r>
                    <w:rPr>
                      <w:rFonts w:hint="eastAsia"/>
                      <w:vertAlign w:val="superscript"/>
                    </w:rPr>
                    <w:t>3</w:t>
                  </w:r>
                  <w:r>
                    <w:rPr>
                      <w:rFonts w:hint="eastAsia"/>
                    </w:rPr>
                    <w:t>）</w:t>
                  </w:r>
                </w:p>
              </w:tc>
              <w:tc>
                <w:tcPr>
                  <w:tcW w:w="1916" w:type="pct"/>
                  <w:vAlign w:val="center"/>
                </w:tcPr>
                <w:p>
                  <w:pPr>
                    <w:pStyle w:val="70"/>
                  </w:pPr>
                  <w:r>
                    <w:rPr>
                      <w:rFonts w:hint="eastAsia"/>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0"/>
                  </w:pPr>
                  <w:r>
                    <w:rPr>
                      <w:rFonts w:hint="eastAsia"/>
                    </w:rPr>
                    <w:t>13</w:t>
                  </w:r>
                </w:p>
              </w:tc>
              <w:tc>
                <w:tcPr>
                  <w:tcW w:w="2555" w:type="pct"/>
                  <w:vAlign w:val="center"/>
                </w:tcPr>
                <w:p>
                  <w:pPr>
                    <w:pStyle w:val="70"/>
                    <w:rPr>
                      <w:rFonts w:hint="eastAsia" w:eastAsia="宋体"/>
                      <w:lang w:eastAsia="zh-CN"/>
                    </w:rPr>
                  </w:pPr>
                  <w:r>
                    <w:rPr>
                      <w:rFonts w:hint="eastAsia"/>
                    </w:rPr>
                    <w:t>硫化氢</w:t>
                  </w:r>
                  <w:r>
                    <w:rPr>
                      <w:rFonts w:hint="eastAsia"/>
                      <w:lang w:eastAsia="zh-CN"/>
                    </w:rPr>
                    <w:t>（</w:t>
                  </w:r>
                  <w:r>
                    <w:rPr>
                      <w:rFonts w:hint="eastAsia"/>
                    </w:rPr>
                    <w:t>mg/m</w:t>
                  </w:r>
                  <w:r>
                    <w:rPr>
                      <w:rFonts w:hint="eastAsia"/>
                      <w:vertAlign w:val="superscript"/>
                    </w:rPr>
                    <w:t>3</w:t>
                  </w:r>
                  <w:r>
                    <w:rPr>
                      <w:rFonts w:hint="eastAsia"/>
                      <w:lang w:eastAsia="zh-CN"/>
                    </w:rPr>
                    <w:t>）</w:t>
                  </w:r>
                </w:p>
              </w:tc>
              <w:tc>
                <w:tcPr>
                  <w:tcW w:w="1916" w:type="pct"/>
                  <w:vAlign w:val="center"/>
                </w:tcPr>
                <w:p>
                  <w:pPr>
                    <w:pStyle w:val="70"/>
                  </w:pPr>
                  <w:r>
                    <w:rPr>
                      <w:rFonts w:hint="eastAsia"/>
                    </w:rPr>
                    <w:t>&lt;0.01</w:t>
                  </w:r>
                </w:p>
              </w:tc>
            </w:tr>
          </w:tbl>
          <w:p>
            <w:pPr>
              <w:pStyle w:val="65"/>
            </w:pPr>
            <w:r>
              <w:t>表</w:t>
            </w:r>
            <w:r>
              <w:rPr>
                <w:rFonts w:hint="eastAsia"/>
              </w:rPr>
              <w:t>2.5-</w:t>
            </w:r>
            <w:r>
              <w:rPr>
                <w:rFonts w:hint="eastAsia"/>
                <w:lang w:val="en-US" w:eastAsia="zh-CN"/>
              </w:rPr>
              <w:t>4</w:t>
            </w:r>
            <w:r>
              <w:rPr>
                <w:rFonts w:hint="eastAsia"/>
              </w:rPr>
              <w:t xml:space="preserve">  </w:t>
            </w:r>
            <w:r>
              <w:t xml:space="preserve"> </w:t>
            </w:r>
            <w:r>
              <w:rPr>
                <w:rFonts w:hint="eastAsia"/>
              </w:rPr>
              <w:t>辅料理化性质一览表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7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70"/>
                  </w:pPr>
                  <w:r>
                    <w:rPr>
                      <w:rFonts w:hint="eastAsia"/>
                    </w:rPr>
                    <w:t>化学名称</w:t>
                  </w:r>
                </w:p>
              </w:tc>
              <w:tc>
                <w:tcPr>
                  <w:tcW w:w="7085" w:type="dxa"/>
                  <w:vAlign w:val="center"/>
                </w:tcPr>
                <w:p>
                  <w:pPr>
                    <w:pStyle w:val="70"/>
                  </w:pPr>
                  <w:r>
                    <w:rPr>
                      <w:rFonts w:hint="eastAsia"/>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70"/>
                  </w:pPr>
                  <w:r>
                    <w:rPr>
                      <w:rFonts w:hint="eastAsia"/>
                    </w:rPr>
                    <w:t>玉米</w:t>
                  </w:r>
                </w:p>
              </w:tc>
              <w:tc>
                <w:tcPr>
                  <w:tcW w:w="7085" w:type="dxa"/>
                  <w:vAlign w:val="center"/>
                </w:tcPr>
                <w:p>
                  <w:pPr>
                    <w:pStyle w:val="70"/>
                  </w:pPr>
                  <w:r>
                    <w:t>玉米作为饲料原料，具有高能量、适口性好、富含淀粉，蛋白质含量较低，是性价比高的基础饲料，广泛用于家禽、猪和反刍动物的饲料配方中。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70"/>
                  </w:pPr>
                  <w:r>
                    <w:t>豆粕</w:t>
                  </w:r>
                </w:p>
              </w:tc>
              <w:tc>
                <w:tcPr>
                  <w:tcW w:w="7085" w:type="dxa"/>
                  <w:vAlign w:val="center"/>
                </w:tcPr>
                <w:p>
                  <w:pPr>
                    <w:pStyle w:val="70"/>
                  </w:pPr>
                  <w:r>
                    <w:t>豆粕是大豆提取豆油后得到的一种副</w:t>
                  </w:r>
                  <w:r>
                    <w:rPr>
                      <w:rFonts w:hint="eastAsia"/>
                    </w:rPr>
                    <w:t>产品，主要来自豆油生产企业。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70"/>
                  </w:pPr>
                  <w:r>
                    <w:rPr>
                      <w:rFonts w:hint="eastAsia"/>
                    </w:rPr>
                    <w:t>棉粕</w:t>
                  </w:r>
                </w:p>
              </w:tc>
              <w:tc>
                <w:tcPr>
                  <w:tcW w:w="7085" w:type="dxa"/>
                  <w:vAlign w:val="center"/>
                </w:tcPr>
                <w:p>
                  <w:pPr>
                    <w:pStyle w:val="70"/>
                  </w:pPr>
                  <w:r>
                    <w:t>棉籽</w:t>
                  </w:r>
                  <w:r>
                    <w:rPr>
                      <w:rFonts w:hint="eastAsia"/>
                    </w:rPr>
                    <w:t>经过压榨、浸出等工艺得到的一种微红或黄色的颗粒状物品，是制作饲料的主要原料，含有的粗蛋白可达</w:t>
                  </w:r>
                  <w:r>
                    <w:t>40%</w:t>
                  </w:r>
                  <w:r>
                    <w:rPr>
                      <w:rFonts w:hint="eastAsia"/>
                    </w:rPr>
                    <w:t>以上。主要来自食用植物油生产企业。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70"/>
                  </w:pPr>
                  <w:r>
                    <w:rPr>
                      <w:rFonts w:hint="eastAsia"/>
                    </w:rPr>
                    <w:t>牧草</w:t>
                  </w:r>
                </w:p>
              </w:tc>
              <w:tc>
                <w:tcPr>
                  <w:tcW w:w="7085" w:type="dxa"/>
                  <w:vAlign w:val="center"/>
                </w:tcPr>
                <w:p>
                  <w:pPr>
                    <w:pStyle w:val="70"/>
                  </w:pPr>
                  <w:r>
                    <w:t>牧草富含纤维、蛋白质和矿物质，其中豆科牧草蛋白质含量较高（干重的20%-40%），禾本科牧草相对较低（约15%以下）。牧草还含有淀粉、脂肪和无氮浸出物，能量价值因品种而异。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70"/>
                  </w:pPr>
                  <w:r>
                    <w:rPr>
                      <w:rFonts w:hint="eastAsia"/>
                    </w:rPr>
                    <w:t>秸秆</w:t>
                  </w:r>
                </w:p>
              </w:tc>
              <w:tc>
                <w:tcPr>
                  <w:tcW w:w="7085" w:type="dxa"/>
                  <w:vAlign w:val="center"/>
                </w:tcPr>
                <w:p>
                  <w:pPr>
                    <w:pStyle w:val="70"/>
                  </w:pPr>
                  <w:r>
                    <w:t>秸秆的理化性质主要包括其物理特性和化学成分。物理上，秸秆松散、体积大、密度小，具有一定的弹性和机械强度。化学上，主要由纤维素、半纤维素、木质素、少量粗蛋白和无机盐组成。纤维素含量约40%-50%，木质素约20%，化学性质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Align w:val="center"/>
                </w:tcPr>
                <w:p>
                  <w:pPr>
                    <w:pStyle w:val="70"/>
                  </w:pPr>
                  <w:r>
                    <w:t>麸皮</w:t>
                  </w:r>
                </w:p>
              </w:tc>
              <w:tc>
                <w:tcPr>
                  <w:tcW w:w="7085" w:type="dxa"/>
                  <w:vAlign w:val="center"/>
                </w:tcPr>
                <w:p>
                  <w:pPr>
                    <w:pStyle w:val="70"/>
                  </w:pPr>
                  <w:r>
                    <w:t>麸皮是小麦加工的副产品，具有丰富的膳食纤维、蛋白质、脂肪、淀粉、维生素和矿物质。麸皮的纤维基质结构随粒径减小而破坏，不溶性膳食纤维向可溶性转化。其化学成分因加工工艺不同而存在变异。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Align w:val="center"/>
                </w:tcPr>
                <w:p>
                  <w:pPr>
                    <w:pStyle w:val="70"/>
                  </w:pPr>
                  <w:r>
                    <w:t>棉籽壳</w:t>
                  </w:r>
                </w:p>
              </w:tc>
              <w:tc>
                <w:tcPr>
                  <w:tcW w:w="7085" w:type="dxa"/>
                  <w:vAlign w:val="center"/>
                </w:tcPr>
                <w:p>
                  <w:pPr>
                    <w:pStyle w:val="70"/>
                  </w:pPr>
                  <w:r>
                    <w:t>棉籽壳是棉籽取仁后剩余的壳和短棉绒组成，富含纤维素（30%-45%）、半纤维素（15%-25%）和木质素，碳氮比为79-85:1，偏碱性。其质地外松内实，透气性好，蓄水性强。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Align w:val="center"/>
                </w:tcPr>
                <w:p>
                  <w:pPr>
                    <w:pStyle w:val="70"/>
                  </w:pPr>
                  <w:r>
                    <w:rPr>
                      <w:rFonts w:hint="eastAsia"/>
                    </w:rPr>
                    <w:t>菌剂</w:t>
                  </w:r>
                </w:p>
              </w:tc>
              <w:tc>
                <w:tcPr>
                  <w:tcW w:w="7085" w:type="dxa"/>
                  <w:vAlign w:val="center"/>
                </w:tcPr>
                <w:p>
                  <w:pPr>
                    <w:pStyle w:val="70"/>
                  </w:pPr>
                  <w:r>
                    <w:t>饲料配方中的菌剂主要用于改善动物肠道健康、提高饲料利用率和减少环境污染。常见的菌剂包括乳酸菌、芽孢杆菌、酵母菌等，这些菌种可通过生物夺氧、竞争性抑制病原菌等方式维持肠道微生态平衡，增强动物免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Align w:val="center"/>
                </w:tcPr>
                <w:p>
                  <w:pPr>
                    <w:pStyle w:val="70"/>
                  </w:pPr>
                  <w:r>
                    <w:rPr>
                      <w:rFonts w:hint="eastAsia"/>
                    </w:rPr>
                    <w:t>预混料</w:t>
                  </w:r>
                </w:p>
              </w:tc>
              <w:tc>
                <w:tcPr>
                  <w:tcW w:w="7085" w:type="dxa"/>
                  <w:vAlign w:val="center"/>
                </w:tcPr>
                <w:p>
                  <w:pPr>
                    <w:pStyle w:val="70"/>
                  </w:pPr>
                  <w:r>
                    <w:t>预混料是将多种微量添加剂（如维生素、矿物质、氨基酸、促生长剂等）与载体或稀释剂按一定比例混合而成的匀质混合物。它在配合饲料中用量少（通常为0.5%-5%），但作用大，可补充营养、促进动物生长、提高饲料利用率和改善产品质量。预混料按用途可分为单项预混料和复合预混料，前者针对单一添加剂，后者包含多种添加剂。与菌剂相比，预混料主要提供营养和改善饲料性能，而菌剂侧重于调节动物肠道微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70"/>
                  </w:pPr>
                  <w:r>
                    <w:rPr>
                      <w:rFonts w:hint="eastAsia"/>
                    </w:rPr>
                    <w:t>油脂</w:t>
                  </w:r>
                </w:p>
              </w:tc>
              <w:tc>
                <w:tcPr>
                  <w:tcW w:w="7085" w:type="dxa"/>
                  <w:vAlign w:val="center"/>
                </w:tcPr>
                <w:p>
                  <w:pPr>
                    <w:pStyle w:val="70"/>
                  </w:pPr>
                  <w:r>
                    <w:t>色泽：常带有特定色泽，由天然色素引起；气味：天然油脂都有一定的特有气味；熔点和凝固点：是一个温度范围，与脂肪酸组成有关油脂的晶型：</w:t>
                  </w:r>
                  <w:r>
                    <w:rPr>
                      <w:rFonts w:hint="eastAsia"/>
                    </w:rPr>
                    <w:t>存在</w:t>
                  </w:r>
                  <w:r>
                    <w:t>3-4种晶型，影响油脂的物理性质用于烹饪、食品加工等</w:t>
                  </w:r>
                </w:p>
              </w:tc>
            </w:tr>
          </w:tbl>
          <w:p>
            <w:pPr>
              <w:pStyle w:val="65"/>
            </w:pPr>
            <w:r>
              <w:t>表</w:t>
            </w:r>
            <w:r>
              <w:rPr>
                <w:rFonts w:hint="eastAsia"/>
              </w:rPr>
              <w:t>2.5-</w:t>
            </w:r>
            <w:r>
              <w:rPr>
                <w:rFonts w:hint="eastAsia"/>
                <w:lang w:val="en-US" w:eastAsia="zh-CN"/>
              </w:rPr>
              <w:t>5</w:t>
            </w:r>
            <w:r>
              <w:rPr>
                <w:rFonts w:hint="eastAsia"/>
              </w:rPr>
              <w:t xml:space="preserve">   </w:t>
            </w:r>
            <w:r>
              <w:t>（</w:t>
            </w:r>
            <w:r>
              <w:rPr>
                <w:rFonts w:hint="eastAsia"/>
              </w:rPr>
              <w:t>天然气</w:t>
            </w:r>
            <w:r>
              <w:t>）理化性质一览表</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976"/>
              <w:gridCol w:w="2558"/>
              <w:gridCol w:w="1870"/>
              <w:gridCol w:w="2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restart"/>
                  <w:tcBorders>
                    <w:tl2br w:val="nil"/>
                    <w:tr2bl w:val="nil"/>
                  </w:tcBorders>
                  <w:vAlign w:val="center"/>
                </w:tcPr>
                <w:p>
                  <w:pPr>
                    <w:pStyle w:val="70"/>
                  </w:pPr>
                  <w:r>
                    <w:t>标识</w:t>
                  </w:r>
                </w:p>
              </w:tc>
              <w:tc>
                <w:tcPr>
                  <w:tcW w:w="2111" w:type="pct"/>
                  <w:gridSpan w:val="2"/>
                  <w:tcBorders>
                    <w:tl2br w:val="nil"/>
                    <w:tr2bl w:val="nil"/>
                  </w:tcBorders>
                  <w:vAlign w:val="center"/>
                </w:tcPr>
                <w:p>
                  <w:pPr>
                    <w:pStyle w:val="70"/>
                  </w:pPr>
                  <w:r>
                    <w:t>中文名：天然气（含甲烷，压缩的）</w:t>
                  </w:r>
                </w:p>
              </w:tc>
              <w:tc>
                <w:tcPr>
                  <w:tcW w:w="2495" w:type="pct"/>
                  <w:gridSpan w:val="2"/>
                  <w:tcBorders>
                    <w:tl2br w:val="nil"/>
                    <w:tr2bl w:val="nil"/>
                  </w:tcBorders>
                  <w:vAlign w:val="center"/>
                </w:tcPr>
                <w:p>
                  <w:pPr>
                    <w:pStyle w:val="70"/>
                  </w:pPr>
                  <w:r>
                    <w:t>英文名：methane；natural gas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2111" w:type="pct"/>
                  <w:gridSpan w:val="2"/>
                  <w:tcBorders>
                    <w:tl2br w:val="nil"/>
                    <w:tr2bl w:val="nil"/>
                  </w:tcBorders>
                  <w:vAlign w:val="center"/>
                </w:tcPr>
                <w:p>
                  <w:pPr>
                    <w:pStyle w:val="70"/>
                  </w:pPr>
                  <w:r>
                    <w:t>分子式：CH</w:t>
                  </w:r>
                  <w:r>
                    <w:rPr>
                      <w:vertAlign w:val="subscript"/>
                    </w:rPr>
                    <w:t>4</w:t>
                  </w:r>
                </w:p>
              </w:tc>
              <w:tc>
                <w:tcPr>
                  <w:tcW w:w="2495" w:type="pct"/>
                  <w:gridSpan w:val="2"/>
                  <w:tcBorders>
                    <w:tl2br w:val="nil"/>
                    <w:tr2bl w:val="nil"/>
                  </w:tcBorders>
                  <w:vAlign w:val="center"/>
                </w:tcPr>
                <w:p>
                  <w:pPr>
                    <w:pStyle w:val="70"/>
                  </w:pPr>
                  <w:r>
                    <w:t>分子量：16.04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2111" w:type="pct"/>
                  <w:gridSpan w:val="2"/>
                  <w:tcBorders>
                    <w:tl2br w:val="nil"/>
                    <w:tr2bl w:val="nil"/>
                  </w:tcBorders>
                  <w:vAlign w:val="center"/>
                </w:tcPr>
                <w:p>
                  <w:pPr>
                    <w:pStyle w:val="70"/>
                  </w:pPr>
                  <w:r>
                    <w:t>CAS号：74-82-8</w:t>
                  </w:r>
                </w:p>
              </w:tc>
              <w:tc>
                <w:tcPr>
                  <w:tcW w:w="1117" w:type="pct"/>
                  <w:tcBorders>
                    <w:tl2br w:val="nil"/>
                    <w:tr2bl w:val="nil"/>
                  </w:tcBorders>
                  <w:vAlign w:val="center"/>
                </w:tcPr>
                <w:p>
                  <w:pPr>
                    <w:pStyle w:val="70"/>
                  </w:pPr>
                  <w:r>
                    <w:t>UN编号：1971</w:t>
                  </w:r>
                </w:p>
              </w:tc>
              <w:tc>
                <w:tcPr>
                  <w:tcW w:w="1378" w:type="pct"/>
                  <w:tcBorders>
                    <w:tl2br w:val="nil"/>
                    <w:tr2bl w:val="nil"/>
                  </w:tcBorders>
                  <w:vAlign w:val="center"/>
                </w:tcPr>
                <w:p>
                  <w:pPr>
                    <w:pStyle w:val="70"/>
                  </w:pPr>
                  <w:r>
                    <w:t>危险货物编号：21007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restart"/>
                  <w:tcBorders>
                    <w:tl2br w:val="nil"/>
                    <w:tr2bl w:val="nil"/>
                  </w:tcBorders>
                  <w:vAlign w:val="center"/>
                </w:tcPr>
                <w:p>
                  <w:pPr>
                    <w:pStyle w:val="70"/>
                  </w:pPr>
                  <w:r>
                    <w:t>理化性质</w:t>
                  </w:r>
                </w:p>
              </w:tc>
              <w:tc>
                <w:tcPr>
                  <w:tcW w:w="2111" w:type="pct"/>
                  <w:gridSpan w:val="2"/>
                  <w:tcBorders>
                    <w:tl2br w:val="nil"/>
                    <w:tr2bl w:val="nil"/>
                  </w:tcBorders>
                  <w:vAlign w:val="center"/>
                </w:tcPr>
                <w:p>
                  <w:pPr>
                    <w:pStyle w:val="70"/>
                  </w:pPr>
                  <w:r>
                    <w:t>外观与性状：无色无臭气体</w:t>
                  </w:r>
                </w:p>
              </w:tc>
              <w:tc>
                <w:tcPr>
                  <w:tcW w:w="2495" w:type="pct"/>
                  <w:gridSpan w:val="2"/>
                  <w:tcBorders>
                    <w:tl2br w:val="nil"/>
                    <w:tr2bl w:val="nil"/>
                  </w:tcBorders>
                  <w:vAlign w:val="center"/>
                </w:tcPr>
                <w:p>
                  <w:pPr>
                    <w:pStyle w:val="70"/>
                  </w:pPr>
                  <w:r>
                    <w:t>溶解性：微溶于水，溶于醇、乙醚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2111" w:type="pct"/>
                  <w:gridSpan w:val="2"/>
                  <w:tcBorders>
                    <w:tl2br w:val="nil"/>
                    <w:tr2bl w:val="nil"/>
                  </w:tcBorders>
                  <w:vAlign w:val="center"/>
                </w:tcPr>
                <w:p>
                  <w:pPr>
                    <w:pStyle w:val="70"/>
                  </w:pPr>
                  <w:r>
                    <w:t>熔点（℃）：-182.5</w:t>
                  </w:r>
                </w:p>
              </w:tc>
              <w:tc>
                <w:tcPr>
                  <w:tcW w:w="2495" w:type="pct"/>
                  <w:gridSpan w:val="2"/>
                  <w:tcBorders>
                    <w:tl2br w:val="nil"/>
                    <w:tr2bl w:val="nil"/>
                  </w:tcBorders>
                  <w:vAlign w:val="center"/>
                </w:tcPr>
                <w:p>
                  <w:pPr>
                    <w:pStyle w:val="70"/>
                  </w:pPr>
                  <w:r>
                    <w:t>沸点（℃）：-161.5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2111" w:type="pct"/>
                  <w:gridSpan w:val="2"/>
                  <w:tcBorders>
                    <w:tl2br w:val="nil"/>
                    <w:tr2bl w:val="nil"/>
                  </w:tcBorders>
                  <w:vAlign w:val="center"/>
                </w:tcPr>
                <w:p>
                  <w:pPr>
                    <w:pStyle w:val="70"/>
                  </w:pPr>
                  <w:r>
                    <w:t>相对密度（水=1）：0.42g/cm</w:t>
                  </w:r>
                  <w:r>
                    <w:rPr>
                      <w:vertAlign w:val="superscript"/>
                    </w:rPr>
                    <w:t>3</w:t>
                  </w:r>
                </w:p>
              </w:tc>
              <w:tc>
                <w:tcPr>
                  <w:tcW w:w="2495" w:type="pct"/>
                  <w:gridSpan w:val="2"/>
                  <w:tcBorders>
                    <w:tl2br w:val="nil"/>
                    <w:tr2bl w:val="nil"/>
                  </w:tcBorders>
                  <w:vAlign w:val="center"/>
                </w:tcPr>
                <w:p>
                  <w:pPr>
                    <w:pStyle w:val="70"/>
                  </w:pPr>
                  <w:r>
                    <w:t>相对密度（空气=1）：0.55g/cm</w:t>
                  </w:r>
                  <w:r>
                    <w:rPr>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4606" w:type="pct"/>
                  <w:gridSpan w:val="4"/>
                  <w:tcBorders>
                    <w:tl2br w:val="nil"/>
                    <w:tr2bl w:val="nil"/>
                  </w:tcBorders>
                  <w:vAlign w:val="center"/>
                </w:tcPr>
                <w:p>
                  <w:pPr>
                    <w:pStyle w:val="70"/>
                  </w:pPr>
                  <w:r>
                    <w:t>饱和</w:t>
                  </w:r>
                  <w:r>
                    <w:rPr>
                      <w:rFonts w:hint="eastAsia"/>
                    </w:rPr>
                    <w:t>蒸汽</w:t>
                  </w:r>
                  <w:r>
                    <w:t>压（kPa）：53.32（-168.8℃）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restart"/>
                  <w:tcBorders>
                    <w:tl2br w:val="nil"/>
                    <w:tr2bl w:val="nil"/>
                  </w:tcBorders>
                  <w:vAlign w:val="center"/>
                </w:tcPr>
                <w:p>
                  <w:pPr>
                    <w:pStyle w:val="70"/>
                  </w:pPr>
                  <w:r>
                    <w:t>危险</w:t>
                  </w:r>
                </w:p>
                <w:p>
                  <w:pPr>
                    <w:pStyle w:val="70"/>
                  </w:pPr>
                  <w:r>
                    <w:t>特性</w:t>
                  </w:r>
                </w:p>
              </w:tc>
              <w:tc>
                <w:tcPr>
                  <w:tcW w:w="2111" w:type="pct"/>
                  <w:gridSpan w:val="2"/>
                  <w:tcBorders>
                    <w:tl2br w:val="nil"/>
                    <w:tr2bl w:val="nil"/>
                  </w:tcBorders>
                  <w:vAlign w:val="center"/>
                </w:tcPr>
                <w:p>
                  <w:pPr>
                    <w:pStyle w:val="70"/>
                  </w:pPr>
                  <w:r>
                    <w:t>危险性类别：易燃气体</w:t>
                  </w:r>
                </w:p>
              </w:tc>
              <w:tc>
                <w:tcPr>
                  <w:tcW w:w="2495" w:type="pct"/>
                  <w:gridSpan w:val="2"/>
                  <w:tcBorders>
                    <w:tl2br w:val="nil"/>
                    <w:tr2bl w:val="nil"/>
                  </w:tcBorders>
                  <w:vAlign w:val="center"/>
                </w:tcPr>
                <w:p>
                  <w:pPr>
                    <w:pStyle w:val="70"/>
                  </w:pPr>
                  <w:r>
                    <w:t>燃烧性：易燃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2111" w:type="pct"/>
                  <w:gridSpan w:val="2"/>
                  <w:tcBorders>
                    <w:tl2br w:val="nil"/>
                    <w:tr2bl w:val="nil"/>
                  </w:tcBorders>
                  <w:vAlign w:val="center"/>
                </w:tcPr>
                <w:p>
                  <w:pPr>
                    <w:pStyle w:val="70"/>
                  </w:pPr>
                  <w:r>
                    <w:t>引燃温度（℃）：537</w:t>
                  </w:r>
                </w:p>
              </w:tc>
              <w:tc>
                <w:tcPr>
                  <w:tcW w:w="2495" w:type="pct"/>
                  <w:gridSpan w:val="2"/>
                  <w:tcBorders>
                    <w:tl2br w:val="nil"/>
                    <w:tr2bl w:val="nil"/>
                  </w:tcBorders>
                  <w:vAlign w:val="center"/>
                </w:tcPr>
                <w:p>
                  <w:pPr>
                    <w:pStyle w:val="70"/>
                  </w:pPr>
                  <w:r>
                    <w:t>闪点（℃）：-188℃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2111" w:type="pct"/>
                  <w:gridSpan w:val="2"/>
                  <w:tcBorders>
                    <w:tl2br w:val="nil"/>
                    <w:tr2bl w:val="nil"/>
                  </w:tcBorders>
                  <w:vAlign w:val="center"/>
                </w:tcPr>
                <w:p>
                  <w:pPr>
                    <w:pStyle w:val="70"/>
                  </w:pPr>
                  <w:r>
                    <w:t>爆炸下限（%）：5.3</w:t>
                  </w:r>
                </w:p>
              </w:tc>
              <w:tc>
                <w:tcPr>
                  <w:tcW w:w="2495" w:type="pct"/>
                  <w:gridSpan w:val="2"/>
                  <w:tcBorders>
                    <w:tl2br w:val="nil"/>
                    <w:tr2bl w:val="nil"/>
                  </w:tcBorders>
                  <w:vAlign w:val="center"/>
                </w:tcPr>
                <w:p>
                  <w:pPr>
                    <w:pStyle w:val="70"/>
                  </w:pPr>
                  <w:r>
                    <w:t>爆炸上限（%）：15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4606" w:type="pct"/>
                  <w:gridSpan w:val="4"/>
                  <w:tcBorders>
                    <w:tl2br w:val="nil"/>
                    <w:tr2bl w:val="nil"/>
                  </w:tcBorders>
                  <w:vAlign w:val="center"/>
                </w:tcPr>
                <w:p>
                  <w:pPr>
                    <w:pStyle w:val="70"/>
                  </w:pPr>
                  <w:r>
                    <w:t>危险特性：易燃，与空气混合能形成爆炸性混合物，遇热源和明火有燃烧爆炸的危险。与五氧化溴、氯气、次氯酸、三氟化氮、液氧、二氟化氧及其它强氧化剂接触剧烈反应。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4606" w:type="pct"/>
                  <w:gridSpan w:val="4"/>
                  <w:tcBorders>
                    <w:tl2br w:val="nil"/>
                    <w:tr2bl w:val="nil"/>
                  </w:tcBorders>
                  <w:vAlign w:val="center"/>
                </w:tcPr>
                <w:p>
                  <w:pPr>
                    <w:pStyle w:val="70"/>
                  </w:pPr>
                  <w:r>
                    <w:t>灭火方法：切断气源。若不能立即切断气源，则不允许熄灭正在燃烧的气体。喷水冷却容器，可能的话将容器从火场移至空旷处。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4606" w:type="pct"/>
                  <w:gridSpan w:val="4"/>
                  <w:tcBorders>
                    <w:tl2br w:val="nil"/>
                    <w:tr2bl w:val="nil"/>
                  </w:tcBorders>
                  <w:vAlign w:val="center"/>
                </w:tcPr>
                <w:p>
                  <w:pPr>
                    <w:pStyle w:val="70"/>
                  </w:pPr>
                  <w:r>
                    <w:t>灭火剂：雾状水、泡沫、二氧化碳、干粉。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restart"/>
                  <w:tcBorders>
                    <w:tl2br w:val="nil"/>
                    <w:tr2bl w:val="nil"/>
                  </w:tcBorders>
                  <w:vAlign w:val="center"/>
                </w:tcPr>
                <w:p>
                  <w:pPr>
                    <w:pStyle w:val="70"/>
                  </w:pPr>
                  <w:r>
                    <w:t>健康</w:t>
                  </w:r>
                </w:p>
                <w:p>
                  <w:pPr>
                    <w:pStyle w:val="70"/>
                  </w:pPr>
                  <w:r>
                    <w:t>危害</w:t>
                  </w:r>
                </w:p>
              </w:tc>
              <w:tc>
                <w:tcPr>
                  <w:tcW w:w="4606" w:type="pct"/>
                  <w:gridSpan w:val="4"/>
                  <w:tcBorders>
                    <w:tl2br w:val="nil"/>
                    <w:tr2bl w:val="nil"/>
                  </w:tcBorders>
                  <w:vAlign w:val="center"/>
                </w:tcPr>
                <w:p>
                  <w:pPr>
                    <w:pStyle w:val="70"/>
                  </w:pPr>
                  <w:r>
                    <w:t>侵入途径：吸入。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4606" w:type="pct"/>
                  <w:gridSpan w:val="4"/>
                  <w:tcBorders>
                    <w:tl2br w:val="nil"/>
                    <w:tr2bl w:val="nil"/>
                  </w:tcBorders>
                  <w:vAlign w:val="center"/>
                </w:tcPr>
                <w:p>
                  <w:pPr>
                    <w:pStyle w:val="70"/>
                  </w:pPr>
                  <w:r>
                    <w:t>健康危害：甲烷对人基本无毒，但浓度过高时，使空气中氧含量明显降低，使人窒息。当空气中甲烷达25%~30%时，可引起头痛、头晕、乏力、注意力不集中、呼吸和心跳加速、共济失调。若不及时脱离，可致窒息死亡。皮肤接触液化本品，可致冻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4606" w:type="pct"/>
                  <w:gridSpan w:val="4"/>
                  <w:tcBorders>
                    <w:tl2br w:val="nil"/>
                    <w:tr2bl w:val="nil"/>
                  </w:tcBorders>
                  <w:vAlign w:val="center"/>
                </w:tcPr>
                <w:p>
                  <w:pPr>
                    <w:pStyle w:val="70"/>
                  </w:pPr>
                  <w:r>
                    <w:t>车间空气中有害物质的最高容许浓度 300mg/m</w:t>
                  </w:r>
                  <w:r>
                    <w:rPr>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4606" w:type="pct"/>
                  <w:gridSpan w:val="4"/>
                  <w:tcBorders>
                    <w:tl2br w:val="nil"/>
                    <w:tr2bl w:val="nil"/>
                  </w:tcBorders>
                  <w:vAlign w:val="center"/>
                </w:tcPr>
                <w:p>
                  <w:pPr>
                    <w:pStyle w:val="70"/>
                  </w:pPr>
                  <w:r>
                    <w:t>小鼠吸入42%浓度×60分钟，麻醉作用；兔吸入42%浓度×60分钟，麻醉作用。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l2br w:val="nil"/>
                    <w:tr2bl w:val="nil"/>
                  </w:tcBorders>
                  <w:vAlign w:val="center"/>
                </w:tcPr>
                <w:p>
                  <w:pPr>
                    <w:pStyle w:val="70"/>
                  </w:pPr>
                  <w:r>
                    <w:t>毒性：属微毒类。允许气体安全地扩散到大气中或当作燃料使用。有单纯性窒息作用，在高浓度时因缺氧窒息而引起中毒。空气中达到25%~30%出现头昏、呼吸加速、运动失调。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l2br w:val="nil"/>
                    <w:tr2bl w:val="nil"/>
                  </w:tcBorders>
                  <w:vAlign w:val="center"/>
                </w:tcPr>
                <w:p>
                  <w:pPr>
                    <w:pStyle w:val="70"/>
                  </w:pPr>
                  <w:r>
                    <w:t>泄漏紧急处理：迅速撤离泄漏污染区人员至上风处，并进行隔离，严格限制出入。切断火源。建议应急处理人员戴自给正压式呼吸器，穿消防防护服。尽可能切断泄漏源。合理通风，加速扩散。喷雾状水稀释、溶解。构筑围堤或挖坑收容产生的大量废水。如有可能，将漏出气用排风机送至空旷地方或装设适当喷头烧掉。也可以将漏气的容器移至空旷处，注意通风。漏气容器要妥善处理，修复、检验后再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l2br w:val="nil"/>
                    <w:tr2bl w:val="nil"/>
                  </w:tcBorders>
                  <w:vAlign w:val="center"/>
                </w:tcPr>
                <w:p>
                  <w:pPr>
                    <w:pStyle w:val="70"/>
                  </w:pPr>
                  <w:r>
                    <w:t>环境危害：管道天然气（即气体中的硫化氢含量&lt;20mg/Nm</w:t>
                  </w:r>
                  <w:r>
                    <w:rPr>
                      <w:rFonts w:hint="eastAsia"/>
                      <w:vertAlign w:val="superscript"/>
                      <w:lang w:val="en-US" w:eastAsia="zh-CN"/>
                    </w:rPr>
                    <w:t>3</w:t>
                  </w:r>
                  <w:r>
                    <w:t>）对环境不会产生什么影响，但天然气泄漏遇到火源而发生爆炸会对周围环境产生影响。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restart"/>
                  <w:tcBorders>
                    <w:tl2br w:val="nil"/>
                    <w:tr2bl w:val="nil"/>
                  </w:tcBorders>
                  <w:vAlign w:val="center"/>
                </w:tcPr>
                <w:p>
                  <w:pPr>
                    <w:pStyle w:val="70"/>
                  </w:pPr>
                  <w:r>
                    <w:t>急救</w:t>
                  </w:r>
                </w:p>
                <w:p>
                  <w:pPr>
                    <w:pStyle w:val="70"/>
                  </w:pPr>
                  <w:r>
                    <w:t>措施</w:t>
                  </w:r>
                </w:p>
              </w:tc>
              <w:tc>
                <w:tcPr>
                  <w:tcW w:w="583" w:type="pct"/>
                  <w:tcBorders>
                    <w:tl2br w:val="nil"/>
                    <w:tr2bl w:val="nil"/>
                  </w:tcBorders>
                  <w:vAlign w:val="center"/>
                </w:tcPr>
                <w:p>
                  <w:pPr>
                    <w:pStyle w:val="70"/>
                  </w:pPr>
                  <w:r>
                    <w:t>皮肤接触</w:t>
                  </w:r>
                </w:p>
              </w:tc>
              <w:tc>
                <w:tcPr>
                  <w:tcW w:w="4023" w:type="pct"/>
                  <w:gridSpan w:val="3"/>
                  <w:tcBorders>
                    <w:tl2br w:val="nil"/>
                    <w:tr2bl w:val="nil"/>
                  </w:tcBorders>
                  <w:vAlign w:val="center"/>
                </w:tcPr>
                <w:p>
                  <w:pPr>
                    <w:pStyle w:val="70"/>
                  </w:pPr>
                  <w:r>
                    <w:t>若有外伤，就医治疗。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pPr>
                    <w:pStyle w:val="70"/>
                  </w:pPr>
                </w:p>
              </w:tc>
              <w:tc>
                <w:tcPr>
                  <w:tcW w:w="583" w:type="pct"/>
                  <w:tcBorders>
                    <w:tl2br w:val="nil"/>
                    <w:tr2bl w:val="nil"/>
                  </w:tcBorders>
                  <w:vAlign w:val="center"/>
                </w:tcPr>
                <w:p>
                  <w:pPr>
                    <w:pStyle w:val="70"/>
                  </w:pPr>
                  <w:r>
                    <w:t>吸入</w:t>
                  </w:r>
                </w:p>
              </w:tc>
              <w:tc>
                <w:tcPr>
                  <w:tcW w:w="4023" w:type="pct"/>
                  <w:gridSpan w:val="3"/>
                  <w:tcBorders>
                    <w:tl2br w:val="nil"/>
                    <w:tr2bl w:val="nil"/>
                  </w:tcBorders>
                  <w:vAlign w:val="center"/>
                </w:tcPr>
                <w:p>
                  <w:pPr>
                    <w:pStyle w:val="70"/>
                  </w:pPr>
                  <w:r>
                    <w:t>迅速脱离现场至空气新鲜处。保持呼吸道通畅。如呼吸困难，给输氧。如呼吸停止，立即进行人工呼吸。就医。</w:t>
                  </w:r>
                </w:p>
              </w:tc>
            </w:tr>
          </w:tbl>
          <w:p>
            <w:pPr>
              <w:pStyle w:val="24"/>
              <w:ind w:firstLine="482"/>
            </w:pPr>
            <w:r>
              <w:t>2.</w:t>
            </w:r>
            <w:r>
              <w:rPr>
                <w:rFonts w:hint="eastAsia"/>
              </w:rPr>
              <w:t>6</w:t>
            </w:r>
            <w:r>
              <w:t>劳动定员及工作制度</w:t>
            </w:r>
          </w:p>
          <w:p>
            <w:pPr>
              <w:ind w:firstLine="480"/>
              <w:rPr>
                <w:rFonts w:eastAsia="仿宋"/>
                <w:sz w:val="21"/>
              </w:rPr>
            </w:pPr>
            <w:r>
              <w:rPr>
                <w:rFonts w:hint="eastAsia"/>
              </w:rPr>
              <w:t>本项</w:t>
            </w:r>
            <w:r>
              <w:t>目</w:t>
            </w:r>
            <w:r>
              <w:rPr>
                <w:rFonts w:hint="eastAsia"/>
              </w:rPr>
              <w:t>职工定员100人，</w:t>
            </w:r>
            <w:r>
              <w:rPr>
                <w:rFonts w:hint="eastAsia"/>
                <w:bCs/>
                <w:kern w:val="0"/>
                <w:szCs w:val="24"/>
              </w:rPr>
              <w:t>均不</w:t>
            </w:r>
            <w:r>
              <w:rPr>
                <w:bCs/>
                <w:kern w:val="0"/>
                <w:szCs w:val="24"/>
              </w:rPr>
              <w:t>在厂区内食宿</w:t>
            </w:r>
            <w:r>
              <w:rPr>
                <w:rFonts w:hint="eastAsia"/>
                <w:bCs/>
                <w:kern w:val="0"/>
                <w:szCs w:val="24"/>
              </w:rPr>
              <w:t>，</w:t>
            </w:r>
            <w:r>
              <w:rPr>
                <w:rFonts w:hint="eastAsia"/>
              </w:rPr>
              <w:t>全年工作时间</w:t>
            </w:r>
            <w:r>
              <w:t>300</w:t>
            </w:r>
            <w:r>
              <w:rPr>
                <w:rFonts w:hint="eastAsia"/>
              </w:rPr>
              <w:t>天，三班制，每班</w:t>
            </w:r>
            <w:r>
              <w:t>8h</w:t>
            </w:r>
            <w:r>
              <w:rPr>
                <w:rFonts w:hint="eastAsia"/>
              </w:rPr>
              <w:t>，全年7200</w:t>
            </w:r>
            <w:r>
              <w:t>h</w:t>
            </w:r>
            <w:r>
              <w:rPr>
                <w:rFonts w:hint="eastAsia"/>
              </w:rPr>
              <w:t>。</w:t>
            </w:r>
          </w:p>
          <w:p>
            <w:pPr>
              <w:pStyle w:val="24"/>
              <w:ind w:firstLine="482"/>
            </w:pPr>
            <w:r>
              <w:t>2.</w:t>
            </w:r>
            <w:r>
              <w:rPr>
                <w:rFonts w:hint="eastAsia"/>
              </w:rPr>
              <w:t>7</w:t>
            </w:r>
            <w:r>
              <w:t>公用工程</w:t>
            </w:r>
          </w:p>
          <w:p>
            <w:pPr>
              <w:adjustRightInd w:val="0"/>
              <w:snapToGrid w:val="0"/>
              <w:ind w:firstLine="482"/>
              <w:jc w:val="left"/>
              <w:rPr>
                <w:b/>
                <w:bCs/>
                <w:szCs w:val="24"/>
              </w:rPr>
            </w:pPr>
            <w:r>
              <w:rPr>
                <w:b/>
                <w:bCs/>
                <w:szCs w:val="24"/>
              </w:rPr>
              <w:t>2.</w:t>
            </w:r>
            <w:r>
              <w:rPr>
                <w:rFonts w:hint="eastAsia"/>
                <w:b/>
                <w:bCs/>
                <w:szCs w:val="24"/>
              </w:rPr>
              <w:t>7</w:t>
            </w:r>
            <w:r>
              <w:rPr>
                <w:b/>
                <w:bCs/>
                <w:szCs w:val="24"/>
              </w:rPr>
              <w:t>.1供水</w:t>
            </w:r>
          </w:p>
          <w:p>
            <w:pPr>
              <w:ind w:firstLine="480"/>
            </w:pPr>
            <w:r>
              <w:t>项目供水由园区供水管网接入，可满足项目用水需求。</w:t>
            </w:r>
          </w:p>
          <w:p>
            <w:pPr>
              <w:ind w:firstLine="480"/>
              <w:rPr>
                <w:rFonts w:ascii="Helvetica" w:hAnsi="Helvetica" w:eastAsia="Helvetica" w:cs="Helvetica"/>
                <w:color w:val="C00000"/>
                <w:spacing w:val="4"/>
                <w:shd w:val="clear" w:color="auto" w:fill="FFFFFF"/>
              </w:rPr>
            </w:pPr>
            <w:r>
              <w:rPr>
                <w:rFonts w:hint="eastAsia"/>
                <w:lang w:eastAsia="zh-CN"/>
              </w:rPr>
              <w:t>（</w:t>
            </w:r>
            <w:r>
              <w:rPr>
                <w:rFonts w:hint="eastAsia"/>
              </w:rPr>
              <w:t>1</w:t>
            </w:r>
            <w:r>
              <w:rPr>
                <w:rFonts w:hint="eastAsia"/>
                <w:lang w:eastAsia="zh-CN"/>
              </w:rPr>
              <w:t>）</w:t>
            </w:r>
            <w:r>
              <w:t>生产用水主要是锅炉用水，主要用于生产线制备蒸汽</w:t>
            </w:r>
            <w:r>
              <w:rPr>
                <w:rFonts w:hint="eastAsia"/>
              </w:rPr>
              <w:t>及生活供暖</w:t>
            </w:r>
            <w:r>
              <w:t>。根据业主提供数据，生产线的颗粒机必须加蒸汽，</w:t>
            </w:r>
            <w:r>
              <w:rPr>
                <w:rFonts w:hint="eastAsia"/>
              </w:rPr>
              <w:t>每吨颗粒饲料生产需要饱和蒸汽50</w:t>
            </w:r>
            <w:r>
              <w:t>kg</w:t>
            </w:r>
            <w:r>
              <w:rPr>
                <w:rFonts w:hint="eastAsia"/>
              </w:rPr>
              <w:t>，</w:t>
            </w:r>
            <w:r>
              <w:t>以控制产品含水率</w:t>
            </w:r>
            <w:r>
              <w:rPr>
                <w:rFonts w:hint="eastAsia"/>
              </w:rPr>
              <w:t>。</w:t>
            </w:r>
            <w:r>
              <w:t>项目年产</w:t>
            </w:r>
            <w:r>
              <w:rPr>
                <w:rFonts w:hint="eastAsia"/>
              </w:rPr>
              <w:t>40</w:t>
            </w:r>
            <w:r>
              <w:t>万吨颗粒饲料，则平均需要蒸汽</w:t>
            </w:r>
            <w:r>
              <w:rPr>
                <w:rFonts w:hint="eastAsia"/>
              </w:rPr>
              <w:t>2.78</w:t>
            </w:r>
            <w:r>
              <w:t>t/h，</w:t>
            </w:r>
            <w:r>
              <w:rPr>
                <w:rFonts w:hint="eastAsia"/>
              </w:rPr>
              <w:t>66</w:t>
            </w:r>
            <w:r>
              <w:t>t/d，2万</w:t>
            </w:r>
            <w:r>
              <w:rPr>
                <w:rFonts w:hint="eastAsia"/>
              </w:rPr>
              <w:t>t</w:t>
            </w:r>
            <w:r>
              <w:t>/a。因此需要建设</w:t>
            </w:r>
            <w:r>
              <w:rPr>
                <w:rFonts w:hint="eastAsia"/>
              </w:rPr>
              <w:t>3</w:t>
            </w:r>
            <w:r>
              <w:t>t/h</w:t>
            </w:r>
            <w:r>
              <w:rPr>
                <w:rFonts w:hint="eastAsia"/>
              </w:rPr>
              <w:t>燃气锅炉</w:t>
            </w:r>
            <w:r>
              <w:t>以满足生产线蒸汽供应。</w:t>
            </w:r>
          </w:p>
          <w:p>
            <w:pPr>
              <w:ind w:firstLine="480"/>
            </w:pPr>
            <w:r>
              <w:t>按锅炉满负荷</w:t>
            </w:r>
            <w:r>
              <w:rPr>
                <w:rFonts w:hint="eastAsia"/>
              </w:rPr>
              <w:t>3</w:t>
            </w:r>
            <w:r>
              <w:t>t/h计，项目锅炉用水量约为</w:t>
            </w:r>
            <w:r>
              <w:rPr>
                <w:rFonts w:hint="eastAsia"/>
              </w:rPr>
              <w:t>72</w:t>
            </w:r>
            <w:r>
              <w:t>m</w:t>
            </w:r>
            <w:r>
              <w:rPr>
                <w:rFonts w:hint="eastAsia"/>
                <w:vertAlign w:val="superscript"/>
              </w:rPr>
              <w:t>3</w:t>
            </w:r>
            <w:r>
              <w:t>/d。软水制备采用反渗透（RO）膜设备（离子交换树脂为损耗品，由设备厂家负责更换回收），软水制备率可达80%以上，则需要新鲜水</w:t>
            </w:r>
            <w:r>
              <w:rPr>
                <w:rFonts w:hint="eastAsia"/>
              </w:rPr>
              <w:t>90</w:t>
            </w:r>
            <w:r>
              <w:t>m</w:t>
            </w:r>
            <w:r>
              <w:rPr>
                <w:vertAlign w:val="superscript"/>
              </w:rPr>
              <w:t>3</w:t>
            </w:r>
            <w:r>
              <w:t>/d，</w:t>
            </w:r>
            <w:r>
              <w:rPr>
                <w:rFonts w:hint="eastAsia"/>
              </w:rPr>
              <w:t>3.24万</w:t>
            </w:r>
            <w:r>
              <w:t>m</w:t>
            </w:r>
            <w:r>
              <w:rPr>
                <w:vertAlign w:val="superscript"/>
              </w:rPr>
              <w:t>3</w:t>
            </w:r>
            <w:r>
              <w:t>/a。</w:t>
            </w:r>
          </w:p>
          <w:p>
            <w:pPr>
              <w:ind w:firstLine="480"/>
            </w:pPr>
            <w:r>
              <w:rPr>
                <w:rFonts w:hint="eastAsia"/>
                <w:lang w:eastAsia="zh-CN"/>
              </w:rPr>
              <w:t>（</w:t>
            </w:r>
            <w:r>
              <w:rPr>
                <w:rFonts w:hint="eastAsia"/>
              </w:rPr>
              <w:t>2</w:t>
            </w:r>
            <w:r>
              <w:rPr>
                <w:rFonts w:hint="eastAsia"/>
                <w:lang w:eastAsia="zh-CN"/>
              </w:rPr>
              <w:t>）</w:t>
            </w:r>
            <w:r>
              <w:t>劳动定员</w:t>
            </w:r>
            <w:r>
              <w:rPr>
                <w:rFonts w:hint="eastAsia"/>
              </w:rPr>
              <w:t>100</w:t>
            </w:r>
            <w:r>
              <w:t>人</w:t>
            </w:r>
            <w:r>
              <w:rPr>
                <w:rFonts w:hint="eastAsia"/>
              </w:rPr>
              <w:t>均不在厂内食宿</w:t>
            </w:r>
            <w:r>
              <w:t>，根据用水定额每人每天</w:t>
            </w:r>
            <w:r>
              <w:rPr>
                <w:rFonts w:hint="eastAsia"/>
              </w:rPr>
              <w:t>20</w:t>
            </w:r>
            <w:r>
              <w:t>L，则生活用水量为</w:t>
            </w:r>
            <w:r>
              <w:rPr>
                <w:rFonts w:hint="eastAsia"/>
              </w:rPr>
              <w:t>2</w:t>
            </w:r>
            <w:r>
              <w:t>m</w:t>
            </w:r>
            <w:r>
              <w:rPr>
                <w:vertAlign w:val="superscript"/>
              </w:rPr>
              <w:t>3</w:t>
            </w:r>
            <w:r>
              <w:t>/d</w:t>
            </w:r>
            <w:r>
              <w:rPr>
                <w:rFonts w:hint="eastAsia"/>
              </w:rPr>
              <w:t>，</w:t>
            </w:r>
            <w:r>
              <w:rPr>
                <w:rFonts w:hint="eastAsia"/>
                <w:lang w:val="en-US" w:eastAsia="zh-CN"/>
              </w:rPr>
              <w:t>600</w:t>
            </w:r>
            <w:r>
              <w:rPr>
                <w:rFonts w:hint="eastAsia"/>
              </w:rPr>
              <w:t>m</w:t>
            </w:r>
            <w:r>
              <w:rPr>
                <w:vertAlign w:val="superscript"/>
              </w:rPr>
              <w:t>3</w:t>
            </w:r>
            <w:r>
              <w:t>/</w:t>
            </w:r>
            <w:r>
              <w:rPr>
                <w:rFonts w:hint="eastAsia"/>
              </w:rPr>
              <w:t>a。</w:t>
            </w:r>
          </w:p>
          <w:p>
            <w:pPr>
              <w:ind w:firstLine="480"/>
            </w:pPr>
            <w:r>
              <w:rPr>
                <w:rFonts w:hint="eastAsia"/>
                <w:lang w:eastAsia="zh-CN"/>
              </w:rPr>
              <w:t>（</w:t>
            </w:r>
            <w:r>
              <w:rPr>
                <w:rFonts w:hint="eastAsia"/>
              </w:rPr>
              <w:t>3</w:t>
            </w:r>
            <w:r>
              <w:rPr>
                <w:rFonts w:hint="eastAsia"/>
                <w:lang w:eastAsia="zh-CN"/>
              </w:rPr>
              <w:t>）</w:t>
            </w:r>
            <w:r>
              <w:t>排水</w:t>
            </w:r>
          </w:p>
          <w:p>
            <w:pPr>
              <w:ind w:firstLine="480"/>
            </w:pPr>
            <w:r>
              <w:rPr>
                <w:rFonts w:hint="eastAsia"/>
              </w:rPr>
              <w:t>生产废水主要为软水制备设备排水18</w:t>
            </w:r>
            <w:r>
              <w:t>m</w:t>
            </w:r>
            <w:r>
              <w:rPr>
                <w:vertAlign w:val="superscript"/>
              </w:rPr>
              <w:t>3</w:t>
            </w:r>
            <w:r>
              <w:t>/d</w:t>
            </w:r>
            <w:r>
              <w:rPr>
                <w:rFonts w:hint="eastAsia"/>
              </w:rPr>
              <w:t>和</w:t>
            </w:r>
            <w:r>
              <w:rPr>
                <w:rFonts w:hint="eastAsia"/>
                <w:lang w:eastAsia="zh-CN"/>
              </w:rPr>
              <w:t>锅炉废水</w:t>
            </w:r>
            <w:r>
              <w:rPr>
                <w:rFonts w:hint="eastAsia"/>
              </w:rPr>
              <w:t>0.072</w:t>
            </w:r>
            <w:r>
              <w:t>m</w:t>
            </w:r>
            <w:r>
              <w:rPr>
                <w:vertAlign w:val="superscript"/>
              </w:rPr>
              <w:t>3</w:t>
            </w:r>
            <w:r>
              <w:t>/d</w:t>
            </w:r>
            <w:r>
              <w:rPr>
                <w:rFonts w:hint="eastAsia"/>
              </w:rPr>
              <w:t>（排污率按0.1%计），</w:t>
            </w:r>
            <w:r>
              <w:rPr>
                <w:rFonts w:hint="eastAsia"/>
                <w:lang w:eastAsia="zh-CN"/>
              </w:rPr>
              <w:t>锅炉废水</w:t>
            </w:r>
            <w:r>
              <w:rPr>
                <w:rFonts w:hint="eastAsia"/>
              </w:rPr>
              <w:t>和软水制备废水排入园区污水管网。项目工艺中颗粒饲料使用的蒸汽为控制产品含水率，不产生废水；</w:t>
            </w:r>
            <w:r>
              <w:t>青（黄）储饲料为草料密封厌氧贮存后直接包装出售，无废水产生。</w:t>
            </w:r>
          </w:p>
          <w:p>
            <w:pPr>
              <w:ind w:firstLine="480"/>
            </w:pPr>
            <w:r>
              <w:rPr>
                <w:rFonts w:hint="eastAsia"/>
              </w:rPr>
              <w:t>生活污水按生活用水量8</w:t>
            </w:r>
            <w:r>
              <w:t>0%</w:t>
            </w:r>
            <w:r>
              <w:rPr>
                <w:rFonts w:hint="eastAsia"/>
              </w:rPr>
              <w:t>计，则</w:t>
            </w:r>
            <w:r>
              <w:rPr>
                <w:rFonts w:hint="eastAsia"/>
                <w:lang w:eastAsia="zh-CN"/>
              </w:rPr>
              <w:t>本项目</w:t>
            </w:r>
            <w:r>
              <w:rPr>
                <w:rFonts w:hint="eastAsia"/>
              </w:rPr>
              <w:t>产生生活污水1.6</w:t>
            </w:r>
            <w:r>
              <w:t>m</w:t>
            </w:r>
            <w:r>
              <w:rPr>
                <w:vertAlign w:val="superscript"/>
              </w:rPr>
              <w:t>3</w:t>
            </w:r>
            <w:r>
              <w:t>/d</w:t>
            </w:r>
            <w:r>
              <w:rPr>
                <w:rFonts w:hint="eastAsia"/>
              </w:rPr>
              <w:t>，</w:t>
            </w:r>
            <w:r>
              <w:rPr>
                <w:rFonts w:hint="eastAsia"/>
                <w:lang w:val="en-US" w:eastAsia="zh-CN"/>
              </w:rPr>
              <w:t>480</w:t>
            </w:r>
            <w:r>
              <w:t>m</w:t>
            </w:r>
            <w:r>
              <w:rPr>
                <w:vertAlign w:val="superscript"/>
              </w:rPr>
              <w:t>3</w:t>
            </w:r>
            <w:r>
              <w:t>/</w:t>
            </w:r>
            <w:r>
              <w:rPr>
                <w:rFonts w:hint="eastAsia"/>
                <w:lang w:val="en-US" w:eastAsia="zh-CN"/>
              </w:rPr>
              <w:t>a</w:t>
            </w:r>
            <w:r>
              <w:rPr>
                <w:rFonts w:hint="eastAsia"/>
              </w:rPr>
              <w:t>经化粪池处理后排入园区污水管网</w:t>
            </w:r>
            <w:r>
              <w:t>。</w:t>
            </w:r>
          </w:p>
          <w:p>
            <w:pPr>
              <w:pStyle w:val="65"/>
            </w:pPr>
            <w:r>
              <w:rPr>
                <w:sz w:val="21"/>
              </w:rPr>
              <mc:AlternateContent>
                <mc:Choice Requires="wps">
                  <w:drawing>
                    <wp:anchor distT="0" distB="0" distL="114300" distR="114300" simplePos="0" relativeHeight="251661312" behindDoc="0" locked="0" layoutInCell="1" allowOverlap="1">
                      <wp:simplePos x="0" y="0"/>
                      <wp:positionH relativeFrom="column">
                        <wp:posOffset>2945130</wp:posOffset>
                      </wp:positionH>
                      <wp:positionV relativeFrom="paragraph">
                        <wp:posOffset>85725</wp:posOffset>
                      </wp:positionV>
                      <wp:extent cx="656590" cy="238125"/>
                      <wp:effectExtent l="0" t="0" r="10160" b="9525"/>
                      <wp:wrapNone/>
                      <wp:docPr id="1" name="文本框 1"/>
                      <wp:cNvGraphicFramePr/>
                      <a:graphic xmlns:a="http://schemas.openxmlformats.org/drawingml/2006/main">
                        <a:graphicData uri="http://schemas.microsoft.com/office/word/2010/wordprocessingShape">
                          <wps:wsp>
                            <wps:cNvSpPr txBox="1"/>
                            <wps:spPr>
                              <a:xfrm>
                                <a:off x="5861685" y="1540510"/>
                                <a:ext cx="656590" cy="238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宋体"/>
                                      <w:b w:val="0"/>
                                      <w:bCs w:val="0"/>
                                      <w:sz w:val="16"/>
                                      <w:szCs w:val="13"/>
                                      <w:lang w:val="en-US" w:eastAsia="zh-CN"/>
                                    </w:rPr>
                                  </w:pPr>
                                  <w:r>
                                    <w:rPr>
                                      <w:rFonts w:hint="eastAsia"/>
                                      <w:b w:val="0"/>
                                      <w:bCs w:val="0"/>
                                      <w:sz w:val="16"/>
                                      <w:szCs w:val="13"/>
                                      <w:lang w:val="en-US" w:eastAsia="zh-CN"/>
                                    </w:rPr>
                                    <w:t>损耗4.92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9pt;margin-top:6.75pt;height:18.75pt;width:51.7pt;z-index:251661312;mso-width-relative:page;mso-height-relative:page;" fillcolor="#FFFFFF [3201]" filled="t" stroked="f" coordsize="21600,21600" o:gfxdata="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WS28a1AAAAAkB&#10;AAAPAAAAAAAAAAEAIAAAACIAAABkcnMvZG93bnJldi54bWxQSwECFAAUAAAACACHTuJA8vU3YVgC&#10;AACaBAAADgAAAAAAAAABACAAAAAjAQAAZHJzL2Uyb0RvYy54bWxQSwUGAAAAAAYABgBZAQAA7QUA&#10;AAAA&#10;">
                      <v:fill on="t" focussize="0,0"/>
                      <v:stroke on="f" weight="0.5pt"/>
                      <v:imagedata o:title=""/>
                      <o:lock v:ext="edit" aspectratio="f"/>
                      <v:textbox>
                        <w:txbxContent>
                          <w:p>
                            <w:pPr>
                              <w:ind w:left="0" w:leftChars="0" w:firstLine="0" w:firstLineChars="0"/>
                              <w:rPr>
                                <w:rFonts w:hint="eastAsia" w:eastAsia="宋体"/>
                                <w:b w:val="0"/>
                                <w:bCs w:val="0"/>
                                <w:sz w:val="16"/>
                                <w:szCs w:val="13"/>
                                <w:lang w:val="en-US" w:eastAsia="zh-CN"/>
                              </w:rPr>
                            </w:pPr>
                            <w:r>
                              <w:rPr>
                                <w:rFonts w:hint="eastAsia"/>
                                <w:b w:val="0"/>
                                <w:bCs w:val="0"/>
                                <w:sz w:val="16"/>
                                <w:szCs w:val="13"/>
                                <w:lang w:val="en-US" w:eastAsia="zh-CN"/>
                              </w:rPr>
                              <w:t>损耗4.92</w:t>
                            </w:r>
                          </w:p>
                        </w:txbxContent>
                      </v:textbox>
                    </v:shape>
                  </w:pict>
                </mc:Fallback>
              </mc:AlternateContent>
            </w:r>
            <w:r>
              <w:rPr>
                <w:rFonts w:hint="eastAsia"/>
              </w:rPr>
              <w:drawing>
                <wp:inline distT="0" distB="0" distL="114300" distR="114300">
                  <wp:extent cx="5318760" cy="2572385"/>
                  <wp:effectExtent l="9525" t="9525" r="24765" b="27940"/>
                  <wp:docPr id="8" name="图片 8" descr="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水平衡图"/>
                          <pic:cNvPicPr>
                            <a:picLocks noChangeAspect="1"/>
                          </pic:cNvPicPr>
                        </pic:nvPicPr>
                        <pic:blipFill>
                          <a:blip r:embed="rId15">
                            <a:lum bright="-24000" contrast="36000"/>
                          </a:blip>
                          <a:stretch>
                            <a:fillRect/>
                          </a:stretch>
                        </pic:blipFill>
                        <pic:spPr>
                          <a:xfrm>
                            <a:off x="0" y="0"/>
                            <a:ext cx="5318760" cy="2572385"/>
                          </a:xfrm>
                          <a:prstGeom prst="rect">
                            <a:avLst/>
                          </a:prstGeom>
                          <a:ln>
                            <a:solidFill>
                              <a:schemeClr val="tx1"/>
                            </a:solidFill>
                          </a:ln>
                        </pic:spPr>
                      </pic:pic>
                    </a:graphicData>
                  </a:graphic>
                </wp:inline>
              </w:drawing>
            </w:r>
          </w:p>
          <w:p>
            <w:pPr>
              <w:pStyle w:val="65"/>
            </w:pPr>
            <w:r>
              <w:t>图</w:t>
            </w:r>
            <w:r>
              <w:rPr>
                <w:rFonts w:hint="eastAsia"/>
              </w:rPr>
              <w:t>2.7-1</w:t>
            </w:r>
            <w:r>
              <w:t xml:space="preserve">  </w:t>
            </w:r>
            <w:r>
              <w:rPr>
                <w:rFonts w:hint="eastAsia"/>
              </w:rPr>
              <w:t xml:space="preserve"> </w:t>
            </w:r>
            <w:r>
              <w:t>营运期水平衡图（单位m</w:t>
            </w:r>
            <w:r>
              <w:rPr>
                <w:vertAlign w:val="superscript"/>
              </w:rPr>
              <w:t>3</w:t>
            </w:r>
            <w:r>
              <w:t>/</w:t>
            </w:r>
            <w:r>
              <w:rPr>
                <w:rFonts w:hint="eastAsia"/>
              </w:rPr>
              <w:t>d</w:t>
            </w:r>
            <w:r>
              <w:t>）</w:t>
            </w:r>
          </w:p>
          <w:p>
            <w:pPr>
              <w:adjustRightInd w:val="0"/>
              <w:snapToGrid w:val="0"/>
              <w:ind w:firstLine="482"/>
              <w:jc w:val="left"/>
              <w:rPr>
                <w:bCs/>
              </w:rPr>
            </w:pPr>
            <w:r>
              <w:rPr>
                <w:rFonts w:hint="eastAsia"/>
                <w:b/>
                <w:bCs/>
              </w:rPr>
              <w:t>2.7.3</w:t>
            </w:r>
            <w:r>
              <w:rPr>
                <w:b/>
                <w:bCs/>
              </w:rPr>
              <w:t>供电</w:t>
            </w:r>
          </w:p>
          <w:p>
            <w:pPr>
              <w:adjustRightInd w:val="0"/>
              <w:snapToGrid w:val="0"/>
              <w:ind w:firstLine="480"/>
              <w:jc w:val="left"/>
              <w:rPr>
                <w:bCs/>
                <w:kern w:val="0"/>
              </w:rPr>
            </w:pPr>
            <w:r>
              <w:rPr>
                <w:rFonts w:hint="eastAsia"/>
                <w:bCs/>
                <w:kern w:val="0"/>
              </w:rPr>
              <w:t>项目年用电量为</w:t>
            </w:r>
            <w:r>
              <w:rPr>
                <w:rFonts w:hint="eastAsia"/>
              </w:rPr>
              <w:t>180万</w:t>
            </w:r>
            <w:r>
              <w:t>kW·h/a</w:t>
            </w:r>
            <w:r>
              <w:rPr>
                <w:rFonts w:hint="eastAsia"/>
                <w:bCs/>
                <w:kern w:val="0"/>
              </w:rPr>
              <w:t>，依托园区供电管网，能够满足项目用电。</w:t>
            </w:r>
          </w:p>
          <w:p>
            <w:pPr>
              <w:adjustRightInd w:val="0"/>
              <w:snapToGrid w:val="0"/>
              <w:ind w:firstLine="482"/>
              <w:jc w:val="left"/>
              <w:rPr>
                <w:b/>
                <w:bCs/>
              </w:rPr>
            </w:pPr>
            <w:r>
              <w:rPr>
                <w:rFonts w:hint="eastAsia"/>
                <w:b/>
                <w:bCs/>
              </w:rPr>
              <w:t>2.7.4供热</w:t>
            </w:r>
          </w:p>
          <w:p>
            <w:pPr>
              <w:ind w:firstLine="480"/>
            </w:pPr>
            <w:r>
              <w:rPr>
                <w:rFonts w:hint="eastAsia"/>
              </w:rPr>
              <w:t>本项目使用燃气锅炉用于生产供热及厂房内部供暖，年使用225万m</w:t>
            </w:r>
            <w:r>
              <w:rPr>
                <w:rFonts w:hint="eastAsia"/>
                <w:vertAlign w:val="superscript"/>
              </w:rPr>
              <w:t>3</w:t>
            </w:r>
            <w:r>
              <w:rPr>
                <w:rFonts w:hint="eastAsia"/>
              </w:rPr>
              <w:t>/a天然气，由园区天然气管网接入。</w:t>
            </w:r>
          </w:p>
          <w:p>
            <w:pPr>
              <w:adjustRightInd w:val="0"/>
              <w:snapToGrid w:val="0"/>
              <w:ind w:firstLine="482"/>
              <w:jc w:val="left"/>
              <w:rPr>
                <w:b/>
                <w:bCs/>
                <w:kern w:val="0"/>
                <w:szCs w:val="24"/>
              </w:rPr>
            </w:pPr>
            <w:r>
              <w:rPr>
                <w:b/>
                <w:bCs/>
                <w:kern w:val="0"/>
                <w:szCs w:val="24"/>
              </w:rPr>
              <w:t>2.</w:t>
            </w:r>
            <w:r>
              <w:rPr>
                <w:rFonts w:hint="eastAsia"/>
                <w:b/>
                <w:bCs/>
                <w:kern w:val="0"/>
                <w:szCs w:val="24"/>
              </w:rPr>
              <w:t>8厂区平面布置</w:t>
            </w:r>
          </w:p>
          <w:p>
            <w:pPr>
              <w:ind w:firstLine="480"/>
              <w:rPr>
                <w:bCs/>
                <w:kern w:val="0"/>
                <w:szCs w:val="24"/>
              </w:rPr>
            </w:pPr>
            <w:r>
              <w:rPr>
                <w:rFonts w:hint="eastAsia"/>
              </w:rPr>
              <w:t>本项目位于新疆</w:t>
            </w:r>
            <w:r>
              <w:rPr>
                <w:rFonts w:hint="eastAsia"/>
                <w:lang w:val="en-US" w:eastAsia="zh-CN"/>
              </w:rPr>
              <w:t>维吾尔自治区</w:t>
            </w:r>
            <w:r>
              <w:rPr>
                <w:rFonts w:hint="eastAsia"/>
              </w:rPr>
              <w:t>巴音郭楞蒙古自治州和静工业园区</w:t>
            </w:r>
            <w:r>
              <w:rPr>
                <w:szCs w:val="24"/>
              </w:rPr>
              <w:t>额勒再特工业片区</w:t>
            </w:r>
            <w:r>
              <w:rPr>
                <w:rFonts w:hint="eastAsia"/>
                <w:lang w:eastAsia="zh-CN"/>
              </w:rPr>
              <w:t>，</w:t>
            </w:r>
            <w:r>
              <w:rPr>
                <w:kern w:val="0"/>
                <w:szCs w:val="24"/>
              </w:rPr>
              <w:t>属工业用地</w:t>
            </w:r>
            <w:r>
              <w:rPr>
                <w:rFonts w:hint="eastAsia"/>
              </w:rPr>
              <w:t>。原料储存与生产工序密切配合，便于物料运输周转以及生产。生产区与生活区分隔开，且项目周围无居民区、学校等敏感点。各功能区内设施布置紧凑，符合工艺操作流程。厂区布局合理，厂区平面布置见附图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22"/>
              <w:adjustRightInd w:val="0"/>
              <w:snapToGrid w:val="0"/>
              <w:spacing w:before="0" w:beforeAutospacing="0" w:after="0" w:afterAutospacing="0"/>
              <w:ind w:firstLine="0" w:firstLineChars="0"/>
              <w:jc w:val="both"/>
              <w:rPr>
                <w:rFonts w:ascii="Times New Roman" w:hAnsi="Times New Roman"/>
                <w:sz w:val="21"/>
                <w:szCs w:val="21"/>
              </w:rPr>
            </w:pPr>
            <w:r>
              <w:rPr>
                <w:rFonts w:ascii="Times New Roman" w:hAnsi="Times New Roman"/>
                <w:szCs w:val="24"/>
              </w:rPr>
              <w:t>工艺流程和产排污环节</w:t>
            </w:r>
          </w:p>
        </w:tc>
        <w:tc>
          <w:tcPr>
            <w:tcW w:w="7540" w:type="dxa"/>
          </w:tcPr>
          <w:p>
            <w:pPr>
              <w:pStyle w:val="24"/>
              <w:ind w:firstLine="482"/>
            </w:pPr>
            <w:r>
              <w:rPr>
                <w:rFonts w:hint="eastAsia"/>
              </w:rPr>
              <w:t>2.9</w:t>
            </w:r>
            <w:r>
              <w:t>施工期工艺流程简述（产污环节）：</w:t>
            </w:r>
          </w:p>
          <w:p>
            <w:pPr>
              <w:ind w:firstLine="480"/>
            </w:pPr>
            <w:r>
              <w:rPr>
                <w:rFonts w:hint="eastAsia"/>
                <w:lang w:val="en-US" w:eastAsia="zh-CN"/>
              </w:rPr>
              <w:t>本项目</w:t>
            </w:r>
            <w:r>
              <w:t>施工内容主要包括厂房内部装修及设备安装调试过程</w:t>
            </w:r>
            <w:r>
              <w:rPr>
                <w:rFonts w:hint="eastAsia"/>
                <w:lang w:eastAsia="zh-CN"/>
              </w:rPr>
              <w:t>，</w:t>
            </w:r>
            <w:r>
              <w:t>施工期污染包括：装修工程、设备安装时产生的噪声和振动，装修过程中产生的建筑垃圾，施工人员产生的生活污水和生活垃圾。项目建设期对周围环境的影响主要表现在以下几个方面：</w:t>
            </w:r>
          </w:p>
          <w:p>
            <w:pPr>
              <w:ind w:firstLine="480"/>
            </w:pPr>
            <w:r>
              <w:t>（1）施工人员生活污水、生活垃圾排放对环境造成的影响；</w:t>
            </w:r>
          </w:p>
          <w:p>
            <w:pPr>
              <w:ind w:firstLine="480"/>
            </w:pPr>
            <w:r>
              <w:t>（2）装修、设备安装噪声对周围声环境造成一定影响；</w:t>
            </w:r>
          </w:p>
          <w:p>
            <w:pPr>
              <w:ind w:firstLine="480"/>
            </w:pPr>
            <w:r>
              <w:t>（3）装修过程中产生的建筑垃圾对环境造成的影响。</w:t>
            </w:r>
          </w:p>
          <w:p>
            <w:pPr>
              <w:ind w:firstLine="480"/>
            </w:pPr>
            <w:r>
              <w:t>（4）施工过程中产生的噪声对环境造成的影响。</w:t>
            </w:r>
          </w:p>
          <w:p>
            <w:pPr>
              <w:ind w:firstLine="480"/>
            </w:pPr>
            <w:r>
              <w:t>项目施工期主要为建设生活办公区、生产车间、厂房、库房等，施工期工艺流程及产污环节见图</w:t>
            </w:r>
            <w:r>
              <w:rPr>
                <w:rFonts w:hint="eastAsia"/>
              </w:rPr>
              <w:t>2.9-1</w:t>
            </w:r>
            <w:r>
              <w:t>。</w:t>
            </w:r>
          </w:p>
          <w:p>
            <w:pPr>
              <w:spacing w:line="240" w:lineRule="auto"/>
              <w:ind w:firstLine="0" w:firstLineChars="0"/>
              <w:jc w:val="center"/>
              <w:rPr>
                <w:b/>
              </w:rPr>
            </w:pPr>
            <w:r>
              <w:rPr>
                <w:rFonts w:hint="eastAsia"/>
                <w:b/>
              </w:rPr>
              <w:drawing>
                <wp:inline distT="0" distB="0" distL="114300" distR="114300">
                  <wp:extent cx="4792345" cy="1925955"/>
                  <wp:effectExtent l="9525" t="9525" r="17780" b="26670"/>
                  <wp:docPr id="2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wps"/>
                          <pic:cNvPicPr>
                            <a:picLocks noChangeAspect="1"/>
                          </pic:cNvPicPr>
                        </pic:nvPicPr>
                        <pic:blipFill>
                          <a:blip r:embed="rId16">
                            <a:lum bright="-12000" contrast="6000"/>
                          </a:blip>
                          <a:stretch>
                            <a:fillRect/>
                          </a:stretch>
                        </pic:blipFill>
                        <pic:spPr>
                          <a:xfrm>
                            <a:off x="0" y="0"/>
                            <a:ext cx="4792345" cy="1925955"/>
                          </a:xfrm>
                          <a:prstGeom prst="rect">
                            <a:avLst/>
                          </a:prstGeom>
                          <a:ln>
                            <a:solidFill>
                              <a:schemeClr val="tx1"/>
                            </a:solidFill>
                          </a:ln>
                        </pic:spPr>
                      </pic:pic>
                    </a:graphicData>
                  </a:graphic>
                </wp:inline>
              </w:drawing>
            </w:r>
          </w:p>
          <w:p>
            <w:pPr>
              <w:pStyle w:val="65"/>
            </w:pPr>
            <w:r>
              <w:t>图</w:t>
            </w:r>
            <w:r>
              <w:rPr>
                <w:rFonts w:hint="eastAsia"/>
              </w:rPr>
              <w:t>2.9-1</w:t>
            </w:r>
            <w:r>
              <w:t xml:space="preserve">   施工期工艺流程及产污环节图</w:t>
            </w:r>
          </w:p>
          <w:p>
            <w:pPr>
              <w:pStyle w:val="24"/>
              <w:ind w:firstLine="482"/>
            </w:pPr>
            <w:r>
              <w:rPr>
                <w:rFonts w:hint="eastAsia"/>
              </w:rPr>
              <w:t>2.10</w:t>
            </w:r>
            <w:r>
              <w:t>运营期工艺流程与产污环节分析</w:t>
            </w:r>
          </w:p>
          <w:p>
            <w:pPr>
              <w:pStyle w:val="24"/>
              <w:ind w:firstLine="482"/>
            </w:pPr>
            <w:r>
              <w:t>2.</w:t>
            </w:r>
            <w:r>
              <w:rPr>
                <w:rFonts w:hint="eastAsia"/>
              </w:rPr>
              <w:t>10.1</w:t>
            </w:r>
            <w:r>
              <w:t>工艺流程分析</w:t>
            </w:r>
          </w:p>
          <w:p>
            <w:pPr>
              <w:ind w:firstLine="480"/>
              <w:jc w:val="left"/>
            </w:pPr>
            <w:r>
              <w:t>本项目主要生产全价颗粒饲料和青</w:t>
            </w:r>
            <w:r>
              <w:rPr>
                <w:rFonts w:hint="eastAsia"/>
                <w:lang w:eastAsia="zh-CN"/>
              </w:rPr>
              <w:t>（</w:t>
            </w:r>
            <w:r>
              <w:t>黄</w:t>
            </w:r>
            <w:r>
              <w:rPr>
                <w:rFonts w:hint="eastAsia"/>
                <w:lang w:eastAsia="zh-CN"/>
              </w:rPr>
              <w:t>）</w:t>
            </w:r>
            <w:r>
              <w:t>储饲料</w:t>
            </w:r>
            <w:r>
              <w:rPr>
                <w:rFonts w:hint="eastAsia"/>
                <w:lang w:eastAsia="zh-CN"/>
              </w:rPr>
              <w:t>，</w:t>
            </w:r>
            <w:r>
              <w:rPr>
                <w:rFonts w:hint="eastAsia"/>
              </w:rPr>
              <w:t>分别由两条生产线生产</w:t>
            </w:r>
            <w:r>
              <w:t>。两种饲料原料配比不同</w:t>
            </w:r>
            <w:r>
              <w:rPr>
                <w:rFonts w:hint="eastAsia"/>
                <w:lang w:eastAsia="zh-CN"/>
              </w:rPr>
              <w:t>，</w:t>
            </w:r>
            <w:r>
              <w:t>但在投料和粉碎环节共用同一套设备。青</w:t>
            </w:r>
            <w:r>
              <w:rPr>
                <w:rFonts w:hint="eastAsia"/>
                <w:lang w:eastAsia="zh-CN"/>
              </w:rPr>
              <w:t>（</w:t>
            </w:r>
            <w:r>
              <w:t>黄</w:t>
            </w:r>
            <w:r>
              <w:rPr>
                <w:rFonts w:hint="eastAsia"/>
                <w:lang w:eastAsia="zh-CN"/>
              </w:rPr>
              <w:t>）</w:t>
            </w:r>
            <w:r>
              <w:t>储饲料粉碎后需单独进行袋装密封发酵和贮存。全价颗粒饲料生产经</w:t>
            </w:r>
            <w:r>
              <w:rPr>
                <w:rFonts w:hint="eastAsia"/>
              </w:rPr>
              <w:t>投料</w:t>
            </w:r>
            <w:r>
              <w:t>、</w:t>
            </w:r>
            <w:r>
              <w:rPr>
                <w:rFonts w:hint="eastAsia"/>
              </w:rPr>
              <w:t>粉碎</w:t>
            </w:r>
            <w:r>
              <w:t>、</w:t>
            </w:r>
            <w:r>
              <w:rPr>
                <w:rFonts w:hint="eastAsia"/>
              </w:rPr>
              <w:t>配料</w:t>
            </w:r>
            <w:r>
              <w:t>混合后进行制粒、冷却</w:t>
            </w:r>
            <w:r>
              <w:rPr>
                <w:rFonts w:hint="eastAsia"/>
              </w:rPr>
              <w:t>、分级、</w:t>
            </w:r>
            <w:r>
              <w:t>包装</w:t>
            </w:r>
            <w:r>
              <w:rPr>
                <w:rFonts w:hint="eastAsia"/>
              </w:rPr>
              <w:t>成品</w:t>
            </w:r>
            <w:r>
              <w:t>。</w:t>
            </w:r>
            <w:r>
              <w:rPr>
                <w:rFonts w:hint="eastAsia"/>
              </w:rPr>
              <w:t>项目营运期主要生产工艺流程及产污位置见下图</w:t>
            </w:r>
            <w:r>
              <w:drawing>
                <wp:anchor distT="0" distB="0" distL="0" distR="0" simplePos="0" relativeHeight="251660288" behindDoc="0" locked="0" layoutInCell="0" allowOverlap="1">
                  <wp:simplePos x="0" y="0"/>
                  <wp:positionH relativeFrom="page">
                    <wp:posOffset>136525</wp:posOffset>
                  </wp:positionH>
                  <wp:positionV relativeFrom="page">
                    <wp:posOffset>-5085715</wp:posOffset>
                  </wp:positionV>
                  <wp:extent cx="4703445" cy="5080635"/>
                  <wp:effectExtent l="0" t="0" r="1905" b="5715"/>
                  <wp:wrapTopAndBottom/>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
                          <a:stretch>
                            <a:fillRect/>
                          </a:stretch>
                        </pic:blipFill>
                        <pic:spPr>
                          <a:xfrm>
                            <a:off x="0" y="0"/>
                            <a:ext cx="4703445" cy="5080635"/>
                          </a:xfrm>
                          <a:prstGeom prst="rect">
                            <a:avLst/>
                          </a:prstGeom>
                        </pic:spPr>
                      </pic:pic>
                    </a:graphicData>
                  </a:graphic>
                </wp:anchor>
              </w:drawing>
            </w:r>
            <w:r>
              <w:rPr>
                <w:rFonts w:hint="eastAsia"/>
              </w:rPr>
              <w:t>。</w:t>
            </w:r>
            <w:r>
              <w:rPr>
                <w:rFonts w:hint="eastAsia"/>
              </w:rPr>
              <w:drawing>
                <wp:inline distT="0" distB="0" distL="114300" distR="114300">
                  <wp:extent cx="5300345" cy="4418965"/>
                  <wp:effectExtent l="0" t="0" r="14605" b="635"/>
                  <wp:docPr id="7" name="图片 7" descr="未命名文件(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未命名文件(42)"/>
                          <pic:cNvPicPr>
                            <a:picLocks noChangeAspect="1"/>
                          </pic:cNvPicPr>
                        </pic:nvPicPr>
                        <pic:blipFill>
                          <a:blip r:embed="rId18">
                            <a:lum bright="-12000" contrast="18000"/>
                          </a:blip>
                          <a:stretch>
                            <a:fillRect/>
                          </a:stretch>
                        </pic:blipFill>
                        <pic:spPr>
                          <a:xfrm>
                            <a:off x="0" y="0"/>
                            <a:ext cx="5300345" cy="4418965"/>
                          </a:xfrm>
                          <a:prstGeom prst="rect">
                            <a:avLst/>
                          </a:prstGeom>
                        </pic:spPr>
                      </pic:pic>
                    </a:graphicData>
                  </a:graphic>
                </wp:inline>
              </w:drawing>
            </w:r>
          </w:p>
          <w:p>
            <w:pPr>
              <w:pStyle w:val="65"/>
            </w:pPr>
            <w:r>
              <w:t>图</w:t>
            </w:r>
            <w:r>
              <w:rPr>
                <w:rFonts w:hint="eastAsia"/>
              </w:rPr>
              <w:t>2.10-1   生产</w:t>
            </w:r>
            <w:r>
              <w:t>工艺流程及排污环节</w:t>
            </w:r>
            <w:r>
              <w:rPr>
                <w:rFonts w:hint="eastAsia"/>
              </w:rPr>
              <w:t>示意图</w:t>
            </w:r>
          </w:p>
          <w:p>
            <w:pPr>
              <w:ind w:firstLine="482"/>
              <w:rPr>
                <w:b/>
                <w:bCs/>
              </w:rPr>
            </w:pPr>
            <w:r>
              <w:rPr>
                <w:rFonts w:hint="eastAsia"/>
                <w:b/>
                <w:bCs/>
              </w:rPr>
              <w:t>全价</w:t>
            </w:r>
            <w:r>
              <w:rPr>
                <w:b/>
                <w:bCs/>
              </w:rPr>
              <w:t>颗粒饲料工艺简述：</w:t>
            </w:r>
          </w:p>
          <w:p>
            <w:pPr>
              <w:ind w:firstLine="480"/>
            </w:pPr>
            <w:r>
              <w:rPr>
                <w:rFonts w:hint="eastAsia" w:ascii="宋体" w:hAnsi="宋体" w:cs="宋体"/>
                <w:color w:val="000000"/>
                <w:kern w:val="0"/>
                <w:szCs w:val="24"/>
                <w:lang w:bidi="ar"/>
              </w:rPr>
              <w:t>（</w:t>
            </w:r>
            <w:r>
              <w:rPr>
                <w:rFonts w:hint="eastAsia"/>
                <w:color w:val="000000"/>
                <w:kern w:val="0"/>
                <w:szCs w:val="24"/>
                <w:lang w:bidi="ar"/>
              </w:rPr>
              <w:t>1</w:t>
            </w:r>
            <w:r>
              <w:rPr>
                <w:rFonts w:hint="eastAsia" w:ascii="宋体" w:hAnsi="宋体" w:cs="宋体"/>
                <w:color w:val="000000"/>
                <w:kern w:val="0"/>
                <w:szCs w:val="24"/>
                <w:lang w:bidi="ar"/>
              </w:rPr>
              <w:t>）</w:t>
            </w:r>
            <w:r>
              <w:rPr>
                <w:rFonts w:hint="eastAsia"/>
              </w:rPr>
              <w:t>原料接收</w:t>
            </w:r>
          </w:p>
          <w:p>
            <w:pPr>
              <w:ind w:firstLine="480"/>
            </w:pPr>
            <w:r>
              <w:rPr>
                <w:rFonts w:hint="eastAsia"/>
              </w:rPr>
              <w:t>袋装原料通过汽车</w:t>
            </w:r>
            <w:r>
              <w:rPr>
                <w:rFonts w:hint="eastAsia" w:ascii="宋体" w:hAnsi="宋体" w:cs="宋体"/>
                <w:color w:val="000000"/>
                <w:kern w:val="0"/>
                <w:szCs w:val="24"/>
                <w:lang w:bidi="ar"/>
              </w:rPr>
              <w:t>运输到厂区，自卸汽车经地磅称量后将袋装原料卸到主车间原料堆场。主车间保持密闭，故不会产生粉尘。</w:t>
            </w:r>
          </w:p>
          <w:p>
            <w:pPr>
              <w:widowControl/>
              <w:ind w:firstLine="480"/>
              <w:jc w:val="left"/>
            </w:pPr>
            <w:r>
              <w:rPr>
                <w:rFonts w:hint="eastAsia" w:ascii="宋体" w:hAnsi="宋体" w:cs="宋体"/>
                <w:color w:val="000000"/>
                <w:kern w:val="0"/>
                <w:szCs w:val="24"/>
                <w:lang w:bidi="ar"/>
              </w:rPr>
              <w:t>散装原料（玉米、豆粕）通过汽车运输到厂区，自卸汽车经地磅称量后分别将散装原料（玉米、豆粕）卸到卸料棚内，卸料棚保持密闭，再经斗式提升机分别将玉米提升入玉米库贮存，将豆粕提升入</w:t>
            </w:r>
            <w:r>
              <w:rPr>
                <w:rFonts w:hint="eastAsia" w:ascii="宋体" w:hAnsi="宋体" w:cs="宋体"/>
                <w:kern w:val="0"/>
                <w:szCs w:val="24"/>
                <w:lang w:bidi="ar"/>
              </w:rPr>
              <w:t>钢板筒仓、</w:t>
            </w:r>
            <w:r>
              <w:rPr>
                <w:rFonts w:hint="eastAsia" w:ascii="宋体" w:hAnsi="宋体" w:cs="宋体"/>
                <w:color w:val="000000"/>
                <w:kern w:val="0"/>
                <w:szCs w:val="24"/>
                <w:lang w:bidi="ar"/>
              </w:rPr>
              <w:t>料仓贮存，该过程中将产生机械噪声、卸料粉尘以及收尘灰。在卸料口上方设置集气罩</w:t>
            </w:r>
            <w:r>
              <w:rPr>
                <w:rFonts w:hint="eastAsia"/>
                <w:lang w:eastAsia="zh-CN"/>
              </w:rPr>
              <w:t>（</w:t>
            </w:r>
            <w:r>
              <w:rPr>
                <w:rFonts w:hint="eastAsia"/>
                <w:lang w:val="en-US" w:eastAsia="zh-CN"/>
              </w:rPr>
              <w:t>负压收集</w:t>
            </w:r>
            <w:r>
              <w:rPr>
                <w:rFonts w:hint="eastAsia"/>
                <w:lang w:eastAsia="zh-CN"/>
              </w:rPr>
              <w:t>）</w:t>
            </w:r>
            <w:r>
              <w:rPr>
                <w:color w:val="000000"/>
                <w:kern w:val="0"/>
                <w:szCs w:val="24"/>
                <w:lang w:bidi="ar"/>
              </w:rPr>
              <w:t>+</w:t>
            </w:r>
            <w:r>
              <w:rPr>
                <w:rFonts w:hint="eastAsia" w:ascii="宋体" w:hAnsi="宋体" w:cs="宋体"/>
                <w:color w:val="000000"/>
                <w:kern w:val="0"/>
                <w:szCs w:val="24"/>
                <w:lang w:bidi="ar"/>
              </w:rPr>
              <w:t>脉冲式布袋除尘器进行除尘。</w:t>
            </w:r>
          </w:p>
          <w:p>
            <w:pPr>
              <w:widowControl/>
              <w:ind w:firstLine="480"/>
              <w:jc w:val="left"/>
            </w:pPr>
            <w:r>
              <w:rPr>
                <w:rFonts w:hint="eastAsia" w:ascii="宋体" w:hAnsi="宋体" w:cs="宋体"/>
                <w:color w:val="000000"/>
                <w:kern w:val="0"/>
                <w:szCs w:val="24"/>
                <w:lang w:bidi="ar"/>
              </w:rPr>
              <w:t>（</w:t>
            </w:r>
            <w:r>
              <w:rPr>
                <w:color w:val="000000"/>
                <w:kern w:val="0"/>
                <w:szCs w:val="24"/>
                <w:lang w:bidi="ar"/>
              </w:rPr>
              <w:t>2</w:t>
            </w:r>
            <w:r>
              <w:rPr>
                <w:rFonts w:hint="eastAsia" w:ascii="宋体" w:hAnsi="宋体" w:cs="宋体"/>
                <w:color w:val="000000"/>
                <w:kern w:val="0"/>
                <w:szCs w:val="24"/>
                <w:lang w:bidi="ar"/>
              </w:rPr>
              <w:t>）投料、筛分、磁选</w:t>
            </w:r>
          </w:p>
          <w:p>
            <w:pPr>
              <w:widowControl/>
              <w:ind w:firstLine="480"/>
              <w:jc w:val="left"/>
            </w:pPr>
            <w:r>
              <w:rPr>
                <w:rFonts w:hint="eastAsia" w:ascii="宋体" w:hAnsi="宋体" w:cs="宋体"/>
                <w:color w:val="000000"/>
                <w:kern w:val="0"/>
                <w:szCs w:val="24"/>
                <w:lang w:bidi="ar"/>
              </w:rPr>
              <w:t>项目采用投料系统分别给料，需要粉碎的粒状原料（玉米、豆粕）从各自原料仓经刮板输送机送入斗式提升机提升到主车间，经封闭式双层圆筒初清筛去除掺杂的绳头、纸片、木屑等杂质，再经封闭式永磁筒去除铁性杂质后进入待粉碎仓。该过程中将产生筛分杂质、铁质杂质以及产生机械噪声，由于初清筛为全封闭设备，所以不产生筛分粉尘。</w:t>
            </w:r>
          </w:p>
          <w:p>
            <w:pPr>
              <w:widowControl/>
              <w:ind w:firstLine="480"/>
              <w:jc w:val="left"/>
            </w:pPr>
            <w:r>
              <w:rPr>
                <w:rFonts w:hint="eastAsia" w:ascii="宋体" w:hAnsi="宋体" w:cs="宋体"/>
                <w:color w:val="000000"/>
                <w:kern w:val="0"/>
                <w:szCs w:val="24"/>
                <w:lang w:bidi="ar"/>
              </w:rPr>
              <w:t>不需要粉碎的袋装原料从人工投料口投入，经过栅栏及永磁筒去除杂物及铁性杂质后经过输送机、输送机、提升机输送至待配料仓等待配料。在投料口设置集气罩</w:t>
            </w:r>
            <w:r>
              <w:rPr>
                <w:rFonts w:hint="eastAsia" w:ascii="宋体" w:hAnsi="宋体" w:cs="宋体"/>
                <w:color w:val="000000"/>
                <w:kern w:val="0"/>
                <w:szCs w:val="24"/>
                <w:lang w:eastAsia="zh-CN" w:bidi="ar"/>
              </w:rPr>
              <w:t>（</w:t>
            </w:r>
            <w:r>
              <w:rPr>
                <w:rFonts w:hint="eastAsia"/>
                <w:lang w:val="en-US" w:eastAsia="zh-CN"/>
              </w:rPr>
              <w:t>负压收集</w:t>
            </w:r>
            <w:r>
              <w:rPr>
                <w:rFonts w:hint="eastAsia"/>
                <w:lang w:eastAsia="zh-CN"/>
              </w:rPr>
              <w:t>）</w:t>
            </w:r>
            <w:r>
              <w:rPr>
                <w:color w:val="000000"/>
                <w:kern w:val="0"/>
                <w:szCs w:val="24"/>
                <w:lang w:bidi="ar"/>
              </w:rPr>
              <w:t>+</w:t>
            </w:r>
            <w:r>
              <w:rPr>
                <w:rFonts w:hint="eastAsia" w:ascii="宋体" w:hAnsi="宋体" w:cs="宋体"/>
                <w:color w:val="000000"/>
                <w:kern w:val="0"/>
                <w:szCs w:val="24"/>
                <w:lang w:bidi="ar"/>
              </w:rPr>
              <w:t>脉冲式布袋除尘器进行除尘。该过程中将产生投料粉尘、铁质杂质、收尘灰、废包装袋以及机械噪声，项目在各个人工投料口分别设置集气罩</w:t>
            </w:r>
            <w:r>
              <w:rPr>
                <w:rFonts w:hint="eastAsia"/>
                <w:lang w:eastAsia="zh-CN"/>
              </w:rPr>
              <w:t>（</w:t>
            </w:r>
            <w:r>
              <w:rPr>
                <w:rFonts w:hint="eastAsia"/>
                <w:lang w:val="en-US" w:eastAsia="zh-CN"/>
              </w:rPr>
              <w:t>负压收集</w:t>
            </w:r>
            <w:r>
              <w:rPr>
                <w:rFonts w:hint="eastAsia"/>
                <w:lang w:eastAsia="zh-CN"/>
              </w:rPr>
              <w:t>）</w:t>
            </w:r>
            <w:r>
              <w:rPr>
                <w:color w:val="000000"/>
                <w:kern w:val="0"/>
                <w:szCs w:val="24"/>
                <w:lang w:bidi="ar"/>
              </w:rPr>
              <w:t>+</w:t>
            </w:r>
            <w:r>
              <w:rPr>
                <w:rFonts w:hint="eastAsia" w:ascii="宋体" w:hAnsi="宋体" w:cs="宋体"/>
                <w:color w:val="000000"/>
                <w:kern w:val="0"/>
                <w:szCs w:val="24"/>
                <w:lang w:bidi="ar"/>
              </w:rPr>
              <w:t>脉冲式布袋除尘器进行除尘，同时对风机安装消声器以减小噪声污染。</w:t>
            </w:r>
          </w:p>
          <w:p>
            <w:pPr>
              <w:widowControl/>
              <w:ind w:firstLine="480"/>
              <w:jc w:val="left"/>
            </w:pPr>
            <w:r>
              <w:rPr>
                <w:rFonts w:hint="eastAsia" w:ascii="宋体" w:hAnsi="宋体" w:cs="宋体"/>
                <w:color w:val="000000"/>
                <w:kern w:val="0"/>
                <w:szCs w:val="24"/>
                <w:lang w:bidi="ar"/>
              </w:rPr>
              <w:t>（</w:t>
            </w:r>
            <w:r>
              <w:rPr>
                <w:color w:val="000000"/>
                <w:kern w:val="0"/>
                <w:szCs w:val="24"/>
                <w:lang w:bidi="ar"/>
              </w:rPr>
              <w:t>3</w:t>
            </w:r>
            <w:r>
              <w:rPr>
                <w:rFonts w:hint="eastAsia" w:ascii="宋体" w:hAnsi="宋体" w:cs="宋体"/>
                <w:color w:val="000000"/>
                <w:kern w:val="0"/>
                <w:szCs w:val="24"/>
                <w:lang w:bidi="ar"/>
              </w:rPr>
              <w:t>）原料粉碎</w:t>
            </w:r>
          </w:p>
          <w:p>
            <w:pPr>
              <w:widowControl/>
              <w:ind w:firstLine="480"/>
              <w:jc w:val="left"/>
            </w:pPr>
            <w:r>
              <w:rPr>
                <w:rFonts w:hint="eastAsia" w:ascii="宋体" w:hAnsi="宋体" w:cs="宋体"/>
                <w:color w:val="000000"/>
                <w:kern w:val="0"/>
                <w:szCs w:val="24"/>
                <w:lang w:bidi="ar"/>
              </w:rPr>
              <w:t>粉碎机是饲料加工过程中减小原料粒度的加工设备。需粉碎的玉米及豆粕经筛分、磁选后进入待粉碎仓，通过喂料器顶部进料口喂入，再由喂料器将物料输送到粉碎机进行粉碎，粉碎后的物料粒径一般小于</w:t>
            </w:r>
            <w:r>
              <w:rPr>
                <w:color w:val="000000"/>
                <w:kern w:val="0"/>
                <w:szCs w:val="24"/>
                <w:lang w:bidi="ar"/>
              </w:rPr>
              <w:t>1.5mm</w:t>
            </w:r>
            <w:r>
              <w:rPr>
                <w:rFonts w:hint="eastAsia" w:ascii="宋体" w:hAnsi="宋体" w:cs="宋体"/>
                <w:color w:val="000000"/>
                <w:kern w:val="0"/>
                <w:szCs w:val="24"/>
                <w:lang w:bidi="ar"/>
              </w:rPr>
              <w:t>，由螺旋输送机输送至提升机，提升后经分配器引入待配料仓。本项目设有</w:t>
            </w:r>
            <w:r>
              <w:rPr>
                <w:color w:val="000000"/>
                <w:kern w:val="0"/>
                <w:szCs w:val="24"/>
                <w:lang w:bidi="ar"/>
              </w:rPr>
              <w:t>4</w:t>
            </w:r>
            <w:r>
              <w:rPr>
                <w:rFonts w:hint="eastAsia"/>
                <w:color w:val="000000"/>
                <w:kern w:val="0"/>
                <w:szCs w:val="24"/>
                <w:lang w:bidi="ar"/>
              </w:rPr>
              <w:t>台</w:t>
            </w:r>
            <w:r>
              <w:rPr>
                <w:rFonts w:hint="eastAsia" w:ascii="宋体" w:hAnsi="宋体" w:cs="宋体"/>
                <w:color w:val="000000"/>
                <w:kern w:val="0"/>
                <w:szCs w:val="24"/>
                <w:lang w:bidi="ar"/>
              </w:rPr>
              <w:t>粉碎机，其中</w:t>
            </w:r>
            <w:r>
              <w:rPr>
                <w:rFonts w:hint="eastAsia"/>
                <w:color w:val="000000"/>
                <w:kern w:val="0"/>
                <w:szCs w:val="24"/>
                <w:lang w:bidi="ar"/>
              </w:rPr>
              <w:t>1</w:t>
            </w:r>
            <w:r>
              <w:rPr>
                <w:rFonts w:hint="eastAsia" w:ascii="宋体" w:hAnsi="宋体" w:cs="宋体"/>
                <w:color w:val="000000"/>
                <w:kern w:val="0"/>
                <w:szCs w:val="24"/>
                <w:lang w:bidi="ar"/>
              </w:rPr>
              <w:t>台为豆粕粉碎机，</w:t>
            </w:r>
            <w:r>
              <w:rPr>
                <w:rFonts w:hint="eastAsia"/>
                <w:color w:val="000000"/>
                <w:kern w:val="0"/>
                <w:szCs w:val="24"/>
                <w:lang w:bidi="ar"/>
              </w:rPr>
              <w:t>3</w:t>
            </w:r>
            <w:r>
              <w:rPr>
                <w:rFonts w:hint="eastAsia" w:ascii="宋体" w:hAnsi="宋体" w:cs="宋体"/>
                <w:color w:val="000000"/>
                <w:kern w:val="0"/>
                <w:szCs w:val="24"/>
                <w:lang w:bidi="ar"/>
              </w:rPr>
              <w:t>台为玉米粉碎机，每台粉碎机连接一套脉冲式布袋除尘器。该过程中将产生粉碎粉尘以及产生机械噪声。</w:t>
            </w:r>
          </w:p>
          <w:p>
            <w:pPr>
              <w:widowControl/>
              <w:ind w:firstLine="480"/>
              <w:jc w:val="left"/>
            </w:pPr>
            <w:r>
              <w:rPr>
                <w:rFonts w:hint="eastAsia" w:ascii="宋体" w:hAnsi="宋体" w:cs="宋体"/>
                <w:color w:val="000000"/>
                <w:kern w:val="0"/>
                <w:szCs w:val="24"/>
                <w:lang w:bidi="ar"/>
              </w:rPr>
              <w:t>（</w:t>
            </w:r>
            <w:r>
              <w:rPr>
                <w:color w:val="000000"/>
                <w:kern w:val="0"/>
                <w:szCs w:val="24"/>
                <w:lang w:bidi="ar"/>
              </w:rPr>
              <w:t>4</w:t>
            </w:r>
            <w:r>
              <w:rPr>
                <w:rFonts w:hint="eastAsia" w:ascii="宋体" w:hAnsi="宋体" w:cs="宋体"/>
                <w:color w:val="000000"/>
                <w:kern w:val="0"/>
                <w:szCs w:val="24"/>
                <w:lang w:bidi="ar"/>
              </w:rPr>
              <w:t>）配料混合</w:t>
            </w:r>
          </w:p>
          <w:p>
            <w:pPr>
              <w:ind w:firstLine="480"/>
            </w:pPr>
            <w:r>
              <w:rPr>
                <w:rFonts w:hint="eastAsia"/>
                <w:lang w:val="en-US" w:eastAsia="zh-CN"/>
              </w:rPr>
              <w:t>储</w:t>
            </w:r>
            <w:r>
              <w:rPr>
                <w:rFonts w:hint="eastAsia"/>
              </w:rPr>
              <w:t>油罐区的油脂直接通过管路输送至主车间混合机中进行配料。其余物料通过刮板机和提升机输送至主车间混合机进行配料，项目配料混合工段共设置</w:t>
            </w:r>
            <w:r>
              <w:t>2</w:t>
            </w:r>
            <w:r>
              <w:rPr>
                <w:rFonts w:hint="eastAsia"/>
              </w:rPr>
              <w:t>套配料秤及混合机，配料仓内的原料采用自动化控制系统按照配比进行精度配料，以中央控制系统对称重传感器信号等进行监测，通过配料秤斗进行配料至双轴桨叶混合机中；各种原辅料按照配比投加至双轴桨叶混合机中进行充分混合后通过刮板输送机、提升机及分配器送至制粒工段待制粒仓中，每台混合机连接一套脉冲式布袋除尘器进行除尘。该过程中将产生混合粉尘、收尘灰以及产生机械噪声。</w:t>
            </w:r>
          </w:p>
          <w:p>
            <w:pPr>
              <w:widowControl/>
              <w:ind w:firstLine="480"/>
              <w:jc w:val="left"/>
            </w:pPr>
            <w:r>
              <w:rPr>
                <w:rFonts w:hint="eastAsia" w:ascii="宋体" w:hAnsi="宋体" w:cs="宋体"/>
                <w:color w:val="000000"/>
                <w:kern w:val="0"/>
                <w:szCs w:val="24"/>
                <w:lang w:bidi="ar"/>
              </w:rPr>
              <w:t>（</w:t>
            </w:r>
            <w:r>
              <w:rPr>
                <w:color w:val="000000"/>
                <w:kern w:val="0"/>
                <w:szCs w:val="24"/>
                <w:lang w:bidi="ar"/>
              </w:rPr>
              <w:t>5</w:t>
            </w:r>
            <w:r>
              <w:rPr>
                <w:rFonts w:hint="eastAsia" w:ascii="宋体" w:hAnsi="宋体" w:cs="宋体"/>
                <w:color w:val="000000"/>
                <w:kern w:val="0"/>
                <w:szCs w:val="24"/>
                <w:lang w:bidi="ar"/>
              </w:rPr>
              <w:t>）调质、制粒</w:t>
            </w:r>
          </w:p>
          <w:p>
            <w:pPr>
              <w:widowControl/>
              <w:ind w:firstLine="480"/>
              <w:jc w:val="left"/>
            </w:pPr>
            <w:r>
              <w:rPr>
                <w:rFonts w:hint="eastAsia" w:ascii="宋体" w:hAnsi="宋体" w:cs="宋体"/>
                <w:kern w:val="0"/>
                <w:szCs w:val="24"/>
                <w:lang w:bidi="ar"/>
              </w:rPr>
              <w:t>调质目的即将配合好的干粉料调质成为具有一定水分、一定湿度利于制粒的粉状饲料。调质过程使用蒸汽调制，项目使用</w:t>
            </w:r>
            <w:r>
              <w:rPr>
                <w:kern w:val="0"/>
                <w:szCs w:val="24"/>
                <w:lang w:bidi="ar"/>
              </w:rPr>
              <w:t>1</w:t>
            </w:r>
            <w:r>
              <w:rPr>
                <w:rFonts w:hint="default" w:ascii="Times New Roman" w:hAnsi="Times New Roman" w:cs="Times New Roman"/>
                <w:kern w:val="0"/>
                <w:szCs w:val="24"/>
                <w:lang w:bidi="ar"/>
              </w:rPr>
              <w:t>台3t/h</w:t>
            </w:r>
            <w:r>
              <w:rPr>
                <w:rFonts w:hint="eastAsia" w:ascii="宋体" w:hAnsi="宋体" w:cs="宋体"/>
                <w:kern w:val="0"/>
                <w:szCs w:val="24"/>
                <w:lang w:bidi="ar"/>
              </w:rPr>
              <w:t>燃气锅炉提供制粒所需蒸汽。</w:t>
            </w:r>
            <w:r>
              <w:rPr>
                <w:rFonts w:hint="eastAsia" w:ascii="宋体" w:hAnsi="宋体" w:cs="宋体"/>
                <w:color w:val="000000"/>
                <w:kern w:val="0"/>
                <w:szCs w:val="24"/>
                <w:lang w:bidi="ar"/>
              </w:rPr>
              <w:t>来自配料混合工段的物料通过调质器进行调质，然后用高温蒸汽直接加热物料至</w:t>
            </w:r>
            <w:r>
              <w:rPr>
                <w:color w:val="000000"/>
                <w:kern w:val="0"/>
                <w:szCs w:val="24"/>
                <w:lang w:bidi="ar"/>
              </w:rPr>
              <w:t>80</w:t>
            </w:r>
            <w:r>
              <w:rPr>
                <w:rFonts w:hint="eastAsia" w:ascii="宋体" w:hAnsi="宋体" w:cs="宋体"/>
                <w:color w:val="000000"/>
                <w:kern w:val="0"/>
                <w:szCs w:val="24"/>
                <w:lang w:bidi="ar"/>
              </w:rPr>
              <w:t>℃熟化，熟化过程约一分半钟后，直接进入制粒机缓冲仓。此过程会产生锅炉废气、锅炉排污水</w:t>
            </w:r>
            <w:r>
              <w:rPr>
                <w:color w:val="000000"/>
                <w:kern w:val="0"/>
                <w:szCs w:val="24"/>
                <w:lang w:bidi="ar"/>
              </w:rPr>
              <w:t>+</w:t>
            </w:r>
            <w:r>
              <w:rPr>
                <w:rFonts w:hint="eastAsia" w:ascii="宋体" w:hAnsi="宋体" w:cs="宋体"/>
                <w:color w:val="000000"/>
                <w:kern w:val="0"/>
                <w:szCs w:val="24"/>
                <w:lang w:bidi="ar"/>
              </w:rPr>
              <w:t>软化处理废水以及产生机械噪声。</w:t>
            </w:r>
          </w:p>
          <w:p>
            <w:pPr>
              <w:widowControl/>
              <w:ind w:firstLine="480"/>
              <w:jc w:val="left"/>
            </w:pPr>
            <w:r>
              <w:rPr>
                <w:rFonts w:hint="eastAsia" w:ascii="宋体" w:hAnsi="宋体" w:cs="宋体"/>
                <w:color w:val="000000"/>
                <w:kern w:val="0"/>
                <w:szCs w:val="24"/>
                <w:lang w:bidi="ar"/>
              </w:rPr>
              <w:t>调质均匀的物料被均匀地分布在制粒机中的压辊和压模之间，这样物料由供料区压紧进入挤压区，被压辊钳入模孔连续挤压开分，形成柱状的饲料，随着压模回转，被固定在压模外面的切刀切成颗料状饲料，本项目饲料造粒粒径在</w:t>
            </w:r>
            <w:r>
              <w:rPr>
                <w:color w:val="000000"/>
                <w:kern w:val="0"/>
                <w:szCs w:val="24"/>
                <w:lang w:bidi="ar"/>
              </w:rPr>
              <w:t>5-14mm</w:t>
            </w:r>
            <w:r>
              <w:rPr>
                <w:rFonts w:hint="eastAsia" w:ascii="宋体" w:hAnsi="宋体" w:cs="宋体"/>
                <w:color w:val="000000"/>
                <w:kern w:val="0"/>
                <w:szCs w:val="24"/>
                <w:lang w:bidi="ar"/>
              </w:rPr>
              <w:t>之间。调质制粒过程中将产生机械噪声，由于制粒机为全封闭设备，所以不产生粉尘。</w:t>
            </w:r>
          </w:p>
          <w:p>
            <w:pPr>
              <w:widowControl/>
              <w:ind w:firstLine="480"/>
              <w:jc w:val="left"/>
            </w:pPr>
            <w:r>
              <w:rPr>
                <w:rFonts w:hint="eastAsia" w:ascii="宋体" w:hAnsi="宋体" w:cs="宋体"/>
                <w:color w:val="000000"/>
                <w:kern w:val="0"/>
                <w:szCs w:val="24"/>
                <w:lang w:bidi="ar"/>
              </w:rPr>
              <w:t>（</w:t>
            </w:r>
            <w:r>
              <w:rPr>
                <w:color w:val="000000"/>
                <w:kern w:val="0"/>
                <w:szCs w:val="24"/>
                <w:lang w:bidi="ar"/>
              </w:rPr>
              <w:t>6</w:t>
            </w:r>
            <w:r>
              <w:rPr>
                <w:rFonts w:hint="eastAsia" w:ascii="宋体" w:hAnsi="宋体" w:cs="宋体"/>
                <w:color w:val="000000"/>
                <w:kern w:val="0"/>
                <w:szCs w:val="24"/>
                <w:lang w:bidi="ar"/>
              </w:rPr>
              <w:t>）冷却、分级</w:t>
            </w:r>
          </w:p>
          <w:p>
            <w:pPr>
              <w:widowControl/>
              <w:ind w:firstLine="480"/>
              <w:jc w:val="left"/>
            </w:pPr>
            <w:r>
              <w:rPr>
                <w:rFonts w:hint="eastAsia" w:ascii="宋体" w:hAnsi="宋体" w:cs="宋体"/>
                <w:color w:val="000000"/>
                <w:kern w:val="0"/>
                <w:szCs w:val="24"/>
                <w:lang w:bidi="ar"/>
              </w:rPr>
              <w:t>制成的饲料进入逆流冷却塔进行抽风冷却，冷却将加入物料的热量由空气带走的一个物理过程。冷却后的颗粒料通过提升机进入平面回转分级筛中，分级筛与管道间使用软管全密闭连接，合格物料进入成品仓中，过细颗粒或过粗颗粒重新进入制粒机中，未成形粉料进入制粒机缓冲仓中。该过程中产生的主要污染为机械设备噪声和冷却过程产生的冷却粉尘、异味及收尘灰。冷却系统连接一套旋风沙克龙除尘器进行除尘。</w:t>
            </w:r>
          </w:p>
          <w:p>
            <w:pPr>
              <w:widowControl/>
              <w:ind w:firstLine="480"/>
              <w:jc w:val="left"/>
            </w:pPr>
            <w:r>
              <w:rPr>
                <w:rFonts w:hint="eastAsia" w:ascii="宋体" w:hAnsi="宋体" w:cs="宋体"/>
                <w:color w:val="000000"/>
                <w:kern w:val="0"/>
                <w:szCs w:val="24"/>
                <w:lang w:bidi="ar"/>
              </w:rPr>
              <w:t>（</w:t>
            </w:r>
            <w:r>
              <w:rPr>
                <w:color w:val="000000"/>
                <w:kern w:val="0"/>
                <w:szCs w:val="24"/>
                <w:lang w:bidi="ar"/>
              </w:rPr>
              <w:t>7</w:t>
            </w:r>
            <w:r>
              <w:rPr>
                <w:rFonts w:hint="eastAsia" w:ascii="宋体" w:hAnsi="宋体" w:cs="宋体"/>
                <w:color w:val="000000"/>
                <w:kern w:val="0"/>
                <w:szCs w:val="24"/>
                <w:lang w:bidi="ar"/>
              </w:rPr>
              <w:t>）成品打包</w:t>
            </w:r>
          </w:p>
          <w:p>
            <w:pPr>
              <w:widowControl/>
              <w:ind w:firstLine="480"/>
              <w:jc w:val="left"/>
              <w:rPr>
                <w:rFonts w:hint="default" w:ascii="宋体" w:hAnsi="宋体" w:eastAsia="宋体" w:cs="宋体"/>
                <w:color w:val="000000"/>
                <w:kern w:val="0"/>
                <w:szCs w:val="24"/>
                <w:lang w:val="en-US" w:eastAsia="zh-CN" w:bidi="ar"/>
              </w:rPr>
            </w:pPr>
            <w:r>
              <w:rPr>
                <w:rFonts w:hint="eastAsia" w:ascii="宋体" w:hAnsi="宋体" w:cs="宋体"/>
                <w:color w:val="000000"/>
                <w:kern w:val="0"/>
                <w:szCs w:val="24"/>
                <w:lang w:bidi="ar"/>
              </w:rPr>
              <w:t>成品打包是饲料加工的最后一道工序。成品仓下安装有打包称，打包称根据调试设定好的量，自动定量包装，然后由缝包机缝合袋口，完成加工过程。打包过程会产生包装粉尘、收尘灰及设备噪声。打包机上方设置集气罩</w:t>
            </w:r>
            <w:r>
              <w:rPr>
                <w:rFonts w:hint="eastAsia"/>
                <w:lang w:eastAsia="zh-CN"/>
              </w:rPr>
              <w:t>（</w:t>
            </w:r>
            <w:r>
              <w:rPr>
                <w:rFonts w:hint="eastAsia"/>
                <w:lang w:val="en-US" w:eastAsia="zh-CN"/>
              </w:rPr>
              <w:t>负压收集</w:t>
            </w:r>
            <w:r>
              <w:rPr>
                <w:rFonts w:hint="eastAsia"/>
                <w:lang w:eastAsia="zh-CN"/>
              </w:rPr>
              <w:t>）</w:t>
            </w:r>
            <w:r>
              <w:rPr>
                <w:color w:val="000000"/>
                <w:kern w:val="0"/>
                <w:szCs w:val="24"/>
                <w:lang w:bidi="ar"/>
              </w:rPr>
              <w:t>+</w:t>
            </w:r>
            <w:r>
              <w:rPr>
                <w:rFonts w:hint="eastAsia" w:ascii="宋体" w:hAnsi="宋体" w:cs="宋体"/>
                <w:color w:val="000000"/>
                <w:kern w:val="0"/>
                <w:szCs w:val="24"/>
                <w:lang w:bidi="ar"/>
              </w:rPr>
              <w:t>脉冲式布袋除尘器处理废气。</w:t>
            </w:r>
          </w:p>
          <w:p>
            <w:pPr>
              <w:ind w:firstLine="482"/>
            </w:pPr>
            <w:r>
              <w:rPr>
                <w:b/>
                <w:bCs/>
              </w:rPr>
              <w:t>青（黄）储饲料工艺简述</w:t>
            </w:r>
            <w:r>
              <w:t>：</w:t>
            </w:r>
          </w:p>
          <w:p>
            <w:pPr>
              <w:ind w:firstLine="480"/>
            </w:pPr>
            <w:r>
              <w:rPr>
                <w:rFonts w:hint="eastAsia"/>
              </w:rPr>
              <w:t>（1）购买原料</w:t>
            </w:r>
          </w:p>
          <w:p>
            <w:pPr>
              <w:ind w:firstLine="480"/>
            </w:pPr>
            <w:r>
              <w:t>选择优质青</w:t>
            </w:r>
            <w:r>
              <w:rPr>
                <w:rFonts w:hint="eastAsia"/>
              </w:rPr>
              <w:t>（黄）</w:t>
            </w:r>
            <w:r>
              <w:t>贮原料</w:t>
            </w:r>
            <w:r>
              <w:rPr>
                <w:rFonts w:hint="eastAsia"/>
                <w:lang w:eastAsia="zh-CN"/>
              </w:rPr>
              <w:t>（</w:t>
            </w:r>
            <w:r>
              <w:t>如秸秆、牧草等</w:t>
            </w:r>
            <w:r>
              <w:rPr>
                <w:rFonts w:hint="eastAsia"/>
                <w:lang w:eastAsia="zh-CN"/>
              </w:rPr>
              <w:t>），</w:t>
            </w:r>
            <w:r>
              <w:t>确保原料新鲜、无霉变、无杂质。</w:t>
            </w:r>
          </w:p>
          <w:p>
            <w:pPr>
              <w:ind w:firstLine="480"/>
            </w:pPr>
            <w:r>
              <w:rPr>
                <w:rFonts w:hint="eastAsia"/>
              </w:rPr>
              <w:t>（2）</w:t>
            </w:r>
            <w:r>
              <w:t>切碎处理</w:t>
            </w:r>
          </w:p>
          <w:p>
            <w:pPr>
              <w:ind w:firstLine="480"/>
            </w:pPr>
            <w:r>
              <w:t>使用</w:t>
            </w:r>
            <w:r>
              <w:rPr>
                <w:rFonts w:hint="eastAsia"/>
              </w:rPr>
              <w:t>粉碎机</w:t>
            </w:r>
            <w:r>
              <w:t>将原料切碎至适宜长度</w:t>
            </w:r>
            <w:r>
              <w:rPr>
                <w:rFonts w:hint="eastAsia"/>
                <w:lang w:eastAsia="zh-CN"/>
              </w:rPr>
              <w:t>（</w:t>
            </w:r>
            <w:r>
              <w:t>通常为1-2厘米</w:t>
            </w:r>
            <w:r>
              <w:rPr>
                <w:rFonts w:hint="eastAsia"/>
                <w:lang w:eastAsia="zh-CN"/>
              </w:rPr>
              <w:t>），</w:t>
            </w:r>
            <w:r>
              <w:t>以利于均匀装填和充分发酵。</w:t>
            </w:r>
          </w:p>
          <w:p>
            <w:pPr>
              <w:ind w:firstLine="480"/>
            </w:pPr>
            <w:r>
              <w:rPr>
                <w:rFonts w:hint="eastAsia"/>
              </w:rPr>
              <w:t>（3）</w:t>
            </w:r>
            <w:r>
              <w:t>装填与压实</w:t>
            </w:r>
          </w:p>
          <w:p>
            <w:pPr>
              <w:ind w:firstLine="480"/>
            </w:pPr>
            <w:r>
              <w:t>将切碎的原料均匀装入青贮袋中</w:t>
            </w:r>
            <w:r>
              <w:rPr>
                <w:rFonts w:hint="eastAsia"/>
                <w:lang w:eastAsia="zh-CN"/>
              </w:rPr>
              <w:t>，</w:t>
            </w:r>
            <w:r>
              <w:t>并逐层压实</w:t>
            </w:r>
            <w:r>
              <w:rPr>
                <w:rFonts w:hint="eastAsia"/>
                <w:lang w:eastAsia="zh-CN"/>
              </w:rPr>
              <w:t>，</w:t>
            </w:r>
            <w:r>
              <w:t>充分排除空气</w:t>
            </w:r>
            <w:r>
              <w:rPr>
                <w:rFonts w:hint="eastAsia"/>
                <w:lang w:eastAsia="zh-CN"/>
              </w:rPr>
              <w:t>，</w:t>
            </w:r>
            <w:r>
              <w:t>确保原料紧密接触</w:t>
            </w:r>
            <w:r>
              <w:rPr>
                <w:rFonts w:hint="eastAsia"/>
                <w:lang w:eastAsia="zh-CN"/>
              </w:rPr>
              <w:t>，</w:t>
            </w:r>
            <w:r>
              <w:t>最大限度减少氧气残留。</w:t>
            </w:r>
          </w:p>
          <w:p>
            <w:pPr>
              <w:ind w:firstLine="480"/>
            </w:pPr>
            <w:r>
              <w:rPr>
                <w:rFonts w:hint="eastAsia"/>
              </w:rPr>
              <w:t>（4）</w:t>
            </w:r>
            <w:r>
              <w:t>青贮袋密封</w:t>
            </w:r>
          </w:p>
          <w:p>
            <w:pPr>
              <w:ind w:firstLine="480"/>
            </w:pPr>
            <w:r>
              <w:t>装填完成后</w:t>
            </w:r>
            <w:r>
              <w:rPr>
                <w:rFonts w:hint="eastAsia"/>
                <w:lang w:eastAsia="zh-CN"/>
              </w:rPr>
              <w:t>，</w:t>
            </w:r>
            <w:r>
              <w:t>立即密封青贮袋</w:t>
            </w:r>
            <w:r>
              <w:rPr>
                <w:rFonts w:hint="eastAsia"/>
                <w:lang w:eastAsia="zh-CN"/>
              </w:rPr>
              <w:t>，</w:t>
            </w:r>
            <w:r>
              <w:t>确保完全隔绝空气。使用专用高质量密封材料</w:t>
            </w:r>
            <w:r>
              <w:rPr>
                <w:rFonts w:hint="eastAsia"/>
                <w:lang w:eastAsia="zh-CN"/>
              </w:rPr>
              <w:t>（</w:t>
            </w:r>
            <w:r>
              <w:t>如多层复合塑料薄膜</w:t>
            </w:r>
            <w:r>
              <w:rPr>
                <w:rFonts w:hint="eastAsia"/>
                <w:lang w:eastAsia="zh-CN"/>
              </w:rPr>
              <w:t>）</w:t>
            </w:r>
            <w:r>
              <w:t>覆盖</w:t>
            </w:r>
            <w:r>
              <w:rPr>
                <w:rFonts w:hint="eastAsia"/>
                <w:lang w:eastAsia="zh-CN"/>
              </w:rPr>
              <w:t>，</w:t>
            </w:r>
            <w:r>
              <w:t>并用重物均匀压紧边缘</w:t>
            </w:r>
            <w:r>
              <w:rPr>
                <w:rFonts w:hint="eastAsia"/>
                <w:lang w:eastAsia="zh-CN"/>
              </w:rPr>
              <w:t>，</w:t>
            </w:r>
            <w:r>
              <w:t>彻底防止漏气。</w:t>
            </w:r>
          </w:p>
          <w:p>
            <w:pPr>
              <w:ind w:firstLine="480"/>
            </w:pPr>
            <w:r>
              <w:rPr>
                <w:rFonts w:hint="eastAsia"/>
              </w:rPr>
              <w:t>（5）</w:t>
            </w:r>
            <w:r>
              <w:t>发酵与贮存</w:t>
            </w:r>
          </w:p>
          <w:p>
            <w:pPr>
              <w:ind w:firstLine="480"/>
            </w:pPr>
            <w:r>
              <w:t>将密封好的青贮袋置于阴凉、干燥、通风良好的场所</w:t>
            </w:r>
            <w:r>
              <w:rPr>
                <w:rFonts w:hint="eastAsia"/>
                <w:lang w:eastAsia="zh-CN"/>
              </w:rPr>
              <w:t>，</w:t>
            </w:r>
            <w:r>
              <w:t>避免阳光直射和雨水侵入。发酵时间通常为3-6周</w:t>
            </w:r>
            <w:r>
              <w:rPr>
                <w:rFonts w:hint="eastAsia"/>
                <w:lang w:eastAsia="zh-CN"/>
              </w:rPr>
              <w:t>，</w:t>
            </w:r>
            <w:r>
              <w:t>期间定期检查密封情况和发酵进程。</w:t>
            </w:r>
          </w:p>
          <w:p>
            <w:pPr>
              <w:ind w:firstLine="480"/>
            </w:pPr>
            <w:r>
              <w:rPr>
                <w:rFonts w:hint="eastAsia"/>
              </w:rPr>
              <w:t>（6）</w:t>
            </w:r>
            <w:r>
              <w:t>质量检测</w:t>
            </w:r>
          </w:p>
          <w:p>
            <w:pPr>
              <w:ind w:firstLine="480"/>
            </w:pPr>
            <w:r>
              <w:t>发酵完成后小心打开青贮袋或青贮窖</w:t>
            </w:r>
            <w:r>
              <w:rPr>
                <w:rFonts w:hint="eastAsia"/>
                <w:lang w:eastAsia="zh-CN"/>
              </w:rPr>
              <w:t>，</w:t>
            </w:r>
            <w:r>
              <w:t>专业检查青贮料的颜色、气味和质地。</w:t>
            </w:r>
            <w:r>
              <w:rPr>
                <w:rFonts w:hint="eastAsia"/>
                <w:lang w:val="en-US" w:eastAsia="zh-CN"/>
              </w:rPr>
              <w:t>抽检部分样品，</w:t>
            </w:r>
            <w:r>
              <w:t>使用精密专业仪器检测pH值、干物质含量等关键指标</w:t>
            </w:r>
            <w:r>
              <w:rPr>
                <w:rFonts w:hint="eastAsia"/>
                <w:lang w:eastAsia="zh-CN"/>
              </w:rPr>
              <w:t>，</w:t>
            </w:r>
            <w:r>
              <w:t>严格确保符合行业质量标准</w:t>
            </w:r>
            <w:r>
              <w:rPr>
                <w:rFonts w:hint="eastAsia"/>
                <w:lang w:eastAsia="zh-CN"/>
              </w:rPr>
              <w:t>，</w:t>
            </w:r>
            <w:r>
              <w:rPr>
                <w:rFonts w:hint="eastAsia"/>
                <w:lang w:val="en-US" w:eastAsia="zh-CN"/>
              </w:rPr>
              <w:t>达到《饲料卫生标准》（GB 13078）和《饲料标签标准》（GB 10648）要求</w:t>
            </w:r>
            <w:r>
              <w:t>。</w:t>
            </w:r>
          </w:p>
          <w:p>
            <w:pPr>
              <w:ind w:firstLine="480"/>
            </w:pPr>
            <w:r>
              <w:rPr>
                <w:rFonts w:hint="eastAsia"/>
              </w:rPr>
              <w:t>（7）</w:t>
            </w:r>
            <w:r>
              <w:t>成品包装</w:t>
            </w:r>
          </w:p>
          <w:p>
            <w:pPr>
              <w:ind w:firstLine="480"/>
              <w:rPr>
                <w:rFonts w:hint="eastAsia"/>
              </w:rPr>
            </w:pPr>
            <w:r>
              <w:rPr>
                <w:rFonts w:hint="eastAsia"/>
              </w:rPr>
              <w:t>将合格的青贮料分装至适当的包装容器中（如编织袋、塑料袋等）。</w:t>
            </w:r>
          </w:p>
          <w:p>
            <w:pPr>
              <w:pStyle w:val="24"/>
              <w:ind w:firstLine="482"/>
            </w:pPr>
            <w:r>
              <w:rPr>
                <w:rFonts w:hint="eastAsia"/>
              </w:rPr>
              <w:t>2.10</w:t>
            </w:r>
            <w:r>
              <w:t>.2主要污染工序</w:t>
            </w:r>
          </w:p>
          <w:p>
            <w:pPr>
              <w:widowControl/>
              <w:ind w:firstLine="480"/>
              <w:jc w:val="left"/>
              <w:rPr>
                <w:bCs/>
                <w:snapToGrid w:val="0"/>
                <w:kern w:val="0"/>
                <w:szCs w:val="24"/>
              </w:rPr>
            </w:pPr>
            <w:r>
              <w:rPr>
                <w:rFonts w:hint="eastAsia" w:ascii="宋体" w:hAnsi="宋体" w:cs="宋体"/>
                <w:color w:val="000000"/>
                <w:kern w:val="0"/>
                <w:szCs w:val="24"/>
                <w:lang w:bidi="ar"/>
              </w:rPr>
              <w:t>建设项目生产过程中主要产污环节和排污特征见下表</w:t>
            </w:r>
            <w:r>
              <w:rPr>
                <w:rFonts w:hint="eastAsia"/>
                <w:bCs/>
                <w:snapToGrid w:val="0"/>
                <w:kern w:val="0"/>
                <w:szCs w:val="24"/>
              </w:rPr>
              <w:t>2.10-1</w:t>
            </w:r>
            <w:r>
              <w:rPr>
                <w:bCs/>
                <w:snapToGrid w:val="0"/>
                <w:kern w:val="0"/>
                <w:szCs w:val="24"/>
              </w:rPr>
              <w:t>。</w:t>
            </w:r>
          </w:p>
          <w:p>
            <w:pPr>
              <w:pStyle w:val="65"/>
            </w:pPr>
            <w:r>
              <w:t>表</w:t>
            </w:r>
            <w:r>
              <w:rPr>
                <w:rFonts w:hint="eastAsia"/>
              </w:rPr>
              <w:t xml:space="preserve">2.10-1   </w:t>
            </w:r>
            <w:r>
              <w:t>主要污染工序汇总表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36"/>
              <w:gridCol w:w="1267"/>
              <w:gridCol w:w="1678"/>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34" w:type="pct"/>
                  <w:vAlign w:val="center"/>
                </w:tcPr>
                <w:p>
                  <w:pPr>
                    <w:pStyle w:val="70"/>
                  </w:pPr>
                  <w:r>
                    <w:rPr>
                      <w:rFonts w:hint="eastAsia"/>
                    </w:rPr>
                    <w:t>类别</w:t>
                  </w:r>
                </w:p>
              </w:tc>
              <w:tc>
                <w:tcPr>
                  <w:tcW w:w="439" w:type="pct"/>
                  <w:vAlign w:val="center"/>
                </w:tcPr>
                <w:p>
                  <w:pPr>
                    <w:pStyle w:val="70"/>
                  </w:pPr>
                  <w:r>
                    <w:rPr>
                      <w:rFonts w:hint="eastAsia"/>
                    </w:rPr>
                    <w:t>编号</w:t>
                  </w:r>
                </w:p>
              </w:tc>
              <w:tc>
                <w:tcPr>
                  <w:tcW w:w="756" w:type="pct"/>
                  <w:vAlign w:val="center"/>
                </w:tcPr>
                <w:p>
                  <w:pPr>
                    <w:pStyle w:val="70"/>
                  </w:pPr>
                  <w:r>
                    <w:rPr>
                      <w:rFonts w:hint="eastAsia"/>
                    </w:rPr>
                    <w:t>产污环节</w:t>
                  </w:r>
                </w:p>
              </w:tc>
              <w:tc>
                <w:tcPr>
                  <w:tcW w:w="1001" w:type="pct"/>
                  <w:vAlign w:val="center"/>
                </w:tcPr>
                <w:p>
                  <w:pPr>
                    <w:pStyle w:val="70"/>
                  </w:pPr>
                  <w:r>
                    <w:rPr>
                      <w:rFonts w:hint="eastAsia"/>
                    </w:rPr>
                    <w:t>污染物</w:t>
                  </w:r>
                </w:p>
              </w:tc>
              <w:tc>
                <w:tcPr>
                  <w:tcW w:w="2268" w:type="pct"/>
                  <w:vAlign w:val="center"/>
                </w:tcPr>
                <w:p>
                  <w:pPr>
                    <w:pStyle w:val="70"/>
                  </w:pPr>
                  <w:r>
                    <w:rPr>
                      <w:rFonts w:hint="eastAsia"/>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34" w:type="pct"/>
                  <w:vMerge w:val="restart"/>
                  <w:vAlign w:val="center"/>
                </w:tcPr>
                <w:p>
                  <w:pPr>
                    <w:pStyle w:val="70"/>
                  </w:pPr>
                  <w:r>
                    <w:rPr>
                      <w:rFonts w:hint="eastAsia"/>
                    </w:rPr>
                    <w:t>废气</w:t>
                  </w:r>
                </w:p>
              </w:tc>
              <w:tc>
                <w:tcPr>
                  <w:tcW w:w="439" w:type="pct"/>
                  <w:vAlign w:val="center"/>
                </w:tcPr>
                <w:p>
                  <w:pPr>
                    <w:pStyle w:val="70"/>
                  </w:pPr>
                  <w:r>
                    <w:t>G1</w:t>
                  </w:r>
                </w:p>
              </w:tc>
              <w:tc>
                <w:tcPr>
                  <w:tcW w:w="756" w:type="pct"/>
                  <w:vAlign w:val="center"/>
                </w:tcPr>
                <w:p>
                  <w:pPr>
                    <w:pStyle w:val="70"/>
                  </w:pPr>
                  <w:r>
                    <w:rPr>
                      <w:rFonts w:hint="eastAsia"/>
                    </w:rPr>
                    <w:t>卸料工序</w:t>
                  </w:r>
                </w:p>
              </w:tc>
              <w:tc>
                <w:tcPr>
                  <w:tcW w:w="1001" w:type="pct"/>
                  <w:vAlign w:val="center"/>
                </w:tcPr>
                <w:p>
                  <w:pPr>
                    <w:pStyle w:val="70"/>
                  </w:pPr>
                  <w:r>
                    <w:rPr>
                      <w:rFonts w:hint="eastAsia"/>
                    </w:rPr>
                    <w:t>颗粒物</w:t>
                  </w:r>
                </w:p>
              </w:tc>
              <w:tc>
                <w:tcPr>
                  <w:tcW w:w="2268" w:type="pct"/>
                  <w:vAlign w:val="center"/>
                </w:tcPr>
                <w:p>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2套脉冲式布袋除尘器</w:t>
                  </w:r>
                  <w:r>
                    <w:t>+</w:t>
                  </w:r>
                  <w:r>
                    <w:rPr>
                      <w:rFonts w:hint="eastAsia"/>
                    </w:rPr>
                    <w:t>1</w:t>
                  </w:r>
                  <w:r>
                    <w:t>根</w:t>
                  </w:r>
                  <w:r>
                    <w:rPr>
                      <w:rFonts w:hint="eastAsia"/>
                    </w:rPr>
                    <w:t>15</w:t>
                  </w:r>
                  <w:r>
                    <w:t>m高排气筒DA001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pPr>
                    <w:pStyle w:val="70"/>
                  </w:pPr>
                </w:p>
              </w:tc>
              <w:tc>
                <w:tcPr>
                  <w:tcW w:w="439" w:type="pct"/>
                  <w:vAlign w:val="center"/>
                </w:tcPr>
                <w:p>
                  <w:pPr>
                    <w:pStyle w:val="70"/>
                  </w:pPr>
                  <w:r>
                    <w:t>G2</w:t>
                  </w:r>
                </w:p>
              </w:tc>
              <w:tc>
                <w:tcPr>
                  <w:tcW w:w="756" w:type="pct"/>
                  <w:vAlign w:val="center"/>
                </w:tcPr>
                <w:p>
                  <w:pPr>
                    <w:pStyle w:val="70"/>
                  </w:pPr>
                  <w:r>
                    <w:rPr>
                      <w:rFonts w:hint="eastAsia"/>
                    </w:rPr>
                    <w:t>投料工序</w:t>
                  </w:r>
                </w:p>
              </w:tc>
              <w:tc>
                <w:tcPr>
                  <w:tcW w:w="1001" w:type="pct"/>
                  <w:vAlign w:val="center"/>
                </w:tcPr>
                <w:p>
                  <w:pPr>
                    <w:pStyle w:val="70"/>
                  </w:pPr>
                  <w:r>
                    <w:rPr>
                      <w:rFonts w:hint="eastAsia"/>
                    </w:rPr>
                    <w:t>颗粒物</w:t>
                  </w:r>
                </w:p>
              </w:tc>
              <w:tc>
                <w:tcPr>
                  <w:tcW w:w="2268" w:type="pct"/>
                  <w:vAlign w:val="center"/>
                </w:tcPr>
                <w:p>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3套脉冲式布袋除尘器</w:t>
                  </w:r>
                  <w:r>
                    <w:t>+</w:t>
                  </w:r>
                  <w:r>
                    <w:rPr>
                      <w:rFonts w:hint="eastAsia"/>
                    </w:rPr>
                    <w:t>1</w:t>
                  </w:r>
                  <w:r>
                    <w:t>根</w:t>
                  </w:r>
                  <w:r>
                    <w:rPr>
                      <w:rFonts w:hint="eastAsia"/>
                    </w:rPr>
                    <w:t>15</w:t>
                  </w:r>
                  <w:r>
                    <w:t>m高排气筒DA00</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pPr>
                    <w:pStyle w:val="70"/>
                  </w:pPr>
                </w:p>
              </w:tc>
              <w:tc>
                <w:tcPr>
                  <w:tcW w:w="439" w:type="pct"/>
                  <w:vAlign w:val="center"/>
                </w:tcPr>
                <w:p>
                  <w:pPr>
                    <w:pStyle w:val="70"/>
                  </w:pPr>
                  <w:r>
                    <w:t>G3</w:t>
                  </w:r>
                </w:p>
              </w:tc>
              <w:tc>
                <w:tcPr>
                  <w:tcW w:w="756" w:type="pct"/>
                  <w:vAlign w:val="center"/>
                </w:tcPr>
                <w:p>
                  <w:pPr>
                    <w:pStyle w:val="70"/>
                  </w:pPr>
                  <w:r>
                    <w:rPr>
                      <w:rFonts w:hint="eastAsia"/>
                    </w:rPr>
                    <w:t>粉碎工序</w:t>
                  </w:r>
                </w:p>
              </w:tc>
              <w:tc>
                <w:tcPr>
                  <w:tcW w:w="1001" w:type="pct"/>
                  <w:vAlign w:val="center"/>
                </w:tcPr>
                <w:p>
                  <w:pPr>
                    <w:pStyle w:val="70"/>
                  </w:pPr>
                  <w:r>
                    <w:rPr>
                      <w:rFonts w:hint="eastAsia"/>
                    </w:rPr>
                    <w:t>颗粒物</w:t>
                  </w:r>
                </w:p>
              </w:tc>
              <w:tc>
                <w:tcPr>
                  <w:tcW w:w="2268" w:type="pct"/>
                  <w:vAlign w:val="center"/>
                </w:tcPr>
                <w:p>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2套脉冲式布袋除尘器</w:t>
                  </w:r>
                  <w:r>
                    <w:t>+</w:t>
                  </w:r>
                  <w:r>
                    <w:rPr>
                      <w:rFonts w:hint="eastAsia"/>
                    </w:rPr>
                    <w:t>1</w:t>
                  </w:r>
                  <w:r>
                    <w:t>根</w:t>
                  </w:r>
                  <w:r>
                    <w:rPr>
                      <w:rFonts w:hint="eastAsia"/>
                    </w:rPr>
                    <w:t>15</w:t>
                  </w:r>
                  <w:r>
                    <w:t>m高排气筒DA00</w:t>
                  </w: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pPr>
                    <w:pStyle w:val="70"/>
                  </w:pPr>
                </w:p>
              </w:tc>
              <w:tc>
                <w:tcPr>
                  <w:tcW w:w="439" w:type="pct"/>
                  <w:vAlign w:val="center"/>
                </w:tcPr>
                <w:p>
                  <w:pPr>
                    <w:pStyle w:val="70"/>
                  </w:pPr>
                  <w:r>
                    <w:t>G4</w:t>
                  </w:r>
                </w:p>
              </w:tc>
              <w:tc>
                <w:tcPr>
                  <w:tcW w:w="756" w:type="pct"/>
                  <w:vAlign w:val="center"/>
                </w:tcPr>
                <w:p>
                  <w:pPr>
                    <w:pStyle w:val="70"/>
                  </w:pPr>
                  <w:r>
                    <w:rPr>
                      <w:rFonts w:hint="eastAsia"/>
                    </w:rPr>
                    <w:t>混合工序</w:t>
                  </w:r>
                </w:p>
              </w:tc>
              <w:tc>
                <w:tcPr>
                  <w:tcW w:w="1001" w:type="pct"/>
                  <w:vAlign w:val="center"/>
                </w:tcPr>
                <w:p>
                  <w:pPr>
                    <w:pStyle w:val="70"/>
                  </w:pPr>
                  <w:r>
                    <w:rPr>
                      <w:rFonts w:hint="eastAsia"/>
                    </w:rPr>
                    <w:t>颗粒物</w:t>
                  </w:r>
                </w:p>
              </w:tc>
              <w:tc>
                <w:tcPr>
                  <w:tcW w:w="2268" w:type="pct"/>
                  <w:vAlign w:val="center"/>
                </w:tcPr>
                <w:p>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2套脉冲式布袋除尘器</w:t>
                  </w:r>
                  <w:r>
                    <w:t>+</w:t>
                  </w:r>
                  <w:r>
                    <w:rPr>
                      <w:rFonts w:hint="eastAsia"/>
                    </w:rPr>
                    <w:t>1</w:t>
                  </w:r>
                  <w:r>
                    <w:t>根</w:t>
                  </w:r>
                  <w:r>
                    <w:rPr>
                      <w:rFonts w:hint="eastAsia"/>
                    </w:rPr>
                    <w:t>15</w:t>
                  </w:r>
                  <w:r>
                    <w:t>m高排气筒DA00</w:t>
                  </w: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pPr>
                    <w:pStyle w:val="70"/>
                  </w:pPr>
                </w:p>
              </w:tc>
              <w:tc>
                <w:tcPr>
                  <w:tcW w:w="439" w:type="pct"/>
                  <w:vAlign w:val="center"/>
                </w:tcPr>
                <w:p>
                  <w:pPr>
                    <w:pStyle w:val="70"/>
                  </w:pPr>
                  <w:r>
                    <w:t>G5</w:t>
                  </w:r>
                </w:p>
              </w:tc>
              <w:tc>
                <w:tcPr>
                  <w:tcW w:w="756" w:type="pct"/>
                  <w:vAlign w:val="center"/>
                </w:tcPr>
                <w:p>
                  <w:pPr>
                    <w:pStyle w:val="70"/>
                  </w:pPr>
                  <w:r>
                    <w:rPr>
                      <w:rFonts w:hint="eastAsia"/>
                    </w:rPr>
                    <w:t>燃气锅炉</w:t>
                  </w:r>
                </w:p>
              </w:tc>
              <w:tc>
                <w:tcPr>
                  <w:tcW w:w="1001" w:type="pct"/>
                  <w:vAlign w:val="center"/>
                </w:tcPr>
                <w:p>
                  <w:pPr>
                    <w:pStyle w:val="70"/>
                  </w:pPr>
                  <w:r>
                    <w:rPr>
                      <w:rFonts w:hint="eastAsia"/>
                    </w:rPr>
                    <w:t>颗粒物</w:t>
                  </w:r>
                </w:p>
              </w:tc>
              <w:tc>
                <w:tcPr>
                  <w:tcW w:w="2268" w:type="pct"/>
                  <w:vAlign w:val="center"/>
                </w:tcPr>
                <w:p>
                  <w:pPr>
                    <w:pStyle w:val="70"/>
                  </w:pPr>
                  <w:r>
                    <w:rPr>
                      <w:rFonts w:hint="eastAsia"/>
                    </w:rPr>
                    <w:t>采用</w:t>
                  </w:r>
                  <w:r>
                    <w:t>低氮燃烧器+</w:t>
                  </w:r>
                  <w:r>
                    <w:rPr>
                      <w:rFonts w:hint="eastAsia"/>
                      <w:lang w:val="en-US" w:eastAsia="zh-CN"/>
                    </w:rPr>
                    <w:t>12</w:t>
                  </w:r>
                  <w:r>
                    <w:t>m</w:t>
                  </w:r>
                  <w:r>
                    <w:rPr>
                      <w:rFonts w:hint="eastAsia"/>
                    </w:rPr>
                    <w:t>高排气筒</w:t>
                  </w:r>
                  <w:r>
                    <w:t>DA00</w:t>
                  </w: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pPr>
                    <w:pStyle w:val="70"/>
                  </w:pPr>
                </w:p>
              </w:tc>
              <w:tc>
                <w:tcPr>
                  <w:tcW w:w="439" w:type="pct"/>
                  <w:vAlign w:val="center"/>
                </w:tcPr>
                <w:p>
                  <w:pPr>
                    <w:pStyle w:val="70"/>
                  </w:pPr>
                  <w:r>
                    <w:t>G6</w:t>
                  </w:r>
                </w:p>
              </w:tc>
              <w:tc>
                <w:tcPr>
                  <w:tcW w:w="756" w:type="pct"/>
                  <w:vAlign w:val="center"/>
                </w:tcPr>
                <w:p>
                  <w:pPr>
                    <w:pStyle w:val="70"/>
                  </w:pPr>
                  <w:r>
                    <w:rPr>
                      <w:rFonts w:hint="eastAsia"/>
                    </w:rPr>
                    <w:t>冷却工序</w:t>
                  </w:r>
                </w:p>
              </w:tc>
              <w:tc>
                <w:tcPr>
                  <w:tcW w:w="1001" w:type="pct"/>
                  <w:vAlign w:val="center"/>
                </w:tcPr>
                <w:p>
                  <w:pPr>
                    <w:pStyle w:val="70"/>
                  </w:pPr>
                  <w:r>
                    <w:rPr>
                      <w:rFonts w:hint="eastAsia"/>
                    </w:rPr>
                    <w:t>颗粒物</w:t>
                  </w:r>
                </w:p>
              </w:tc>
              <w:tc>
                <w:tcPr>
                  <w:tcW w:w="2268" w:type="pct"/>
                  <w:vAlign w:val="center"/>
                </w:tcPr>
                <w:p>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+旋风沙克龙除尘器+15m高排气筒</w:t>
                  </w:r>
                  <w:r>
                    <w:t>DA00</w:t>
                  </w: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pPr>
                    <w:pStyle w:val="70"/>
                  </w:pPr>
                </w:p>
              </w:tc>
              <w:tc>
                <w:tcPr>
                  <w:tcW w:w="439" w:type="pct"/>
                  <w:vAlign w:val="center"/>
                </w:tcPr>
                <w:p>
                  <w:pPr>
                    <w:pStyle w:val="70"/>
                  </w:pPr>
                  <w:r>
                    <w:t>G7</w:t>
                  </w:r>
                </w:p>
              </w:tc>
              <w:tc>
                <w:tcPr>
                  <w:tcW w:w="756" w:type="pct"/>
                  <w:vAlign w:val="center"/>
                </w:tcPr>
                <w:p>
                  <w:pPr>
                    <w:pStyle w:val="70"/>
                  </w:pPr>
                  <w:r>
                    <w:rPr>
                      <w:rFonts w:hint="eastAsia"/>
                    </w:rPr>
                    <w:t>包装工序</w:t>
                  </w:r>
                </w:p>
              </w:tc>
              <w:tc>
                <w:tcPr>
                  <w:tcW w:w="1001" w:type="pct"/>
                  <w:vAlign w:val="center"/>
                </w:tcPr>
                <w:p>
                  <w:pPr>
                    <w:pStyle w:val="70"/>
                  </w:pPr>
                  <w:r>
                    <w:rPr>
                      <w:rFonts w:hint="eastAsia"/>
                    </w:rPr>
                    <w:t>颗粒物</w:t>
                  </w:r>
                </w:p>
              </w:tc>
              <w:tc>
                <w:tcPr>
                  <w:tcW w:w="2268" w:type="pct"/>
                  <w:vAlign w:val="center"/>
                </w:tcPr>
                <w:p>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2套脉冲式布袋除尘器</w:t>
                  </w:r>
                  <w:r>
                    <w:t>+</w:t>
                  </w:r>
                  <w:r>
                    <w:rPr>
                      <w:rFonts w:hint="eastAsia"/>
                    </w:rPr>
                    <w:t>1</w:t>
                  </w:r>
                  <w:r>
                    <w:t>根</w:t>
                  </w:r>
                  <w:r>
                    <w:rPr>
                      <w:rFonts w:hint="eastAsia"/>
                    </w:rPr>
                    <w:t>15</w:t>
                  </w:r>
                  <w:r>
                    <w:t>m高排气筒DA00</w:t>
                  </w: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4" w:type="pct"/>
                  <w:vMerge w:val="restart"/>
                  <w:vAlign w:val="center"/>
                </w:tcPr>
                <w:p>
                  <w:pPr>
                    <w:pStyle w:val="70"/>
                  </w:pPr>
                  <w:r>
                    <w:rPr>
                      <w:rFonts w:hint="eastAsia"/>
                    </w:rPr>
                    <w:t>废水</w:t>
                  </w:r>
                </w:p>
              </w:tc>
              <w:tc>
                <w:tcPr>
                  <w:tcW w:w="439" w:type="pct"/>
                  <w:vMerge w:val="restart"/>
                  <w:vAlign w:val="center"/>
                </w:tcPr>
                <w:p>
                  <w:pPr>
                    <w:pStyle w:val="70"/>
                    <w:rPr>
                      <w:rFonts w:hint="default" w:eastAsia="宋体"/>
                      <w:lang w:val="en-US" w:eastAsia="zh-CN"/>
                    </w:rPr>
                  </w:pPr>
                  <w:r>
                    <w:rPr>
                      <w:rFonts w:hint="eastAsia"/>
                      <w:lang w:val="en-US" w:eastAsia="zh-CN"/>
                    </w:rPr>
                    <w:t>W1</w:t>
                  </w:r>
                </w:p>
              </w:tc>
              <w:tc>
                <w:tcPr>
                  <w:tcW w:w="756" w:type="pct"/>
                  <w:vMerge w:val="restart"/>
                  <w:vAlign w:val="center"/>
                </w:tcPr>
                <w:p>
                  <w:pPr>
                    <w:pStyle w:val="70"/>
                    <w:rPr>
                      <w:color w:val="auto"/>
                    </w:rPr>
                  </w:pPr>
                  <w:r>
                    <w:rPr>
                      <w:rFonts w:hint="eastAsia"/>
                      <w:color w:val="auto"/>
                    </w:rPr>
                    <w:t>燃气锅炉</w:t>
                  </w:r>
                </w:p>
              </w:tc>
              <w:tc>
                <w:tcPr>
                  <w:tcW w:w="1001" w:type="pct"/>
                  <w:shd w:val="clear" w:color="auto" w:fill="auto"/>
                  <w:vAlign w:val="center"/>
                </w:tcPr>
                <w:p>
                  <w:pPr>
                    <w:pStyle w:val="70"/>
                    <w:rPr>
                      <w:rFonts w:hint="eastAsia" w:eastAsia="宋体"/>
                      <w:color w:val="auto"/>
                      <w:lang w:eastAsia="zh-CN"/>
                    </w:rPr>
                  </w:pPr>
                  <w:r>
                    <w:rPr>
                      <w:rFonts w:hint="eastAsia"/>
                      <w:color w:val="auto"/>
                      <w:lang w:eastAsia="zh-CN"/>
                    </w:rPr>
                    <w:t>锅炉废水</w:t>
                  </w:r>
                </w:p>
              </w:tc>
              <w:tc>
                <w:tcPr>
                  <w:tcW w:w="2268" w:type="pct"/>
                  <w:vMerge w:val="restart"/>
                  <w:vAlign w:val="center"/>
                </w:tcPr>
                <w:p>
                  <w:pPr>
                    <w:pStyle w:val="70"/>
                    <w:rPr>
                      <w:color w:val="auto"/>
                    </w:rPr>
                  </w:pPr>
                  <w:r>
                    <w:rPr>
                      <w:rFonts w:hint="eastAsia"/>
                    </w:rPr>
                    <w:t>排入园区污水管网</w:t>
                  </w:r>
                  <w:r>
                    <w:rPr>
                      <w:color w:val="auto"/>
                    </w:rPr>
                    <w:t>，最终</w:t>
                  </w:r>
                  <w:r>
                    <w:rPr>
                      <w:rFonts w:hint="eastAsia"/>
                      <w:color w:val="auto"/>
                    </w:rPr>
                    <w:t>排放</w:t>
                  </w:r>
                  <w:r>
                    <w:rPr>
                      <w:color w:val="auto"/>
                    </w:rPr>
                    <w:t>和静县污水处理厂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34" w:type="pct"/>
                  <w:vMerge w:val="continue"/>
                  <w:vAlign w:val="center"/>
                </w:tcPr>
                <w:p>
                  <w:pPr>
                    <w:pStyle w:val="70"/>
                  </w:pPr>
                </w:p>
              </w:tc>
              <w:tc>
                <w:tcPr>
                  <w:tcW w:w="439" w:type="pct"/>
                  <w:vMerge w:val="continue"/>
                  <w:vAlign w:val="center"/>
                </w:tcPr>
                <w:p>
                  <w:pPr>
                    <w:pStyle w:val="70"/>
                  </w:pPr>
                </w:p>
              </w:tc>
              <w:tc>
                <w:tcPr>
                  <w:tcW w:w="756" w:type="pct"/>
                  <w:vMerge w:val="continue"/>
                  <w:vAlign w:val="center"/>
                </w:tcPr>
                <w:p>
                  <w:pPr>
                    <w:pStyle w:val="70"/>
                  </w:pPr>
                </w:p>
              </w:tc>
              <w:tc>
                <w:tcPr>
                  <w:tcW w:w="1001" w:type="pct"/>
                  <w:shd w:val="clear" w:color="auto" w:fill="auto"/>
                  <w:vAlign w:val="center"/>
                </w:tcPr>
                <w:p>
                  <w:pPr>
                    <w:pStyle w:val="70"/>
                    <w:rPr>
                      <w:color w:val="C00000"/>
                    </w:rPr>
                  </w:pPr>
                  <w:r>
                    <w:rPr>
                      <w:rFonts w:hint="eastAsia"/>
                      <w:color w:val="auto"/>
                    </w:rPr>
                    <w:t>软水制备排水</w:t>
                  </w:r>
                </w:p>
              </w:tc>
              <w:tc>
                <w:tcPr>
                  <w:tcW w:w="2268" w:type="pct"/>
                  <w:vMerge w:val="continue"/>
                  <w:vAlign w:val="center"/>
                </w:tcPr>
                <w:p>
                  <w:pPr>
                    <w:pStyle w:val="70"/>
                    <w:rPr>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34" w:type="pct"/>
                  <w:vMerge w:val="continue"/>
                  <w:vAlign w:val="center"/>
                </w:tcPr>
                <w:p>
                  <w:pPr>
                    <w:pStyle w:val="70"/>
                  </w:pPr>
                </w:p>
              </w:tc>
              <w:tc>
                <w:tcPr>
                  <w:tcW w:w="439" w:type="pct"/>
                  <w:vAlign w:val="center"/>
                </w:tcPr>
                <w:p>
                  <w:pPr>
                    <w:pStyle w:val="70"/>
                    <w:rPr>
                      <w:rFonts w:hint="default" w:eastAsia="宋体"/>
                      <w:lang w:val="en-US" w:eastAsia="zh-CN"/>
                    </w:rPr>
                  </w:pPr>
                  <w:r>
                    <w:rPr>
                      <w:rFonts w:hint="eastAsia"/>
                      <w:lang w:val="en-US" w:eastAsia="zh-CN"/>
                    </w:rPr>
                    <w:t>W2</w:t>
                  </w:r>
                </w:p>
              </w:tc>
              <w:tc>
                <w:tcPr>
                  <w:tcW w:w="756" w:type="pct"/>
                  <w:vAlign w:val="center"/>
                </w:tcPr>
                <w:p>
                  <w:pPr>
                    <w:pStyle w:val="70"/>
                  </w:pPr>
                  <w:r>
                    <w:rPr>
                      <w:rFonts w:hint="eastAsia"/>
                    </w:rPr>
                    <w:t>职工生活</w:t>
                  </w:r>
                </w:p>
              </w:tc>
              <w:tc>
                <w:tcPr>
                  <w:tcW w:w="1001" w:type="pct"/>
                  <w:shd w:val="clear" w:color="auto" w:fill="auto"/>
                  <w:vAlign w:val="center"/>
                </w:tcPr>
                <w:p>
                  <w:pPr>
                    <w:pStyle w:val="70"/>
                  </w:pPr>
                  <w:r>
                    <w:rPr>
                      <w:rFonts w:hint="eastAsia"/>
                    </w:rPr>
                    <w:t>生活废水</w:t>
                  </w:r>
                </w:p>
              </w:tc>
              <w:tc>
                <w:tcPr>
                  <w:tcW w:w="2268" w:type="pct"/>
                  <w:vAlign w:val="center"/>
                </w:tcPr>
                <w:p>
                  <w:pPr>
                    <w:pStyle w:val="70"/>
                  </w:pPr>
                  <w:r>
                    <w:rPr>
                      <w:rFonts w:hint="eastAsia"/>
                    </w:rPr>
                    <w:t>生活废水经化粪池（18m</w:t>
                  </w:r>
                  <w:r>
                    <w:rPr>
                      <w:rFonts w:hint="eastAsia"/>
                      <w:vertAlign w:val="superscript"/>
                      <w:lang w:val="en-US" w:eastAsia="zh-CN"/>
                    </w:rPr>
                    <w:t>3</w:t>
                  </w:r>
                  <w:r>
                    <w:rPr>
                      <w:rFonts w:hint="eastAsia"/>
                    </w:rPr>
                    <w:t>）预处理后排入园区污水管网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Align w:val="center"/>
                </w:tcPr>
                <w:p>
                  <w:pPr>
                    <w:pStyle w:val="70"/>
                  </w:pPr>
                  <w:r>
                    <w:t>噪声</w:t>
                  </w:r>
                </w:p>
              </w:tc>
              <w:tc>
                <w:tcPr>
                  <w:tcW w:w="439" w:type="pct"/>
                  <w:vAlign w:val="center"/>
                </w:tcPr>
                <w:p>
                  <w:pPr>
                    <w:pStyle w:val="70"/>
                  </w:pPr>
                  <w:r>
                    <w:t>N</w:t>
                  </w:r>
                </w:p>
              </w:tc>
              <w:tc>
                <w:tcPr>
                  <w:tcW w:w="756" w:type="pct"/>
                  <w:vAlign w:val="center"/>
                </w:tcPr>
                <w:p>
                  <w:pPr>
                    <w:pStyle w:val="70"/>
                  </w:pPr>
                  <w:r>
                    <w:t>生产设备</w:t>
                  </w:r>
                </w:p>
              </w:tc>
              <w:tc>
                <w:tcPr>
                  <w:tcW w:w="1001" w:type="pct"/>
                  <w:vAlign w:val="center"/>
                </w:tcPr>
                <w:p>
                  <w:pPr>
                    <w:pStyle w:val="70"/>
                  </w:pPr>
                  <w:r>
                    <w:rPr>
                      <w:rFonts w:hint="eastAsia"/>
                    </w:rPr>
                    <w:t>噪声</w:t>
                  </w:r>
                </w:p>
              </w:tc>
              <w:tc>
                <w:tcPr>
                  <w:tcW w:w="2268" w:type="pct"/>
                  <w:vAlign w:val="center"/>
                </w:tcPr>
                <w:p>
                  <w:pPr>
                    <w:pStyle w:val="70"/>
                  </w:pPr>
                  <w:r>
                    <w:rPr>
                      <w:rFonts w:hint="eastAsia"/>
                    </w:rPr>
                    <w:t>选用低噪声设备，并对高噪声设备进行基础隔声、加装消音器、减振措施，厂房隔声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restart"/>
                  <w:vAlign w:val="center"/>
                </w:tcPr>
                <w:p>
                  <w:pPr>
                    <w:pStyle w:val="70"/>
                    <w:tabs>
                      <w:tab w:val="left" w:pos="310"/>
                    </w:tabs>
                    <w:jc w:val="left"/>
                  </w:pPr>
                  <w:r>
                    <w:rPr>
                      <w:rFonts w:hint="eastAsia"/>
                    </w:rPr>
                    <w:t>固废</w:t>
                  </w:r>
                </w:p>
              </w:tc>
              <w:tc>
                <w:tcPr>
                  <w:tcW w:w="439" w:type="pct"/>
                  <w:vAlign w:val="center"/>
                </w:tcPr>
                <w:p>
                  <w:pPr>
                    <w:pStyle w:val="70"/>
                    <w:rPr>
                      <w:rFonts w:hint="eastAsia" w:eastAsia="宋体"/>
                      <w:lang w:val="en-US" w:eastAsia="zh-CN"/>
                    </w:rPr>
                  </w:pPr>
                  <w:r>
                    <w:rPr>
                      <w:rFonts w:hint="eastAsia"/>
                    </w:rPr>
                    <w:t>S</w:t>
                  </w:r>
                  <w:r>
                    <w:rPr>
                      <w:rFonts w:hint="eastAsia"/>
                      <w:lang w:val="en-US" w:eastAsia="zh-CN"/>
                    </w:rPr>
                    <w:t>1</w:t>
                  </w:r>
                </w:p>
              </w:tc>
              <w:tc>
                <w:tcPr>
                  <w:tcW w:w="756" w:type="pct"/>
                  <w:vAlign w:val="center"/>
                </w:tcPr>
                <w:p>
                  <w:pPr>
                    <w:pStyle w:val="70"/>
                  </w:pPr>
                  <w:r>
                    <w:t>粉碎车间</w:t>
                  </w:r>
                </w:p>
              </w:tc>
              <w:tc>
                <w:tcPr>
                  <w:tcW w:w="1001" w:type="pct"/>
                  <w:vAlign w:val="center"/>
                </w:tcPr>
                <w:p>
                  <w:pPr>
                    <w:pStyle w:val="70"/>
                  </w:pPr>
                  <w:r>
                    <w:t>除尘灰</w:t>
                  </w:r>
                </w:p>
              </w:tc>
              <w:tc>
                <w:tcPr>
                  <w:tcW w:w="2268" w:type="pct"/>
                  <w:vAlign w:val="center"/>
                </w:tcPr>
                <w:p>
                  <w:pPr>
                    <w:pStyle w:val="70"/>
                    <w:rPr>
                      <w:rFonts w:hint="eastAsia" w:eastAsia="宋体"/>
                      <w:lang w:eastAsia="zh-CN"/>
                    </w:rPr>
                  </w:pPr>
                  <w:r>
                    <w:rPr>
                      <w:rFonts w:hint="eastAsia"/>
                      <w:lang w:val="en-US" w:eastAsia="zh-CN"/>
                    </w:rPr>
                    <w:t>回用于生产线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pPr>
                    <w:pStyle w:val="70"/>
                    <w:tabs>
                      <w:tab w:val="left" w:pos="310"/>
                    </w:tabs>
                    <w:jc w:val="left"/>
                    <w:rPr>
                      <w:rFonts w:hint="eastAsia"/>
                    </w:rPr>
                  </w:pPr>
                </w:p>
              </w:tc>
              <w:tc>
                <w:tcPr>
                  <w:tcW w:w="439" w:type="pct"/>
                  <w:vAlign w:val="center"/>
                </w:tcPr>
                <w:p>
                  <w:pPr>
                    <w:pStyle w:val="70"/>
                    <w:rPr>
                      <w:rFonts w:hint="default" w:eastAsia="宋体"/>
                      <w:lang w:val="en-US" w:eastAsia="zh-CN"/>
                    </w:rPr>
                  </w:pPr>
                  <w:r>
                    <w:rPr>
                      <w:rFonts w:hint="eastAsia"/>
                      <w:lang w:val="en-US" w:eastAsia="zh-CN"/>
                    </w:rPr>
                    <w:t>S2</w:t>
                  </w:r>
                </w:p>
              </w:tc>
              <w:tc>
                <w:tcPr>
                  <w:tcW w:w="756" w:type="pct"/>
                  <w:vAlign w:val="center"/>
                </w:tcPr>
                <w:p>
                  <w:pPr>
                    <w:pStyle w:val="70"/>
                  </w:pPr>
                  <w:r>
                    <w:t>生产车间</w:t>
                  </w:r>
                </w:p>
              </w:tc>
              <w:tc>
                <w:tcPr>
                  <w:tcW w:w="1001" w:type="pct"/>
                  <w:vAlign w:val="center"/>
                </w:tcPr>
                <w:p>
                  <w:pPr>
                    <w:pStyle w:val="70"/>
                    <w:rPr>
                      <w:rFonts w:hint="default"/>
                      <w:lang w:val="en-US"/>
                    </w:rPr>
                  </w:pPr>
                  <w:r>
                    <w:rPr>
                      <w:rFonts w:hint="default" w:ascii="Times New Roman" w:hAnsi="Times New Roman" w:eastAsia="宋体" w:cs="Times New Roman"/>
                      <w:sz w:val="21"/>
                      <w:szCs w:val="21"/>
                      <w:lang w:val="en-US" w:eastAsia="zh-CN"/>
                    </w:rPr>
                    <w:t>清筛工序</w:t>
                  </w:r>
                  <w:r>
                    <w:rPr>
                      <w:rFonts w:hint="eastAsia" w:ascii="Times New Roman" w:hAnsi="Times New Roman" w:eastAsia="宋体" w:cs="Times New Roman"/>
                      <w:sz w:val="21"/>
                      <w:szCs w:val="21"/>
                      <w:lang w:val="en-US" w:eastAsia="zh-CN"/>
                    </w:rPr>
                    <w:t>、除铁工序杂质</w:t>
                  </w:r>
                </w:p>
              </w:tc>
              <w:tc>
                <w:tcPr>
                  <w:tcW w:w="2268" w:type="pct"/>
                  <w:vAlign w:val="center"/>
                </w:tcPr>
                <w:p>
                  <w:pPr>
                    <w:pStyle w:val="70"/>
                    <w:rPr>
                      <w:rFonts w:hint="default"/>
                      <w:lang w:val="en-US" w:eastAsia="zh-CN"/>
                    </w:rPr>
                  </w:pPr>
                  <w:r>
                    <w:rPr>
                      <w:rFonts w:hint="eastAsia"/>
                      <w:lang w:val="en-US" w:eastAsia="zh-CN"/>
                    </w:rPr>
                    <w:t>铁等可回收物品回收至收购站，不可回收物为塑料等普通生活垃圾，与生活垃圾一同</w:t>
                  </w:r>
                  <w:r>
                    <w:t>交由环卫部门统一清运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pPr>
                    <w:pStyle w:val="70"/>
                  </w:pPr>
                </w:p>
              </w:tc>
              <w:tc>
                <w:tcPr>
                  <w:tcW w:w="439" w:type="pct"/>
                  <w:vAlign w:val="center"/>
                </w:tcPr>
                <w:p>
                  <w:pPr>
                    <w:pStyle w:val="70"/>
                    <w:rPr>
                      <w:rFonts w:hint="default" w:eastAsia="宋体"/>
                      <w:lang w:val="en-US" w:eastAsia="zh-CN"/>
                    </w:rPr>
                  </w:pPr>
                  <w:r>
                    <w:rPr>
                      <w:rFonts w:hint="eastAsia"/>
                      <w:lang w:val="en-US" w:eastAsia="zh-CN"/>
                    </w:rPr>
                    <w:t>S3</w:t>
                  </w:r>
                </w:p>
              </w:tc>
              <w:tc>
                <w:tcPr>
                  <w:tcW w:w="756" w:type="pct"/>
                  <w:vAlign w:val="center"/>
                </w:tcPr>
                <w:p>
                  <w:pPr>
                    <w:pStyle w:val="70"/>
                  </w:pPr>
                  <w:r>
                    <w:t>生产车间</w:t>
                  </w:r>
                </w:p>
              </w:tc>
              <w:tc>
                <w:tcPr>
                  <w:tcW w:w="1001" w:type="pct"/>
                  <w:vAlign w:val="center"/>
                </w:tcPr>
                <w:p>
                  <w:pPr>
                    <w:pStyle w:val="70"/>
                  </w:pPr>
                  <w:r>
                    <w:t>废旧除尘布袋</w:t>
                  </w:r>
                </w:p>
              </w:tc>
              <w:tc>
                <w:tcPr>
                  <w:tcW w:w="2268" w:type="pct"/>
                  <w:vAlign w:val="center"/>
                </w:tcPr>
                <w:p>
                  <w:pPr>
                    <w:pStyle w:val="70"/>
                  </w:pPr>
                  <w:r>
                    <w:t>除尘器厂家回收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pPr>
                    <w:pStyle w:val="70"/>
                  </w:pPr>
                </w:p>
              </w:tc>
              <w:tc>
                <w:tcPr>
                  <w:tcW w:w="439" w:type="pct"/>
                  <w:vAlign w:val="center"/>
                </w:tcPr>
                <w:p>
                  <w:pPr>
                    <w:pStyle w:val="70"/>
                    <w:rPr>
                      <w:rFonts w:hint="default" w:eastAsia="宋体"/>
                      <w:lang w:val="en-US" w:eastAsia="zh-CN"/>
                    </w:rPr>
                  </w:pPr>
                  <w:r>
                    <w:rPr>
                      <w:rFonts w:hint="eastAsia"/>
                      <w:lang w:val="en-US" w:eastAsia="zh-CN"/>
                    </w:rPr>
                    <w:t>S4</w:t>
                  </w:r>
                </w:p>
              </w:tc>
              <w:tc>
                <w:tcPr>
                  <w:tcW w:w="756" w:type="pct"/>
                  <w:vAlign w:val="center"/>
                </w:tcPr>
                <w:p>
                  <w:pPr>
                    <w:pStyle w:val="70"/>
                  </w:pPr>
                  <w:r>
                    <w:t>锅炉房软化水装置</w:t>
                  </w:r>
                </w:p>
              </w:tc>
              <w:tc>
                <w:tcPr>
                  <w:tcW w:w="1001" w:type="pct"/>
                  <w:vAlign w:val="center"/>
                </w:tcPr>
                <w:p>
                  <w:pPr>
                    <w:pStyle w:val="70"/>
                  </w:pPr>
                  <w:r>
                    <w:t>离子交换树脂</w:t>
                  </w:r>
                </w:p>
              </w:tc>
              <w:tc>
                <w:tcPr>
                  <w:tcW w:w="2268" w:type="pct"/>
                  <w:vAlign w:val="center"/>
                </w:tcPr>
                <w:p>
                  <w:pPr>
                    <w:pStyle w:val="70"/>
                  </w:pPr>
                  <w: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pPr>
                    <w:pStyle w:val="70"/>
                  </w:pPr>
                </w:p>
              </w:tc>
              <w:tc>
                <w:tcPr>
                  <w:tcW w:w="439" w:type="pct"/>
                  <w:vAlign w:val="center"/>
                </w:tcPr>
                <w:p>
                  <w:pPr>
                    <w:pStyle w:val="70"/>
                    <w:rPr>
                      <w:rFonts w:hint="default" w:eastAsia="宋体"/>
                      <w:lang w:val="en-US" w:eastAsia="zh-CN"/>
                    </w:rPr>
                  </w:pPr>
                  <w:r>
                    <w:rPr>
                      <w:rFonts w:hint="eastAsia"/>
                      <w:lang w:val="en-US" w:eastAsia="zh-CN"/>
                    </w:rPr>
                    <w:t>S5</w:t>
                  </w:r>
                </w:p>
              </w:tc>
              <w:tc>
                <w:tcPr>
                  <w:tcW w:w="756" w:type="pct"/>
                  <w:vAlign w:val="center"/>
                </w:tcPr>
                <w:p>
                  <w:pPr>
                    <w:pStyle w:val="70"/>
                  </w:pPr>
                  <w:r>
                    <w:t>办公生活区</w:t>
                  </w:r>
                </w:p>
              </w:tc>
              <w:tc>
                <w:tcPr>
                  <w:tcW w:w="1001" w:type="pct"/>
                  <w:vAlign w:val="center"/>
                </w:tcPr>
                <w:p>
                  <w:pPr>
                    <w:pStyle w:val="70"/>
                  </w:pPr>
                  <w:r>
                    <w:t>生活垃圾</w:t>
                  </w:r>
                </w:p>
              </w:tc>
              <w:tc>
                <w:tcPr>
                  <w:tcW w:w="2268" w:type="pct"/>
                  <w:vAlign w:val="center"/>
                </w:tcPr>
                <w:p>
                  <w:pPr>
                    <w:pStyle w:val="70"/>
                  </w:pPr>
                  <w:r>
                    <w:t>生活垃圾集中收集后交由环卫部门统一清运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pPr>
                    <w:pStyle w:val="70"/>
                  </w:pPr>
                </w:p>
              </w:tc>
              <w:tc>
                <w:tcPr>
                  <w:tcW w:w="439" w:type="pct"/>
                  <w:vAlign w:val="center"/>
                </w:tcPr>
                <w:p>
                  <w:pPr>
                    <w:pStyle w:val="70"/>
                    <w:rPr>
                      <w:rFonts w:hint="default" w:eastAsia="宋体"/>
                      <w:lang w:val="en-US" w:eastAsia="zh-CN"/>
                    </w:rPr>
                  </w:pPr>
                  <w:r>
                    <w:rPr>
                      <w:rFonts w:hint="eastAsia"/>
                      <w:lang w:val="en-US" w:eastAsia="zh-CN"/>
                    </w:rPr>
                    <w:t>S6</w:t>
                  </w:r>
                </w:p>
              </w:tc>
              <w:tc>
                <w:tcPr>
                  <w:tcW w:w="756" w:type="pct"/>
                  <w:vAlign w:val="center"/>
                </w:tcPr>
                <w:p>
                  <w:pPr>
                    <w:pStyle w:val="70"/>
                  </w:pPr>
                  <w:r>
                    <w:t>设备维修</w:t>
                  </w:r>
                </w:p>
              </w:tc>
              <w:tc>
                <w:tcPr>
                  <w:tcW w:w="1001" w:type="pct"/>
                  <w:vAlign w:val="center"/>
                </w:tcPr>
                <w:p>
                  <w:pPr>
                    <w:pStyle w:val="70"/>
                    <w:rPr>
                      <w:rFonts w:hint="eastAsia" w:eastAsia="宋体"/>
                      <w:lang w:eastAsia="zh-CN"/>
                    </w:rPr>
                  </w:pPr>
                  <w:r>
                    <w:rPr>
                      <w:rFonts w:hint="eastAsia"/>
                    </w:rPr>
                    <w:t>废</w:t>
                  </w:r>
                  <w:r>
                    <w:rPr>
                      <w:rFonts w:hint="eastAsia"/>
                      <w:lang w:val="en-US" w:eastAsia="zh-CN"/>
                    </w:rPr>
                    <w:t>润滑油</w:t>
                  </w:r>
                </w:p>
              </w:tc>
              <w:tc>
                <w:tcPr>
                  <w:tcW w:w="2268" w:type="pct"/>
                  <w:vAlign w:val="center"/>
                </w:tcPr>
                <w:p>
                  <w:pPr>
                    <w:pStyle w:val="70"/>
                  </w:pPr>
                  <w:r>
                    <w:t>集中收集存放于危险废物</w:t>
                  </w:r>
                  <w:r>
                    <w:rPr>
                      <w:rFonts w:hint="eastAsia"/>
                      <w:lang w:val="en-US" w:eastAsia="zh-CN"/>
                    </w:rPr>
                    <w:t>贮存库</w:t>
                  </w:r>
                  <w: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pPr>
                    <w:pStyle w:val="70"/>
                  </w:pPr>
                </w:p>
              </w:tc>
              <w:tc>
                <w:tcPr>
                  <w:tcW w:w="439" w:type="pct"/>
                  <w:vAlign w:val="center"/>
                </w:tcPr>
                <w:p>
                  <w:pPr>
                    <w:pStyle w:val="70"/>
                    <w:rPr>
                      <w:rFonts w:hint="default" w:eastAsia="宋体"/>
                      <w:lang w:val="en-US" w:eastAsia="zh-CN"/>
                    </w:rPr>
                  </w:pPr>
                  <w:r>
                    <w:rPr>
                      <w:rFonts w:hint="eastAsia"/>
                      <w:lang w:val="en-US" w:eastAsia="zh-CN"/>
                    </w:rPr>
                    <w:t>S7</w:t>
                  </w:r>
                </w:p>
              </w:tc>
              <w:tc>
                <w:tcPr>
                  <w:tcW w:w="756" w:type="pct"/>
                  <w:vAlign w:val="center"/>
                </w:tcPr>
                <w:p>
                  <w:pPr>
                    <w:pStyle w:val="70"/>
                    <w:rPr>
                      <w:rFonts w:hint="default"/>
                      <w:lang w:val="en-US" w:eastAsia="zh-CN"/>
                    </w:rPr>
                  </w:pPr>
                  <w:r>
                    <w:rPr>
                      <w:rFonts w:hint="eastAsia"/>
                      <w:lang w:val="en-US" w:eastAsia="zh-CN"/>
                    </w:rPr>
                    <w:t>化粪池</w:t>
                  </w:r>
                </w:p>
              </w:tc>
              <w:tc>
                <w:tcPr>
                  <w:tcW w:w="1001" w:type="pct"/>
                  <w:vAlign w:val="center"/>
                </w:tcPr>
                <w:p>
                  <w:pPr>
                    <w:pStyle w:val="70"/>
                    <w:rPr>
                      <w:rFonts w:hint="default"/>
                      <w:lang w:val="en-US" w:eastAsia="zh-CN"/>
                    </w:rPr>
                  </w:pPr>
                  <w:r>
                    <w:rPr>
                      <w:rFonts w:hint="eastAsia"/>
                      <w:lang w:val="en-US" w:eastAsia="zh-CN"/>
                    </w:rPr>
                    <w:t>化粪池污泥</w:t>
                  </w:r>
                </w:p>
              </w:tc>
              <w:tc>
                <w:tcPr>
                  <w:tcW w:w="2268" w:type="pct"/>
                  <w:vAlign w:val="center"/>
                </w:tcPr>
                <w:p>
                  <w:pPr>
                    <w:pStyle w:val="70"/>
                    <w:rPr>
                      <w:rFonts w:hint="default" w:eastAsia="宋体"/>
                      <w:lang w:val="en-US" w:eastAsia="zh-CN"/>
                    </w:rPr>
                  </w:pPr>
                  <w:r>
                    <w:rPr>
                      <w:rFonts w:hint="eastAsia"/>
                      <w:lang w:val="en-US" w:eastAsia="zh-CN"/>
                    </w:rPr>
                    <w:t>定期由吸污车清掏，拉运至污水处理厂进行脱水处置，干化后的污泥最终进入生活垃圾场填埋处置</w:t>
                  </w:r>
                </w:p>
              </w:tc>
            </w:tr>
          </w:tbl>
          <w:p>
            <w:pPr>
              <w:adjustRightInd w:val="0"/>
              <w:snapToGrid w:val="0"/>
              <w:ind w:firstLine="0" w:firstLineChars="0"/>
              <w:rPr>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vAlign w:val="center"/>
          </w:tcPr>
          <w:p>
            <w:pPr>
              <w:pStyle w:val="22"/>
              <w:adjustRightInd w:val="0"/>
              <w:snapToGrid w:val="0"/>
              <w:spacing w:before="0" w:beforeAutospacing="0" w:after="0" w:afterAutospacing="0"/>
              <w:ind w:firstLine="0" w:firstLineChars="0"/>
              <w:jc w:val="both"/>
              <w:rPr>
                <w:rFonts w:ascii="Times New Roman" w:hAnsi="Times New Roman"/>
                <w:sz w:val="21"/>
                <w:szCs w:val="21"/>
              </w:rPr>
            </w:pPr>
            <w:r>
              <w:rPr>
                <w:rFonts w:ascii="Times New Roman" w:hAnsi="Times New Roman"/>
                <w:bCs/>
                <w:kern w:val="2"/>
                <w:szCs w:val="24"/>
              </w:rPr>
              <w:t>与项目有关的原有环境污染问题</w:t>
            </w:r>
          </w:p>
        </w:tc>
        <w:tc>
          <w:tcPr>
            <w:tcW w:w="7540" w:type="dxa"/>
          </w:tcPr>
          <w:p>
            <w:pPr>
              <w:bidi w:val="0"/>
              <w:rPr>
                <w:szCs w:val="24"/>
              </w:rPr>
            </w:pPr>
            <w:r>
              <w:t>现新疆胜发牧业有限公司</w:t>
            </w:r>
            <w:r>
              <w:rPr>
                <w:rFonts w:hint="eastAsia"/>
              </w:rPr>
              <w:t>经过综合考虑，拟将选址变更为新疆和静工业园区</w:t>
            </w:r>
            <w:r>
              <w:t>额勒再特工业片区</w:t>
            </w:r>
            <w:r>
              <w:rPr>
                <w:rFonts w:hint="eastAsia"/>
              </w:rPr>
              <w:t>和静县大漠疆雪酒业有限公司北侧、经</w:t>
            </w:r>
            <w:r>
              <w:rPr>
                <w:rFonts w:hint="eastAsia"/>
                <w:lang w:val="en-US" w:eastAsia="zh-CN"/>
              </w:rPr>
              <w:t>九</w:t>
            </w:r>
            <w:r>
              <w:rPr>
                <w:rFonts w:hint="eastAsia"/>
              </w:rPr>
              <w:t>路西侧，产品规模调整为</w:t>
            </w:r>
            <w:r>
              <w:t>年产20万吨秸秆青（黄）储饲料和40万吨全价颗粒饲料</w:t>
            </w:r>
            <w:r>
              <w:rPr>
                <w:rFonts w:hint="eastAsia"/>
              </w:rPr>
              <w:t>，根据</w:t>
            </w:r>
            <w:r>
              <w:t>《污染影响类建设项目重大变动清单（试行）》</w:t>
            </w:r>
            <w:r>
              <w:rPr>
                <w:rFonts w:hint="eastAsia"/>
              </w:rPr>
              <w:t>（</w:t>
            </w:r>
            <w:r>
              <w:t>环办环评函〔2020〕688号</w:t>
            </w:r>
            <w:r>
              <w:rPr>
                <w:rFonts w:hint="eastAsia"/>
              </w:rPr>
              <w:t>）</w:t>
            </w:r>
            <w:r>
              <w:t>文件</w:t>
            </w:r>
            <w:r>
              <w:rPr>
                <w:rFonts w:hint="eastAsia"/>
              </w:rPr>
              <w:t>，本次变动符合文件中</w:t>
            </w:r>
            <w:r>
              <w:rPr>
                <w:rFonts w:hint="eastAsia"/>
                <w:lang w:eastAsia="zh-CN"/>
              </w:rPr>
              <w:t>“</w:t>
            </w:r>
            <w:r>
              <w:rPr>
                <w:rFonts w:hint="eastAsia"/>
              </w:rPr>
              <w:t>规模</w:t>
            </w:r>
            <w:r>
              <w:rPr>
                <w:rFonts w:hint="eastAsia"/>
                <w:lang w:eastAsia="zh-CN"/>
              </w:rPr>
              <w:t>”“</w:t>
            </w:r>
            <w:r>
              <w:rPr>
                <w:rFonts w:hint="eastAsia"/>
              </w:rPr>
              <w:t>地点</w:t>
            </w:r>
            <w:r>
              <w:rPr>
                <w:rFonts w:hint="eastAsia"/>
                <w:lang w:eastAsia="zh-CN"/>
              </w:rPr>
              <w:t>”“</w:t>
            </w:r>
            <w:r>
              <w:rPr>
                <w:rFonts w:hint="eastAsia"/>
              </w:rPr>
              <w:t>生产工艺</w:t>
            </w:r>
            <w:r>
              <w:rPr>
                <w:rFonts w:hint="eastAsia"/>
                <w:lang w:eastAsia="zh-CN"/>
              </w:rPr>
              <w:t>”</w:t>
            </w:r>
            <w:r>
              <w:rPr>
                <w:rFonts w:hint="eastAsia"/>
              </w:rPr>
              <w:t>的变动情形，因此，本项目按照重大变动重新报批。拟建项目为新建项目，经现场勘查，现在项目占地为空地，不存在与原有污染问题。</w:t>
            </w:r>
          </w:p>
        </w:tc>
      </w:tr>
    </w:tbl>
    <w:p>
      <w:pPr>
        <w:pStyle w:val="22"/>
        <w:jc w:val="center"/>
        <w:rPr>
          <w:rFonts w:ascii="Times New Roman" w:hAnsi="Times New Roman" w:eastAsia="黑体"/>
          <w:snapToGrid w:val="0"/>
          <w:sz w:val="36"/>
          <w:szCs w:val="36"/>
        </w:rPr>
        <w:sectPr>
          <w:footerReference r:id="rId12" w:type="default"/>
          <w:pgSz w:w="11906" w:h="16838"/>
          <w:pgMar w:top="1701" w:right="1531" w:bottom="1701" w:left="1531" w:header="851" w:footer="851" w:gutter="0"/>
          <w:cols w:space="720" w:num="1"/>
          <w:docGrid w:linePitch="312" w:charSpace="0"/>
        </w:sectPr>
      </w:pPr>
    </w:p>
    <w:p>
      <w:pPr>
        <w:pStyle w:val="22"/>
        <w:ind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00" w:type="dxa"/>
            <w:vAlign w:val="center"/>
          </w:tcPr>
          <w:p>
            <w:pPr>
              <w:adjustRightInd w:val="0"/>
              <w:snapToGrid w:val="0"/>
              <w:ind w:firstLine="0" w:firstLineChars="0"/>
              <w:rPr>
                <w:kern w:val="0"/>
              </w:rPr>
            </w:pPr>
            <w:r>
              <w:rPr>
                <w:kern w:val="0"/>
              </w:rPr>
              <w:t>区域</w:t>
            </w:r>
          </w:p>
          <w:p>
            <w:pPr>
              <w:adjustRightInd w:val="0"/>
              <w:snapToGrid w:val="0"/>
              <w:ind w:firstLine="0" w:firstLineChars="0"/>
              <w:rPr>
                <w:kern w:val="0"/>
              </w:rPr>
            </w:pPr>
            <w:r>
              <w:rPr>
                <w:kern w:val="0"/>
              </w:rPr>
              <w:t>环境</w:t>
            </w:r>
          </w:p>
          <w:p>
            <w:pPr>
              <w:adjustRightInd w:val="0"/>
              <w:snapToGrid w:val="0"/>
              <w:ind w:firstLine="0" w:firstLineChars="0"/>
              <w:rPr>
                <w:kern w:val="0"/>
              </w:rPr>
            </w:pPr>
            <w:r>
              <w:rPr>
                <w:kern w:val="0"/>
              </w:rPr>
              <w:t>质量</w:t>
            </w:r>
          </w:p>
          <w:p>
            <w:pPr>
              <w:adjustRightInd w:val="0"/>
              <w:snapToGrid w:val="0"/>
              <w:ind w:firstLine="0" w:firstLineChars="0"/>
              <w:rPr>
                <w:kern w:val="0"/>
              </w:rPr>
            </w:pPr>
            <w:r>
              <w:rPr>
                <w:kern w:val="0"/>
              </w:rPr>
              <w:t>现状</w:t>
            </w:r>
          </w:p>
        </w:tc>
        <w:tc>
          <w:tcPr>
            <w:tcW w:w="8083" w:type="dxa"/>
          </w:tcPr>
          <w:p>
            <w:pPr>
              <w:adjustRightInd w:val="0"/>
              <w:snapToGrid w:val="0"/>
              <w:ind w:firstLine="482"/>
              <w:jc w:val="left"/>
              <w:rPr>
                <w:b/>
                <w:kern w:val="0"/>
                <w:szCs w:val="24"/>
              </w:rPr>
            </w:pPr>
            <w:r>
              <w:rPr>
                <w:b/>
                <w:kern w:val="0"/>
                <w:szCs w:val="24"/>
              </w:rPr>
              <w:t>3.1大气环境质量现状</w:t>
            </w:r>
          </w:p>
          <w:p>
            <w:pPr>
              <w:pStyle w:val="24"/>
              <w:ind w:firstLine="482"/>
            </w:pPr>
            <w:r>
              <w:t>3.1.1大气环境质量评价</w:t>
            </w:r>
          </w:p>
          <w:p>
            <w:pPr>
              <w:ind w:firstLine="480"/>
            </w:pPr>
            <w:r>
              <w:rPr>
                <w:rFonts w:hint="eastAsia"/>
              </w:rPr>
              <w:t>根据《202</w:t>
            </w:r>
            <w:r>
              <w:rPr>
                <w:rFonts w:hint="eastAsia"/>
                <w:lang w:val="en-US" w:eastAsia="zh-CN"/>
              </w:rPr>
              <w:t>4</w:t>
            </w:r>
            <w:r>
              <w:rPr>
                <w:rFonts w:hint="eastAsia"/>
              </w:rPr>
              <w:t>巴音郭楞蒙古自治州生态环境状况公报》，2024年，全州空气质量综合指数为5.22，同比下降7.9%，空气质量明显好于2023年。全州平均优良天数比例为62%，同比增加15.7%，PM</w:t>
            </w:r>
            <w:r>
              <w:rPr>
                <w:rFonts w:hint="eastAsia"/>
                <w:vertAlign w:val="subscript"/>
              </w:rPr>
              <w:t>10</w:t>
            </w:r>
            <w:r>
              <w:rPr>
                <w:rFonts w:hint="eastAsia"/>
              </w:rPr>
              <w:t>为首要污染物，未出现PM</w:t>
            </w:r>
            <w:r>
              <w:rPr>
                <w:rFonts w:hint="eastAsia"/>
                <w:vertAlign w:val="subscript"/>
              </w:rPr>
              <w:t>2.5</w:t>
            </w:r>
            <w:r>
              <w:rPr>
                <w:rFonts w:hint="eastAsia"/>
              </w:rPr>
              <w:t>、O</w:t>
            </w:r>
            <w:r>
              <w:rPr>
                <w:rFonts w:hint="eastAsia"/>
                <w:vertAlign w:val="subscript"/>
              </w:rPr>
              <w:t>3</w:t>
            </w:r>
            <w:r>
              <w:rPr>
                <w:rFonts w:hint="eastAsia"/>
              </w:rPr>
              <w:t>-8</w:t>
            </w:r>
            <w:r>
              <w:rPr>
                <w:rFonts w:hint="eastAsia"/>
                <w:lang w:val="en-US" w:eastAsia="zh-CN"/>
              </w:rPr>
              <w:t>h</w:t>
            </w:r>
            <w:r>
              <w:rPr>
                <w:rFonts w:hint="eastAsia"/>
              </w:rPr>
              <w:t>、SO</w:t>
            </w:r>
            <w:r>
              <w:rPr>
                <w:rFonts w:hint="eastAsia"/>
                <w:vertAlign w:val="subscript"/>
              </w:rPr>
              <w:t>2</w:t>
            </w:r>
            <w:r>
              <w:rPr>
                <w:rFonts w:hint="eastAsia"/>
              </w:rPr>
              <w:t>、NO</w:t>
            </w:r>
            <w:r>
              <w:rPr>
                <w:rFonts w:hint="eastAsia"/>
                <w:vertAlign w:val="subscript"/>
              </w:rPr>
              <w:t>2</w:t>
            </w:r>
            <w:r>
              <w:rPr>
                <w:rFonts w:hint="eastAsia"/>
              </w:rPr>
              <w:t>、CO为首要污染物的超标天。2024年，库尔勒市降水pH值范围为7.5~8.4，未监测到酸雨。2024年，全州八县一市年均降尘量为22.63t/</w:t>
            </w:r>
            <w:r>
              <w:rPr>
                <w:rFonts w:hint="eastAsia"/>
                <w:lang w:val="en-US" w:eastAsia="zh-CN"/>
              </w:rPr>
              <w:t>(</w:t>
            </w:r>
            <w:r>
              <w:rPr>
                <w:rFonts w:hint="eastAsia"/>
              </w:rPr>
              <w:t>km</w:t>
            </w:r>
            <w:r>
              <w:rPr>
                <w:rFonts w:hint="eastAsia"/>
                <w:vertAlign w:val="superscript"/>
              </w:rPr>
              <w:t>2</w:t>
            </w:r>
            <w:r>
              <w:rPr>
                <w:rFonts w:hint="eastAsia"/>
              </w:rPr>
              <w:t>·月</w:t>
            </w:r>
            <w:r>
              <w:rPr>
                <w:rFonts w:hint="eastAsia"/>
                <w:lang w:val="en-US" w:eastAsia="zh-CN"/>
              </w:rPr>
              <w:t>)</w:t>
            </w:r>
            <w:r>
              <w:rPr>
                <w:rFonts w:hint="eastAsia"/>
              </w:rPr>
              <w:t>。</w:t>
            </w:r>
          </w:p>
          <w:p>
            <w:pPr>
              <w:ind w:firstLine="480"/>
            </w:pPr>
            <w:r>
              <w:rPr>
                <w:rFonts w:hint="eastAsia"/>
              </w:rPr>
              <w:t>根据《202</w:t>
            </w:r>
            <w:r>
              <w:rPr>
                <w:rFonts w:hint="eastAsia"/>
                <w:lang w:val="en-US" w:eastAsia="zh-CN"/>
              </w:rPr>
              <w:t>4</w:t>
            </w:r>
            <w:r>
              <w:rPr>
                <w:rFonts w:hint="eastAsia"/>
              </w:rPr>
              <w:t>巴音郭楞蒙古自治州生态环境状况公报》结论，项目所在区域SO</w:t>
            </w:r>
            <w:r>
              <w:rPr>
                <w:rFonts w:hint="eastAsia"/>
                <w:vertAlign w:val="subscript"/>
              </w:rPr>
              <w:t>2</w:t>
            </w:r>
            <w:r>
              <w:rPr>
                <w:rFonts w:hint="eastAsia"/>
              </w:rPr>
              <w:t>、NO</w:t>
            </w:r>
            <w:r>
              <w:rPr>
                <w:rFonts w:hint="eastAsia"/>
                <w:vertAlign w:val="subscript"/>
              </w:rPr>
              <w:t>2</w:t>
            </w:r>
            <w:r>
              <w:rPr>
                <w:rFonts w:hint="eastAsia"/>
              </w:rPr>
              <w:t>、CO和O</w:t>
            </w:r>
            <w:r>
              <w:rPr>
                <w:rFonts w:hint="eastAsia"/>
                <w:vertAlign w:val="subscript"/>
              </w:rPr>
              <w:t>3</w:t>
            </w:r>
            <w:r>
              <w:rPr>
                <w:rFonts w:hint="eastAsia"/>
              </w:rPr>
              <w:t>、PM</w:t>
            </w:r>
            <w:r>
              <w:rPr>
                <w:rFonts w:hint="eastAsia"/>
                <w:vertAlign w:val="subscript"/>
              </w:rPr>
              <w:t>2.5</w:t>
            </w:r>
            <w:r>
              <w:rPr>
                <w:rFonts w:hint="eastAsia"/>
              </w:rPr>
              <w:t>均浓度均满足《环境空气质量标准》（GB3095-2012）的二级标准要求；受沙尘天气影响PM</w:t>
            </w:r>
            <w:r>
              <w:rPr>
                <w:rFonts w:hint="eastAsia"/>
                <w:vertAlign w:val="subscript"/>
              </w:rPr>
              <w:t>10</w:t>
            </w:r>
            <w:r>
              <w:rPr>
                <w:rFonts w:hint="eastAsia"/>
              </w:rPr>
              <w:t>年均值浓度超过《环境空气质量标准》（GB3095-2012）的二级标准要求，本项目所在区域为非达标区域。对于环境空气质量不达标区域需提交《大气环境不达标区域削减方案》，根据关于将巴音郭楞蒙古自治州吐鲁番市哈密市纳入执行《环境影响评价技术导则大气环境（HJ2.2-2018）》差别化政策范围的复函（环办环评函</w:t>
            </w:r>
            <w:r>
              <w:t>〔</w:t>
            </w:r>
            <w:r>
              <w:rPr>
                <w:rFonts w:hint="eastAsia"/>
              </w:rPr>
              <w:t>2020</w:t>
            </w:r>
            <w:r>
              <w:t>〕</w:t>
            </w:r>
            <w:r>
              <w:rPr>
                <w:rFonts w:hint="eastAsia"/>
              </w:rPr>
              <w:t>341号），本地区新建项目可不提供颗粒物区域削减方案。</w:t>
            </w:r>
          </w:p>
          <w:p>
            <w:pPr>
              <w:adjustRightInd w:val="0"/>
              <w:snapToGrid w:val="0"/>
              <w:ind w:firstLine="482"/>
              <w:jc w:val="left"/>
              <w:rPr>
                <w:b/>
                <w:color w:val="000000"/>
                <w:kern w:val="0"/>
                <w:szCs w:val="24"/>
                <w:lang w:val="zh-CN"/>
              </w:rPr>
            </w:pPr>
            <w:r>
              <w:rPr>
                <w:b/>
                <w:color w:val="000000"/>
                <w:kern w:val="0"/>
                <w:szCs w:val="24"/>
              </w:rPr>
              <w:t>3.1.2</w:t>
            </w:r>
            <w:r>
              <w:rPr>
                <w:b/>
                <w:color w:val="000000"/>
                <w:kern w:val="0"/>
                <w:szCs w:val="24"/>
                <w:lang w:val="zh-CN"/>
              </w:rPr>
              <w:t>其他污染物质量现状评价</w:t>
            </w:r>
          </w:p>
          <w:p>
            <w:pPr>
              <w:adjustRightInd w:val="0"/>
              <w:snapToGrid w:val="0"/>
              <w:ind w:firstLine="480"/>
              <w:jc w:val="left"/>
              <w:rPr>
                <w:bCs/>
                <w:kern w:val="0"/>
                <w:szCs w:val="24"/>
              </w:rPr>
            </w:pPr>
            <w:r>
              <w:rPr>
                <w:bCs/>
                <w:kern w:val="0"/>
                <w:szCs w:val="24"/>
              </w:rPr>
              <w:t>1）监测布点</w:t>
            </w:r>
          </w:p>
          <w:p>
            <w:pPr>
              <w:adjustRightInd w:val="0"/>
              <w:snapToGrid w:val="0"/>
              <w:ind w:firstLine="480"/>
              <w:jc w:val="left"/>
              <w:rPr>
                <w:bCs/>
                <w:kern w:val="0"/>
                <w:szCs w:val="24"/>
              </w:rPr>
            </w:pPr>
            <w:r>
              <w:rPr>
                <w:bCs/>
                <w:kern w:val="0"/>
                <w:szCs w:val="24"/>
              </w:rPr>
              <w:t>大气环境现状监测依据《建设项目环境影响报告表编制技术指南（污染影响类）（试行）》中监测点设置要求，结合评价区域的地形特征、环境空气保护目标和区域环境特征进行布点，同时兼顾厂址主导风向，当季主导风向下风向1个点位补充不少于3天的监测数据；本次项目引用《</w:t>
            </w:r>
            <w:r>
              <w:rPr>
                <w:rFonts w:hint="eastAsia"/>
                <w:bCs/>
                <w:kern w:val="0"/>
                <w:szCs w:val="24"/>
                <w:lang w:val="en-US" w:eastAsia="zh-CN"/>
              </w:rPr>
              <w:t>巴州格森塑业有限公司农用可降解塑料制品生产线建设项目</w:t>
            </w:r>
            <w:r>
              <w:rPr>
                <w:bCs/>
                <w:kern w:val="0"/>
                <w:szCs w:val="24"/>
              </w:rPr>
              <w:t>》</w:t>
            </w:r>
            <w:r>
              <w:rPr>
                <w:rFonts w:hint="eastAsia"/>
                <w:bCs/>
                <w:kern w:val="0"/>
                <w:szCs w:val="24"/>
                <w:lang w:val="en-US" w:eastAsia="zh-CN"/>
              </w:rPr>
              <w:t>监测点</w:t>
            </w:r>
            <w:r>
              <w:rPr>
                <w:szCs w:val="24"/>
              </w:rPr>
              <w:t>E86°</w:t>
            </w:r>
            <w:r>
              <w:rPr>
                <w:rFonts w:hint="eastAsia"/>
                <w:szCs w:val="24"/>
              </w:rPr>
              <w:t>1</w:t>
            </w:r>
            <w:r>
              <w:rPr>
                <w:rFonts w:hint="eastAsia"/>
                <w:szCs w:val="24"/>
                <w:lang w:val="en-US" w:eastAsia="zh-CN"/>
              </w:rPr>
              <w:t>3</w:t>
            </w:r>
            <w:r>
              <w:rPr>
                <w:szCs w:val="24"/>
              </w:rPr>
              <w:t>′</w:t>
            </w:r>
            <w:r>
              <w:rPr>
                <w:rFonts w:hint="eastAsia"/>
                <w:szCs w:val="24"/>
                <w:lang w:val="en-US" w:eastAsia="zh-CN"/>
              </w:rPr>
              <w:t>18.26</w:t>
            </w:r>
            <w:r>
              <w:rPr>
                <w:szCs w:val="24"/>
              </w:rPr>
              <w:t>"，N42°</w:t>
            </w:r>
            <w:r>
              <w:rPr>
                <w:rFonts w:hint="eastAsia"/>
                <w:szCs w:val="24"/>
              </w:rPr>
              <w:t>1</w:t>
            </w:r>
            <w:r>
              <w:rPr>
                <w:rFonts w:hint="eastAsia"/>
                <w:szCs w:val="24"/>
                <w:lang w:val="en-US" w:eastAsia="zh-CN"/>
              </w:rPr>
              <w:t>9</w:t>
            </w:r>
            <w:r>
              <w:rPr>
                <w:szCs w:val="24"/>
              </w:rPr>
              <w:t>′</w:t>
            </w:r>
            <w:r>
              <w:rPr>
                <w:rFonts w:hint="eastAsia"/>
                <w:szCs w:val="24"/>
                <w:lang w:val="en-US" w:eastAsia="zh-CN"/>
              </w:rPr>
              <w:t>9.38</w:t>
            </w:r>
            <w:r>
              <w:rPr>
                <w:szCs w:val="24"/>
              </w:rPr>
              <w:t>"</w:t>
            </w:r>
            <w:r>
              <w:rPr>
                <w:rFonts w:hint="eastAsia"/>
                <w:szCs w:val="24"/>
                <w:lang w:val="en-US" w:eastAsia="zh-CN"/>
              </w:rPr>
              <w:t>的</w:t>
            </w:r>
            <w:r>
              <w:rPr>
                <w:bCs/>
                <w:kern w:val="0"/>
                <w:szCs w:val="24"/>
              </w:rPr>
              <w:t>现状监测数据。</w:t>
            </w:r>
          </w:p>
          <w:p>
            <w:pPr>
              <w:pStyle w:val="65"/>
            </w:pPr>
            <w:r>
              <w:t>表3</w:t>
            </w:r>
            <w:r>
              <w:rPr>
                <w:rFonts w:hint="eastAsia"/>
              </w:rPr>
              <w:t>.1</w:t>
            </w:r>
            <w:r>
              <w:t>-</w:t>
            </w:r>
            <w:r>
              <w:rPr>
                <w:rFonts w:hint="eastAsia"/>
              </w:rPr>
              <w:t>1</w:t>
            </w:r>
            <w:r>
              <w:t xml:space="preserve">   特征污染物监测点位基本信息</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86"/>
              <w:gridCol w:w="1130"/>
              <w:gridCol w:w="1604"/>
              <w:gridCol w:w="1295"/>
              <w:gridCol w:w="1317"/>
              <w:gridCol w:w="12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811" w:type="pct"/>
                  <w:tcBorders>
                    <w:tl2br w:val="nil"/>
                    <w:tr2bl w:val="nil"/>
                  </w:tcBorders>
                  <w:vAlign w:val="center"/>
                </w:tcPr>
                <w:p>
                  <w:pPr>
                    <w:pStyle w:val="70"/>
                  </w:pPr>
                  <w:r>
                    <w:t>监测点名称</w:t>
                  </w:r>
                </w:p>
              </w:tc>
              <w:tc>
                <w:tcPr>
                  <w:tcW w:w="712" w:type="pct"/>
                  <w:tcBorders>
                    <w:tl2br w:val="nil"/>
                    <w:tr2bl w:val="nil"/>
                  </w:tcBorders>
                  <w:vAlign w:val="center"/>
                </w:tcPr>
                <w:p>
                  <w:pPr>
                    <w:pStyle w:val="70"/>
                  </w:pPr>
                  <w:r>
                    <w:t>监测因子</w:t>
                  </w:r>
                </w:p>
              </w:tc>
              <w:tc>
                <w:tcPr>
                  <w:tcW w:w="1011" w:type="pct"/>
                  <w:tcBorders>
                    <w:tl2br w:val="nil"/>
                    <w:tr2bl w:val="nil"/>
                  </w:tcBorders>
                  <w:vAlign w:val="center"/>
                </w:tcPr>
                <w:p>
                  <w:pPr>
                    <w:pStyle w:val="70"/>
                  </w:pPr>
                  <w:r>
                    <w:t>监测时段</w:t>
                  </w:r>
                </w:p>
              </w:tc>
              <w:tc>
                <w:tcPr>
                  <w:tcW w:w="816" w:type="pct"/>
                  <w:tcBorders>
                    <w:tl2br w:val="nil"/>
                    <w:tr2bl w:val="nil"/>
                  </w:tcBorders>
                  <w:vAlign w:val="center"/>
                </w:tcPr>
                <w:p>
                  <w:pPr>
                    <w:pStyle w:val="70"/>
                  </w:pPr>
                  <w:r>
                    <w:t>相对方位</w:t>
                  </w:r>
                </w:p>
              </w:tc>
              <w:tc>
                <w:tcPr>
                  <w:tcW w:w="830" w:type="pct"/>
                  <w:tcBorders>
                    <w:tl2br w:val="nil"/>
                    <w:tr2bl w:val="nil"/>
                  </w:tcBorders>
                  <w:vAlign w:val="center"/>
                </w:tcPr>
                <w:p>
                  <w:pPr>
                    <w:pStyle w:val="70"/>
                  </w:pPr>
                  <w:r>
                    <w:t>相对距离/m</w:t>
                  </w:r>
                </w:p>
              </w:tc>
              <w:tc>
                <w:tcPr>
                  <w:tcW w:w="816" w:type="pct"/>
                  <w:tcBorders>
                    <w:tl2br w:val="nil"/>
                    <w:tr2bl w:val="nil"/>
                  </w:tcBorders>
                  <w:vAlign w:val="center"/>
                </w:tcPr>
                <w:p>
                  <w:pPr>
                    <w:pStyle w:val="70"/>
                  </w:pPr>
                  <w:r>
                    <w:t>数据来源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9" w:hRule="atLeast"/>
                <w:jc w:val="center"/>
              </w:trPr>
              <w:tc>
                <w:tcPr>
                  <w:tcW w:w="811" w:type="pct"/>
                  <w:tcBorders>
                    <w:tl2br w:val="nil"/>
                    <w:tr2bl w:val="nil"/>
                  </w:tcBorders>
                  <w:vAlign w:val="center"/>
                </w:tcPr>
                <w:p>
                  <w:pPr>
                    <w:pStyle w:val="70"/>
                    <w:rPr>
                      <w:rFonts w:hint="default" w:eastAsia="宋体"/>
                      <w:lang w:val="en-US" w:eastAsia="zh-CN"/>
                    </w:rPr>
                  </w:pPr>
                  <w:r>
                    <w:rPr>
                      <w:rFonts w:hint="eastAsia"/>
                      <w:lang w:val="en-US" w:eastAsia="zh-CN"/>
                    </w:rPr>
                    <w:t>01</w:t>
                  </w:r>
                </w:p>
              </w:tc>
              <w:tc>
                <w:tcPr>
                  <w:tcW w:w="712" w:type="pct"/>
                  <w:tcBorders>
                    <w:tl2br w:val="nil"/>
                    <w:tr2bl w:val="nil"/>
                  </w:tcBorders>
                  <w:vAlign w:val="center"/>
                </w:tcPr>
                <w:p>
                  <w:pPr>
                    <w:pStyle w:val="70"/>
                  </w:pPr>
                  <w:r>
                    <w:t>TSP</w:t>
                  </w:r>
                </w:p>
              </w:tc>
              <w:tc>
                <w:tcPr>
                  <w:tcW w:w="1011" w:type="pct"/>
                  <w:tcBorders>
                    <w:tl2br w:val="nil"/>
                    <w:tr2bl w:val="nil"/>
                  </w:tcBorders>
                  <w:vAlign w:val="center"/>
                </w:tcPr>
                <w:p>
                  <w:pPr>
                    <w:pStyle w:val="70"/>
                  </w:pPr>
                  <w:r>
                    <w:t>00:00-24:00</w:t>
                  </w:r>
                </w:p>
              </w:tc>
              <w:tc>
                <w:tcPr>
                  <w:tcW w:w="816" w:type="pct"/>
                  <w:tcBorders>
                    <w:tl2br w:val="nil"/>
                    <w:tr2bl w:val="nil"/>
                  </w:tcBorders>
                  <w:vAlign w:val="center"/>
                </w:tcPr>
                <w:p>
                  <w:pPr>
                    <w:pStyle w:val="70"/>
                  </w:pPr>
                  <w:r>
                    <w:rPr>
                      <w:rFonts w:hint="eastAsia"/>
                      <w:lang w:val="en-US" w:eastAsia="zh-CN"/>
                    </w:rPr>
                    <w:t>西北</w:t>
                  </w:r>
                  <w:r>
                    <w:t>侧</w:t>
                  </w:r>
                </w:p>
              </w:tc>
              <w:tc>
                <w:tcPr>
                  <w:tcW w:w="830" w:type="pct"/>
                  <w:tcBorders>
                    <w:tl2br w:val="nil"/>
                    <w:tr2bl w:val="nil"/>
                  </w:tcBorders>
                  <w:vAlign w:val="center"/>
                </w:tcPr>
                <w:p>
                  <w:pPr>
                    <w:pStyle w:val="70"/>
                    <w:rPr>
                      <w:rFonts w:hint="default" w:eastAsia="宋体"/>
                      <w:lang w:val="en-US" w:eastAsia="zh-CN"/>
                    </w:rPr>
                  </w:pPr>
                  <w:r>
                    <w:rPr>
                      <w:rFonts w:hint="eastAsia"/>
                      <w:lang w:val="en-US" w:eastAsia="zh-CN"/>
                    </w:rPr>
                    <w:t>345</w:t>
                  </w:r>
                </w:p>
              </w:tc>
              <w:tc>
                <w:tcPr>
                  <w:tcW w:w="816" w:type="pct"/>
                  <w:tcBorders>
                    <w:tl2br w:val="nil"/>
                    <w:tr2bl w:val="nil"/>
                  </w:tcBorders>
                  <w:vAlign w:val="center"/>
                </w:tcPr>
                <w:p>
                  <w:pPr>
                    <w:pStyle w:val="70"/>
                  </w:pPr>
                  <w:r>
                    <w:rPr>
                      <w:rFonts w:hint="eastAsia"/>
                    </w:rPr>
                    <w:t>引用</w:t>
                  </w:r>
                </w:p>
              </w:tc>
            </w:tr>
          </w:tbl>
          <w:p>
            <w:pPr>
              <w:adjustRightInd w:val="0"/>
              <w:snapToGrid w:val="0"/>
              <w:ind w:firstLine="480"/>
              <w:jc w:val="left"/>
              <w:rPr>
                <w:bCs/>
                <w:kern w:val="0"/>
                <w:szCs w:val="24"/>
              </w:rPr>
            </w:pPr>
            <w:r>
              <w:rPr>
                <w:bCs/>
                <w:kern w:val="0"/>
                <w:szCs w:val="24"/>
              </w:rPr>
              <w:t>监测时间：202</w:t>
            </w:r>
            <w:r>
              <w:rPr>
                <w:rFonts w:hint="eastAsia"/>
                <w:bCs/>
                <w:kern w:val="0"/>
                <w:szCs w:val="24"/>
                <w:lang w:val="en-US" w:eastAsia="zh-CN"/>
              </w:rPr>
              <w:t>5</w:t>
            </w:r>
            <w:r>
              <w:rPr>
                <w:bCs/>
                <w:kern w:val="0"/>
                <w:szCs w:val="24"/>
              </w:rPr>
              <w:t>年</w:t>
            </w:r>
            <w:r>
              <w:rPr>
                <w:rFonts w:hint="eastAsia"/>
                <w:bCs/>
                <w:kern w:val="0"/>
                <w:szCs w:val="24"/>
                <w:lang w:val="en-US" w:eastAsia="zh-CN"/>
              </w:rPr>
              <w:t>3</w:t>
            </w:r>
            <w:r>
              <w:rPr>
                <w:bCs/>
                <w:kern w:val="0"/>
                <w:szCs w:val="24"/>
              </w:rPr>
              <w:t>月</w:t>
            </w:r>
            <w:r>
              <w:rPr>
                <w:rFonts w:hint="eastAsia"/>
                <w:bCs/>
                <w:kern w:val="0"/>
                <w:szCs w:val="24"/>
                <w:lang w:val="en-US" w:eastAsia="zh-CN"/>
              </w:rPr>
              <w:t>11</w:t>
            </w:r>
            <w:r>
              <w:rPr>
                <w:bCs/>
                <w:kern w:val="0"/>
                <w:szCs w:val="24"/>
              </w:rPr>
              <w:t>日~</w:t>
            </w:r>
            <w:r>
              <w:rPr>
                <w:rFonts w:hint="eastAsia"/>
                <w:bCs/>
                <w:kern w:val="0"/>
                <w:szCs w:val="24"/>
                <w:lang w:val="en-US" w:eastAsia="zh-CN"/>
              </w:rPr>
              <w:t>2025年3</w:t>
            </w:r>
            <w:r>
              <w:rPr>
                <w:bCs/>
                <w:kern w:val="0"/>
                <w:szCs w:val="24"/>
              </w:rPr>
              <w:t>月</w:t>
            </w:r>
            <w:r>
              <w:rPr>
                <w:rFonts w:hint="eastAsia"/>
                <w:bCs/>
                <w:kern w:val="0"/>
                <w:szCs w:val="24"/>
                <w:lang w:val="en-US" w:eastAsia="zh-CN"/>
              </w:rPr>
              <w:t>13</w:t>
            </w:r>
            <w:r>
              <w:rPr>
                <w:bCs/>
                <w:kern w:val="0"/>
                <w:szCs w:val="24"/>
              </w:rPr>
              <w:t>日，TSP每日监测1次日均值</w:t>
            </w:r>
            <w:r>
              <w:rPr>
                <w:rFonts w:hint="eastAsia"/>
                <w:bCs/>
                <w:kern w:val="0"/>
                <w:szCs w:val="24"/>
                <w:lang w:eastAsia="zh-CN"/>
              </w:rPr>
              <w:t>，</w:t>
            </w:r>
            <w:r>
              <w:rPr>
                <w:bCs/>
                <w:kern w:val="0"/>
                <w:szCs w:val="24"/>
              </w:rPr>
              <w:t>连续采样监测</w:t>
            </w:r>
            <w:r>
              <w:rPr>
                <w:rFonts w:hint="eastAsia"/>
                <w:bCs/>
                <w:kern w:val="0"/>
                <w:szCs w:val="24"/>
                <w:lang w:val="en-US" w:eastAsia="zh-CN"/>
              </w:rPr>
              <w:t>3</w:t>
            </w:r>
            <w:r>
              <w:rPr>
                <w:bCs/>
                <w:kern w:val="0"/>
                <w:szCs w:val="24"/>
              </w:rPr>
              <w:t>天，由新疆</w:t>
            </w:r>
            <w:r>
              <w:rPr>
                <w:rFonts w:hint="eastAsia"/>
                <w:bCs/>
                <w:kern w:val="0"/>
                <w:szCs w:val="24"/>
                <w:lang w:val="en-US" w:eastAsia="zh-CN"/>
              </w:rPr>
              <w:t>锡水金山环境科技有限公司</w:t>
            </w:r>
            <w:r>
              <w:rPr>
                <w:bCs/>
                <w:kern w:val="0"/>
                <w:szCs w:val="24"/>
              </w:rPr>
              <w:t>完成。</w:t>
            </w:r>
          </w:p>
          <w:p>
            <w:pPr>
              <w:adjustRightInd w:val="0"/>
              <w:snapToGrid w:val="0"/>
              <w:ind w:firstLine="480"/>
              <w:jc w:val="left"/>
              <w:rPr>
                <w:bCs/>
                <w:kern w:val="0"/>
                <w:szCs w:val="24"/>
              </w:rPr>
            </w:pPr>
            <w:r>
              <w:rPr>
                <w:bCs/>
                <w:kern w:val="0"/>
                <w:szCs w:val="24"/>
              </w:rPr>
              <w:t>特征污染物环境质量现状监测结果见表</w:t>
            </w:r>
            <w:r>
              <w:rPr>
                <w:rFonts w:hint="eastAsia"/>
                <w:bCs/>
                <w:kern w:val="0"/>
                <w:szCs w:val="24"/>
              </w:rPr>
              <w:t>3.1-2</w:t>
            </w:r>
            <w:r>
              <w:rPr>
                <w:bCs/>
                <w:kern w:val="0"/>
                <w:szCs w:val="24"/>
              </w:rPr>
              <w:t>。</w:t>
            </w:r>
          </w:p>
          <w:p>
            <w:pPr>
              <w:pStyle w:val="65"/>
            </w:pPr>
            <w:r>
              <w:t>表3</w:t>
            </w:r>
            <w:r>
              <w:rPr>
                <w:rFonts w:hint="eastAsia"/>
              </w:rPr>
              <w:t>.1</w:t>
            </w:r>
            <w:r>
              <w:t>-</w:t>
            </w:r>
            <w:r>
              <w:rPr>
                <w:rFonts w:hint="eastAsia"/>
              </w:rPr>
              <w:t>2</w:t>
            </w:r>
            <w:r>
              <w:t xml:space="preserve">   特征污染物环境质量现状监测结果</w:t>
            </w:r>
          </w:p>
          <w:tbl>
            <w:tblPr>
              <w:tblStyle w:val="27"/>
              <w:tblW w:w="499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43"/>
              <w:gridCol w:w="790"/>
              <w:gridCol w:w="897"/>
              <w:gridCol w:w="1145"/>
              <w:gridCol w:w="1581"/>
              <w:gridCol w:w="1141"/>
              <w:gridCol w:w="774"/>
              <w:gridCol w:w="9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6" w:type="pct"/>
                  <w:tcBorders>
                    <w:tl2br w:val="nil"/>
                    <w:tr2bl w:val="nil"/>
                  </w:tcBorders>
                  <w:vAlign w:val="center"/>
                </w:tcPr>
                <w:p>
                  <w:pPr>
                    <w:pStyle w:val="70"/>
                  </w:pPr>
                  <w:r>
                    <w:t>监测</w:t>
                  </w:r>
                </w:p>
                <w:p>
                  <w:pPr>
                    <w:pStyle w:val="70"/>
                  </w:pPr>
                  <w:r>
                    <w:t>点位</w:t>
                  </w:r>
                </w:p>
              </w:tc>
              <w:tc>
                <w:tcPr>
                  <w:tcW w:w="498" w:type="pct"/>
                  <w:tcBorders>
                    <w:tl2br w:val="nil"/>
                    <w:tr2bl w:val="nil"/>
                  </w:tcBorders>
                  <w:vAlign w:val="center"/>
                </w:tcPr>
                <w:p>
                  <w:pPr>
                    <w:pStyle w:val="70"/>
                  </w:pPr>
                  <w:r>
                    <w:t>污染物</w:t>
                  </w:r>
                </w:p>
              </w:tc>
              <w:tc>
                <w:tcPr>
                  <w:tcW w:w="566" w:type="pct"/>
                  <w:tcBorders>
                    <w:tl2br w:val="nil"/>
                    <w:tr2bl w:val="nil"/>
                  </w:tcBorders>
                  <w:vAlign w:val="center"/>
                </w:tcPr>
                <w:p>
                  <w:pPr>
                    <w:pStyle w:val="70"/>
                  </w:pPr>
                  <w:r>
                    <w:t>平均</w:t>
                  </w:r>
                </w:p>
                <w:p>
                  <w:pPr>
                    <w:pStyle w:val="70"/>
                  </w:pPr>
                  <w:r>
                    <w:t>时间</w:t>
                  </w:r>
                </w:p>
              </w:tc>
              <w:tc>
                <w:tcPr>
                  <w:tcW w:w="722" w:type="pct"/>
                  <w:tcBorders>
                    <w:tl2br w:val="nil"/>
                    <w:tr2bl w:val="nil"/>
                  </w:tcBorders>
                  <w:vAlign w:val="center"/>
                </w:tcPr>
                <w:p>
                  <w:pPr>
                    <w:pStyle w:val="70"/>
                  </w:pPr>
                  <w:r>
                    <w:t>评价标准（μg/m</w:t>
                  </w:r>
                  <w:r>
                    <w:rPr>
                      <w:vertAlign w:val="superscript"/>
                    </w:rPr>
                    <w:t>3</w:t>
                  </w:r>
                  <w:r>
                    <w:t>）</w:t>
                  </w:r>
                </w:p>
              </w:tc>
              <w:tc>
                <w:tcPr>
                  <w:tcW w:w="997" w:type="pct"/>
                  <w:tcBorders>
                    <w:tl2br w:val="nil"/>
                    <w:tr2bl w:val="nil"/>
                  </w:tcBorders>
                  <w:vAlign w:val="center"/>
                </w:tcPr>
                <w:p>
                  <w:pPr>
                    <w:pStyle w:val="70"/>
                  </w:pPr>
                  <w:r>
                    <w:t>监测浓度范围（μg/m</w:t>
                  </w:r>
                  <w:r>
                    <w:rPr>
                      <w:vertAlign w:val="superscript"/>
                    </w:rPr>
                    <w:t>3</w:t>
                  </w:r>
                  <w:r>
                    <w:t>）</w:t>
                  </w:r>
                </w:p>
              </w:tc>
              <w:tc>
                <w:tcPr>
                  <w:tcW w:w="720" w:type="pct"/>
                  <w:tcBorders>
                    <w:tl2br w:val="nil"/>
                    <w:tr2bl w:val="nil"/>
                  </w:tcBorders>
                  <w:vAlign w:val="center"/>
                </w:tcPr>
                <w:p>
                  <w:pPr>
                    <w:pStyle w:val="70"/>
                  </w:pPr>
                  <w:r>
                    <w:t>最大浓度占标率%</w:t>
                  </w:r>
                </w:p>
              </w:tc>
              <w:tc>
                <w:tcPr>
                  <w:tcW w:w="488" w:type="pct"/>
                  <w:tcBorders>
                    <w:tl2br w:val="nil"/>
                    <w:tr2bl w:val="nil"/>
                  </w:tcBorders>
                  <w:vAlign w:val="center"/>
                </w:tcPr>
                <w:p>
                  <w:pPr>
                    <w:pStyle w:val="70"/>
                  </w:pPr>
                  <w:r>
                    <w:t>超标率%</w:t>
                  </w:r>
                </w:p>
              </w:tc>
              <w:tc>
                <w:tcPr>
                  <w:tcW w:w="599" w:type="pct"/>
                  <w:tcBorders>
                    <w:tl2br w:val="nil"/>
                    <w:tr2bl w:val="nil"/>
                  </w:tcBorders>
                  <w:vAlign w:val="center"/>
                </w:tcPr>
                <w:p>
                  <w:pPr>
                    <w:pStyle w:val="70"/>
                  </w:pPr>
                  <w:r>
                    <w:t>达标情况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6" w:type="pct"/>
                  <w:tcBorders>
                    <w:tl2br w:val="nil"/>
                    <w:tr2bl w:val="nil"/>
                  </w:tcBorders>
                  <w:vAlign w:val="center"/>
                </w:tcPr>
                <w:p>
                  <w:pPr>
                    <w:pStyle w:val="70"/>
                  </w:pPr>
                  <w:r>
                    <w:t>01</w:t>
                  </w:r>
                </w:p>
              </w:tc>
              <w:tc>
                <w:tcPr>
                  <w:tcW w:w="498" w:type="pct"/>
                  <w:tcBorders>
                    <w:tl2br w:val="nil"/>
                    <w:tr2bl w:val="nil"/>
                  </w:tcBorders>
                  <w:vAlign w:val="center"/>
                </w:tcPr>
                <w:p>
                  <w:pPr>
                    <w:pStyle w:val="70"/>
                  </w:pPr>
                  <w:r>
                    <w:t>TSP</w:t>
                  </w:r>
                </w:p>
              </w:tc>
              <w:tc>
                <w:tcPr>
                  <w:tcW w:w="566" w:type="pct"/>
                  <w:tcBorders>
                    <w:tl2br w:val="nil"/>
                    <w:tr2bl w:val="nil"/>
                  </w:tcBorders>
                  <w:vAlign w:val="center"/>
                </w:tcPr>
                <w:p>
                  <w:pPr>
                    <w:pStyle w:val="70"/>
                  </w:pPr>
                  <w:r>
                    <w:t>24小时</w:t>
                  </w:r>
                </w:p>
              </w:tc>
              <w:tc>
                <w:tcPr>
                  <w:tcW w:w="722" w:type="pct"/>
                  <w:tcBorders>
                    <w:tl2br w:val="nil"/>
                    <w:tr2bl w:val="nil"/>
                  </w:tcBorders>
                  <w:vAlign w:val="center"/>
                </w:tcPr>
                <w:p>
                  <w:pPr>
                    <w:pStyle w:val="70"/>
                  </w:pPr>
                  <w:r>
                    <w:t>300</w:t>
                  </w:r>
                </w:p>
              </w:tc>
              <w:tc>
                <w:tcPr>
                  <w:tcW w:w="997" w:type="pct"/>
                  <w:tcBorders>
                    <w:tl2br w:val="nil"/>
                    <w:tr2bl w:val="nil"/>
                  </w:tcBorders>
                  <w:vAlign w:val="center"/>
                </w:tcPr>
                <w:p>
                  <w:pPr>
                    <w:pStyle w:val="70"/>
                    <w:rPr>
                      <w:rFonts w:hint="default" w:eastAsia="宋体"/>
                      <w:lang w:val="en-US" w:eastAsia="zh-CN"/>
                    </w:rPr>
                  </w:pPr>
                  <w:r>
                    <w:rPr>
                      <w:rFonts w:hint="eastAsia"/>
                      <w:lang w:val="en-US" w:eastAsia="zh-CN"/>
                    </w:rPr>
                    <w:t>153~202</w:t>
                  </w:r>
                </w:p>
              </w:tc>
              <w:tc>
                <w:tcPr>
                  <w:tcW w:w="720" w:type="pct"/>
                  <w:tcBorders>
                    <w:tl2br w:val="nil"/>
                    <w:tr2bl w:val="nil"/>
                  </w:tcBorders>
                  <w:vAlign w:val="center"/>
                </w:tcPr>
                <w:p>
                  <w:pPr>
                    <w:pStyle w:val="70"/>
                    <w:rPr>
                      <w:rFonts w:hint="default" w:eastAsia="宋体"/>
                      <w:lang w:val="en-US" w:eastAsia="zh-CN"/>
                    </w:rPr>
                  </w:pPr>
                  <w:r>
                    <w:rPr>
                      <w:rFonts w:hint="eastAsia"/>
                      <w:lang w:val="en-US" w:eastAsia="zh-CN"/>
                    </w:rPr>
                    <w:t>67.3</w:t>
                  </w:r>
                </w:p>
              </w:tc>
              <w:tc>
                <w:tcPr>
                  <w:tcW w:w="488" w:type="pct"/>
                  <w:tcBorders>
                    <w:tl2br w:val="nil"/>
                    <w:tr2bl w:val="nil"/>
                  </w:tcBorders>
                  <w:vAlign w:val="center"/>
                </w:tcPr>
                <w:p>
                  <w:pPr>
                    <w:pStyle w:val="70"/>
                  </w:pPr>
                  <w:r>
                    <w:t>0</w:t>
                  </w:r>
                </w:p>
              </w:tc>
              <w:tc>
                <w:tcPr>
                  <w:tcW w:w="599" w:type="pct"/>
                  <w:tcBorders>
                    <w:tl2br w:val="nil"/>
                    <w:tr2bl w:val="nil"/>
                  </w:tcBorders>
                  <w:vAlign w:val="center"/>
                </w:tcPr>
                <w:p>
                  <w:pPr>
                    <w:pStyle w:val="70"/>
                  </w:pPr>
                  <w:r>
                    <w:t>达标</w:t>
                  </w:r>
                </w:p>
              </w:tc>
            </w:tr>
          </w:tbl>
          <w:p>
            <w:pPr>
              <w:adjustRightInd w:val="0"/>
              <w:snapToGrid w:val="0"/>
              <w:ind w:firstLine="480"/>
              <w:rPr>
                <w:bCs/>
                <w:kern w:val="0"/>
                <w:szCs w:val="24"/>
              </w:rPr>
            </w:pPr>
            <w:r>
              <w:rPr>
                <w:bCs/>
                <w:kern w:val="0"/>
                <w:szCs w:val="24"/>
              </w:rPr>
              <w:t>从监测结果可知，TSP</w:t>
            </w:r>
            <w:r>
              <w:rPr>
                <w:rFonts w:hint="eastAsia"/>
                <w:bCs/>
                <w:kern w:val="0"/>
                <w:szCs w:val="24"/>
                <w:lang w:val="en-US" w:eastAsia="zh-CN"/>
              </w:rPr>
              <w:t xml:space="preserve"> </w:t>
            </w:r>
            <w:r>
              <w:rPr>
                <w:bCs/>
                <w:kern w:val="0"/>
                <w:szCs w:val="24"/>
              </w:rPr>
              <w:t>24小时平均值符合《环境空气质量标准》（GB3095-2012）及其修改单中浓度限值要求。</w:t>
            </w:r>
          </w:p>
          <w:p>
            <w:pPr>
              <w:adjustRightInd w:val="0"/>
              <w:snapToGrid w:val="0"/>
              <w:ind w:firstLine="482"/>
              <w:jc w:val="left"/>
              <w:rPr>
                <w:b/>
                <w:kern w:val="0"/>
                <w:szCs w:val="24"/>
              </w:rPr>
            </w:pPr>
            <w:r>
              <w:rPr>
                <w:b/>
                <w:kern w:val="0"/>
                <w:szCs w:val="24"/>
              </w:rPr>
              <w:t>3.2地表水环境质量现状</w:t>
            </w:r>
          </w:p>
          <w:p>
            <w:pPr>
              <w:ind w:firstLine="480"/>
              <w:textAlignment w:val="center"/>
            </w:pPr>
            <w:r>
              <w:t>根据《202</w:t>
            </w:r>
            <w:r>
              <w:rPr>
                <w:rFonts w:hint="eastAsia"/>
                <w:lang w:val="en-US" w:eastAsia="zh-CN"/>
              </w:rPr>
              <w:t>4</w:t>
            </w:r>
            <w:r>
              <w:rPr>
                <w:rFonts w:hint="eastAsia"/>
              </w:rPr>
              <w:t>年巴</w:t>
            </w:r>
            <w:r>
              <w:t>音郭楞蒙古自治州生态环境状况公报》，</w:t>
            </w:r>
            <w:r>
              <w:rPr>
                <w:rFonts w:hint="eastAsia"/>
              </w:rPr>
              <w:t>2024年，全州地表水监测的31个考核断面（点位）中，Ⅰ~Ⅲ类优良水质断面（点位）占比90.3%，无Ⅳ类水质。6条主要河流19个监测断面中Ⅰ~Ⅲ类优良水质断面占100%，3个重要湖泊（水库）12个监测点位中Ⅰ~Ⅲ类优良水质断面占75%，无劣Ⅴ类水体，湖泊水质影响因子为化学需氧量。</w:t>
            </w:r>
          </w:p>
          <w:p>
            <w:pPr>
              <w:adjustRightInd w:val="0"/>
              <w:snapToGrid w:val="0"/>
              <w:ind w:firstLine="480"/>
              <w:jc w:val="left"/>
            </w:pPr>
            <w:r>
              <w:t>本项目最近地表水体为黄水沟，位</w:t>
            </w:r>
            <w:r>
              <w:rPr>
                <w:rFonts w:hint="default" w:ascii="Times New Roman" w:hAnsi="Times New Roman" w:cs="Times New Roman"/>
              </w:rPr>
              <w:t>于项目区东北侧4.82km，水环境质量满足《地表水环境质量标准》（GB3838-2002）Ⅲ类水质标</w:t>
            </w:r>
            <w:r>
              <w:t>准。</w:t>
            </w:r>
          </w:p>
          <w:p>
            <w:pPr>
              <w:adjustRightInd w:val="0"/>
              <w:snapToGrid w:val="0"/>
              <w:ind w:firstLine="482"/>
              <w:jc w:val="left"/>
              <w:rPr>
                <w:b/>
                <w:kern w:val="0"/>
                <w:szCs w:val="24"/>
              </w:rPr>
            </w:pPr>
            <w:r>
              <w:rPr>
                <w:b/>
                <w:kern w:val="0"/>
                <w:szCs w:val="24"/>
              </w:rPr>
              <w:t>3.3区域噪声环境质量现状</w:t>
            </w:r>
          </w:p>
          <w:p>
            <w:pPr>
              <w:adjustRightInd w:val="0"/>
              <w:snapToGrid w:val="0"/>
              <w:ind w:firstLine="480"/>
              <w:jc w:val="left"/>
              <w:rPr>
                <w:bCs/>
                <w:kern w:val="0"/>
                <w:szCs w:val="24"/>
              </w:rPr>
            </w:pPr>
            <w:r>
              <w:rPr>
                <w:bCs/>
                <w:kern w:val="0"/>
                <w:szCs w:val="24"/>
              </w:rPr>
              <w:t>本项目位</w:t>
            </w:r>
            <w:r>
              <w:rPr>
                <w:rFonts w:hint="eastAsia"/>
                <w:bCs/>
                <w:kern w:val="0"/>
                <w:szCs w:val="24"/>
                <w:lang w:val="en-US" w:eastAsia="zh-CN"/>
              </w:rPr>
              <w:t>于</w:t>
            </w:r>
            <w:r>
              <w:rPr>
                <w:rFonts w:hint="eastAsia"/>
              </w:rPr>
              <w:t>新疆巴音郭楞蒙古自治州和静工业园区</w:t>
            </w:r>
            <w:r>
              <w:rPr>
                <w:szCs w:val="24"/>
              </w:rPr>
              <w:t>额勒再特工业片区</w:t>
            </w:r>
            <w:r>
              <w:rPr>
                <w:rFonts w:hint="eastAsia"/>
              </w:rPr>
              <w:t>和静县大漠疆雪酒业有限公司西侧、经九路东侧</w:t>
            </w:r>
            <w:r>
              <w:rPr>
                <w:bCs/>
                <w:kern w:val="0"/>
                <w:szCs w:val="24"/>
              </w:rPr>
              <w:t>，50m范围内无声环境保护目标，因此不进行声环境质量现状</w:t>
            </w:r>
            <w:r>
              <w:rPr>
                <w:rFonts w:hint="eastAsia"/>
                <w:bCs/>
                <w:kern w:val="0"/>
                <w:szCs w:val="24"/>
                <w:lang w:val="en-US" w:eastAsia="zh-CN"/>
              </w:rPr>
              <w:t>调查</w:t>
            </w:r>
            <w:r>
              <w:rPr>
                <w:bCs/>
                <w:kern w:val="0"/>
                <w:szCs w:val="24"/>
              </w:rPr>
              <w:t>。</w:t>
            </w:r>
          </w:p>
          <w:p>
            <w:pPr>
              <w:adjustRightInd w:val="0"/>
              <w:snapToGrid w:val="0"/>
              <w:ind w:firstLine="482"/>
              <w:jc w:val="left"/>
              <w:rPr>
                <w:b/>
                <w:kern w:val="0"/>
                <w:szCs w:val="24"/>
              </w:rPr>
            </w:pPr>
            <w:r>
              <w:rPr>
                <w:b/>
                <w:kern w:val="0"/>
                <w:szCs w:val="24"/>
              </w:rPr>
              <w:t>3.4地下水、土壤环境现状调查</w:t>
            </w:r>
          </w:p>
          <w:p>
            <w:pPr>
              <w:adjustRightInd w:val="0"/>
              <w:snapToGrid w:val="0"/>
              <w:ind w:firstLine="480"/>
              <w:jc w:val="left"/>
              <w:rPr>
                <w:kern w:val="0"/>
                <w:szCs w:val="24"/>
              </w:rPr>
            </w:pPr>
            <w:r>
              <w:rPr>
                <w:bCs/>
                <w:kern w:val="0"/>
                <w:szCs w:val="24"/>
              </w:rPr>
              <w:t>本项目生产线均在密闭车间厂房内进行，生产用水全部进入产品</w:t>
            </w:r>
            <w:r>
              <w:rPr>
                <w:kern w:val="0"/>
                <w:szCs w:val="24"/>
              </w:rPr>
              <w:t>，</w:t>
            </w:r>
            <w:r>
              <w:rPr>
                <w:rFonts w:hint="eastAsia"/>
                <w:lang w:eastAsia="zh-CN"/>
              </w:rPr>
              <w:t>锅炉废水</w:t>
            </w:r>
            <w:r>
              <w:rPr>
                <w:rFonts w:hint="eastAsia"/>
              </w:rPr>
              <w:t>和软水制备废水排入园区污水管网</w:t>
            </w:r>
            <w:r>
              <w:rPr>
                <w:bCs/>
                <w:kern w:val="0"/>
                <w:szCs w:val="24"/>
              </w:rPr>
              <w:t>；</w:t>
            </w:r>
            <w:r>
              <w:t>危险废物</w:t>
            </w:r>
            <w:r>
              <w:rPr>
                <w:rFonts w:hint="eastAsia"/>
                <w:lang w:val="en-US" w:eastAsia="zh-CN"/>
              </w:rPr>
              <w:t>贮存库</w:t>
            </w:r>
            <w:r>
              <w:rPr>
                <w:kern w:val="0"/>
                <w:szCs w:val="24"/>
              </w:rPr>
              <w:t>防渗层采用涂高密度聚乙烯或环氧树脂防腐防渗，厚度至少大于2mm，确保渗透系数小于10</w:t>
            </w:r>
            <w:r>
              <w:rPr>
                <w:kern w:val="0"/>
                <w:szCs w:val="24"/>
                <w:vertAlign w:val="superscript"/>
              </w:rPr>
              <w:t>-10</w:t>
            </w:r>
            <w:r>
              <w:rPr>
                <w:kern w:val="0"/>
                <w:szCs w:val="24"/>
              </w:rPr>
              <w:t>cm/s。不存在地下水、土壤污染途径，因此不进行地下水、土壤环境现状调查。</w:t>
            </w:r>
          </w:p>
          <w:p>
            <w:pPr>
              <w:adjustRightInd w:val="0"/>
              <w:snapToGrid w:val="0"/>
              <w:ind w:firstLine="482"/>
              <w:jc w:val="left"/>
              <w:rPr>
                <w:b/>
                <w:kern w:val="0"/>
                <w:szCs w:val="24"/>
              </w:rPr>
            </w:pPr>
            <w:r>
              <w:rPr>
                <w:b/>
                <w:kern w:val="0"/>
                <w:szCs w:val="24"/>
              </w:rPr>
              <w:t>3.5生态环境现状</w:t>
            </w:r>
          </w:p>
          <w:p>
            <w:pPr>
              <w:adjustRightInd w:val="0"/>
              <w:snapToGrid w:val="0"/>
              <w:ind w:firstLine="480"/>
              <w:jc w:val="left"/>
              <w:rPr>
                <w:kern w:val="0"/>
              </w:rPr>
            </w:pPr>
            <w:r>
              <w:rPr>
                <w:kern w:val="0"/>
                <w:szCs w:val="24"/>
              </w:rPr>
              <w:t>本项目位于</w:t>
            </w:r>
            <w:r>
              <w:rPr>
                <w:rFonts w:hint="eastAsia"/>
                <w:kern w:val="0"/>
                <w:szCs w:val="24"/>
                <w:lang w:val="en-US" w:eastAsia="zh-CN"/>
              </w:rPr>
              <w:t>新疆维吾尔自治区</w:t>
            </w:r>
            <w:r>
              <w:rPr>
                <w:rFonts w:hint="eastAsia"/>
              </w:rPr>
              <w:t>和静工业园区</w:t>
            </w:r>
            <w:r>
              <w:rPr>
                <w:szCs w:val="24"/>
              </w:rPr>
              <w:t>额勒再特工业片区</w:t>
            </w:r>
            <w:r>
              <w:rPr>
                <w:rFonts w:hint="eastAsia"/>
                <w:szCs w:val="24"/>
                <w:lang w:eastAsia="zh-CN"/>
              </w:rPr>
              <w:t>，</w:t>
            </w:r>
            <w:r>
              <w:rPr>
                <w:kern w:val="0"/>
                <w:szCs w:val="24"/>
              </w:rPr>
              <w:t>属</w:t>
            </w:r>
            <w:r>
              <w:rPr>
                <w:rFonts w:hint="eastAsia"/>
                <w:kern w:val="0"/>
                <w:szCs w:val="24"/>
                <w:lang w:val="en-US" w:eastAsia="zh-CN"/>
              </w:rPr>
              <w:t>于</w:t>
            </w:r>
            <w:r>
              <w:rPr>
                <w:kern w:val="0"/>
                <w:szCs w:val="24"/>
              </w:rPr>
              <w:t>工业用地，因此不需要进行生态环境质量现状调查。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adjustRightInd w:val="0"/>
              <w:snapToGrid w:val="0"/>
              <w:ind w:firstLine="0" w:firstLineChars="0"/>
              <w:jc w:val="center"/>
              <w:rPr>
                <w:kern w:val="0"/>
                <w:szCs w:val="24"/>
              </w:rPr>
            </w:pPr>
            <w:r>
              <w:rPr>
                <w:kern w:val="0"/>
                <w:szCs w:val="24"/>
              </w:rPr>
              <w:t>环境</w:t>
            </w:r>
          </w:p>
          <w:p>
            <w:pPr>
              <w:adjustRightInd w:val="0"/>
              <w:snapToGrid w:val="0"/>
              <w:ind w:firstLine="0" w:firstLineChars="0"/>
              <w:jc w:val="center"/>
              <w:rPr>
                <w:kern w:val="0"/>
                <w:szCs w:val="24"/>
              </w:rPr>
            </w:pPr>
            <w:r>
              <w:rPr>
                <w:kern w:val="0"/>
                <w:szCs w:val="24"/>
              </w:rPr>
              <w:t>保护</w:t>
            </w:r>
          </w:p>
          <w:p>
            <w:pPr>
              <w:adjustRightInd w:val="0"/>
              <w:snapToGrid w:val="0"/>
              <w:ind w:firstLine="0" w:firstLineChars="0"/>
              <w:jc w:val="center"/>
              <w:rPr>
                <w:kern w:val="0"/>
                <w:szCs w:val="24"/>
              </w:rPr>
            </w:pPr>
            <w:r>
              <w:rPr>
                <w:kern w:val="0"/>
                <w:szCs w:val="24"/>
              </w:rPr>
              <w:t>目标</w:t>
            </w:r>
          </w:p>
        </w:tc>
        <w:tc>
          <w:tcPr>
            <w:tcW w:w="8083" w:type="dxa"/>
            <w:vAlign w:val="center"/>
          </w:tcPr>
          <w:p>
            <w:pPr>
              <w:adjustRightInd w:val="0"/>
              <w:snapToGrid w:val="0"/>
              <w:ind w:firstLine="482"/>
              <w:jc w:val="left"/>
              <w:rPr>
                <w:b/>
                <w:kern w:val="0"/>
                <w:szCs w:val="24"/>
              </w:rPr>
            </w:pPr>
            <w:r>
              <w:rPr>
                <w:b/>
                <w:kern w:val="0"/>
                <w:szCs w:val="24"/>
              </w:rPr>
              <w:t>3.6主要环境保护目标（列出名单及保护级别）</w:t>
            </w:r>
          </w:p>
          <w:p>
            <w:pPr>
              <w:adjustRightInd w:val="0"/>
              <w:snapToGrid w:val="0"/>
              <w:ind w:firstLine="482"/>
              <w:jc w:val="left"/>
              <w:rPr>
                <w:b/>
                <w:kern w:val="0"/>
                <w:szCs w:val="24"/>
              </w:rPr>
            </w:pPr>
            <w:r>
              <w:rPr>
                <w:b/>
                <w:kern w:val="0"/>
                <w:szCs w:val="24"/>
              </w:rPr>
              <w:t>3.</w:t>
            </w:r>
            <w:r>
              <w:rPr>
                <w:rFonts w:hint="eastAsia"/>
                <w:b/>
                <w:kern w:val="0"/>
                <w:szCs w:val="24"/>
              </w:rPr>
              <w:t>6</w:t>
            </w:r>
            <w:r>
              <w:rPr>
                <w:b/>
                <w:kern w:val="0"/>
                <w:szCs w:val="24"/>
              </w:rPr>
              <w:t>.1大气环境保护目标</w:t>
            </w:r>
          </w:p>
          <w:p>
            <w:pPr>
              <w:ind w:firstLine="480"/>
            </w:pPr>
            <w:r>
              <w:t>根据现场勘查，本项目厂界外500m范围内无自然保护区、风景名胜区和文化区等大气环境保护目标，大气环境保护目标主要为</w:t>
            </w:r>
            <w:r>
              <w:rPr>
                <w:rFonts w:hint="eastAsia"/>
              </w:rPr>
              <w:t>和静镇巩哈尔村定居区</w:t>
            </w:r>
            <w:r>
              <w:t>，其环境保护要求为环境空气质量符合《环境空气质量标准》（GB3095-2012及2018年修改单）二级标准。</w:t>
            </w:r>
          </w:p>
          <w:p>
            <w:pPr>
              <w:pStyle w:val="65"/>
            </w:pPr>
            <w:r>
              <w:t>表3.</w:t>
            </w:r>
            <w:r>
              <w:rPr>
                <w:rFonts w:hint="eastAsia"/>
              </w:rPr>
              <w:t xml:space="preserve">6-1  </w:t>
            </w:r>
            <w:r>
              <w:t xml:space="preserve"> 环境保护目标一览表</w:t>
            </w:r>
          </w:p>
          <w:tbl>
            <w:tblPr>
              <w:tblStyle w:val="28"/>
              <w:tblW w:w="5000" w:type="pct"/>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945"/>
              <w:gridCol w:w="655"/>
              <w:gridCol w:w="1039"/>
              <w:gridCol w:w="876"/>
              <w:gridCol w:w="22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13" w:type="pct"/>
                  <w:tcBorders>
                    <w:tl2br w:val="nil"/>
                    <w:tr2bl w:val="nil"/>
                  </w:tcBorders>
                  <w:vAlign w:val="center"/>
                </w:tcPr>
                <w:p>
                  <w:pPr>
                    <w:pStyle w:val="70"/>
                  </w:pPr>
                  <w:r>
                    <w:t>环境要素</w:t>
                  </w:r>
                </w:p>
              </w:tc>
              <w:tc>
                <w:tcPr>
                  <w:tcW w:w="1226" w:type="pct"/>
                  <w:tcBorders>
                    <w:tl2br w:val="nil"/>
                    <w:tr2bl w:val="nil"/>
                  </w:tcBorders>
                  <w:vAlign w:val="center"/>
                </w:tcPr>
                <w:p>
                  <w:pPr>
                    <w:pStyle w:val="70"/>
                  </w:pPr>
                  <w:r>
                    <w:t>保护目标名称</w:t>
                  </w:r>
                </w:p>
              </w:tc>
              <w:tc>
                <w:tcPr>
                  <w:tcW w:w="413" w:type="pct"/>
                  <w:tcBorders>
                    <w:tl2br w:val="nil"/>
                    <w:tr2bl w:val="nil"/>
                  </w:tcBorders>
                  <w:vAlign w:val="center"/>
                </w:tcPr>
                <w:p>
                  <w:pPr>
                    <w:pStyle w:val="70"/>
                  </w:pPr>
                  <w:r>
                    <w:t>方位</w:t>
                  </w:r>
                </w:p>
              </w:tc>
              <w:tc>
                <w:tcPr>
                  <w:tcW w:w="655" w:type="pct"/>
                  <w:tcBorders>
                    <w:tl2br w:val="nil"/>
                    <w:tr2bl w:val="nil"/>
                  </w:tcBorders>
                  <w:vAlign w:val="center"/>
                </w:tcPr>
                <w:p>
                  <w:pPr>
                    <w:pStyle w:val="70"/>
                    <w:rPr>
                      <w:rFonts w:hint="eastAsia" w:eastAsia="宋体"/>
                      <w:lang w:eastAsia="zh-CN"/>
                    </w:rPr>
                  </w:pPr>
                  <w:r>
                    <w:t>距离项目边界</w:t>
                  </w:r>
                  <w:r>
                    <w:rPr>
                      <w:rFonts w:hint="eastAsia"/>
                      <w:lang w:eastAsia="zh-CN"/>
                    </w:rPr>
                    <w:t>（</w:t>
                  </w:r>
                  <w:r>
                    <w:t>m</w:t>
                  </w:r>
                  <w:r>
                    <w:rPr>
                      <w:rFonts w:hint="eastAsia"/>
                      <w:lang w:eastAsia="zh-CN"/>
                    </w:rPr>
                    <w:t>）</w:t>
                  </w:r>
                </w:p>
              </w:tc>
              <w:tc>
                <w:tcPr>
                  <w:tcW w:w="552" w:type="pct"/>
                  <w:tcBorders>
                    <w:tl2br w:val="nil"/>
                    <w:tr2bl w:val="nil"/>
                  </w:tcBorders>
                  <w:vAlign w:val="center"/>
                </w:tcPr>
                <w:p>
                  <w:pPr>
                    <w:pStyle w:val="70"/>
                  </w:pPr>
                  <w:r>
                    <w:t>受影响人口</w:t>
                  </w:r>
                </w:p>
              </w:tc>
              <w:tc>
                <w:tcPr>
                  <w:tcW w:w="1438" w:type="pct"/>
                  <w:tcBorders>
                    <w:tl2br w:val="nil"/>
                    <w:tr2bl w:val="nil"/>
                  </w:tcBorders>
                  <w:vAlign w:val="center"/>
                </w:tcPr>
                <w:p>
                  <w:pPr>
                    <w:pStyle w:val="70"/>
                  </w:pPr>
                  <w: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3" w:type="pct"/>
                  <w:tcBorders>
                    <w:tl2br w:val="nil"/>
                    <w:tr2bl w:val="nil"/>
                  </w:tcBorders>
                  <w:vAlign w:val="center"/>
                </w:tcPr>
                <w:p>
                  <w:pPr>
                    <w:pStyle w:val="70"/>
                  </w:pPr>
                  <w:r>
                    <w:t>大气环境</w:t>
                  </w:r>
                </w:p>
              </w:tc>
              <w:tc>
                <w:tcPr>
                  <w:tcW w:w="1226" w:type="pct"/>
                  <w:tcBorders>
                    <w:tl2br w:val="nil"/>
                    <w:tr2bl w:val="nil"/>
                  </w:tcBorders>
                  <w:vAlign w:val="center"/>
                </w:tcPr>
                <w:p>
                  <w:pPr>
                    <w:pStyle w:val="70"/>
                  </w:pPr>
                  <w:r>
                    <w:rPr>
                      <w:rFonts w:hint="eastAsia"/>
                    </w:rPr>
                    <w:t>和静镇巩哈尔村定居区</w:t>
                  </w:r>
                </w:p>
              </w:tc>
              <w:tc>
                <w:tcPr>
                  <w:tcW w:w="413" w:type="pct"/>
                  <w:tcBorders>
                    <w:tl2br w:val="nil"/>
                    <w:tr2bl w:val="nil"/>
                  </w:tcBorders>
                  <w:vAlign w:val="center"/>
                </w:tcPr>
                <w:p>
                  <w:pPr>
                    <w:pStyle w:val="70"/>
                  </w:pPr>
                  <w:r>
                    <w:rPr>
                      <w:rFonts w:hint="eastAsia"/>
                    </w:rPr>
                    <w:t>南</w:t>
                  </w:r>
                  <w:r>
                    <w:t>侧</w:t>
                  </w:r>
                </w:p>
              </w:tc>
              <w:tc>
                <w:tcPr>
                  <w:tcW w:w="655" w:type="pct"/>
                  <w:tcBorders>
                    <w:tl2br w:val="nil"/>
                    <w:tr2bl w:val="nil"/>
                  </w:tcBorders>
                  <w:vAlign w:val="center"/>
                </w:tcPr>
                <w:p>
                  <w:pPr>
                    <w:pStyle w:val="70"/>
                  </w:pPr>
                  <w:r>
                    <w:rPr>
                      <w:rFonts w:hint="eastAsia"/>
                    </w:rPr>
                    <w:t>350</w:t>
                  </w:r>
                </w:p>
              </w:tc>
              <w:tc>
                <w:tcPr>
                  <w:tcW w:w="552" w:type="pct"/>
                  <w:tcBorders>
                    <w:tl2br w:val="nil"/>
                    <w:tr2bl w:val="nil"/>
                  </w:tcBorders>
                  <w:vAlign w:val="center"/>
                </w:tcPr>
                <w:p>
                  <w:pPr>
                    <w:pStyle w:val="70"/>
                  </w:pPr>
                  <w:r>
                    <w:t>约</w:t>
                  </w:r>
                  <w:r>
                    <w:rPr>
                      <w:rFonts w:hint="eastAsia"/>
                    </w:rPr>
                    <w:t>40</w:t>
                  </w:r>
                  <w:r>
                    <w:t>人</w:t>
                  </w:r>
                </w:p>
              </w:tc>
              <w:tc>
                <w:tcPr>
                  <w:tcW w:w="1438" w:type="pct"/>
                  <w:tcBorders>
                    <w:tl2br w:val="nil"/>
                    <w:tr2bl w:val="nil"/>
                  </w:tcBorders>
                  <w:vAlign w:val="center"/>
                </w:tcPr>
                <w:p>
                  <w:pPr>
                    <w:pStyle w:val="70"/>
                  </w:pPr>
                  <w:r>
                    <w:t>《环境空气质量标准》（GB3095-2012及2018年修改单）二级标准</w:t>
                  </w:r>
                </w:p>
              </w:tc>
            </w:tr>
          </w:tbl>
          <w:p>
            <w:pPr>
              <w:adjustRightInd w:val="0"/>
              <w:snapToGrid w:val="0"/>
              <w:ind w:firstLine="482"/>
              <w:jc w:val="left"/>
              <w:rPr>
                <w:b/>
                <w:kern w:val="0"/>
                <w:szCs w:val="24"/>
              </w:rPr>
            </w:pPr>
            <w:r>
              <w:rPr>
                <w:b/>
                <w:kern w:val="0"/>
                <w:szCs w:val="24"/>
              </w:rPr>
              <w:t>3.</w:t>
            </w:r>
            <w:r>
              <w:rPr>
                <w:rFonts w:hint="eastAsia"/>
                <w:b/>
                <w:kern w:val="0"/>
                <w:szCs w:val="24"/>
              </w:rPr>
              <w:t>6</w:t>
            </w:r>
            <w:r>
              <w:rPr>
                <w:b/>
                <w:kern w:val="0"/>
                <w:szCs w:val="24"/>
              </w:rPr>
              <w:t>.2声环境保护目标</w:t>
            </w:r>
          </w:p>
          <w:p>
            <w:pPr>
              <w:adjustRightInd w:val="0"/>
              <w:snapToGrid w:val="0"/>
              <w:ind w:firstLine="480"/>
              <w:jc w:val="left"/>
              <w:rPr>
                <w:kern w:val="0"/>
                <w:szCs w:val="24"/>
              </w:rPr>
            </w:pPr>
            <w:r>
              <w:rPr>
                <w:kern w:val="0"/>
                <w:szCs w:val="24"/>
              </w:rPr>
              <w:t>根据现场勘查，本项目位于</w:t>
            </w:r>
            <w:r>
              <w:rPr>
                <w:rFonts w:hint="eastAsia"/>
              </w:rPr>
              <w:t>新疆</w:t>
            </w:r>
            <w:r>
              <w:rPr>
                <w:rFonts w:hint="eastAsia"/>
                <w:lang w:val="en-US" w:eastAsia="zh-CN"/>
              </w:rPr>
              <w:t>维吾尔自治区</w:t>
            </w:r>
            <w:r>
              <w:rPr>
                <w:rFonts w:hint="eastAsia"/>
              </w:rPr>
              <w:t>巴音郭楞蒙古自治州和静工业园区</w:t>
            </w:r>
            <w:r>
              <w:rPr>
                <w:szCs w:val="24"/>
              </w:rPr>
              <w:t>额勒再特工业片区，</w:t>
            </w:r>
            <w:r>
              <w:rPr>
                <w:kern w:val="0"/>
                <w:szCs w:val="24"/>
              </w:rPr>
              <w:t>厂界外50米范围内不存在声环境保护目标。</w:t>
            </w:r>
          </w:p>
          <w:p>
            <w:pPr>
              <w:adjustRightInd w:val="0"/>
              <w:snapToGrid w:val="0"/>
              <w:ind w:firstLine="482"/>
              <w:jc w:val="left"/>
              <w:rPr>
                <w:b/>
                <w:kern w:val="0"/>
                <w:szCs w:val="24"/>
              </w:rPr>
            </w:pPr>
            <w:r>
              <w:rPr>
                <w:b/>
                <w:kern w:val="0"/>
                <w:szCs w:val="24"/>
              </w:rPr>
              <w:t>3.</w:t>
            </w:r>
            <w:r>
              <w:rPr>
                <w:rFonts w:hint="eastAsia"/>
                <w:b/>
                <w:kern w:val="0"/>
                <w:szCs w:val="24"/>
              </w:rPr>
              <w:t>6</w:t>
            </w:r>
            <w:r>
              <w:rPr>
                <w:b/>
                <w:kern w:val="0"/>
                <w:szCs w:val="24"/>
              </w:rPr>
              <w:t>.3地下水环境保护目标</w:t>
            </w:r>
          </w:p>
          <w:p>
            <w:pPr>
              <w:adjustRightInd w:val="0"/>
              <w:snapToGrid w:val="0"/>
              <w:ind w:firstLine="480"/>
              <w:jc w:val="left"/>
              <w:rPr>
                <w:kern w:val="0"/>
                <w:szCs w:val="24"/>
              </w:rPr>
            </w:pPr>
            <w:r>
              <w:rPr>
                <w:kern w:val="0"/>
                <w:szCs w:val="24"/>
              </w:rPr>
              <w:t>本项目厂界外500m范围内无地下水集中式饮用水水源和热水、矿泉水、温泉等特殊地下水资源。</w:t>
            </w:r>
          </w:p>
          <w:p>
            <w:pPr>
              <w:adjustRightInd w:val="0"/>
              <w:snapToGrid w:val="0"/>
              <w:ind w:firstLine="482"/>
              <w:jc w:val="left"/>
              <w:rPr>
                <w:b/>
                <w:kern w:val="0"/>
                <w:szCs w:val="24"/>
              </w:rPr>
            </w:pPr>
            <w:r>
              <w:rPr>
                <w:b/>
                <w:kern w:val="0"/>
                <w:szCs w:val="24"/>
              </w:rPr>
              <w:t>3.</w:t>
            </w:r>
            <w:r>
              <w:rPr>
                <w:rFonts w:hint="eastAsia"/>
                <w:b/>
                <w:kern w:val="0"/>
                <w:szCs w:val="24"/>
              </w:rPr>
              <w:t>6</w:t>
            </w:r>
            <w:r>
              <w:rPr>
                <w:b/>
                <w:kern w:val="0"/>
                <w:szCs w:val="24"/>
              </w:rPr>
              <w:t>.4生态环境</w:t>
            </w:r>
          </w:p>
          <w:p>
            <w:pPr>
              <w:adjustRightInd w:val="0"/>
              <w:snapToGrid w:val="0"/>
              <w:ind w:firstLine="480"/>
              <w:rPr>
                <w:color w:val="000000"/>
                <w:szCs w:val="24"/>
              </w:rPr>
            </w:pPr>
            <w:r>
              <w:rPr>
                <w:kern w:val="0"/>
                <w:szCs w:val="24"/>
              </w:rPr>
              <w:t>本项目用地范围内及周边不涉及生态环境保护目标。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00" w:type="dxa"/>
            <w:tcMar>
              <w:left w:w="28" w:type="dxa"/>
              <w:right w:w="28" w:type="dxa"/>
            </w:tcMar>
            <w:vAlign w:val="center"/>
          </w:tcPr>
          <w:p>
            <w:pPr>
              <w:adjustRightInd w:val="0"/>
              <w:snapToGrid w:val="0"/>
              <w:ind w:firstLine="0" w:firstLineChars="0"/>
              <w:jc w:val="center"/>
              <w:rPr>
                <w:kern w:val="0"/>
                <w:szCs w:val="24"/>
              </w:rPr>
            </w:pPr>
            <w:r>
              <w:rPr>
                <w:kern w:val="0"/>
                <w:szCs w:val="24"/>
              </w:rPr>
              <w:t>污染</w:t>
            </w:r>
          </w:p>
          <w:p>
            <w:pPr>
              <w:adjustRightInd w:val="0"/>
              <w:snapToGrid w:val="0"/>
              <w:ind w:firstLine="0" w:firstLineChars="0"/>
              <w:jc w:val="center"/>
              <w:rPr>
                <w:kern w:val="0"/>
                <w:szCs w:val="24"/>
              </w:rPr>
            </w:pPr>
            <w:r>
              <w:rPr>
                <w:kern w:val="0"/>
                <w:szCs w:val="24"/>
              </w:rPr>
              <w:t>物排</w:t>
            </w:r>
          </w:p>
          <w:p>
            <w:pPr>
              <w:adjustRightInd w:val="0"/>
              <w:snapToGrid w:val="0"/>
              <w:ind w:firstLine="0" w:firstLineChars="0"/>
              <w:jc w:val="center"/>
              <w:rPr>
                <w:kern w:val="0"/>
                <w:szCs w:val="24"/>
              </w:rPr>
            </w:pPr>
            <w:r>
              <w:rPr>
                <w:kern w:val="0"/>
                <w:szCs w:val="24"/>
              </w:rPr>
              <w:t>放控</w:t>
            </w:r>
          </w:p>
          <w:p>
            <w:pPr>
              <w:adjustRightInd w:val="0"/>
              <w:snapToGrid w:val="0"/>
              <w:ind w:firstLine="0" w:firstLineChars="0"/>
              <w:jc w:val="center"/>
              <w:rPr>
                <w:kern w:val="0"/>
                <w:szCs w:val="24"/>
              </w:rPr>
            </w:pPr>
            <w:r>
              <w:rPr>
                <w:kern w:val="0"/>
                <w:szCs w:val="24"/>
              </w:rPr>
              <w:t>制标</w:t>
            </w:r>
          </w:p>
          <w:p>
            <w:pPr>
              <w:adjustRightInd w:val="0"/>
              <w:snapToGrid w:val="0"/>
              <w:ind w:firstLine="0" w:firstLineChars="0"/>
              <w:jc w:val="center"/>
              <w:rPr>
                <w:kern w:val="0"/>
              </w:rPr>
            </w:pPr>
            <w:r>
              <w:rPr>
                <w:kern w:val="0"/>
                <w:szCs w:val="24"/>
              </w:rPr>
              <w:t>准</w:t>
            </w:r>
          </w:p>
        </w:tc>
        <w:tc>
          <w:tcPr>
            <w:tcW w:w="8083" w:type="dxa"/>
          </w:tcPr>
          <w:p>
            <w:pPr>
              <w:adjustRightInd w:val="0"/>
              <w:snapToGrid w:val="0"/>
              <w:ind w:firstLine="482"/>
              <w:rPr>
                <w:b/>
                <w:bCs/>
                <w:szCs w:val="24"/>
              </w:rPr>
            </w:pPr>
            <w:r>
              <w:rPr>
                <w:b/>
                <w:bCs/>
                <w:szCs w:val="24"/>
              </w:rPr>
              <w:t>3.7废水</w:t>
            </w:r>
          </w:p>
          <w:p>
            <w:pPr>
              <w:ind w:firstLine="480"/>
            </w:pPr>
            <w:r>
              <w:t>本项目锅炉废水</w:t>
            </w:r>
            <w:r>
              <w:rPr>
                <w:rFonts w:hint="eastAsia"/>
              </w:rPr>
              <w:t>排入园区污水管网</w:t>
            </w:r>
            <w:r>
              <w:rPr>
                <w:color w:val="000000"/>
              </w:rPr>
              <w:t>，</w:t>
            </w:r>
            <w:r>
              <w:t>生活污水排放量较小，经化粪池预处理达到《</w:t>
            </w:r>
            <w:r>
              <w:rPr>
                <w:rFonts w:hint="eastAsia"/>
                <w:lang w:val="en-US" w:eastAsia="zh-CN"/>
              </w:rPr>
              <w:t>污水排入城镇下水道水质标准</w:t>
            </w:r>
            <w:r>
              <w:t>》（GB</w:t>
            </w:r>
            <w:r>
              <w:rPr>
                <w:rFonts w:hint="eastAsia"/>
                <w:lang w:val="en-US" w:eastAsia="zh-CN"/>
              </w:rPr>
              <w:t>/T31962-2015</w:t>
            </w:r>
            <w:r>
              <w:t>）</w:t>
            </w:r>
            <w:r>
              <w:rPr>
                <w:rFonts w:hint="eastAsia"/>
                <w:lang w:val="en-US" w:eastAsia="zh-CN"/>
              </w:rPr>
              <w:t>B级</w:t>
            </w:r>
            <w:r>
              <w:t>排放标准后排入园区污水管网最终进入和静县污水处理厂。</w:t>
            </w:r>
          </w:p>
          <w:p>
            <w:pPr>
              <w:pStyle w:val="80"/>
              <w:rPr>
                <w:bCs w:val="0"/>
                <w:color w:val="000000" w:themeColor="text1"/>
                <w:kern w:val="2"/>
                <w:sz w:val="21"/>
                <w:szCs w:val="22"/>
                <w14:textFill>
                  <w14:solidFill>
                    <w14:schemeClr w14:val="tx1"/>
                  </w14:solidFill>
                </w14:textFill>
              </w:rPr>
            </w:pPr>
            <w:r>
              <w:rPr>
                <w:rFonts w:hint="eastAsia"/>
                <w:bCs w:val="0"/>
                <w:color w:val="000000" w:themeColor="text1"/>
                <w:kern w:val="2"/>
                <w:sz w:val="21"/>
                <w:szCs w:val="22"/>
                <w14:textFill>
                  <w14:solidFill>
                    <w14:schemeClr w14:val="tx1"/>
                  </w14:solidFill>
                </w14:textFill>
              </w:rPr>
              <w:t>表3</w:t>
            </w:r>
            <w:r>
              <w:rPr>
                <w:rFonts w:hint="eastAsia" w:eastAsia="宋体"/>
                <w:bCs w:val="0"/>
                <w:color w:val="000000" w:themeColor="text1"/>
                <w:kern w:val="2"/>
                <w:sz w:val="21"/>
                <w:szCs w:val="22"/>
                <w:lang w:val="en-US" w:eastAsia="zh-CN"/>
                <w14:textFill>
                  <w14:solidFill>
                    <w14:schemeClr w14:val="tx1"/>
                  </w14:solidFill>
                </w14:textFill>
              </w:rPr>
              <w:t>.7</w:t>
            </w:r>
            <w:r>
              <w:rPr>
                <w:rFonts w:hint="eastAsia"/>
                <w:bCs w:val="0"/>
                <w:color w:val="000000" w:themeColor="text1"/>
                <w:kern w:val="2"/>
                <w:sz w:val="21"/>
                <w:szCs w:val="22"/>
                <w14:textFill>
                  <w14:solidFill>
                    <w14:schemeClr w14:val="tx1"/>
                  </w14:solidFill>
                </w14:textFill>
              </w:rPr>
              <w:t>-</w:t>
            </w:r>
            <w:r>
              <w:rPr>
                <w:rFonts w:hint="eastAsia"/>
                <w:bCs w:val="0"/>
                <w:color w:val="000000" w:themeColor="text1"/>
                <w:kern w:val="2"/>
                <w:sz w:val="21"/>
                <w:szCs w:val="22"/>
                <w:lang w:val="en-US" w:eastAsia="zh-CN"/>
                <w14:textFill>
                  <w14:solidFill>
                    <w14:schemeClr w14:val="tx1"/>
                  </w14:solidFill>
                </w14:textFill>
              </w:rPr>
              <w:t>1</w:t>
            </w:r>
            <w:r>
              <w:rPr>
                <w:rFonts w:hint="eastAsia"/>
                <w:bCs w:val="0"/>
                <w:color w:val="000000" w:themeColor="text1"/>
                <w:kern w:val="2"/>
                <w:sz w:val="21"/>
                <w:szCs w:val="22"/>
                <w14:textFill>
                  <w14:solidFill>
                    <w14:schemeClr w14:val="tx1"/>
                  </w14:solidFill>
                </w14:textFill>
              </w:rPr>
              <w:t xml:space="preserve">  生活污水执行标准</w:t>
            </w:r>
          </w:p>
          <w:tbl>
            <w:tblPr>
              <w:tblStyle w:val="27"/>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96" w:type="pct"/>
                  <w:vMerge w:val="restart"/>
                  <w:tcBorders>
                    <w:tl2br w:val="nil"/>
                    <w:tr2bl w:val="nil"/>
                  </w:tcBorders>
                  <w:vAlign w:val="center"/>
                </w:tcPr>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污染物</w:t>
                  </w:r>
                </w:p>
              </w:tc>
              <w:tc>
                <w:tcPr>
                  <w:tcW w:w="3603" w:type="pct"/>
                  <w:tcBorders>
                    <w:tl2br w:val="nil"/>
                    <w:tr2bl w:val="nil"/>
                  </w:tcBorders>
                  <w:vAlign w:val="center"/>
                </w:tcPr>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污水排入城镇下水道水质标准</w:t>
                  </w:r>
                  <w:r>
                    <w:rPr>
                      <w:rFonts w:hint="eastAsia"/>
                      <w:color w:val="000000" w:themeColor="text1"/>
                      <w:sz w:val="21"/>
                      <w14:textFill>
                        <w14:solidFill>
                          <w14:schemeClr w14:val="tx1"/>
                        </w14:solidFill>
                      </w14:textFill>
                    </w:rPr>
                    <w:t>》（GB</w:t>
                  </w:r>
                  <w:r>
                    <w:rPr>
                      <w:rFonts w:hint="eastAsia"/>
                      <w:color w:val="000000" w:themeColor="text1"/>
                      <w:sz w:val="21"/>
                      <w:lang w:val="en-US" w:eastAsia="zh-CN"/>
                      <w14:textFill>
                        <w14:solidFill>
                          <w14:schemeClr w14:val="tx1"/>
                        </w14:solidFill>
                      </w14:textFill>
                    </w:rPr>
                    <w:t>/T31962-2015</w:t>
                  </w:r>
                  <w:r>
                    <w:rPr>
                      <w:rFonts w:hint="eastAsia"/>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B级</w:t>
                  </w:r>
                  <w:r>
                    <w:rPr>
                      <w:rFonts w:hint="eastAsia"/>
                      <w:color w:val="000000" w:themeColor="text1"/>
                      <w:sz w:val="21"/>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96" w:type="pct"/>
                  <w:vMerge w:val="continue"/>
                  <w:tcBorders>
                    <w:tl2br w:val="nil"/>
                    <w:tr2bl w:val="nil"/>
                  </w:tcBorders>
                  <w:vAlign w:val="center"/>
                </w:tcPr>
                <w:p>
                  <w:pPr>
                    <w:spacing w:line="240" w:lineRule="auto"/>
                    <w:ind w:firstLine="0" w:firstLineChars="0"/>
                    <w:contextualSpacing/>
                    <w:jc w:val="center"/>
                    <w:rPr>
                      <w:color w:val="000000" w:themeColor="text1"/>
                      <w:sz w:val="21"/>
                      <w14:textFill>
                        <w14:solidFill>
                          <w14:schemeClr w14:val="tx1"/>
                        </w14:solidFill>
                      </w14:textFill>
                    </w:rPr>
                  </w:pPr>
                </w:p>
              </w:tc>
              <w:tc>
                <w:tcPr>
                  <w:tcW w:w="3603" w:type="pct"/>
                  <w:tcBorders>
                    <w:tl2br w:val="nil"/>
                    <w:tr2bl w:val="nil"/>
                  </w:tcBorders>
                  <w:vAlign w:val="center"/>
                </w:tcPr>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污染物排放限值（浓度，速率）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pct"/>
                  <w:tcBorders>
                    <w:tl2br w:val="nil"/>
                    <w:tr2bl w:val="nil"/>
                  </w:tcBorders>
                  <w:vAlign w:val="center"/>
                </w:tcPr>
                <w:p>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BOD</w:t>
                  </w:r>
                  <w:r>
                    <w:rPr>
                      <w:color w:val="000000" w:themeColor="text1"/>
                      <w:sz w:val="21"/>
                      <w:vertAlign w:val="subscript"/>
                      <w14:textFill>
                        <w14:solidFill>
                          <w14:schemeClr w14:val="tx1"/>
                        </w14:solidFill>
                      </w14:textFill>
                    </w:rPr>
                    <w:t>5</w:t>
                  </w:r>
                </w:p>
              </w:tc>
              <w:tc>
                <w:tcPr>
                  <w:tcW w:w="3603" w:type="pct"/>
                  <w:tcBorders>
                    <w:tl2br w:val="nil"/>
                    <w:tr2bl w:val="nil"/>
                  </w:tcBorders>
                  <w:vAlign w:val="center"/>
                </w:tcPr>
                <w:p>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w:t>
                  </w:r>
                  <w:r>
                    <w:rPr>
                      <w:rFonts w:hint="eastAsia"/>
                      <w:color w:val="000000" w:themeColor="text1"/>
                      <w:sz w:val="21"/>
                      <w:lang w:val="en-US" w:eastAsia="zh-CN"/>
                      <w14:textFill>
                        <w14:solidFill>
                          <w14:schemeClr w14:val="tx1"/>
                        </w14:solidFill>
                      </w14:textFill>
                    </w:rPr>
                    <w:t>50</w:t>
                  </w:r>
                  <w:r>
                    <w:rPr>
                      <w:color w:val="000000" w:themeColor="text1"/>
                      <w:sz w:val="21"/>
                      <w14:textFill>
                        <w14:solidFill>
                          <w14:schemeClr w14:val="tx1"/>
                        </w14:solidFill>
                      </w14:textFill>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pct"/>
                  <w:tcBorders>
                    <w:tl2br w:val="nil"/>
                    <w:tr2bl w:val="nil"/>
                  </w:tcBorders>
                  <w:vAlign w:val="center"/>
                </w:tcPr>
                <w:p>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COD</w:t>
                  </w:r>
                </w:p>
              </w:tc>
              <w:tc>
                <w:tcPr>
                  <w:tcW w:w="3603" w:type="pct"/>
                  <w:tcBorders>
                    <w:tl2br w:val="nil"/>
                    <w:tr2bl w:val="nil"/>
                  </w:tcBorders>
                  <w:vAlign w:val="center"/>
                </w:tcPr>
                <w:p>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50</w:t>
                  </w:r>
                  <w:r>
                    <w:rPr>
                      <w:rFonts w:hint="eastAsia"/>
                      <w:color w:val="000000" w:themeColor="text1"/>
                      <w:sz w:val="21"/>
                      <w14:textFill>
                        <w14:solidFill>
                          <w14:schemeClr w14:val="tx1"/>
                        </w14:solidFill>
                      </w14:textFill>
                    </w:rPr>
                    <w:t>0</w:t>
                  </w:r>
                  <w:r>
                    <w:rPr>
                      <w:color w:val="000000" w:themeColor="text1"/>
                      <w:sz w:val="21"/>
                      <w14:textFill>
                        <w14:solidFill>
                          <w14:schemeClr w14:val="tx1"/>
                        </w14:solidFill>
                      </w14:textFill>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pct"/>
                  <w:tcBorders>
                    <w:tl2br w:val="nil"/>
                    <w:tr2bl w:val="nil"/>
                  </w:tcBorders>
                  <w:vAlign w:val="center"/>
                </w:tcPr>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氨氮</w:t>
                  </w:r>
                </w:p>
              </w:tc>
              <w:tc>
                <w:tcPr>
                  <w:tcW w:w="3603" w:type="pct"/>
                  <w:tcBorders>
                    <w:tl2br w:val="nil"/>
                    <w:tr2bl w:val="nil"/>
                  </w:tcBorders>
                  <w:vAlign w:val="center"/>
                </w:tcPr>
                <w:p>
                  <w:pPr>
                    <w:spacing w:line="240" w:lineRule="auto"/>
                    <w:ind w:firstLine="0" w:firstLineChars="0"/>
                    <w:contextualSpacing/>
                    <w:jc w:val="center"/>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45</w:t>
                  </w:r>
                  <w:r>
                    <w:rPr>
                      <w:color w:val="000000" w:themeColor="text1"/>
                      <w:sz w:val="21"/>
                      <w14:textFill>
                        <w14:solidFill>
                          <w14:schemeClr w14:val="tx1"/>
                        </w14:solidFill>
                      </w14:textFill>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pct"/>
                  <w:tcBorders>
                    <w:tl2br w:val="nil"/>
                    <w:tr2bl w:val="nil"/>
                  </w:tcBorders>
                  <w:vAlign w:val="center"/>
                </w:tcPr>
                <w:p>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SS</w:t>
                  </w:r>
                </w:p>
              </w:tc>
              <w:tc>
                <w:tcPr>
                  <w:tcW w:w="3603" w:type="pct"/>
                  <w:tcBorders>
                    <w:tl2br w:val="nil"/>
                    <w:tr2bl w:val="nil"/>
                  </w:tcBorders>
                  <w:vAlign w:val="center"/>
                </w:tcPr>
                <w:p>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400mg/L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pct"/>
                  <w:tcBorders>
                    <w:tl2br w:val="nil"/>
                    <w:tr2bl w:val="nil"/>
                  </w:tcBorders>
                  <w:vAlign w:val="center"/>
                </w:tcPr>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动植物油</w:t>
                  </w:r>
                </w:p>
              </w:tc>
              <w:tc>
                <w:tcPr>
                  <w:tcW w:w="3603" w:type="pct"/>
                  <w:tcBorders>
                    <w:tl2br w:val="nil"/>
                    <w:tr2bl w:val="nil"/>
                  </w:tcBorders>
                  <w:vAlign w:val="center"/>
                </w:tcPr>
                <w:p>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w:t>
                  </w:r>
                  <w:r>
                    <w:rPr>
                      <w:rFonts w:hint="eastAsia"/>
                      <w:color w:val="000000" w:themeColor="text1"/>
                      <w:sz w:val="21"/>
                      <w14:textFill>
                        <w14:solidFill>
                          <w14:schemeClr w14:val="tx1"/>
                        </w14:solidFill>
                      </w14:textFill>
                    </w:rPr>
                    <w:t>0</w:t>
                  </w:r>
                  <w:r>
                    <w:rPr>
                      <w:color w:val="000000" w:themeColor="text1"/>
                      <w:sz w:val="21"/>
                      <w14:textFill>
                        <w14:solidFill>
                          <w14:schemeClr w14:val="tx1"/>
                        </w14:solidFill>
                      </w14:textFill>
                    </w:rPr>
                    <w:t>mg/L</w:t>
                  </w:r>
                </w:p>
              </w:tc>
            </w:tr>
          </w:tbl>
          <w:p>
            <w:pPr>
              <w:adjustRightInd w:val="0"/>
              <w:snapToGrid w:val="0"/>
              <w:ind w:firstLine="482"/>
              <w:rPr>
                <w:b/>
                <w:kern w:val="0"/>
                <w:szCs w:val="24"/>
              </w:rPr>
            </w:pPr>
            <w:r>
              <w:rPr>
                <w:b/>
                <w:kern w:val="0"/>
                <w:szCs w:val="24"/>
              </w:rPr>
              <w:t>3.8大气污染物排放标准</w:t>
            </w:r>
          </w:p>
          <w:p>
            <w:pPr>
              <w:ind w:firstLine="480"/>
            </w:pPr>
            <w:r>
              <w:rPr>
                <w:rFonts w:hint="eastAsia"/>
                <w:lang w:val="en-US" w:eastAsia="zh-CN"/>
              </w:rPr>
              <w:t>本</w:t>
            </w:r>
            <w:r>
              <w:t>项目运营</w:t>
            </w:r>
            <w:r>
              <w:rPr>
                <w:rFonts w:hint="eastAsia"/>
                <w:lang w:val="en-US" w:eastAsia="zh-CN"/>
              </w:rPr>
              <w:t>期各生产工序</w:t>
            </w:r>
            <w:r>
              <w:t>产生</w:t>
            </w:r>
            <w:r>
              <w:rPr>
                <w:rFonts w:hint="eastAsia"/>
                <w:lang w:val="en-US" w:eastAsia="zh-CN"/>
              </w:rPr>
              <w:t>的</w:t>
            </w:r>
            <w:r>
              <w:t>颗粒物排放执行《大气污染物综合排放标准》（GB16297-1996）中</w:t>
            </w:r>
            <w:r>
              <w:rPr>
                <w:rFonts w:hint="eastAsia"/>
                <w:lang w:eastAsia="zh-CN"/>
              </w:rPr>
              <w:t>“</w:t>
            </w:r>
            <w:r>
              <w:t>新污染源大气污染物排放限值</w:t>
            </w:r>
            <w:r>
              <w:rPr>
                <w:rFonts w:hint="eastAsia"/>
                <w:lang w:eastAsia="zh-CN"/>
              </w:rPr>
              <w:t>”</w:t>
            </w:r>
            <w:r>
              <w:t>，即：有组织颗粒物最高允许排放浓度：120mg/m</w:t>
            </w:r>
            <w:r>
              <w:rPr>
                <w:vertAlign w:val="superscript"/>
              </w:rPr>
              <w:t>3</w:t>
            </w:r>
            <w:r>
              <w:t>，15m高排气筒最高允许排放速率3.5kg/h；无组织颗粒物排放浓度：1.0mg/m</w:t>
            </w:r>
            <w:r>
              <w:rPr>
                <w:vertAlign w:val="superscript"/>
              </w:rPr>
              <w:t>3</w:t>
            </w:r>
            <w:r>
              <w:t>。</w:t>
            </w:r>
          </w:p>
          <w:p>
            <w:pPr>
              <w:ind w:firstLine="480"/>
            </w:pPr>
            <w:r>
              <w:t>运营产生</w:t>
            </w:r>
            <w:r>
              <w:rPr>
                <w:rFonts w:hint="eastAsia"/>
                <w:lang w:val="en-US" w:eastAsia="zh-CN"/>
              </w:rPr>
              <w:t>无组织</w:t>
            </w:r>
            <w:r>
              <w:t>臭气执行《恶臭污染物排放标准》（GB14554-93）中二级排放标准，即：臭气浓度：20（无量纲）。</w:t>
            </w:r>
          </w:p>
          <w:p>
            <w:pPr>
              <w:ind w:firstLine="480"/>
            </w:pPr>
            <w:r>
              <w:rPr>
                <w:rFonts w:hint="eastAsia"/>
              </w:rPr>
              <w:t>燃气锅炉</w:t>
            </w:r>
            <w:r>
              <w:t>污染物颗粒物、二氧化硫执行《锅炉大气污染物排放标准》（GB13271-2014）表2新建锅炉大气污染物排放浓度限值中</w:t>
            </w:r>
            <w:r>
              <w:rPr>
                <w:rFonts w:hint="eastAsia"/>
              </w:rPr>
              <w:t>燃气锅炉</w:t>
            </w:r>
            <w:r>
              <w:t>标准</w:t>
            </w:r>
            <w:r>
              <w:rPr>
                <w:rFonts w:hint="eastAsia"/>
                <w:lang w:val="en-US" w:eastAsia="zh-CN"/>
              </w:rPr>
              <w:t>见</w:t>
            </w:r>
            <w:r>
              <w:rPr>
                <w:rFonts w:hint="eastAsia"/>
              </w:rPr>
              <w:t>表3.8-1</w:t>
            </w:r>
            <w:r>
              <w:t>；氮氧化物执行</w:t>
            </w:r>
            <w:r>
              <w:rPr>
                <w:rFonts w:hint="eastAsia"/>
              </w:rPr>
              <w:t>《关于开展自治区2022年度夏秋季大气污染防治</w:t>
            </w:r>
            <w:r>
              <w:rPr>
                <w:rFonts w:hint="eastAsia"/>
                <w:lang w:eastAsia="zh-CN"/>
              </w:rPr>
              <w:t>“</w:t>
            </w:r>
            <w:r>
              <w:rPr>
                <w:rFonts w:hint="eastAsia"/>
              </w:rPr>
              <w:t>冬病夏治</w:t>
            </w:r>
            <w:r>
              <w:rPr>
                <w:rFonts w:hint="eastAsia"/>
                <w:lang w:eastAsia="zh-CN"/>
              </w:rPr>
              <w:t>”</w:t>
            </w:r>
            <w:r>
              <w:rPr>
                <w:rFonts w:hint="eastAsia"/>
              </w:rPr>
              <w:t>工作的通知》（新环大气发〔2022〕483号）</w:t>
            </w:r>
            <w:r>
              <w:t>文件中</w:t>
            </w:r>
            <w:r>
              <w:rPr>
                <w:rFonts w:hint="eastAsia"/>
              </w:rPr>
              <w:t>燃气锅炉</w:t>
            </w:r>
            <w:r>
              <w:t>氮氧化物排放浓度不高于50mg/m</w:t>
            </w:r>
            <w:r>
              <w:rPr>
                <w:vertAlign w:val="superscript"/>
              </w:rPr>
              <w:t>3</w:t>
            </w:r>
            <w:r>
              <w:t>的要求。</w:t>
            </w:r>
          </w:p>
          <w:p>
            <w:pPr>
              <w:pStyle w:val="65"/>
            </w:pPr>
            <w:r>
              <w:rPr>
                <w:rFonts w:hint="eastAsia"/>
              </w:rPr>
              <w:t>表3.8-1   新建锅炉大气污染物排放浓度限值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9"/>
              <w:gridCol w:w="2233"/>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Merge w:val="restart"/>
                  <w:vAlign w:val="center"/>
                </w:tcPr>
                <w:p>
                  <w:pPr>
                    <w:pStyle w:val="70"/>
                  </w:pPr>
                  <w:r>
                    <w:rPr>
                      <w:rFonts w:hint="eastAsia"/>
                    </w:rPr>
                    <w:t>污染物项目</w:t>
                  </w:r>
                </w:p>
              </w:tc>
              <w:tc>
                <w:tcPr>
                  <w:tcW w:w="2210" w:type="dxa"/>
                  <w:vAlign w:val="center"/>
                </w:tcPr>
                <w:p>
                  <w:pPr>
                    <w:pStyle w:val="70"/>
                  </w:pPr>
                  <w:r>
                    <w:rPr>
                      <w:rFonts w:hint="eastAsia"/>
                    </w:rPr>
                    <w:t>限值</w:t>
                  </w:r>
                </w:p>
              </w:tc>
              <w:tc>
                <w:tcPr>
                  <w:tcW w:w="2777" w:type="dxa"/>
                  <w:vMerge w:val="restart"/>
                  <w:vAlign w:val="center"/>
                </w:tcPr>
                <w:p>
                  <w:pPr>
                    <w:pStyle w:val="70"/>
                  </w:pPr>
                  <w:r>
                    <w:rPr>
                      <w:rFonts w:hint="eastAsia"/>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Merge w:val="continue"/>
                  <w:vAlign w:val="center"/>
                </w:tcPr>
                <w:p>
                  <w:pPr>
                    <w:pStyle w:val="70"/>
                  </w:pPr>
                </w:p>
              </w:tc>
              <w:tc>
                <w:tcPr>
                  <w:tcW w:w="2210" w:type="dxa"/>
                  <w:vAlign w:val="center"/>
                </w:tcPr>
                <w:p>
                  <w:pPr>
                    <w:pStyle w:val="70"/>
                  </w:pPr>
                  <w:r>
                    <w:rPr>
                      <w:rFonts w:hint="eastAsia"/>
                    </w:rPr>
                    <w:t>燃气锅炉</w:t>
                  </w:r>
                </w:p>
              </w:tc>
              <w:tc>
                <w:tcPr>
                  <w:tcW w:w="2777"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Align w:val="center"/>
                </w:tcPr>
                <w:p>
                  <w:pPr>
                    <w:pStyle w:val="70"/>
                  </w:pPr>
                  <w:r>
                    <w:rPr>
                      <w:rFonts w:hint="eastAsia"/>
                    </w:rPr>
                    <w:t>颗粒物</w:t>
                  </w:r>
                </w:p>
              </w:tc>
              <w:tc>
                <w:tcPr>
                  <w:tcW w:w="2210" w:type="dxa"/>
                  <w:vAlign w:val="center"/>
                </w:tcPr>
                <w:p>
                  <w:pPr>
                    <w:pStyle w:val="70"/>
                  </w:pPr>
                  <w:r>
                    <w:rPr>
                      <w:rFonts w:hint="eastAsia"/>
                    </w:rPr>
                    <w:t>20</w:t>
                  </w:r>
                  <w:r>
                    <w:t>mg/m</w:t>
                  </w:r>
                  <w:r>
                    <w:rPr>
                      <w:vertAlign w:val="superscript"/>
                    </w:rPr>
                    <w:t>3</w:t>
                  </w:r>
                </w:p>
              </w:tc>
              <w:tc>
                <w:tcPr>
                  <w:tcW w:w="2777" w:type="dxa"/>
                  <w:vMerge w:val="restart"/>
                  <w:vAlign w:val="center"/>
                </w:tcPr>
                <w:p>
                  <w:pPr>
                    <w:pStyle w:val="70"/>
                  </w:pPr>
                  <w:r>
                    <w:rPr>
                      <w:rFonts w:hint="eastAsia"/>
                    </w:rPr>
                    <w:t>烟囱或烟道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Align w:val="center"/>
                </w:tcPr>
                <w:p>
                  <w:pPr>
                    <w:pStyle w:val="70"/>
                  </w:pPr>
                  <w:r>
                    <w:rPr>
                      <w:rFonts w:hint="eastAsia"/>
                    </w:rPr>
                    <w:t>二氧化硫</w:t>
                  </w:r>
                </w:p>
              </w:tc>
              <w:tc>
                <w:tcPr>
                  <w:tcW w:w="2210" w:type="dxa"/>
                  <w:vAlign w:val="center"/>
                </w:tcPr>
                <w:p>
                  <w:pPr>
                    <w:pStyle w:val="70"/>
                  </w:pPr>
                  <w:r>
                    <w:rPr>
                      <w:rFonts w:hint="eastAsia"/>
                    </w:rPr>
                    <w:t>50</w:t>
                  </w:r>
                  <w:r>
                    <w:t>mg/m</w:t>
                  </w:r>
                  <w:r>
                    <w:rPr>
                      <w:vertAlign w:val="superscript"/>
                    </w:rPr>
                    <w:t>3</w:t>
                  </w:r>
                </w:p>
              </w:tc>
              <w:tc>
                <w:tcPr>
                  <w:tcW w:w="2777"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Align w:val="center"/>
                </w:tcPr>
                <w:p>
                  <w:pPr>
                    <w:pStyle w:val="70"/>
                  </w:pPr>
                  <w:r>
                    <w:rPr>
                      <w:rFonts w:hint="eastAsia"/>
                    </w:rPr>
                    <w:t>氮氧化物</w:t>
                  </w:r>
                </w:p>
              </w:tc>
              <w:tc>
                <w:tcPr>
                  <w:tcW w:w="2210" w:type="dxa"/>
                  <w:vAlign w:val="center"/>
                </w:tcPr>
                <w:p>
                  <w:pPr>
                    <w:pStyle w:val="70"/>
                  </w:pPr>
                  <w:r>
                    <w:rPr>
                      <w:rFonts w:hint="eastAsia"/>
                    </w:rPr>
                    <w:t>50</w:t>
                  </w:r>
                  <w:r>
                    <w:t>mg/m</w:t>
                  </w:r>
                  <w:r>
                    <w:rPr>
                      <w:vertAlign w:val="superscript"/>
                    </w:rPr>
                    <w:t>3</w:t>
                  </w:r>
                </w:p>
              </w:tc>
              <w:tc>
                <w:tcPr>
                  <w:tcW w:w="2777"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Align w:val="center"/>
                </w:tcPr>
                <w:p>
                  <w:pPr>
                    <w:pStyle w:val="70"/>
                  </w:pPr>
                  <w:r>
                    <w:rPr>
                      <w:rFonts w:hint="eastAsia"/>
                    </w:rPr>
                    <w:t>汞及其化合物</w:t>
                  </w:r>
                </w:p>
              </w:tc>
              <w:tc>
                <w:tcPr>
                  <w:tcW w:w="2210" w:type="dxa"/>
                  <w:vAlign w:val="center"/>
                </w:tcPr>
                <w:p>
                  <w:pPr>
                    <w:pStyle w:val="70"/>
                  </w:pPr>
                  <w:r>
                    <w:rPr>
                      <w:rFonts w:hint="eastAsia"/>
                    </w:rPr>
                    <w:t>－</w:t>
                  </w:r>
                </w:p>
              </w:tc>
              <w:tc>
                <w:tcPr>
                  <w:tcW w:w="2777"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Align w:val="center"/>
                </w:tcPr>
                <w:p>
                  <w:pPr>
                    <w:pStyle w:val="70"/>
                    <w:rPr>
                      <w:rFonts w:hint="eastAsia" w:eastAsia="宋体"/>
                      <w:lang w:eastAsia="zh-CN"/>
                    </w:rPr>
                  </w:pPr>
                  <w:r>
                    <w:rPr>
                      <w:rFonts w:hint="eastAsia"/>
                    </w:rPr>
                    <w:t>烟气黑</w:t>
                  </w:r>
                  <w:r>
                    <w:rPr>
                      <w:rFonts w:hint="eastAsia"/>
                      <w:lang w:val="en-US" w:eastAsia="zh-CN"/>
                    </w:rPr>
                    <w:t>度</w:t>
                  </w:r>
                  <w:r>
                    <w:rPr>
                      <w:rFonts w:hint="eastAsia"/>
                      <w:lang w:eastAsia="zh-CN"/>
                    </w:rPr>
                    <w:t>（</w:t>
                  </w:r>
                  <w:r>
                    <w:rPr>
                      <w:rFonts w:hint="eastAsia"/>
                    </w:rPr>
                    <w:t>林格曼黑度，级</w:t>
                  </w:r>
                  <w:r>
                    <w:rPr>
                      <w:rFonts w:hint="eastAsia"/>
                      <w:lang w:eastAsia="zh-CN"/>
                    </w:rPr>
                    <w:t>）</w:t>
                  </w:r>
                </w:p>
              </w:tc>
              <w:tc>
                <w:tcPr>
                  <w:tcW w:w="2210" w:type="dxa"/>
                  <w:vAlign w:val="center"/>
                </w:tcPr>
                <w:p>
                  <w:pPr>
                    <w:pStyle w:val="70"/>
                  </w:pPr>
                  <w:r>
                    <w:rPr>
                      <w:rFonts w:hint="eastAsia"/>
                    </w:rPr>
                    <w:t>≤1</w:t>
                  </w:r>
                </w:p>
              </w:tc>
              <w:tc>
                <w:tcPr>
                  <w:tcW w:w="2777" w:type="dxa"/>
                  <w:vAlign w:val="center"/>
                </w:tcPr>
                <w:p>
                  <w:pPr>
                    <w:pStyle w:val="70"/>
                  </w:pPr>
                  <w:r>
                    <w:rPr>
                      <w:rFonts w:hint="eastAsia"/>
                    </w:rPr>
                    <w:t>烟囱排放口</w:t>
                  </w:r>
                </w:p>
              </w:tc>
            </w:tr>
          </w:tbl>
          <w:p>
            <w:pPr>
              <w:adjustRightInd w:val="0"/>
              <w:snapToGrid w:val="0"/>
              <w:ind w:firstLine="482"/>
              <w:rPr>
                <w:b/>
                <w:kern w:val="0"/>
                <w:szCs w:val="24"/>
              </w:rPr>
            </w:pPr>
            <w:r>
              <w:rPr>
                <w:b/>
                <w:kern w:val="0"/>
                <w:szCs w:val="24"/>
              </w:rPr>
              <w:t>3.9噪声排放标准</w:t>
            </w:r>
          </w:p>
          <w:p>
            <w:pPr>
              <w:adjustRightInd w:val="0"/>
              <w:snapToGrid w:val="0"/>
              <w:ind w:firstLine="480"/>
            </w:pPr>
            <w:r>
              <w:rPr>
                <w:bCs/>
              </w:rPr>
              <w:t>施工期噪声执行《建筑施工场界环境噪声排放标准》（GB 12523-2011）标准，</w:t>
            </w:r>
            <w:r>
              <w:t>即昼间：70dB</w:t>
            </w:r>
            <w:r>
              <w:rPr>
                <w:rFonts w:hint="eastAsia"/>
                <w:lang w:eastAsia="zh-CN"/>
              </w:rPr>
              <w:t>（</w:t>
            </w:r>
            <w:r>
              <w:t>A</w:t>
            </w:r>
            <w:r>
              <w:rPr>
                <w:rFonts w:hint="eastAsia"/>
                <w:lang w:eastAsia="zh-CN"/>
              </w:rPr>
              <w:t>）</w:t>
            </w:r>
            <w:r>
              <w:t>，夜间：55dB</w:t>
            </w:r>
            <w:r>
              <w:rPr>
                <w:rFonts w:hint="eastAsia"/>
                <w:lang w:eastAsia="zh-CN"/>
              </w:rPr>
              <w:t>（</w:t>
            </w:r>
            <w:r>
              <w:t>A</w:t>
            </w:r>
            <w:r>
              <w:rPr>
                <w:rFonts w:hint="eastAsia"/>
                <w:lang w:eastAsia="zh-CN"/>
              </w:rPr>
              <w:t>）</w:t>
            </w:r>
            <w:r>
              <w:t>。</w:t>
            </w:r>
          </w:p>
          <w:p>
            <w:pPr>
              <w:adjustRightInd w:val="0"/>
              <w:snapToGrid w:val="0"/>
              <w:ind w:firstLine="480"/>
            </w:pPr>
            <w:r>
              <w:t>运营期噪声执行《工业企业厂界环境噪声排放标准》（GB12348-2008）中3类标准，即昼间：65dB</w:t>
            </w:r>
            <w:r>
              <w:rPr>
                <w:rFonts w:hint="eastAsia"/>
                <w:lang w:eastAsia="zh-CN"/>
              </w:rPr>
              <w:t>（</w:t>
            </w:r>
            <w:r>
              <w:t>A</w:t>
            </w:r>
            <w:r>
              <w:rPr>
                <w:rFonts w:hint="eastAsia"/>
                <w:lang w:eastAsia="zh-CN"/>
              </w:rPr>
              <w:t>）</w:t>
            </w:r>
            <w:r>
              <w:t>，夜间：55dB</w:t>
            </w:r>
            <w:r>
              <w:rPr>
                <w:rFonts w:hint="eastAsia"/>
                <w:lang w:eastAsia="zh-CN"/>
              </w:rPr>
              <w:t>（</w:t>
            </w:r>
            <w:r>
              <w:t>A</w:t>
            </w:r>
            <w:r>
              <w:rPr>
                <w:rFonts w:hint="eastAsia"/>
                <w:lang w:eastAsia="zh-CN"/>
              </w:rPr>
              <w:t>）</w:t>
            </w:r>
            <w:r>
              <w:t>。</w:t>
            </w:r>
          </w:p>
          <w:p>
            <w:pPr>
              <w:pStyle w:val="24"/>
              <w:ind w:firstLine="482"/>
            </w:pPr>
            <w:r>
              <w:t>3.10固废排放标准</w:t>
            </w:r>
          </w:p>
          <w:p>
            <w:pPr>
              <w:ind w:firstLine="480"/>
              <w:rPr>
                <w:kern w:val="0"/>
                <w:szCs w:val="24"/>
              </w:rPr>
            </w:pPr>
            <w:r>
              <w:rPr>
                <w:rFonts w:hint="eastAsia"/>
                <w:lang w:val="en-US" w:eastAsia="zh-CN"/>
              </w:rPr>
              <w:t>一般工业</w:t>
            </w:r>
            <w:r>
              <w:rPr>
                <w:rFonts w:hint="eastAsia"/>
              </w:rPr>
              <w:t>固体废物参照执行《一般工业固体废物贮存和填埋污染控制标准》（GB18599-2020）中的</w:t>
            </w:r>
            <w:r>
              <w:rPr>
                <w:rFonts w:hint="eastAsia"/>
                <w:lang w:eastAsia="zh-CN"/>
              </w:rPr>
              <w:t>“</w:t>
            </w:r>
            <w:r>
              <w:rPr>
                <w:rFonts w:hint="eastAsia"/>
              </w:rPr>
              <w:t>其贮存过程应满足相应防渗漏、防雨淋、防扬尘等环境保护要求</w:t>
            </w:r>
            <w:r>
              <w:rPr>
                <w:rFonts w:hint="eastAsia"/>
                <w:lang w:eastAsia="zh-CN"/>
              </w:rPr>
              <w:t>”</w:t>
            </w:r>
            <w:r>
              <w:rPr>
                <w:rFonts w:hint="eastAsia"/>
              </w:rPr>
              <w:t>。</w:t>
            </w:r>
            <w:r>
              <w:t>危险废物执行《危险废物贮存污染控制标准》（GB18597-2023）的相关规定。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800" w:type="dxa"/>
            <w:vAlign w:val="center"/>
          </w:tcPr>
          <w:p>
            <w:pPr>
              <w:adjustRightInd w:val="0"/>
              <w:snapToGrid w:val="0"/>
              <w:ind w:firstLine="0" w:firstLineChars="0"/>
              <w:rPr>
                <w:kern w:val="0"/>
                <w:szCs w:val="24"/>
              </w:rPr>
            </w:pPr>
            <w:r>
              <w:rPr>
                <w:kern w:val="0"/>
                <w:szCs w:val="24"/>
              </w:rPr>
              <w:t>总量</w:t>
            </w:r>
          </w:p>
          <w:p>
            <w:pPr>
              <w:adjustRightInd w:val="0"/>
              <w:snapToGrid w:val="0"/>
              <w:ind w:firstLine="0" w:firstLineChars="0"/>
              <w:rPr>
                <w:kern w:val="0"/>
                <w:szCs w:val="24"/>
              </w:rPr>
            </w:pPr>
            <w:r>
              <w:rPr>
                <w:kern w:val="0"/>
                <w:szCs w:val="24"/>
              </w:rPr>
              <w:t>控制</w:t>
            </w:r>
          </w:p>
          <w:p>
            <w:pPr>
              <w:adjustRightInd w:val="0"/>
              <w:snapToGrid w:val="0"/>
              <w:ind w:firstLine="0" w:firstLineChars="0"/>
              <w:rPr>
                <w:kern w:val="0"/>
              </w:rPr>
            </w:pPr>
            <w:r>
              <w:rPr>
                <w:kern w:val="0"/>
                <w:szCs w:val="24"/>
              </w:rPr>
              <w:t>指标</w:t>
            </w:r>
          </w:p>
        </w:tc>
        <w:tc>
          <w:tcPr>
            <w:tcW w:w="8083" w:type="dxa"/>
            <w:vAlign w:val="center"/>
          </w:tcPr>
          <w:p>
            <w:pPr>
              <w:ind w:firstLine="480"/>
            </w:pPr>
            <w:r>
              <w:t>本项目采用1台</w:t>
            </w:r>
            <w:r>
              <w:rPr>
                <w:rFonts w:hint="eastAsia"/>
              </w:rPr>
              <w:t>3</w:t>
            </w:r>
            <w:r>
              <w:t>t/h</w:t>
            </w:r>
            <w:r>
              <w:rPr>
                <w:rFonts w:hint="eastAsia"/>
              </w:rPr>
              <w:t>燃气锅炉用于生产制粒工段提供水蒸气及生活供暖</w:t>
            </w:r>
            <w:r>
              <w:t>，按锅炉满负荷计，耗气量为</w:t>
            </w:r>
            <w:r>
              <w:rPr>
                <w:rFonts w:hint="eastAsia"/>
              </w:rPr>
              <w:t>225</w:t>
            </w:r>
            <w:r>
              <w:t>万m</w:t>
            </w:r>
            <w:r>
              <w:rPr>
                <w:vertAlign w:val="superscript"/>
              </w:rPr>
              <w:t>3</w:t>
            </w:r>
            <w:r>
              <w:t>，</w:t>
            </w:r>
            <w:r>
              <w:rPr>
                <w:rFonts w:hint="eastAsia"/>
                <w:lang w:val="en-GB"/>
              </w:rPr>
              <w:t>根据《污染源源强核算技术指南 锅炉》（HJ991-2018）</w:t>
            </w:r>
            <w:r>
              <w:rPr>
                <w:rFonts w:hint="eastAsia"/>
              </w:rPr>
              <w:t>中产排污系数法</w:t>
            </w:r>
            <w:r>
              <w:rPr>
                <w:rFonts w:hint="eastAsia"/>
                <w:lang w:val="en-GB"/>
              </w:rPr>
              <w:t>核算污染源强</w:t>
            </w:r>
            <w:r>
              <w:rPr>
                <w:rFonts w:hint="eastAsia"/>
              </w:rPr>
              <w:t>。废气量、氮氧化物产污</w:t>
            </w:r>
            <w:r>
              <w:t>系数参照《排放源统计调查产排污核算方法和系数手册》</w:t>
            </w:r>
            <w:r>
              <w:rPr>
                <w:rFonts w:hint="eastAsia"/>
              </w:rPr>
              <w:t>—</w:t>
            </w:r>
            <w:r>
              <w:t>锅炉产排污量核算系数手册</w:t>
            </w:r>
            <w:r>
              <w:rPr>
                <w:rFonts w:hint="eastAsia"/>
              </w:rPr>
              <w:t>。</w:t>
            </w:r>
            <w:r>
              <w:t>根据允许排放量核算方法，本项目排污许可量核定为NO</w:t>
            </w:r>
            <w:r>
              <w:rPr>
                <w:vertAlign w:val="subscript"/>
              </w:rPr>
              <w:t>X</w:t>
            </w:r>
            <w:r>
              <w:t>：</w:t>
            </w:r>
            <w:r>
              <w:rPr>
                <w:rFonts w:hint="eastAsia"/>
              </w:rPr>
              <w:t>0.681</w:t>
            </w:r>
            <w:r>
              <w:rPr>
                <w:rFonts w:hint="eastAsia"/>
                <w:lang w:val="en-US" w:eastAsia="zh-CN"/>
              </w:rPr>
              <w:t>7</w:t>
            </w:r>
            <w:r>
              <w:t>t/a。废气主要污染物排放总量核算表见表3-2。</w:t>
            </w:r>
          </w:p>
          <w:p>
            <w:pPr>
              <w:pStyle w:val="65"/>
            </w:pPr>
            <w:r>
              <w:rPr>
                <w:rFonts w:hint="eastAsia"/>
              </w:rPr>
              <w:t>表</w:t>
            </w:r>
            <w:r>
              <w:t xml:space="preserve">3-2 </w:t>
            </w:r>
            <w:r>
              <w:rPr>
                <w:rFonts w:hint="eastAsia"/>
              </w:rPr>
              <w:t xml:space="preserve">  </w:t>
            </w:r>
            <w:r>
              <w:t>本项目废气主要污染物排放总量核算表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016"/>
              <w:gridCol w:w="2211"/>
              <w:gridCol w:w="1356"/>
              <w:gridCol w:w="130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pStyle w:val="70"/>
                    <w:tabs>
                      <w:tab w:val="left" w:pos="2700"/>
                    </w:tabs>
                  </w:pPr>
                  <w:r>
                    <w:rPr>
                      <w:rFonts w:hint="eastAsia"/>
                    </w:rPr>
                    <w:t>排放源</w:t>
                  </w:r>
                </w:p>
              </w:tc>
              <w:tc>
                <w:tcPr>
                  <w:tcW w:w="1016" w:type="dxa"/>
                  <w:vAlign w:val="center"/>
                </w:tcPr>
                <w:p>
                  <w:pPr>
                    <w:pStyle w:val="70"/>
                    <w:tabs>
                      <w:tab w:val="left" w:pos="2700"/>
                    </w:tabs>
                  </w:pPr>
                  <w:r>
                    <w:rPr>
                      <w:rFonts w:hint="eastAsia"/>
                    </w:rPr>
                    <w:t>污染物</w:t>
                  </w:r>
                </w:p>
              </w:tc>
              <w:tc>
                <w:tcPr>
                  <w:tcW w:w="2211" w:type="dxa"/>
                  <w:vAlign w:val="center"/>
                </w:tcPr>
                <w:p>
                  <w:pPr>
                    <w:pStyle w:val="70"/>
                    <w:tabs>
                      <w:tab w:val="left" w:pos="2700"/>
                    </w:tabs>
                  </w:pPr>
                  <w:r>
                    <w:rPr>
                      <w:rFonts w:hint="eastAsia"/>
                    </w:rPr>
                    <w:t>产污系数</w:t>
                  </w:r>
                </w:p>
              </w:tc>
              <w:tc>
                <w:tcPr>
                  <w:tcW w:w="1356" w:type="dxa"/>
                  <w:vAlign w:val="center"/>
                </w:tcPr>
                <w:p>
                  <w:pPr>
                    <w:pStyle w:val="70"/>
                    <w:tabs>
                      <w:tab w:val="left" w:pos="2700"/>
                    </w:tabs>
                  </w:pPr>
                  <w:r>
                    <w:rPr>
                      <w:rFonts w:hint="eastAsia"/>
                    </w:rPr>
                    <w:t>排放量</w:t>
                  </w:r>
                </w:p>
              </w:tc>
              <w:tc>
                <w:tcPr>
                  <w:tcW w:w="1300" w:type="dxa"/>
                  <w:vAlign w:val="center"/>
                </w:tcPr>
                <w:p>
                  <w:pPr>
                    <w:pStyle w:val="70"/>
                    <w:tabs>
                      <w:tab w:val="left" w:pos="2700"/>
                    </w:tabs>
                  </w:pPr>
                  <w:r>
                    <w:rPr>
                      <w:rFonts w:hint="eastAsia"/>
                    </w:rPr>
                    <w:t>排放浓度</w:t>
                  </w:r>
                </w:p>
              </w:tc>
              <w:tc>
                <w:tcPr>
                  <w:tcW w:w="1044" w:type="dxa"/>
                  <w:vAlign w:val="center"/>
                </w:tcPr>
                <w:p>
                  <w:pPr>
                    <w:pStyle w:val="70"/>
                    <w:tabs>
                      <w:tab w:val="left" w:pos="2700"/>
                    </w:tabs>
                  </w:pPr>
                  <w:r>
                    <w:rPr>
                      <w:rFonts w:hint="eastAsia"/>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Merge w:val="restart"/>
                  <w:vAlign w:val="center"/>
                </w:tcPr>
                <w:p>
                  <w:pPr>
                    <w:pStyle w:val="70"/>
                    <w:tabs>
                      <w:tab w:val="left" w:pos="2700"/>
                    </w:tabs>
                  </w:pPr>
                  <w:r>
                    <w:rPr>
                      <w:rFonts w:hint="eastAsia"/>
                    </w:rPr>
                    <w:t>1台3</w:t>
                  </w:r>
                  <w:r>
                    <w:rPr>
                      <w:rFonts w:hint="eastAsia"/>
                      <w:kern w:val="0"/>
                      <w:sz w:val="24"/>
                      <w:szCs w:val="24"/>
                      <w:lang w:bidi="ar"/>
                    </w:rPr>
                    <w:t>t/h</w:t>
                  </w:r>
                  <w:r>
                    <w:rPr>
                      <w:rFonts w:hint="eastAsia"/>
                    </w:rPr>
                    <w:t>燃气锅炉</w:t>
                  </w:r>
                </w:p>
              </w:tc>
              <w:tc>
                <w:tcPr>
                  <w:tcW w:w="1016" w:type="dxa"/>
                  <w:vAlign w:val="center"/>
                </w:tcPr>
                <w:p>
                  <w:pPr>
                    <w:pStyle w:val="70"/>
                    <w:tabs>
                      <w:tab w:val="left" w:pos="2700"/>
                    </w:tabs>
                    <w:rPr>
                      <w:color w:val="auto"/>
                    </w:rPr>
                  </w:pPr>
                  <w:r>
                    <w:rPr>
                      <w:rFonts w:hint="eastAsia"/>
                      <w:color w:val="auto"/>
                    </w:rPr>
                    <w:t>烟气量</w:t>
                  </w:r>
                </w:p>
              </w:tc>
              <w:tc>
                <w:tcPr>
                  <w:tcW w:w="2211" w:type="dxa"/>
                  <w:vAlign w:val="center"/>
                </w:tcPr>
                <w:p>
                  <w:pPr>
                    <w:pStyle w:val="70"/>
                    <w:tabs>
                      <w:tab w:val="left" w:pos="2700"/>
                    </w:tabs>
                    <w:rPr>
                      <w:color w:val="auto"/>
                    </w:rPr>
                  </w:pPr>
                  <w:r>
                    <w:rPr>
                      <w:rFonts w:hint="eastAsia"/>
                      <w:color w:val="auto"/>
                    </w:rPr>
                    <w:t>107753Nm</w:t>
                  </w:r>
                  <w:r>
                    <w:rPr>
                      <w:rFonts w:hint="eastAsia"/>
                      <w:color w:val="auto"/>
                      <w:vertAlign w:val="superscript"/>
                    </w:rPr>
                    <w:t>3</w:t>
                  </w:r>
                  <w:r>
                    <w:rPr>
                      <w:rFonts w:hint="eastAsia"/>
                      <w:color w:val="auto"/>
                    </w:rPr>
                    <w:t>/万m</w:t>
                  </w:r>
                  <w:r>
                    <w:rPr>
                      <w:rFonts w:hint="eastAsia"/>
                      <w:color w:val="auto"/>
                      <w:vertAlign w:val="superscript"/>
                    </w:rPr>
                    <w:t>3</w:t>
                  </w:r>
                  <w:r>
                    <w:rPr>
                      <w:rFonts w:hint="eastAsia"/>
                      <w:color w:val="auto"/>
                    </w:rPr>
                    <w:t>-原料</w:t>
                  </w:r>
                </w:p>
              </w:tc>
              <w:tc>
                <w:tcPr>
                  <w:tcW w:w="1356" w:type="dxa"/>
                  <w:vAlign w:val="center"/>
                </w:tcPr>
                <w:p>
                  <w:pPr>
                    <w:pStyle w:val="70"/>
                    <w:tabs>
                      <w:tab w:val="left" w:pos="2700"/>
                    </w:tabs>
                    <w:rPr>
                      <w:color w:val="auto"/>
                    </w:rPr>
                  </w:pPr>
                  <w:r>
                    <w:rPr>
                      <w:rFonts w:hint="eastAsia"/>
                      <w:color w:val="auto"/>
                    </w:rPr>
                    <w:t>2424.5万Nm</w:t>
                  </w:r>
                  <w:r>
                    <w:rPr>
                      <w:rFonts w:hint="eastAsia"/>
                      <w:color w:val="auto"/>
                      <w:vertAlign w:val="superscript"/>
                    </w:rPr>
                    <w:t>3</w:t>
                  </w:r>
                </w:p>
              </w:tc>
              <w:tc>
                <w:tcPr>
                  <w:tcW w:w="1300" w:type="dxa"/>
                  <w:vAlign w:val="center"/>
                </w:tcPr>
                <w:p>
                  <w:pPr>
                    <w:pStyle w:val="70"/>
                    <w:tabs>
                      <w:tab w:val="left" w:pos="2700"/>
                    </w:tabs>
                    <w:rPr>
                      <w:color w:val="auto"/>
                    </w:rPr>
                  </w:pPr>
                  <w:r>
                    <w:rPr>
                      <w:rFonts w:hint="eastAsia"/>
                      <w:color w:val="auto"/>
                    </w:rPr>
                    <w:t>/</w:t>
                  </w:r>
                </w:p>
              </w:tc>
              <w:tc>
                <w:tcPr>
                  <w:tcW w:w="1044" w:type="dxa"/>
                  <w:vAlign w:val="center"/>
                </w:tcPr>
                <w:p>
                  <w:pPr>
                    <w:pStyle w:val="70"/>
                    <w:tabs>
                      <w:tab w:val="left" w:pos="2700"/>
                    </w:tabs>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Merge w:val="continue"/>
                  <w:vAlign w:val="center"/>
                </w:tcPr>
                <w:p>
                  <w:pPr>
                    <w:pStyle w:val="70"/>
                    <w:tabs>
                      <w:tab w:val="left" w:pos="2700"/>
                    </w:tabs>
                  </w:pPr>
                </w:p>
              </w:tc>
              <w:tc>
                <w:tcPr>
                  <w:tcW w:w="1016" w:type="dxa"/>
                  <w:vAlign w:val="center"/>
                </w:tcPr>
                <w:p>
                  <w:pPr>
                    <w:pStyle w:val="70"/>
                    <w:tabs>
                      <w:tab w:val="left" w:pos="2700"/>
                    </w:tabs>
                  </w:pPr>
                  <w:r>
                    <w:rPr>
                      <w:rFonts w:hint="eastAsia"/>
                    </w:rPr>
                    <w:t>氮氧化物</w:t>
                  </w:r>
                </w:p>
              </w:tc>
              <w:tc>
                <w:tcPr>
                  <w:tcW w:w="2211" w:type="dxa"/>
                  <w:vAlign w:val="center"/>
                </w:tcPr>
                <w:p>
                  <w:pPr>
                    <w:pStyle w:val="70"/>
                    <w:tabs>
                      <w:tab w:val="left" w:pos="2700"/>
                    </w:tabs>
                  </w:pPr>
                  <w:r>
                    <w:rPr>
                      <w:rFonts w:hint="eastAsia"/>
                    </w:rPr>
                    <w:t>3.03kg/万m</w:t>
                  </w:r>
                  <w:r>
                    <w:rPr>
                      <w:rFonts w:hint="eastAsia"/>
                      <w:vertAlign w:val="superscript"/>
                    </w:rPr>
                    <w:t>3</w:t>
                  </w:r>
                  <w:r>
                    <w:rPr>
                      <w:rFonts w:hint="eastAsia"/>
                    </w:rPr>
                    <w:t>-原料</w:t>
                  </w:r>
                </w:p>
              </w:tc>
              <w:tc>
                <w:tcPr>
                  <w:tcW w:w="1356" w:type="dxa"/>
                  <w:vAlign w:val="center"/>
                </w:tcPr>
                <w:p>
                  <w:pPr>
                    <w:pStyle w:val="70"/>
                    <w:tabs>
                      <w:tab w:val="left" w:pos="2700"/>
                    </w:tabs>
                    <w:ind w:firstLine="0" w:firstLineChars="0"/>
                  </w:pPr>
                  <w:r>
                    <w:rPr>
                      <w:rFonts w:hint="eastAsia"/>
                      <w:lang w:val="en-US" w:eastAsia="zh-CN"/>
                    </w:rPr>
                    <w:t>0.6817</w:t>
                  </w:r>
                  <w:r>
                    <w:rPr>
                      <w:rFonts w:hint="eastAsia"/>
                    </w:rPr>
                    <w:t>t/a</w:t>
                  </w:r>
                </w:p>
              </w:tc>
              <w:tc>
                <w:tcPr>
                  <w:tcW w:w="1300" w:type="dxa"/>
                  <w:vAlign w:val="center"/>
                </w:tcPr>
                <w:p>
                  <w:pPr>
                    <w:pStyle w:val="70"/>
                    <w:tabs>
                      <w:tab w:val="left" w:pos="2700"/>
                    </w:tabs>
                    <w:ind w:firstLine="0" w:firstLineChars="0"/>
                  </w:pPr>
                  <w:r>
                    <w:rPr>
                      <w:rFonts w:hint="eastAsia"/>
                      <w:lang w:val="en-US" w:eastAsia="zh-CN"/>
                    </w:rPr>
                    <w:t>28.12</w:t>
                  </w:r>
                  <w:r>
                    <w:rPr>
                      <w:rFonts w:hint="eastAsia"/>
                    </w:rPr>
                    <w:t>mg/m</w:t>
                  </w:r>
                  <w:r>
                    <w:rPr>
                      <w:rFonts w:hint="eastAsia"/>
                      <w:vertAlign w:val="superscript"/>
                    </w:rPr>
                    <w:t>3</w:t>
                  </w:r>
                </w:p>
              </w:tc>
              <w:tc>
                <w:tcPr>
                  <w:tcW w:w="1044" w:type="dxa"/>
                  <w:vAlign w:val="center"/>
                </w:tcPr>
                <w:p>
                  <w:pPr>
                    <w:pStyle w:val="70"/>
                    <w:tabs>
                      <w:tab w:val="left" w:pos="2700"/>
                    </w:tabs>
                  </w:pPr>
                  <w:r>
                    <w:rPr>
                      <w:rFonts w:hint="eastAsia"/>
                    </w:rPr>
                    <w:t>50mg/m</w:t>
                  </w:r>
                  <w:r>
                    <w:rPr>
                      <w:rFonts w:hint="eastAsia"/>
                      <w:vertAlign w:val="superscript"/>
                    </w:rPr>
                    <w:t>3</w:t>
                  </w:r>
                </w:p>
              </w:tc>
            </w:tr>
          </w:tbl>
          <w:p>
            <w:pPr>
              <w:pStyle w:val="4"/>
              <w:ind w:firstLine="640"/>
              <w:rPr>
                <w:rFonts w:hint="eastAsia"/>
                <w:kern w:val="0"/>
              </w:rPr>
            </w:pPr>
          </w:p>
        </w:tc>
      </w:tr>
    </w:tbl>
    <w:p>
      <w:pPr>
        <w:pStyle w:val="22"/>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eastAsia="黑体"/>
          <w:snapToGrid w:val="0"/>
          <w:sz w:val="30"/>
          <w:szCs w:val="30"/>
        </w:rPr>
        <w:t>四、主要环境影响和保护措施</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4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473" w:type="dxa"/>
            <w:tcMar>
              <w:left w:w="28" w:type="dxa"/>
              <w:right w:w="28" w:type="dxa"/>
            </w:tcMar>
            <w:vAlign w:val="center"/>
          </w:tcPr>
          <w:p>
            <w:pPr>
              <w:pStyle w:val="22"/>
              <w:adjustRightInd w:val="0"/>
              <w:snapToGrid w:val="0"/>
              <w:spacing w:before="0" w:beforeAutospacing="0" w:after="0" w:afterAutospacing="0"/>
              <w:ind w:firstLine="480"/>
              <w:jc w:val="center"/>
              <w:rPr>
                <w:rFonts w:ascii="Times New Roman" w:hAnsi="Times New Roman"/>
                <w:kern w:val="2"/>
                <w:szCs w:val="24"/>
              </w:rPr>
            </w:pPr>
            <w:r>
              <w:rPr>
                <w:rFonts w:ascii="Times New Roman" w:hAnsi="Times New Roman"/>
                <w:kern w:val="2"/>
                <w:szCs w:val="24"/>
              </w:rPr>
              <w:t>施工</w:t>
            </w:r>
          </w:p>
          <w:p>
            <w:pPr>
              <w:pStyle w:val="22"/>
              <w:adjustRightInd w:val="0"/>
              <w:snapToGrid w:val="0"/>
              <w:spacing w:before="0" w:beforeAutospacing="0" w:after="0" w:afterAutospacing="0"/>
              <w:ind w:firstLine="480"/>
              <w:jc w:val="center"/>
              <w:rPr>
                <w:rFonts w:ascii="Times New Roman" w:hAnsi="Times New Roman"/>
                <w:kern w:val="2"/>
                <w:szCs w:val="24"/>
              </w:rPr>
            </w:pPr>
            <w:r>
              <w:rPr>
                <w:rFonts w:ascii="Times New Roman" w:hAnsi="Times New Roman"/>
                <w:kern w:val="2"/>
                <w:szCs w:val="24"/>
              </w:rPr>
              <w:t>期环</w:t>
            </w:r>
          </w:p>
          <w:p>
            <w:pPr>
              <w:pStyle w:val="22"/>
              <w:adjustRightInd w:val="0"/>
              <w:snapToGrid w:val="0"/>
              <w:spacing w:before="0" w:beforeAutospacing="0" w:after="0" w:afterAutospacing="0"/>
              <w:ind w:firstLine="480"/>
              <w:jc w:val="center"/>
              <w:rPr>
                <w:rFonts w:ascii="Times New Roman" w:hAnsi="Times New Roman"/>
                <w:kern w:val="2"/>
                <w:szCs w:val="24"/>
              </w:rPr>
            </w:pPr>
            <w:r>
              <w:rPr>
                <w:rFonts w:ascii="Times New Roman" w:hAnsi="Times New Roman"/>
                <w:kern w:val="2"/>
                <w:szCs w:val="24"/>
              </w:rPr>
              <w:t>境保</w:t>
            </w:r>
          </w:p>
          <w:p>
            <w:pPr>
              <w:pStyle w:val="22"/>
              <w:adjustRightInd w:val="0"/>
              <w:snapToGrid w:val="0"/>
              <w:spacing w:before="0" w:beforeAutospacing="0" w:after="0" w:afterAutospacing="0"/>
              <w:ind w:firstLine="480"/>
              <w:jc w:val="center"/>
              <w:rPr>
                <w:rFonts w:ascii="Times New Roman" w:hAnsi="Times New Roman"/>
                <w:kern w:val="2"/>
                <w:szCs w:val="24"/>
              </w:rPr>
            </w:pPr>
            <w:r>
              <w:rPr>
                <w:rFonts w:ascii="Times New Roman" w:hAnsi="Times New Roman"/>
                <w:kern w:val="2"/>
                <w:szCs w:val="24"/>
              </w:rPr>
              <w:t>护措</w:t>
            </w:r>
          </w:p>
          <w:p>
            <w:pPr>
              <w:pStyle w:val="22"/>
              <w:adjustRightInd w:val="0"/>
              <w:snapToGrid w:val="0"/>
              <w:spacing w:before="0" w:beforeAutospacing="0" w:after="0" w:afterAutospacing="0"/>
              <w:ind w:firstLine="480"/>
              <w:jc w:val="center"/>
              <w:rPr>
                <w:rFonts w:ascii="Times New Roman" w:hAnsi="Times New Roman"/>
                <w:bCs/>
                <w:kern w:val="2"/>
                <w:sz w:val="21"/>
                <w:szCs w:val="21"/>
              </w:rPr>
            </w:pPr>
            <w:r>
              <w:rPr>
                <w:rFonts w:ascii="Times New Roman" w:hAnsi="Times New Roman"/>
                <w:kern w:val="2"/>
                <w:szCs w:val="24"/>
              </w:rPr>
              <w:t>施</w:t>
            </w:r>
          </w:p>
        </w:tc>
        <w:tc>
          <w:tcPr>
            <w:tcW w:w="8348" w:type="dxa"/>
          </w:tcPr>
          <w:p>
            <w:pPr>
              <w:ind w:firstLine="482"/>
              <w:rPr>
                <w:b/>
                <w:snapToGrid w:val="0"/>
                <w:kern w:val="0"/>
                <w:szCs w:val="24"/>
              </w:rPr>
            </w:pPr>
            <w:r>
              <w:rPr>
                <w:b/>
                <w:snapToGrid w:val="0"/>
                <w:kern w:val="0"/>
                <w:szCs w:val="24"/>
              </w:rPr>
              <w:t>4.1施工期环境影响分析</w:t>
            </w:r>
          </w:p>
          <w:p>
            <w:pPr>
              <w:keepNext/>
              <w:keepLines/>
              <w:ind w:firstLine="482"/>
              <w:outlineLvl w:val="2"/>
              <w:rPr>
                <w:b/>
                <w:bCs/>
                <w:snapToGrid w:val="0"/>
                <w:kern w:val="0"/>
                <w:szCs w:val="24"/>
              </w:rPr>
            </w:pPr>
            <w:bookmarkStart w:id="7" w:name="_Toc417384593"/>
            <w:bookmarkStart w:id="8" w:name="_Toc417384481"/>
            <w:r>
              <w:rPr>
                <w:b/>
                <w:bCs/>
                <w:snapToGrid w:val="0"/>
                <w:kern w:val="0"/>
                <w:szCs w:val="24"/>
              </w:rPr>
              <w:t>4.1.1水环境影响分析</w:t>
            </w:r>
            <w:bookmarkEnd w:id="7"/>
            <w:bookmarkEnd w:id="8"/>
          </w:p>
          <w:p>
            <w:pPr>
              <w:ind w:firstLine="0" w:firstLineChars="0"/>
              <w:rPr>
                <w:spacing w:val="-1"/>
              </w:rPr>
            </w:pPr>
            <w:r>
              <w:rPr>
                <w:snapToGrid w:val="0"/>
                <w:kern w:val="0"/>
                <w:szCs w:val="24"/>
              </w:rPr>
              <w:t>本工程施工期的污水主要为混凝土养护废水和施工营地生活污水，施工期施工人员生活污水经新建防渗化粪池收集后，</w:t>
            </w:r>
            <w:r>
              <w:rPr>
                <w:snapToGrid w:val="0"/>
                <w:color w:val="000000"/>
                <w:szCs w:val="24"/>
              </w:rPr>
              <w:t>经</w:t>
            </w:r>
            <w:r>
              <w:rPr>
                <w:rFonts w:hint="eastAsia"/>
                <w:snapToGrid w:val="0"/>
                <w:color w:val="000000"/>
                <w:szCs w:val="24"/>
              </w:rPr>
              <w:t>园区</w:t>
            </w:r>
            <w:r>
              <w:rPr>
                <w:snapToGrid w:val="0"/>
                <w:color w:val="000000"/>
                <w:szCs w:val="24"/>
              </w:rPr>
              <w:t>污水管网排入和静县污水处理厂处理</w:t>
            </w:r>
            <w:r>
              <w:rPr>
                <w:snapToGrid w:val="0"/>
                <w:kern w:val="0"/>
                <w:szCs w:val="24"/>
              </w:rPr>
              <w:t>。在施工场地内设置废水沉淀池，将养护废水集中收集排入沉淀池，经沉淀处理后上清液进行回用，无外排水废水。沉渣定期人工清理，与工程弃料一并处理。</w:t>
            </w:r>
            <w:r>
              <w:rPr>
                <w:rFonts w:ascii="宋体" w:hAnsi="宋体" w:cs="宋体"/>
              </w:rPr>
              <w:t>本项目不设临时生活区，施工生活污水依托周边现有污水处理设施处理，对周围水环境产生影响较小。</w:t>
            </w:r>
          </w:p>
          <w:p>
            <w:pPr>
              <w:ind w:firstLine="476"/>
              <w:rPr>
                <w:snapToGrid w:val="0"/>
                <w:kern w:val="0"/>
                <w:szCs w:val="24"/>
              </w:rPr>
            </w:pPr>
            <w:r>
              <w:rPr>
                <w:spacing w:val="-1"/>
              </w:rPr>
              <w:t>综上所述，本项目施工期产生的废水对区域水环境影响很小。</w:t>
            </w:r>
          </w:p>
          <w:p>
            <w:pPr>
              <w:keepNext/>
              <w:keepLines/>
              <w:ind w:firstLine="482"/>
              <w:outlineLvl w:val="2"/>
              <w:rPr>
                <w:b/>
                <w:bCs/>
                <w:snapToGrid w:val="0"/>
                <w:kern w:val="0"/>
                <w:szCs w:val="24"/>
              </w:rPr>
            </w:pPr>
            <w:bookmarkStart w:id="9" w:name="_Toc417384594"/>
            <w:bookmarkStart w:id="10" w:name="_Toc417384482"/>
            <w:r>
              <w:rPr>
                <w:b/>
                <w:bCs/>
                <w:snapToGrid w:val="0"/>
                <w:kern w:val="0"/>
                <w:szCs w:val="24"/>
              </w:rPr>
              <w:t>4.1.2环境空气影响分析</w:t>
            </w:r>
            <w:bookmarkEnd w:id="9"/>
            <w:bookmarkEnd w:id="10"/>
          </w:p>
          <w:p>
            <w:pPr>
              <w:keepNext/>
              <w:keepLines/>
              <w:ind w:firstLine="480"/>
              <w:outlineLvl w:val="2"/>
              <w:rPr>
                <w:rFonts w:hint="eastAsia" w:ascii="宋体" w:hAnsi="宋体" w:cs="宋体"/>
                <w:snapToGrid w:val="0"/>
                <w:color w:val="000000"/>
                <w:kern w:val="0"/>
                <w:lang w:bidi="ar"/>
              </w:rPr>
            </w:pPr>
            <w:r>
              <w:rPr>
                <w:rFonts w:hint="eastAsia" w:ascii="宋体" w:hAnsi="宋体" w:cs="宋体"/>
                <w:snapToGrid w:val="0"/>
                <w:color w:val="000000"/>
                <w:kern w:val="0"/>
                <w:lang w:bidi="ar"/>
              </w:rPr>
              <w:t>施工阶段，对环境空气的影响主要有：装修产生的扬尘、设备运输车辆排放的废气。在工程施工期间，使用液体燃料的施工机械及运输车辆的发动机排放的尾气中含有</w:t>
            </w:r>
            <w:r>
              <w:rPr>
                <w:snapToGrid w:val="0"/>
                <w:color w:val="000000"/>
                <w:kern w:val="0"/>
                <w:lang w:bidi="ar"/>
              </w:rPr>
              <w:t>NO</w:t>
            </w:r>
            <w:r>
              <w:rPr>
                <w:snapToGrid w:val="0"/>
                <w:color w:val="000000"/>
                <w:kern w:val="0"/>
                <w:sz w:val="15"/>
                <w:szCs w:val="15"/>
                <w:lang w:bidi="ar"/>
              </w:rPr>
              <w:t>2</w:t>
            </w:r>
            <w:r>
              <w:rPr>
                <w:rFonts w:hint="eastAsia" w:ascii="宋体" w:hAnsi="宋体" w:cs="宋体"/>
                <w:snapToGrid w:val="0"/>
                <w:color w:val="000000"/>
                <w:kern w:val="0"/>
                <w:lang w:bidi="ar"/>
              </w:rPr>
              <w:t>、</w:t>
            </w:r>
            <w:r>
              <w:rPr>
                <w:snapToGrid w:val="0"/>
                <w:color w:val="000000"/>
                <w:kern w:val="0"/>
                <w:lang w:bidi="ar"/>
              </w:rPr>
              <w:t>CO</w:t>
            </w:r>
            <w:r>
              <w:rPr>
                <w:rFonts w:hint="eastAsia" w:ascii="宋体" w:hAnsi="宋体" w:cs="宋体"/>
                <w:snapToGrid w:val="0"/>
                <w:color w:val="000000"/>
                <w:kern w:val="0"/>
                <w:lang w:bidi="ar"/>
              </w:rPr>
              <w:t>、</w:t>
            </w:r>
            <w:r>
              <w:rPr>
                <w:snapToGrid w:val="0"/>
                <w:color w:val="000000"/>
                <w:kern w:val="0"/>
                <w:lang w:bidi="ar"/>
              </w:rPr>
              <w:t>THC</w:t>
            </w:r>
            <w:r>
              <w:rPr>
                <w:rFonts w:hint="eastAsia" w:ascii="宋体" w:hAnsi="宋体" w:cs="宋体"/>
                <w:snapToGrid w:val="0"/>
                <w:color w:val="000000"/>
                <w:kern w:val="0"/>
                <w:lang w:bidi="ar"/>
              </w:rPr>
              <w:t>等污染物，一般情况下，各种污染物的排放量不大，对周围环境的影响较小。</w:t>
            </w:r>
          </w:p>
          <w:p>
            <w:pPr>
              <w:keepNext/>
              <w:keepLines/>
              <w:ind w:firstLine="482"/>
              <w:outlineLvl w:val="2"/>
              <w:rPr>
                <w:b/>
                <w:bCs/>
                <w:snapToGrid w:val="0"/>
                <w:kern w:val="0"/>
                <w:szCs w:val="24"/>
              </w:rPr>
            </w:pPr>
            <w:bookmarkStart w:id="11" w:name="_Toc417384483"/>
            <w:bookmarkStart w:id="12" w:name="_Toc417384595"/>
            <w:r>
              <w:rPr>
                <w:b/>
                <w:bCs/>
                <w:snapToGrid w:val="0"/>
                <w:kern w:val="0"/>
                <w:szCs w:val="24"/>
              </w:rPr>
              <w:t>4.1.3施工噪声环境影响分析</w:t>
            </w:r>
            <w:bookmarkEnd w:id="11"/>
            <w:bookmarkEnd w:id="12"/>
          </w:p>
          <w:p>
            <w:pPr>
              <w:widowControl/>
              <w:ind w:firstLine="480"/>
            </w:pPr>
            <w:r>
              <w:t>施工噪声主要是各类机械设备噪声及运输的交通噪声。施工设备主要有挖掘机、推土机、打夯机以及物料运输车辆，噪声源强在75～90dB（A），随着施工期的结束，施工期噪声污染随之消失。</w:t>
            </w:r>
          </w:p>
          <w:p>
            <w:pPr>
              <w:adjustRightInd w:val="0"/>
              <w:snapToGrid w:val="0"/>
              <w:ind w:firstLine="480"/>
            </w:pPr>
            <w:r>
              <w:t>（1）合理安排施工时间，应尽可能避免大量高噪声设备同时施工，</w:t>
            </w:r>
            <w:r>
              <w:rPr>
                <w:rFonts w:hint="eastAsia"/>
                <w:lang w:val="en-US" w:eastAsia="zh-CN"/>
              </w:rPr>
              <w:t>除</w:t>
            </w:r>
            <w:r>
              <w:t>此之外，使用高噪声设备的施工阶段应尽量安排在白天，夜间不施工</w:t>
            </w:r>
            <w:r>
              <w:rPr>
                <w:rFonts w:hint="eastAsia"/>
              </w:rPr>
              <w:t>；</w:t>
            </w:r>
          </w:p>
          <w:p>
            <w:pPr>
              <w:adjustRightInd w:val="0"/>
              <w:snapToGrid w:val="0"/>
              <w:ind w:firstLine="480"/>
            </w:pPr>
            <w:r>
              <w:t>（2）合理布置施工现场，应避免在施工现场的同一地点安排大量的高噪声设备，造成局部声级过高</w:t>
            </w:r>
            <w:r>
              <w:rPr>
                <w:rFonts w:hint="eastAsia"/>
              </w:rPr>
              <w:t>；</w:t>
            </w:r>
          </w:p>
          <w:p>
            <w:pPr>
              <w:adjustRightInd w:val="0"/>
              <w:snapToGrid w:val="0"/>
              <w:ind w:firstLine="480"/>
            </w:pPr>
            <w:r>
              <w:t>（3）施工设备选型时尽量采用低噪声设备，如振捣器采用高频振捣器等；</w:t>
            </w:r>
          </w:p>
          <w:p>
            <w:pPr>
              <w:adjustRightInd w:val="0"/>
              <w:snapToGrid w:val="0"/>
              <w:ind w:firstLine="480"/>
            </w:pPr>
            <w:r>
              <w:t>（4）对动力机械设备定期进行维修和养护，避免因松动部件振动或消声器损坏而加大设备工作时的声级；</w:t>
            </w:r>
          </w:p>
          <w:p>
            <w:pPr>
              <w:adjustRightInd w:val="0"/>
              <w:snapToGrid w:val="0"/>
              <w:ind w:firstLine="480"/>
            </w:pPr>
            <w:r>
              <w:t>（5）模板、支架拆卸过程中，遵守作业规定，减少碰撞噪音；尽量少用哨子、喇叭、笛等指挥作业，减少人为噪声；</w:t>
            </w:r>
          </w:p>
          <w:p>
            <w:pPr>
              <w:ind w:firstLine="480"/>
              <w:rPr>
                <w:snapToGrid w:val="0"/>
                <w:kern w:val="0"/>
                <w:szCs w:val="24"/>
              </w:rPr>
            </w:pPr>
            <w:r>
              <w:t>（6）尽量减少运输车辆夜间的运输量，运输车辆在进入施工区附近区域后，要适当降低车速，避免或杜绝鸣笛。</w:t>
            </w:r>
          </w:p>
          <w:p>
            <w:pPr>
              <w:keepNext/>
              <w:keepLines/>
              <w:ind w:firstLine="482"/>
              <w:outlineLvl w:val="2"/>
              <w:rPr>
                <w:b/>
                <w:bCs/>
                <w:snapToGrid w:val="0"/>
                <w:kern w:val="0"/>
                <w:szCs w:val="24"/>
              </w:rPr>
            </w:pPr>
            <w:bookmarkStart w:id="13" w:name="_Toc417384484"/>
            <w:bookmarkStart w:id="14" w:name="_Toc417384596"/>
            <w:r>
              <w:rPr>
                <w:b/>
                <w:bCs/>
                <w:snapToGrid w:val="0"/>
                <w:kern w:val="0"/>
                <w:szCs w:val="24"/>
              </w:rPr>
              <w:t>4.1.4固体废物影响分析</w:t>
            </w:r>
            <w:bookmarkEnd w:id="13"/>
            <w:bookmarkEnd w:id="14"/>
          </w:p>
          <w:p>
            <w:pPr>
              <w:ind w:firstLine="480"/>
            </w:pPr>
            <w:r>
              <w:rPr>
                <w:rFonts w:hint="eastAsia"/>
              </w:rPr>
              <w:t>施工期产生的固体废物主要为建筑垃圾与施工人员的生活垃圾，生活垃圾收集后送至附近垃圾暂存点，最终由环卫部门统一处理；建筑垃圾送往建筑垃圾暂存处，统一定期清运至城建部门指定地点处理。采取以上措施后，施工期固体废物可得到妥善处置，不会对周围环境产生明显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dxa"/>
            <w:tcMar>
              <w:left w:w="28" w:type="dxa"/>
              <w:right w:w="28" w:type="dxa"/>
            </w:tcMar>
            <w:vAlign w:val="center"/>
          </w:tcPr>
          <w:p>
            <w:pPr>
              <w:adjustRightInd w:val="0"/>
              <w:snapToGrid w:val="0"/>
              <w:ind w:firstLine="480"/>
              <w:jc w:val="center"/>
              <w:rPr>
                <w:bCs/>
              </w:rPr>
            </w:pPr>
            <w:r>
              <w:rPr>
                <w:bCs/>
              </w:rPr>
              <w:t>运营</w:t>
            </w:r>
          </w:p>
          <w:p>
            <w:pPr>
              <w:adjustRightInd w:val="0"/>
              <w:snapToGrid w:val="0"/>
              <w:ind w:firstLine="480"/>
              <w:jc w:val="center"/>
              <w:rPr>
                <w:bCs/>
              </w:rPr>
            </w:pPr>
            <w:r>
              <w:rPr>
                <w:bCs/>
              </w:rPr>
              <w:t>期环</w:t>
            </w:r>
          </w:p>
          <w:p>
            <w:pPr>
              <w:adjustRightInd w:val="0"/>
              <w:snapToGrid w:val="0"/>
              <w:ind w:firstLine="480"/>
              <w:jc w:val="center"/>
              <w:rPr>
                <w:bCs/>
              </w:rPr>
            </w:pPr>
            <w:r>
              <w:rPr>
                <w:bCs/>
              </w:rPr>
              <w:t>境影</w:t>
            </w:r>
          </w:p>
          <w:p>
            <w:pPr>
              <w:adjustRightInd w:val="0"/>
              <w:snapToGrid w:val="0"/>
              <w:ind w:firstLine="480"/>
              <w:jc w:val="center"/>
              <w:rPr>
                <w:bCs/>
              </w:rPr>
            </w:pPr>
            <w:r>
              <w:rPr>
                <w:bCs/>
              </w:rPr>
              <w:t>响和</w:t>
            </w:r>
          </w:p>
          <w:p>
            <w:pPr>
              <w:adjustRightInd w:val="0"/>
              <w:snapToGrid w:val="0"/>
              <w:ind w:firstLine="480"/>
              <w:jc w:val="center"/>
              <w:rPr>
                <w:bCs/>
              </w:rPr>
            </w:pPr>
            <w:r>
              <w:rPr>
                <w:bCs/>
              </w:rPr>
              <w:t>保护</w:t>
            </w:r>
          </w:p>
          <w:p>
            <w:pPr>
              <w:adjustRightInd w:val="0"/>
              <w:snapToGrid w:val="0"/>
              <w:ind w:firstLine="480"/>
              <w:jc w:val="center"/>
              <w:rPr>
                <w:bCs/>
              </w:rPr>
            </w:pPr>
            <w:r>
              <w:rPr>
                <w:bCs/>
              </w:rPr>
              <w:t>措施</w:t>
            </w:r>
          </w:p>
        </w:tc>
        <w:tc>
          <w:tcPr>
            <w:tcW w:w="8348" w:type="dxa"/>
            <w:vAlign w:val="center"/>
          </w:tcPr>
          <w:p>
            <w:pPr>
              <w:ind w:firstLine="482"/>
              <w:rPr>
                <w:b/>
                <w:snapToGrid w:val="0"/>
                <w:kern w:val="0"/>
                <w:szCs w:val="24"/>
              </w:rPr>
            </w:pPr>
            <w:r>
              <w:rPr>
                <w:b/>
                <w:snapToGrid w:val="0"/>
                <w:kern w:val="0"/>
                <w:szCs w:val="24"/>
              </w:rPr>
              <w:t>4.2运营期环境影响分析</w:t>
            </w:r>
          </w:p>
          <w:p>
            <w:pPr>
              <w:pStyle w:val="24"/>
              <w:ind w:firstLine="482"/>
            </w:pPr>
            <w:r>
              <w:t>4.2.1</w:t>
            </w:r>
            <w:r>
              <w:rPr>
                <w:rFonts w:hint="eastAsia"/>
              </w:rPr>
              <w:t>废气影响分析</w:t>
            </w:r>
          </w:p>
          <w:p>
            <w:pPr>
              <w:ind w:firstLine="480"/>
            </w:pPr>
            <w:r>
              <w:t>本项目新建1台3t/h燃气锅炉，</w:t>
            </w:r>
            <w:r>
              <w:rPr>
                <w:color w:val="auto"/>
              </w:rPr>
              <w:t>年工作</w:t>
            </w:r>
            <w:r>
              <w:rPr>
                <w:rFonts w:hint="eastAsia"/>
                <w:color w:val="auto"/>
                <w:lang w:val="en-US" w:eastAsia="zh-CN"/>
              </w:rPr>
              <w:t>7200</w:t>
            </w:r>
            <w:r>
              <w:rPr>
                <w:color w:val="auto"/>
              </w:rPr>
              <w:t>h，按照满负荷计算，3t/h燃气锅炉总耗气量为225万m</w:t>
            </w:r>
            <w:r>
              <w:rPr>
                <w:color w:val="auto"/>
                <w:vertAlign w:val="superscript"/>
              </w:rPr>
              <w:t>3</w:t>
            </w:r>
            <w:r>
              <w:rPr>
                <w:color w:val="auto"/>
              </w:rPr>
              <w:t>/a</w:t>
            </w:r>
            <w:r>
              <w:rPr>
                <w:rFonts w:hint="eastAsia"/>
                <w:color w:val="auto"/>
              </w:rPr>
              <w:t>。</w:t>
            </w:r>
            <w:r>
              <w:rPr>
                <w:rFonts w:hint="eastAsia"/>
                <w:lang w:val="en-US" w:eastAsia="zh-CN"/>
              </w:rPr>
              <w:t>燃气锅炉采用清洁天然气，低氮燃烧，污染物主要为颗粒物、二氧化硫、氮氧化物。</w:t>
            </w:r>
            <w:r>
              <w:rPr>
                <w:rFonts w:hint="eastAsia"/>
                <w:lang w:val="en-GB"/>
              </w:rPr>
              <w:t>根据《污染源源强核算技术指南 锅炉》</w:t>
            </w:r>
            <w:r>
              <w:rPr>
                <w:rFonts w:hint="eastAsia"/>
                <w:lang w:val="en-GB" w:eastAsia="zh-CN"/>
              </w:rPr>
              <w:t>（</w:t>
            </w:r>
            <w:r>
              <w:rPr>
                <w:rFonts w:hint="eastAsia"/>
                <w:lang w:val="en-GB"/>
              </w:rPr>
              <w:t>HJ991-2018</w:t>
            </w:r>
            <w:r>
              <w:rPr>
                <w:rFonts w:hint="eastAsia"/>
                <w:lang w:val="en-GB" w:eastAsia="zh-CN"/>
              </w:rPr>
              <w:t>）</w:t>
            </w:r>
            <w:r>
              <w:rPr>
                <w:rFonts w:hint="eastAsia"/>
                <w:lang w:val="en-US" w:eastAsia="zh-CN"/>
              </w:rPr>
              <w:t>中产排污系数法</w:t>
            </w:r>
            <w:r>
              <w:rPr>
                <w:rFonts w:hint="eastAsia"/>
                <w:lang w:val="en-GB"/>
              </w:rPr>
              <w:t>核算污染源强</w:t>
            </w:r>
            <w:r>
              <w:rPr>
                <w:rFonts w:hint="eastAsia"/>
                <w:lang w:val="en-US" w:eastAsia="zh-CN"/>
              </w:rPr>
              <w:t>。废气量、二氧化硫、氮氧化物产污</w:t>
            </w:r>
            <w:r>
              <w:rPr>
                <w:rFonts w:hint="default"/>
              </w:rPr>
              <w:t>系数参照《排放源统计调查产排污核算方法和系数手册》</w:t>
            </w:r>
            <w:r>
              <w:rPr>
                <w:rFonts w:hint="eastAsia"/>
                <w:lang w:val="en-US" w:eastAsia="zh-CN"/>
              </w:rPr>
              <w:t>—</w:t>
            </w:r>
            <w:r>
              <w:rPr>
                <w:rFonts w:hint="default"/>
                <w:lang w:val="en-US" w:eastAsia="zh-CN"/>
              </w:rPr>
              <w:t>锅炉产排污量核算系数手册</w:t>
            </w:r>
            <w:r>
              <w:rPr>
                <w:rFonts w:hint="eastAsia"/>
                <w:lang w:val="en-US" w:eastAsia="zh-CN"/>
              </w:rPr>
              <w:t>。</w:t>
            </w:r>
            <w:r>
              <w:rPr>
                <w:rFonts w:hint="default"/>
                <w:lang w:eastAsia="zh-CN"/>
              </w:rPr>
              <w:t>颗粒物</w:t>
            </w:r>
            <w:r>
              <w:rPr>
                <w:rFonts w:hint="eastAsia"/>
                <w:lang w:val="en-US" w:eastAsia="zh-CN"/>
              </w:rPr>
              <w:t>产污系数参照</w:t>
            </w:r>
            <w:r>
              <w:rPr>
                <w:rFonts w:hint="eastAsia"/>
                <w:lang w:eastAsia="zh-CN"/>
              </w:rPr>
              <w:t>《</w:t>
            </w:r>
            <w:r>
              <w:rPr>
                <w:rFonts w:hint="default"/>
                <w:lang w:eastAsia="zh-CN"/>
              </w:rPr>
              <w:t>排放源统计调查产排污核算方法和系数手册》</w:t>
            </w:r>
            <w:r>
              <w:rPr>
                <w:rFonts w:hint="eastAsia"/>
                <w:lang w:eastAsia="zh-CN"/>
              </w:rPr>
              <w:t>—</w:t>
            </w:r>
            <w:r>
              <w:rPr>
                <w:rFonts w:hint="default"/>
                <w:lang w:eastAsia="zh-CN"/>
              </w:rPr>
              <w:t>生活污染源产排污系数手册</w:t>
            </w:r>
            <w:r>
              <w:rPr>
                <w:rFonts w:hint="eastAsia"/>
                <w:lang w:eastAsia="zh-CN"/>
              </w:rPr>
              <w:t>。</w:t>
            </w:r>
          </w:p>
          <w:p>
            <w:pPr>
              <w:pStyle w:val="65"/>
            </w:pPr>
            <w:r>
              <w:t>表</w:t>
            </w:r>
            <w:r>
              <w:rPr>
                <w:rFonts w:hint="eastAsia"/>
              </w:rPr>
              <w:t>4-2-1</w:t>
            </w:r>
            <w:r>
              <w:t xml:space="preserve"> </w:t>
            </w:r>
            <w:r>
              <w:rPr>
                <w:rFonts w:hint="eastAsia"/>
              </w:rPr>
              <w:t xml:space="preserve">  锅炉污染物排放</w:t>
            </w:r>
            <w:r>
              <w:t>情况</w:t>
            </w:r>
            <w:r>
              <w:rPr>
                <w:rFonts w:hint="eastAsia"/>
              </w:rPr>
              <w:t>表</w:t>
            </w:r>
          </w:p>
          <w:tbl>
            <w:tblPr>
              <w:tblStyle w:val="27"/>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65"/>
              <w:gridCol w:w="2310"/>
              <w:gridCol w:w="1515"/>
              <w:gridCol w:w="1365"/>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dxa"/>
                  <w:vAlign w:val="center"/>
                </w:tcPr>
                <w:p>
                  <w:pPr>
                    <w:pStyle w:val="70"/>
                    <w:tabs>
                      <w:tab w:val="left" w:pos="2700"/>
                    </w:tabs>
                  </w:pPr>
                  <w:r>
                    <w:rPr>
                      <w:rFonts w:hint="eastAsia"/>
                    </w:rPr>
                    <w:t>排放源</w:t>
                  </w:r>
                </w:p>
              </w:tc>
              <w:tc>
                <w:tcPr>
                  <w:tcW w:w="1065" w:type="dxa"/>
                  <w:vAlign w:val="center"/>
                </w:tcPr>
                <w:p>
                  <w:pPr>
                    <w:pStyle w:val="70"/>
                    <w:tabs>
                      <w:tab w:val="left" w:pos="2700"/>
                    </w:tabs>
                  </w:pPr>
                  <w:r>
                    <w:rPr>
                      <w:rFonts w:hint="eastAsia"/>
                    </w:rPr>
                    <w:t>污染物</w:t>
                  </w:r>
                </w:p>
              </w:tc>
              <w:tc>
                <w:tcPr>
                  <w:tcW w:w="2310" w:type="dxa"/>
                  <w:vAlign w:val="center"/>
                </w:tcPr>
                <w:p>
                  <w:pPr>
                    <w:pStyle w:val="70"/>
                    <w:tabs>
                      <w:tab w:val="left" w:pos="2700"/>
                    </w:tabs>
                  </w:pPr>
                  <w:r>
                    <w:rPr>
                      <w:rFonts w:hint="eastAsia"/>
                    </w:rPr>
                    <w:t>产污系数</w:t>
                  </w:r>
                </w:p>
              </w:tc>
              <w:tc>
                <w:tcPr>
                  <w:tcW w:w="1515" w:type="dxa"/>
                  <w:vAlign w:val="center"/>
                </w:tcPr>
                <w:p>
                  <w:pPr>
                    <w:pStyle w:val="70"/>
                    <w:tabs>
                      <w:tab w:val="left" w:pos="2700"/>
                    </w:tabs>
                  </w:pPr>
                  <w:r>
                    <w:rPr>
                      <w:rFonts w:hint="eastAsia"/>
                    </w:rPr>
                    <w:t>排放量</w:t>
                  </w:r>
                </w:p>
              </w:tc>
              <w:tc>
                <w:tcPr>
                  <w:tcW w:w="1365" w:type="dxa"/>
                  <w:vAlign w:val="center"/>
                </w:tcPr>
                <w:p>
                  <w:pPr>
                    <w:pStyle w:val="70"/>
                    <w:tabs>
                      <w:tab w:val="left" w:pos="2700"/>
                    </w:tabs>
                  </w:pPr>
                  <w:r>
                    <w:rPr>
                      <w:rFonts w:hint="eastAsia"/>
                    </w:rPr>
                    <w:t>排放浓度</w:t>
                  </w:r>
                </w:p>
              </w:tc>
              <w:tc>
                <w:tcPr>
                  <w:tcW w:w="1108" w:type="dxa"/>
                  <w:vAlign w:val="center"/>
                </w:tcPr>
                <w:p>
                  <w:pPr>
                    <w:pStyle w:val="70"/>
                    <w:tabs>
                      <w:tab w:val="left" w:pos="2700"/>
                    </w:tabs>
                  </w:pPr>
                  <w:r>
                    <w:rPr>
                      <w:rFonts w:hint="eastAsia"/>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dxa"/>
                  <w:vMerge w:val="restart"/>
                  <w:vAlign w:val="center"/>
                </w:tcPr>
                <w:p>
                  <w:pPr>
                    <w:pStyle w:val="70"/>
                    <w:tabs>
                      <w:tab w:val="left" w:pos="2700"/>
                    </w:tabs>
                  </w:pPr>
                  <w:r>
                    <w:rPr>
                      <w:rFonts w:hint="eastAsia"/>
                    </w:rPr>
                    <w:t>1#锅炉排气筒（DA001）</w:t>
                  </w:r>
                </w:p>
              </w:tc>
              <w:tc>
                <w:tcPr>
                  <w:tcW w:w="1065" w:type="dxa"/>
                  <w:vAlign w:val="center"/>
                </w:tcPr>
                <w:p>
                  <w:pPr>
                    <w:pStyle w:val="70"/>
                    <w:tabs>
                      <w:tab w:val="left" w:pos="2700"/>
                    </w:tabs>
                    <w:rPr>
                      <w:color w:val="auto"/>
                    </w:rPr>
                  </w:pPr>
                  <w:r>
                    <w:rPr>
                      <w:rFonts w:hint="eastAsia"/>
                      <w:color w:val="auto"/>
                    </w:rPr>
                    <w:t>烟气量</w:t>
                  </w:r>
                </w:p>
              </w:tc>
              <w:tc>
                <w:tcPr>
                  <w:tcW w:w="2310" w:type="dxa"/>
                  <w:vAlign w:val="center"/>
                </w:tcPr>
                <w:p>
                  <w:pPr>
                    <w:pStyle w:val="70"/>
                    <w:tabs>
                      <w:tab w:val="left" w:pos="2700"/>
                    </w:tabs>
                    <w:rPr>
                      <w:color w:val="auto"/>
                    </w:rPr>
                  </w:pPr>
                  <w:r>
                    <w:rPr>
                      <w:rFonts w:hint="eastAsia"/>
                      <w:color w:val="auto"/>
                    </w:rPr>
                    <w:t>107753Nm</w:t>
                  </w:r>
                  <w:r>
                    <w:rPr>
                      <w:rFonts w:hint="eastAsia"/>
                      <w:color w:val="auto"/>
                      <w:vertAlign w:val="superscript"/>
                    </w:rPr>
                    <w:t>3</w:t>
                  </w:r>
                  <w:r>
                    <w:rPr>
                      <w:rFonts w:hint="eastAsia"/>
                      <w:color w:val="auto"/>
                    </w:rPr>
                    <w:t>/万m</w:t>
                  </w:r>
                  <w:r>
                    <w:rPr>
                      <w:rFonts w:hint="eastAsia"/>
                      <w:color w:val="auto"/>
                      <w:vertAlign w:val="superscript"/>
                    </w:rPr>
                    <w:t>3</w:t>
                  </w:r>
                  <w:r>
                    <w:rPr>
                      <w:rFonts w:hint="eastAsia"/>
                      <w:color w:val="auto"/>
                    </w:rPr>
                    <w:t>-原料</w:t>
                  </w:r>
                </w:p>
              </w:tc>
              <w:tc>
                <w:tcPr>
                  <w:tcW w:w="1515" w:type="dxa"/>
                  <w:vAlign w:val="center"/>
                </w:tcPr>
                <w:p>
                  <w:pPr>
                    <w:pStyle w:val="70"/>
                    <w:tabs>
                      <w:tab w:val="left" w:pos="2700"/>
                    </w:tabs>
                    <w:rPr>
                      <w:color w:val="auto"/>
                    </w:rPr>
                  </w:pPr>
                  <w:r>
                    <w:rPr>
                      <w:rFonts w:hint="eastAsia"/>
                      <w:color w:val="auto"/>
                    </w:rPr>
                    <w:t>2424.</w:t>
                  </w:r>
                  <w:r>
                    <w:rPr>
                      <w:rFonts w:hint="eastAsia"/>
                      <w:color w:val="auto"/>
                      <w:lang w:val="en-US" w:eastAsia="zh-CN"/>
                    </w:rPr>
                    <w:t>44</w:t>
                  </w:r>
                  <w:r>
                    <w:rPr>
                      <w:rFonts w:hint="eastAsia"/>
                      <w:color w:val="auto"/>
                    </w:rPr>
                    <w:t>万Nm</w:t>
                  </w:r>
                  <w:r>
                    <w:rPr>
                      <w:rFonts w:hint="eastAsia"/>
                      <w:color w:val="auto"/>
                      <w:vertAlign w:val="superscript"/>
                    </w:rPr>
                    <w:t>3</w:t>
                  </w:r>
                </w:p>
              </w:tc>
              <w:tc>
                <w:tcPr>
                  <w:tcW w:w="1365" w:type="dxa"/>
                  <w:vAlign w:val="center"/>
                </w:tcPr>
                <w:p>
                  <w:pPr>
                    <w:pStyle w:val="70"/>
                    <w:tabs>
                      <w:tab w:val="left" w:pos="2700"/>
                    </w:tabs>
                    <w:rPr>
                      <w:color w:val="auto"/>
                    </w:rPr>
                  </w:pPr>
                  <w:r>
                    <w:rPr>
                      <w:rFonts w:hint="eastAsia"/>
                      <w:color w:val="auto"/>
                    </w:rPr>
                    <w:t>/</w:t>
                  </w:r>
                </w:p>
              </w:tc>
              <w:tc>
                <w:tcPr>
                  <w:tcW w:w="1108" w:type="dxa"/>
                  <w:vAlign w:val="center"/>
                </w:tcPr>
                <w:p>
                  <w:pPr>
                    <w:pStyle w:val="70"/>
                    <w:tabs>
                      <w:tab w:val="left" w:pos="2700"/>
                    </w:tabs>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9" w:type="dxa"/>
                  <w:vMerge w:val="continue"/>
                  <w:vAlign w:val="center"/>
                </w:tcPr>
                <w:p>
                  <w:pPr>
                    <w:pStyle w:val="70"/>
                    <w:tabs>
                      <w:tab w:val="left" w:pos="2700"/>
                    </w:tabs>
                  </w:pPr>
                </w:p>
              </w:tc>
              <w:tc>
                <w:tcPr>
                  <w:tcW w:w="1065" w:type="dxa"/>
                  <w:vAlign w:val="center"/>
                </w:tcPr>
                <w:p>
                  <w:pPr>
                    <w:pStyle w:val="70"/>
                    <w:tabs>
                      <w:tab w:val="left" w:pos="2700"/>
                    </w:tabs>
                    <w:rPr>
                      <w:color w:val="auto"/>
                    </w:rPr>
                  </w:pPr>
                  <w:r>
                    <w:rPr>
                      <w:rFonts w:hint="eastAsia"/>
                      <w:color w:val="auto"/>
                    </w:rPr>
                    <w:t>颗粒物</w:t>
                  </w:r>
                </w:p>
              </w:tc>
              <w:tc>
                <w:tcPr>
                  <w:tcW w:w="2310" w:type="dxa"/>
                  <w:vAlign w:val="center"/>
                </w:tcPr>
                <w:p>
                  <w:pPr>
                    <w:pStyle w:val="70"/>
                    <w:tabs>
                      <w:tab w:val="left" w:pos="2700"/>
                    </w:tabs>
                    <w:rPr>
                      <w:color w:val="auto"/>
                    </w:rPr>
                  </w:pPr>
                  <w:r>
                    <w:rPr>
                      <w:rFonts w:hint="eastAsia"/>
                      <w:color w:val="auto"/>
                      <w:lang w:val="en-US" w:eastAsia="zh-CN"/>
                    </w:rPr>
                    <w:t>1.1</w:t>
                  </w:r>
                  <w:r>
                    <w:rPr>
                      <w:rFonts w:hint="eastAsia"/>
                      <w:color w:val="auto"/>
                    </w:rPr>
                    <w:t>kg/万m</w:t>
                  </w:r>
                  <w:r>
                    <w:rPr>
                      <w:rFonts w:hint="eastAsia"/>
                      <w:color w:val="auto"/>
                      <w:vertAlign w:val="superscript"/>
                    </w:rPr>
                    <w:t>3</w:t>
                  </w:r>
                  <w:r>
                    <w:rPr>
                      <w:rFonts w:hint="eastAsia"/>
                      <w:color w:val="auto"/>
                    </w:rPr>
                    <w:t>-原料</w:t>
                  </w:r>
                </w:p>
              </w:tc>
              <w:tc>
                <w:tcPr>
                  <w:tcW w:w="1515" w:type="dxa"/>
                  <w:vAlign w:val="center"/>
                </w:tcPr>
                <w:p>
                  <w:pPr>
                    <w:pStyle w:val="70"/>
                    <w:tabs>
                      <w:tab w:val="left" w:pos="2700"/>
                    </w:tabs>
                    <w:rPr>
                      <w:color w:val="auto"/>
                    </w:rPr>
                  </w:pPr>
                  <w:r>
                    <w:rPr>
                      <w:rFonts w:hint="eastAsia"/>
                      <w:color w:val="auto"/>
                      <w:lang w:val="en-US" w:eastAsia="zh-CN"/>
                    </w:rPr>
                    <w:t>0.2475</w:t>
                  </w:r>
                  <w:r>
                    <w:rPr>
                      <w:rFonts w:hint="eastAsia"/>
                      <w:color w:val="auto"/>
                    </w:rPr>
                    <w:t>t/a</w:t>
                  </w:r>
                </w:p>
              </w:tc>
              <w:tc>
                <w:tcPr>
                  <w:tcW w:w="1365" w:type="dxa"/>
                  <w:vAlign w:val="center"/>
                </w:tcPr>
                <w:p>
                  <w:pPr>
                    <w:pStyle w:val="70"/>
                    <w:tabs>
                      <w:tab w:val="left" w:pos="2700"/>
                    </w:tabs>
                    <w:rPr>
                      <w:color w:val="auto"/>
                    </w:rPr>
                  </w:pPr>
                  <w:r>
                    <w:rPr>
                      <w:rFonts w:hint="eastAsia"/>
                      <w:color w:val="auto"/>
                      <w:lang w:val="en-US" w:eastAsia="zh-CN"/>
                    </w:rPr>
                    <w:t>10.21</w:t>
                  </w:r>
                  <w:r>
                    <w:rPr>
                      <w:rFonts w:hint="eastAsia"/>
                      <w:color w:val="auto"/>
                    </w:rPr>
                    <w:t>mg/m</w:t>
                  </w:r>
                  <w:r>
                    <w:rPr>
                      <w:rFonts w:hint="eastAsia"/>
                      <w:color w:val="auto"/>
                      <w:vertAlign w:val="superscript"/>
                    </w:rPr>
                    <w:t>3</w:t>
                  </w:r>
                </w:p>
              </w:tc>
              <w:tc>
                <w:tcPr>
                  <w:tcW w:w="1108" w:type="dxa"/>
                  <w:vAlign w:val="center"/>
                </w:tcPr>
                <w:p>
                  <w:pPr>
                    <w:pStyle w:val="70"/>
                    <w:tabs>
                      <w:tab w:val="left" w:pos="2700"/>
                    </w:tabs>
                  </w:pPr>
                  <w:r>
                    <w:rPr>
                      <w:rFonts w:hint="eastAsia"/>
                    </w:rPr>
                    <w:t>20mg/m</w:t>
                  </w:r>
                  <w:r>
                    <w:rPr>
                      <w:rFonts w:hint="eastAsia"/>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dxa"/>
                  <w:vMerge w:val="continue"/>
                  <w:vAlign w:val="center"/>
                </w:tcPr>
                <w:p>
                  <w:pPr>
                    <w:pStyle w:val="70"/>
                    <w:tabs>
                      <w:tab w:val="left" w:pos="2700"/>
                    </w:tabs>
                  </w:pPr>
                </w:p>
              </w:tc>
              <w:tc>
                <w:tcPr>
                  <w:tcW w:w="1065" w:type="dxa"/>
                  <w:vAlign w:val="center"/>
                </w:tcPr>
                <w:p>
                  <w:pPr>
                    <w:pStyle w:val="70"/>
                    <w:tabs>
                      <w:tab w:val="left" w:pos="2700"/>
                    </w:tabs>
                    <w:rPr>
                      <w:color w:val="auto"/>
                    </w:rPr>
                  </w:pPr>
                  <w:r>
                    <w:rPr>
                      <w:rFonts w:hint="eastAsia"/>
                      <w:color w:val="auto"/>
                    </w:rPr>
                    <w:t>二氧化硫</w:t>
                  </w:r>
                </w:p>
              </w:tc>
              <w:tc>
                <w:tcPr>
                  <w:tcW w:w="2310" w:type="dxa"/>
                  <w:vAlign w:val="center"/>
                </w:tcPr>
                <w:p>
                  <w:pPr>
                    <w:pStyle w:val="70"/>
                    <w:tabs>
                      <w:tab w:val="left" w:pos="2700"/>
                    </w:tabs>
                    <w:rPr>
                      <w:color w:val="auto"/>
                    </w:rPr>
                  </w:pPr>
                  <w:r>
                    <w:rPr>
                      <w:rFonts w:hint="eastAsia"/>
                      <w:color w:val="auto"/>
                    </w:rPr>
                    <w:t>0.02S（S=100计）kg/万m</w:t>
                  </w:r>
                  <w:r>
                    <w:rPr>
                      <w:rFonts w:hint="eastAsia"/>
                      <w:color w:val="auto"/>
                      <w:vertAlign w:val="superscript"/>
                    </w:rPr>
                    <w:t>3</w:t>
                  </w:r>
                  <w:r>
                    <w:rPr>
                      <w:rFonts w:hint="eastAsia"/>
                      <w:color w:val="auto"/>
                    </w:rPr>
                    <w:t>-原料</w:t>
                  </w:r>
                </w:p>
              </w:tc>
              <w:tc>
                <w:tcPr>
                  <w:tcW w:w="1515" w:type="dxa"/>
                  <w:vAlign w:val="center"/>
                </w:tcPr>
                <w:p>
                  <w:pPr>
                    <w:pStyle w:val="70"/>
                    <w:tabs>
                      <w:tab w:val="left" w:pos="2700"/>
                    </w:tabs>
                    <w:rPr>
                      <w:color w:val="auto"/>
                    </w:rPr>
                  </w:pPr>
                  <w:r>
                    <w:rPr>
                      <w:rFonts w:hint="eastAsia"/>
                      <w:color w:val="auto"/>
                      <w:lang w:val="en-US" w:eastAsia="zh-CN"/>
                    </w:rPr>
                    <w:t>0.45</w:t>
                  </w:r>
                  <w:r>
                    <w:rPr>
                      <w:rFonts w:hint="eastAsia"/>
                      <w:color w:val="auto"/>
                    </w:rPr>
                    <w:t>t/a</w:t>
                  </w:r>
                </w:p>
              </w:tc>
              <w:tc>
                <w:tcPr>
                  <w:tcW w:w="1365" w:type="dxa"/>
                  <w:vAlign w:val="center"/>
                </w:tcPr>
                <w:p>
                  <w:pPr>
                    <w:pStyle w:val="70"/>
                    <w:tabs>
                      <w:tab w:val="left" w:pos="2700"/>
                    </w:tabs>
                    <w:rPr>
                      <w:color w:val="auto"/>
                    </w:rPr>
                  </w:pPr>
                  <w:r>
                    <w:rPr>
                      <w:rFonts w:hint="eastAsia"/>
                      <w:color w:val="auto"/>
                      <w:lang w:val="en-US" w:eastAsia="zh-CN"/>
                    </w:rPr>
                    <w:t>18.56</w:t>
                  </w:r>
                  <w:r>
                    <w:rPr>
                      <w:rFonts w:hint="eastAsia"/>
                      <w:color w:val="auto"/>
                    </w:rPr>
                    <w:t>mg/m</w:t>
                  </w:r>
                  <w:r>
                    <w:rPr>
                      <w:rFonts w:hint="eastAsia"/>
                      <w:color w:val="auto"/>
                      <w:vertAlign w:val="superscript"/>
                    </w:rPr>
                    <w:t>3</w:t>
                  </w:r>
                </w:p>
              </w:tc>
              <w:tc>
                <w:tcPr>
                  <w:tcW w:w="1108" w:type="dxa"/>
                  <w:vAlign w:val="center"/>
                </w:tcPr>
                <w:p>
                  <w:pPr>
                    <w:pStyle w:val="70"/>
                    <w:tabs>
                      <w:tab w:val="left" w:pos="2700"/>
                    </w:tabs>
                  </w:pPr>
                  <w:r>
                    <w:rPr>
                      <w:rFonts w:hint="eastAsia"/>
                    </w:rPr>
                    <w:t>50mg/m</w:t>
                  </w:r>
                  <w:r>
                    <w:rPr>
                      <w:rFonts w:hint="eastAsia"/>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dxa"/>
                  <w:vMerge w:val="continue"/>
                  <w:vAlign w:val="center"/>
                </w:tcPr>
                <w:p>
                  <w:pPr>
                    <w:pStyle w:val="70"/>
                    <w:tabs>
                      <w:tab w:val="left" w:pos="2700"/>
                    </w:tabs>
                  </w:pPr>
                </w:p>
              </w:tc>
              <w:tc>
                <w:tcPr>
                  <w:tcW w:w="1065" w:type="dxa"/>
                  <w:vAlign w:val="center"/>
                </w:tcPr>
                <w:p>
                  <w:pPr>
                    <w:pStyle w:val="70"/>
                    <w:tabs>
                      <w:tab w:val="left" w:pos="2700"/>
                    </w:tabs>
                  </w:pPr>
                  <w:r>
                    <w:rPr>
                      <w:rFonts w:hint="eastAsia"/>
                    </w:rPr>
                    <w:t>氮氧化物</w:t>
                  </w:r>
                </w:p>
              </w:tc>
              <w:tc>
                <w:tcPr>
                  <w:tcW w:w="2310" w:type="dxa"/>
                  <w:vAlign w:val="center"/>
                </w:tcPr>
                <w:p>
                  <w:pPr>
                    <w:pStyle w:val="70"/>
                    <w:tabs>
                      <w:tab w:val="left" w:pos="2700"/>
                    </w:tabs>
                  </w:pPr>
                  <w:r>
                    <w:rPr>
                      <w:rFonts w:hint="eastAsia"/>
                    </w:rPr>
                    <w:t>3.03kg/万m</w:t>
                  </w:r>
                  <w:r>
                    <w:rPr>
                      <w:rFonts w:hint="eastAsia"/>
                      <w:vertAlign w:val="superscript"/>
                    </w:rPr>
                    <w:t>3</w:t>
                  </w:r>
                  <w:r>
                    <w:rPr>
                      <w:rFonts w:hint="eastAsia"/>
                    </w:rPr>
                    <w:t>-原料</w:t>
                  </w:r>
                </w:p>
              </w:tc>
              <w:tc>
                <w:tcPr>
                  <w:tcW w:w="1515" w:type="dxa"/>
                  <w:vAlign w:val="center"/>
                </w:tcPr>
                <w:p>
                  <w:pPr>
                    <w:pStyle w:val="70"/>
                    <w:tabs>
                      <w:tab w:val="left" w:pos="2700"/>
                    </w:tabs>
                  </w:pPr>
                  <w:r>
                    <w:rPr>
                      <w:rFonts w:hint="eastAsia"/>
                      <w:lang w:val="en-US" w:eastAsia="zh-CN"/>
                    </w:rPr>
                    <w:t>0.6817</w:t>
                  </w:r>
                  <w:r>
                    <w:rPr>
                      <w:rFonts w:hint="eastAsia"/>
                    </w:rPr>
                    <w:t>t/a</w:t>
                  </w:r>
                </w:p>
              </w:tc>
              <w:tc>
                <w:tcPr>
                  <w:tcW w:w="1365" w:type="dxa"/>
                  <w:vAlign w:val="center"/>
                </w:tcPr>
                <w:p>
                  <w:pPr>
                    <w:pStyle w:val="70"/>
                    <w:tabs>
                      <w:tab w:val="left" w:pos="2700"/>
                    </w:tabs>
                  </w:pPr>
                  <w:r>
                    <w:rPr>
                      <w:rFonts w:hint="eastAsia"/>
                      <w:lang w:val="en-US" w:eastAsia="zh-CN"/>
                    </w:rPr>
                    <w:t>28.12</w:t>
                  </w:r>
                  <w:r>
                    <w:rPr>
                      <w:rFonts w:hint="eastAsia"/>
                    </w:rPr>
                    <w:t>mg/m</w:t>
                  </w:r>
                  <w:r>
                    <w:rPr>
                      <w:rFonts w:hint="eastAsia"/>
                      <w:vertAlign w:val="superscript"/>
                    </w:rPr>
                    <w:t>3</w:t>
                  </w:r>
                </w:p>
              </w:tc>
              <w:tc>
                <w:tcPr>
                  <w:tcW w:w="1108" w:type="dxa"/>
                  <w:vAlign w:val="center"/>
                </w:tcPr>
                <w:p>
                  <w:pPr>
                    <w:pStyle w:val="70"/>
                    <w:tabs>
                      <w:tab w:val="left" w:pos="2700"/>
                    </w:tabs>
                  </w:pPr>
                  <w:r>
                    <w:rPr>
                      <w:rFonts w:hint="eastAsia"/>
                    </w:rPr>
                    <w:t>50mg/m</w:t>
                  </w:r>
                  <w:r>
                    <w:rPr>
                      <w:rFonts w:hint="eastAsia"/>
                      <w:vertAlign w:val="superscript"/>
                    </w:rPr>
                    <w:t>3</w:t>
                  </w:r>
                </w:p>
              </w:tc>
            </w:tr>
          </w:tbl>
          <w:p>
            <w:pPr>
              <w:ind w:firstLine="480"/>
            </w:pPr>
            <w:r>
              <w:rPr>
                <w:rFonts w:hint="eastAsia"/>
                <w:lang w:val="en-US" w:eastAsia="zh-CN"/>
              </w:rPr>
              <w:t>由计算数据可得，本项目</w:t>
            </w:r>
            <w:r>
              <w:rPr>
                <w:rFonts w:hint="eastAsia"/>
              </w:rPr>
              <w:t>燃气锅炉污染物颗粒物、二氧化硫可满足《锅炉大气污染物排放标准》（GB13271-2014）表</w:t>
            </w:r>
            <w:r>
              <w:rPr>
                <w:rFonts w:hint="eastAsia"/>
                <w:lang w:val="en-US" w:eastAsia="zh-CN"/>
              </w:rPr>
              <w:t>2新建锅炉大气污染物排放浓度限值</w:t>
            </w:r>
            <w:r>
              <w:rPr>
                <w:rFonts w:hint="eastAsia"/>
              </w:rPr>
              <w:t>中燃气锅炉标准；氮氧化物可满足《关于开展自治区2022年度夏秋季大气污染防治</w:t>
            </w:r>
            <w:r>
              <w:rPr>
                <w:rFonts w:hint="eastAsia"/>
                <w:lang w:eastAsia="zh-CN"/>
              </w:rPr>
              <w:t>“</w:t>
            </w:r>
            <w:r>
              <w:rPr>
                <w:rFonts w:hint="eastAsia"/>
              </w:rPr>
              <w:t>冬病夏治</w:t>
            </w:r>
            <w:r>
              <w:rPr>
                <w:rFonts w:hint="eastAsia"/>
                <w:lang w:eastAsia="zh-CN"/>
              </w:rPr>
              <w:t>”</w:t>
            </w:r>
            <w:r>
              <w:rPr>
                <w:rFonts w:hint="eastAsia"/>
              </w:rPr>
              <w:t>工作的通知》（新环大气发〔2022〕483号）文件中燃气锅炉氮氧化物排放浓度不高于50mg/m</w:t>
            </w:r>
            <w:r>
              <w:rPr>
                <w:rFonts w:hint="eastAsia"/>
                <w:vertAlign w:val="superscript"/>
              </w:rPr>
              <w:t>3</w:t>
            </w:r>
            <w:r>
              <w:rPr>
                <w:rFonts w:hint="eastAsia"/>
              </w:rPr>
              <w:t>的要求。</w:t>
            </w:r>
          </w:p>
          <w:p>
            <w:pPr>
              <w:widowControl/>
              <w:ind w:firstLine="480"/>
              <w:jc w:val="left"/>
            </w:pPr>
            <w:r>
              <w:rPr>
                <w:rFonts w:hint="eastAsia" w:ascii="宋体" w:hAnsi="宋体" w:cs="宋体"/>
                <w:color w:val="000000"/>
                <w:kern w:val="0"/>
                <w:szCs w:val="24"/>
                <w:lang w:bidi="ar"/>
              </w:rPr>
              <w:t>（</w:t>
            </w:r>
            <w:r>
              <w:rPr>
                <w:rFonts w:hint="eastAsia"/>
                <w:color w:val="000000"/>
                <w:kern w:val="0"/>
                <w:szCs w:val="24"/>
                <w:lang w:bidi="ar"/>
              </w:rPr>
              <w:t>2</w:t>
            </w:r>
            <w:r>
              <w:rPr>
                <w:rFonts w:hint="eastAsia" w:ascii="宋体" w:hAnsi="宋体" w:cs="宋体"/>
                <w:color w:val="000000"/>
                <w:kern w:val="0"/>
                <w:szCs w:val="24"/>
                <w:lang w:bidi="ar"/>
              </w:rPr>
              <w:t>）生产工序废气</w:t>
            </w:r>
          </w:p>
          <w:p>
            <w:pPr>
              <w:widowControl/>
              <w:ind w:firstLine="480"/>
              <w:jc w:val="left"/>
            </w:pPr>
            <w:r>
              <w:rPr>
                <w:rFonts w:hint="eastAsia" w:ascii="宋体" w:hAnsi="宋体" w:cs="宋体"/>
                <w:color w:val="000000"/>
                <w:kern w:val="0"/>
                <w:szCs w:val="24"/>
                <w:lang w:bidi="ar"/>
              </w:rPr>
              <w:t>本项目物料输送、转运过程中采用封闭式管道通过气力输送，故物料输送过程中不会产生粉尘。</w:t>
            </w:r>
          </w:p>
          <w:p>
            <w:pPr>
              <w:widowControl/>
              <w:ind w:firstLine="480"/>
              <w:jc w:val="left"/>
            </w:pPr>
            <w:r>
              <w:rPr>
                <w:rFonts w:hint="eastAsia" w:ascii="宋体" w:hAnsi="宋体" w:cs="宋体"/>
                <w:color w:val="000000"/>
                <w:kern w:val="0"/>
                <w:szCs w:val="24"/>
                <w:lang w:bidi="ar"/>
              </w:rPr>
              <w:t>①卸料废气</w:t>
            </w:r>
          </w:p>
          <w:p>
            <w:pPr>
              <w:widowControl/>
              <w:ind w:firstLine="480"/>
              <w:jc w:val="left"/>
              <w:rPr>
                <w:rFonts w:hint="eastAsia" w:ascii="宋体" w:hAnsi="宋体" w:cs="宋体"/>
                <w:color w:val="000000"/>
                <w:kern w:val="0"/>
                <w:szCs w:val="24"/>
                <w:lang w:bidi="ar"/>
              </w:rPr>
            </w:pPr>
            <w:r>
              <w:rPr>
                <w:rFonts w:hint="eastAsia" w:ascii="宋体" w:hAnsi="宋体" w:cs="宋体"/>
                <w:color w:val="000000"/>
                <w:kern w:val="0"/>
                <w:szCs w:val="24"/>
                <w:lang w:bidi="ar"/>
              </w:rPr>
              <w:t>运输车辆进入卸料棚内，通过液压杆抬升进行卸料，将玉米和豆粕进入卸入密闭的卸料棚后，通过密闭的提升机，将玉米输送至玉米库，豆粕输送至圆筒仓和料仓。卸料粉尘参考《逸</w:t>
            </w:r>
            <w:r>
              <w:rPr>
                <w:rFonts w:hint="eastAsia" w:ascii="宋体" w:hAnsi="宋体" w:cs="宋体"/>
                <w:kern w:val="0"/>
                <w:szCs w:val="24"/>
                <w:lang w:bidi="ar"/>
              </w:rPr>
              <w:t>散性</w:t>
            </w:r>
            <w:r>
              <w:rPr>
                <w:rFonts w:hint="eastAsia" w:ascii="宋体" w:hAnsi="宋体" w:cs="宋体"/>
                <w:color w:val="000000"/>
                <w:kern w:val="0"/>
                <w:szCs w:val="24"/>
                <w:lang w:bidi="ar"/>
              </w:rPr>
              <w:t>工业</w:t>
            </w:r>
            <w:r>
              <w:rPr>
                <w:rFonts w:hint="eastAsia" w:ascii="宋体" w:hAnsi="宋体" w:cs="宋体"/>
                <w:kern w:val="0"/>
                <w:szCs w:val="24"/>
                <w:lang w:bidi="ar"/>
              </w:rPr>
              <w:t>粉尘控制技术》（中国环境科学出版社）中粒料加工中粒料卸料时粉尘产生系数为</w:t>
            </w:r>
            <w:r>
              <w:rPr>
                <w:kern w:val="0"/>
                <w:szCs w:val="24"/>
                <w:lang w:bidi="ar"/>
              </w:rPr>
              <w:t>0.01kg/t</w:t>
            </w:r>
            <w:r>
              <w:rPr>
                <w:rFonts w:hint="eastAsia" w:ascii="宋体" w:hAnsi="宋体" w:cs="宋体"/>
                <w:kern w:val="0"/>
                <w:szCs w:val="24"/>
                <w:lang w:bidi="ar"/>
              </w:rPr>
              <w:t>（原料），玉米、豆粕总卸料量为</w:t>
            </w:r>
            <w:r>
              <w:rPr>
                <w:rFonts w:hint="eastAsia"/>
                <w:kern w:val="0"/>
                <w:szCs w:val="24"/>
                <w:lang w:bidi="ar"/>
              </w:rPr>
              <w:t>22</w:t>
            </w:r>
            <w:r>
              <w:rPr>
                <w:kern w:val="0"/>
                <w:szCs w:val="24"/>
                <w:lang w:bidi="ar"/>
              </w:rPr>
              <w:t>0000t/a</w:t>
            </w:r>
            <w:r>
              <w:rPr>
                <w:rFonts w:hint="eastAsia" w:ascii="宋体" w:hAnsi="宋体" w:cs="宋体"/>
                <w:kern w:val="0"/>
                <w:szCs w:val="24"/>
                <w:lang w:bidi="ar"/>
              </w:rPr>
              <w:t>，</w:t>
            </w:r>
            <w:r>
              <w:rPr>
                <w:rFonts w:hint="eastAsia" w:ascii="宋体" w:hAnsi="宋体" w:cs="宋体"/>
                <w:color w:val="000000"/>
                <w:kern w:val="0"/>
                <w:szCs w:val="24"/>
                <w:lang w:bidi="ar"/>
              </w:rPr>
              <w:t>则粉尘产生量为</w:t>
            </w:r>
            <w:r>
              <w:rPr>
                <w:rFonts w:hint="eastAsia"/>
                <w:color w:val="000000"/>
                <w:kern w:val="0"/>
                <w:szCs w:val="24"/>
                <w:lang w:bidi="ar"/>
              </w:rPr>
              <w:t>2.2</w:t>
            </w:r>
            <w:r>
              <w:rPr>
                <w:color w:val="000000"/>
                <w:kern w:val="0"/>
                <w:szCs w:val="24"/>
                <w:lang w:bidi="ar"/>
              </w:rPr>
              <w:t>t/a</w:t>
            </w:r>
            <w:r>
              <w:rPr>
                <w:rFonts w:hint="eastAsia" w:ascii="宋体" w:hAnsi="宋体" w:cs="宋体"/>
                <w:color w:val="000000"/>
                <w:kern w:val="0"/>
                <w:szCs w:val="24"/>
                <w:lang w:bidi="ar"/>
              </w:rPr>
              <w:t>。在卸料口上方设置集气罩</w:t>
            </w:r>
            <w:r>
              <w:rPr>
                <w:rFonts w:hint="eastAsia"/>
                <w:lang w:val="en-US" w:eastAsia="zh-CN"/>
              </w:rPr>
              <w:t>负压</w:t>
            </w:r>
            <w:r>
              <w:rPr>
                <w:rFonts w:hint="eastAsia" w:ascii="宋体" w:hAnsi="宋体" w:cs="宋体"/>
                <w:color w:val="000000"/>
                <w:kern w:val="0"/>
                <w:szCs w:val="24"/>
                <w:lang w:bidi="ar"/>
              </w:rPr>
              <w:t>收集卸料产生的粉尘，卸料棚密闭（收集效率为</w:t>
            </w:r>
            <w:r>
              <w:rPr>
                <w:color w:val="000000"/>
                <w:kern w:val="0"/>
                <w:szCs w:val="24"/>
                <w:lang w:bidi="ar"/>
              </w:rPr>
              <w:t>90%</w:t>
            </w:r>
            <w:r>
              <w:rPr>
                <w:rFonts w:hint="eastAsia" w:ascii="宋体" w:hAnsi="宋体" w:cs="宋体"/>
                <w:color w:val="000000"/>
                <w:kern w:val="0"/>
                <w:szCs w:val="24"/>
                <w:lang w:bidi="ar"/>
              </w:rPr>
              <w:t>），经配套的脉冲式布袋除尘器（除尘效率为</w:t>
            </w:r>
            <w:r>
              <w:rPr>
                <w:color w:val="000000"/>
                <w:kern w:val="0"/>
                <w:szCs w:val="24"/>
                <w:lang w:bidi="ar"/>
              </w:rPr>
              <w:t>99%</w:t>
            </w:r>
            <w:r>
              <w:rPr>
                <w:rFonts w:hint="eastAsia" w:ascii="宋体" w:hAnsi="宋体" w:cs="宋体"/>
                <w:color w:val="000000"/>
                <w:kern w:val="0"/>
                <w:szCs w:val="24"/>
                <w:lang w:bidi="ar"/>
              </w:rPr>
              <w:t>）处理后通过</w:t>
            </w:r>
            <w:r>
              <w:rPr>
                <w:color w:val="000000"/>
                <w:kern w:val="0"/>
                <w:szCs w:val="24"/>
                <w:lang w:bidi="ar"/>
              </w:rPr>
              <w:t>15m</w:t>
            </w:r>
            <w:r>
              <w:rPr>
                <w:rFonts w:hint="eastAsia" w:ascii="宋体" w:hAnsi="宋体" w:cs="宋体"/>
                <w:color w:val="000000"/>
                <w:kern w:val="0"/>
                <w:szCs w:val="24"/>
                <w:lang w:bidi="ar"/>
              </w:rPr>
              <w:t>高排气筒排放，配套风机风量为</w:t>
            </w:r>
            <w:r>
              <w:rPr>
                <w:color w:val="000000"/>
                <w:kern w:val="0"/>
                <w:szCs w:val="24"/>
                <w:lang w:bidi="ar"/>
              </w:rPr>
              <w:t>7800m</w:t>
            </w:r>
            <w:r>
              <w:rPr>
                <w:rFonts w:hint="eastAsia"/>
                <w:color w:val="000000"/>
                <w:kern w:val="0"/>
                <w:szCs w:val="24"/>
                <w:vertAlign w:val="superscript"/>
                <w:lang w:bidi="ar"/>
              </w:rPr>
              <w:t>3</w:t>
            </w:r>
            <w:r>
              <w:rPr>
                <w:color w:val="000000"/>
                <w:kern w:val="0"/>
                <w:szCs w:val="24"/>
                <w:lang w:bidi="ar"/>
              </w:rPr>
              <w:t>/h</w:t>
            </w:r>
            <w:r>
              <w:rPr>
                <w:rFonts w:hint="eastAsia" w:ascii="宋体" w:hAnsi="宋体" w:cs="宋体"/>
                <w:color w:val="000000"/>
                <w:kern w:val="0"/>
                <w:szCs w:val="24"/>
                <w:lang w:bidi="ar"/>
              </w:rPr>
              <w:t>。每天卸料时间为</w:t>
            </w:r>
            <w:r>
              <w:rPr>
                <w:color w:val="000000"/>
                <w:kern w:val="0"/>
                <w:szCs w:val="24"/>
                <w:lang w:bidi="ar"/>
              </w:rPr>
              <w:t>8</w:t>
            </w:r>
            <w:r>
              <w:rPr>
                <w:rFonts w:hint="eastAsia" w:ascii="宋体" w:hAnsi="宋体" w:cs="宋体"/>
                <w:color w:val="000000"/>
                <w:kern w:val="0"/>
                <w:szCs w:val="24"/>
                <w:lang w:bidi="ar"/>
              </w:rPr>
              <w:t>小时，年运行时间为</w:t>
            </w:r>
            <w:r>
              <w:rPr>
                <w:color w:val="000000"/>
                <w:kern w:val="0"/>
                <w:szCs w:val="24"/>
                <w:lang w:bidi="ar"/>
              </w:rPr>
              <w:t>2400h</w:t>
            </w:r>
            <w:r>
              <w:rPr>
                <w:rFonts w:hint="eastAsia" w:ascii="宋体" w:hAnsi="宋体" w:cs="宋体"/>
                <w:color w:val="000000"/>
                <w:kern w:val="0"/>
                <w:szCs w:val="24"/>
                <w:lang w:bidi="ar"/>
              </w:rPr>
              <w:t>。</w:t>
            </w:r>
          </w:p>
          <w:p>
            <w:pPr>
              <w:widowControl/>
              <w:ind w:firstLine="480"/>
              <w:jc w:val="left"/>
              <w:rPr>
                <w:rFonts w:hint="eastAsia" w:eastAsia="宋体"/>
                <w:vertAlign w:val="baseline"/>
                <w:lang w:eastAsia="zh-CN"/>
              </w:rPr>
            </w:pPr>
            <w:r>
              <w:rPr>
                <w:rFonts w:hint="eastAsia" w:ascii="宋体" w:hAnsi="宋体" w:cs="宋体"/>
                <w:color w:val="000000"/>
                <w:kern w:val="0"/>
                <w:szCs w:val="24"/>
                <w:lang w:val="en-US" w:eastAsia="zh-CN" w:bidi="ar"/>
              </w:rPr>
              <w:t>卸料工序有组织颗</w:t>
            </w:r>
            <w:r>
              <w:rPr>
                <w:rFonts w:hint="eastAsia"/>
                <w:color w:val="000000"/>
                <w:kern w:val="0"/>
                <w:szCs w:val="24"/>
                <w:lang w:val="en-US" w:eastAsia="zh-CN" w:bidi="ar"/>
              </w:rPr>
              <w:t>粒物产生量为1.98t/a（0.825</w:t>
            </w:r>
            <w:r>
              <w:rPr>
                <w:rFonts w:hint="eastAsia"/>
                <w:lang w:val="en-US" w:eastAsia="zh-CN"/>
              </w:rPr>
              <w:t>kg</w:t>
            </w:r>
            <w:r>
              <w:rPr>
                <w:rFonts w:hint="eastAsia"/>
              </w:rPr>
              <w:t>/</w:t>
            </w:r>
            <w:r>
              <w:rPr>
                <w:rFonts w:hint="eastAsia"/>
                <w:lang w:val="en-US" w:eastAsia="zh-CN"/>
              </w:rPr>
              <w:t>h</w:t>
            </w:r>
            <w:r>
              <w:rPr>
                <w:rFonts w:hint="eastAsia"/>
                <w:color w:val="000000"/>
                <w:kern w:val="0"/>
                <w:szCs w:val="24"/>
                <w:lang w:val="en-US" w:eastAsia="zh-CN" w:bidi="ar"/>
              </w:rPr>
              <w:t>，10.58</w:t>
            </w:r>
            <w:r>
              <w:rPr>
                <w:rFonts w:hint="eastAsia"/>
              </w:rPr>
              <w:t>mg/m</w:t>
            </w:r>
            <w:r>
              <w:rPr>
                <w:rFonts w:hint="eastAsia"/>
                <w:vertAlign w:val="superscript"/>
              </w:rPr>
              <w:t>3</w:t>
            </w:r>
            <w:r>
              <w:rPr>
                <w:rFonts w:hint="eastAsia"/>
                <w:color w:val="000000"/>
                <w:kern w:val="0"/>
                <w:szCs w:val="24"/>
                <w:lang w:val="en-US" w:eastAsia="zh-CN" w:bidi="ar"/>
              </w:rPr>
              <w:t>），无组织颗粒物产生量（排放量）为0.22t/a，</w:t>
            </w:r>
            <w:r>
              <w:rPr>
                <w:rFonts w:hint="eastAsia" w:ascii="宋体" w:hAnsi="宋体" w:cs="宋体"/>
                <w:color w:val="000000"/>
                <w:kern w:val="0"/>
                <w:szCs w:val="24"/>
                <w:lang w:bidi="ar"/>
              </w:rPr>
              <w:t>无组织</w:t>
            </w:r>
            <w:r>
              <w:rPr>
                <w:rFonts w:hint="eastAsia" w:ascii="宋体" w:hAnsi="宋体" w:cs="宋体"/>
                <w:color w:val="000000"/>
                <w:kern w:val="0"/>
                <w:szCs w:val="24"/>
                <w:lang w:val="en-US" w:eastAsia="zh-CN" w:bidi="ar"/>
              </w:rPr>
              <w:t>产生</w:t>
            </w:r>
            <w:r>
              <w:rPr>
                <w:rFonts w:hint="eastAsia" w:ascii="宋体" w:hAnsi="宋体" w:cs="宋体"/>
                <w:color w:val="000000"/>
                <w:kern w:val="0"/>
                <w:szCs w:val="24"/>
                <w:lang w:eastAsia="zh-CN" w:bidi="ar"/>
              </w:rPr>
              <w:t>（</w:t>
            </w:r>
            <w:r>
              <w:rPr>
                <w:rFonts w:hint="eastAsia" w:ascii="宋体" w:hAnsi="宋体" w:cs="宋体"/>
                <w:color w:val="000000"/>
                <w:kern w:val="0"/>
                <w:szCs w:val="24"/>
                <w:lang w:val="en-US" w:eastAsia="zh-CN" w:bidi="ar"/>
              </w:rPr>
              <w:t>排放</w:t>
            </w:r>
            <w:r>
              <w:rPr>
                <w:rFonts w:hint="eastAsia" w:ascii="宋体" w:hAnsi="宋体" w:cs="宋体"/>
                <w:color w:val="000000"/>
                <w:kern w:val="0"/>
                <w:szCs w:val="24"/>
                <w:lang w:eastAsia="zh-CN" w:bidi="ar"/>
              </w:rPr>
              <w:t>）</w:t>
            </w:r>
            <w:r>
              <w:rPr>
                <w:rFonts w:hint="eastAsia" w:ascii="宋体" w:hAnsi="宋体" w:cs="宋体"/>
                <w:color w:val="000000"/>
                <w:kern w:val="0"/>
                <w:szCs w:val="24"/>
                <w:lang w:bidi="ar"/>
              </w:rPr>
              <w:t>速率</w:t>
            </w:r>
            <w:r>
              <w:rPr>
                <w:rFonts w:hint="eastAsia"/>
                <w:color w:val="000000"/>
                <w:kern w:val="0"/>
                <w:szCs w:val="24"/>
                <w:lang w:val="en-US" w:eastAsia="zh-CN" w:bidi="ar"/>
              </w:rPr>
              <w:t>0.0917</w:t>
            </w:r>
            <w:r>
              <w:rPr>
                <w:rFonts w:hint="eastAsia"/>
                <w:lang w:val="en-US" w:eastAsia="zh-CN"/>
              </w:rPr>
              <w:t>kg</w:t>
            </w:r>
            <w:r>
              <w:rPr>
                <w:rFonts w:hint="eastAsia"/>
              </w:rPr>
              <w:t>/</w:t>
            </w:r>
            <w:r>
              <w:rPr>
                <w:rFonts w:hint="eastAsia"/>
                <w:lang w:val="en-US" w:eastAsia="zh-CN"/>
              </w:rPr>
              <w:t>h</w:t>
            </w:r>
            <w:r>
              <w:rPr>
                <w:rFonts w:hint="eastAsia"/>
                <w:color w:val="000000"/>
                <w:kern w:val="0"/>
                <w:szCs w:val="24"/>
                <w:lang w:val="en-US" w:eastAsia="zh-CN" w:bidi="ar"/>
              </w:rPr>
              <w:t>。</w:t>
            </w:r>
            <w:r>
              <w:rPr>
                <w:rFonts w:hint="eastAsia"/>
              </w:rPr>
              <w:t>卸料</w:t>
            </w:r>
            <w:r>
              <w:rPr>
                <w:rFonts w:hint="eastAsia"/>
                <w:lang w:val="en-US" w:eastAsia="zh-CN"/>
              </w:rPr>
              <w:t>工序</w:t>
            </w:r>
            <w:r>
              <w:rPr>
                <w:rFonts w:hint="eastAsia"/>
              </w:rPr>
              <w:t>有组织颗粒物排放量为0.0</w:t>
            </w:r>
            <w:r>
              <w:rPr>
                <w:rFonts w:hint="eastAsia"/>
                <w:lang w:val="en-US" w:eastAsia="zh-CN"/>
              </w:rPr>
              <w:t>198</w:t>
            </w:r>
            <w:r>
              <w:t>t/a</w:t>
            </w:r>
            <w:r>
              <w:rPr>
                <w:rFonts w:hint="eastAsia"/>
                <w:lang w:eastAsia="zh-CN"/>
              </w:rPr>
              <w:t>，</w:t>
            </w:r>
            <w:r>
              <w:rPr>
                <w:rFonts w:hint="eastAsia"/>
              </w:rPr>
              <w:t>排放速率为0.0</w:t>
            </w:r>
            <w:r>
              <w:rPr>
                <w:rFonts w:hint="eastAsia"/>
                <w:lang w:val="en-US" w:eastAsia="zh-CN"/>
              </w:rPr>
              <w:t>0825</w:t>
            </w:r>
            <w:r>
              <w:t>kg/h</w:t>
            </w:r>
            <w:r>
              <w:rPr>
                <w:rFonts w:hint="eastAsia"/>
              </w:rPr>
              <w:t>，排放浓度1.05</w:t>
            </w:r>
            <w:r>
              <w:rPr>
                <w:rFonts w:hint="eastAsia"/>
                <w:lang w:val="en-US" w:eastAsia="zh-CN"/>
              </w:rPr>
              <w:t>7</w:t>
            </w:r>
            <w:r>
              <w:t>mg/m</w:t>
            </w:r>
            <w:r>
              <w:rPr>
                <w:rFonts w:hint="eastAsia"/>
                <w:vertAlign w:val="superscript"/>
              </w:rPr>
              <w:t>3</w:t>
            </w:r>
            <w:r>
              <w:rPr>
                <w:rFonts w:hint="eastAsia"/>
                <w:vertAlign w:val="baseline"/>
                <w:lang w:eastAsia="zh-CN"/>
              </w:rPr>
              <w:t>。</w:t>
            </w:r>
          </w:p>
          <w:p>
            <w:pPr>
              <w:widowControl/>
              <w:ind w:firstLine="480"/>
              <w:jc w:val="left"/>
            </w:pPr>
            <w:r>
              <w:rPr>
                <w:rFonts w:hint="eastAsia" w:ascii="宋体" w:hAnsi="宋体" w:cs="宋体"/>
                <w:color w:val="000000"/>
                <w:kern w:val="0"/>
                <w:szCs w:val="24"/>
                <w:lang w:bidi="ar"/>
              </w:rPr>
              <w:t>②投料废气</w:t>
            </w:r>
          </w:p>
          <w:p>
            <w:pPr>
              <w:widowControl/>
              <w:ind w:firstLine="480"/>
              <w:jc w:val="left"/>
              <w:rPr>
                <w:rFonts w:hint="eastAsia" w:ascii="宋体" w:hAnsi="宋体" w:cs="宋体"/>
                <w:color w:val="000000"/>
                <w:kern w:val="0"/>
                <w:szCs w:val="24"/>
                <w:lang w:bidi="ar"/>
              </w:rPr>
            </w:pPr>
            <w:r>
              <w:rPr>
                <w:rFonts w:hint="eastAsia" w:ascii="宋体" w:hAnsi="宋体" w:cs="宋体"/>
                <w:color w:val="000000"/>
                <w:kern w:val="0"/>
                <w:szCs w:val="24"/>
                <w:lang w:bidi="ar"/>
              </w:rPr>
              <w:t>除玉米及油料外其他辅料通过人工投料口投料，辅料采用编织袋包装，辅料拆包后进行投料，参考《逸散性工业颗粒物控制技术》，结合本项目特点，投料产生的颗粒物按</w:t>
            </w:r>
            <w:r>
              <w:rPr>
                <w:color w:val="000000"/>
                <w:kern w:val="0"/>
                <w:szCs w:val="24"/>
                <w:lang w:bidi="ar"/>
              </w:rPr>
              <w:t>0.16kg/t</w:t>
            </w:r>
            <w:r>
              <w:rPr>
                <w:rFonts w:hint="eastAsia" w:ascii="宋体" w:hAnsi="宋体" w:cs="宋体"/>
                <w:color w:val="000000"/>
                <w:kern w:val="0"/>
                <w:szCs w:val="24"/>
                <w:lang w:bidi="ar"/>
              </w:rPr>
              <w:t>物料装卸量计算。主车间设置辅料投料口</w:t>
            </w:r>
            <w:r>
              <w:rPr>
                <w:color w:val="000000"/>
                <w:kern w:val="0"/>
                <w:szCs w:val="24"/>
                <w:lang w:bidi="ar"/>
              </w:rPr>
              <w:t>1</w:t>
            </w:r>
            <w:r>
              <w:rPr>
                <w:rFonts w:hint="eastAsia" w:ascii="宋体" w:hAnsi="宋体" w:cs="宋体"/>
                <w:color w:val="000000"/>
                <w:kern w:val="0"/>
                <w:szCs w:val="24"/>
                <w:lang w:bidi="ar"/>
              </w:rPr>
              <w:t>个，预混料投料口</w:t>
            </w:r>
            <w:r>
              <w:rPr>
                <w:color w:val="000000"/>
                <w:kern w:val="0"/>
                <w:szCs w:val="24"/>
                <w:lang w:bidi="ar"/>
              </w:rPr>
              <w:t>3</w:t>
            </w:r>
            <w:r>
              <w:rPr>
                <w:rFonts w:hint="eastAsia" w:ascii="宋体" w:hAnsi="宋体" w:cs="宋体"/>
                <w:color w:val="000000"/>
                <w:kern w:val="0"/>
                <w:szCs w:val="24"/>
                <w:lang w:bidi="ar"/>
              </w:rPr>
              <w:t>个，共四个人工投料口，辅料总投料</w:t>
            </w:r>
            <w:r>
              <w:rPr>
                <w:rFonts w:hint="eastAsia" w:ascii="Times New Roman" w:hAnsi="Times New Roman" w:eastAsia="宋体" w:cs="Times New Roman"/>
                <w:color w:val="000000"/>
                <w:kern w:val="0"/>
                <w:szCs w:val="24"/>
                <w:lang w:bidi="ar"/>
              </w:rPr>
              <w:t>量为380000</w:t>
            </w:r>
            <w:r>
              <w:rPr>
                <w:rFonts w:ascii="Times New Roman" w:hAnsi="Times New Roman" w:eastAsia="宋体" w:cs="Times New Roman"/>
                <w:color w:val="000000"/>
                <w:kern w:val="0"/>
                <w:szCs w:val="24"/>
                <w:lang w:bidi="ar"/>
              </w:rPr>
              <w:t>t/a</w:t>
            </w:r>
            <w:r>
              <w:rPr>
                <w:rFonts w:hint="eastAsia" w:ascii="Times New Roman" w:hAnsi="Times New Roman" w:eastAsia="宋体" w:cs="Times New Roman"/>
                <w:color w:val="000000"/>
                <w:kern w:val="0"/>
                <w:szCs w:val="24"/>
                <w:lang w:bidi="ar"/>
              </w:rPr>
              <w:t>，</w:t>
            </w:r>
            <w:r>
              <w:rPr>
                <w:rFonts w:hint="eastAsia" w:ascii="宋体" w:hAnsi="宋体" w:cs="宋体"/>
                <w:color w:val="000000"/>
                <w:kern w:val="0"/>
                <w:szCs w:val="24"/>
                <w:lang w:bidi="ar"/>
              </w:rPr>
              <w:t>则投料</w:t>
            </w:r>
            <w:r>
              <w:rPr>
                <w:rFonts w:hint="eastAsia" w:ascii="宋体" w:hAnsi="宋体" w:cs="宋体"/>
                <w:color w:val="000000"/>
                <w:kern w:val="0"/>
                <w:szCs w:val="24"/>
                <w:lang w:val="en-US" w:eastAsia="zh-CN" w:bidi="ar"/>
              </w:rPr>
              <w:t>过程</w:t>
            </w:r>
            <w:r>
              <w:rPr>
                <w:rFonts w:hint="eastAsia" w:ascii="宋体" w:hAnsi="宋体" w:cs="宋体"/>
                <w:color w:val="000000"/>
                <w:kern w:val="0"/>
                <w:szCs w:val="24"/>
                <w:lang w:bidi="ar"/>
              </w:rPr>
              <w:t>颗粒物产生量</w:t>
            </w:r>
            <w:r>
              <w:rPr>
                <w:rFonts w:hint="eastAsia" w:ascii="Times New Roman" w:hAnsi="Times New Roman" w:eastAsia="宋体" w:cs="Times New Roman"/>
                <w:color w:val="000000"/>
                <w:kern w:val="0"/>
                <w:szCs w:val="24"/>
                <w:lang w:bidi="ar"/>
              </w:rPr>
              <w:t>为</w:t>
            </w:r>
            <w:r>
              <w:rPr>
                <w:rFonts w:hint="eastAsia" w:ascii="Times New Roman" w:hAnsi="Times New Roman" w:eastAsia="宋体" w:cs="Times New Roman"/>
                <w:color w:val="000000"/>
                <w:kern w:val="0"/>
                <w:szCs w:val="24"/>
                <w:lang w:val="en-US" w:eastAsia="zh-CN" w:bidi="ar"/>
              </w:rPr>
              <w:t>60.8</w:t>
            </w:r>
            <w:r>
              <w:rPr>
                <w:rFonts w:ascii="Times New Roman" w:hAnsi="Times New Roman" w:eastAsia="宋体" w:cs="Times New Roman"/>
                <w:color w:val="000000"/>
                <w:kern w:val="0"/>
                <w:szCs w:val="24"/>
                <w:lang w:bidi="ar"/>
              </w:rPr>
              <w:t>t/a</w:t>
            </w:r>
            <w:r>
              <w:rPr>
                <w:rFonts w:hint="eastAsia" w:ascii="宋体" w:hAnsi="宋体" w:cs="宋体"/>
                <w:color w:val="000000"/>
                <w:kern w:val="0"/>
                <w:szCs w:val="24"/>
                <w:lang w:bidi="ar"/>
              </w:rPr>
              <w:t>，每个投料口均设置集气罩</w:t>
            </w:r>
            <w:r>
              <w:rPr>
                <w:rFonts w:hint="eastAsia" w:ascii="宋体" w:hAnsi="宋体" w:cs="宋体"/>
                <w:color w:val="000000"/>
                <w:kern w:val="0"/>
                <w:szCs w:val="24"/>
                <w:lang w:val="en-US" w:eastAsia="zh-CN" w:bidi="ar"/>
              </w:rPr>
              <w:t>负压</w:t>
            </w:r>
            <w:r>
              <w:rPr>
                <w:rFonts w:hint="eastAsia" w:ascii="宋体" w:hAnsi="宋体" w:cs="宋体"/>
                <w:color w:val="000000"/>
                <w:kern w:val="0"/>
                <w:szCs w:val="24"/>
                <w:lang w:bidi="ar"/>
              </w:rPr>
              <w:t>收集投料产生的废气（收集效率</w:t>
            </w:r>
            <w:r>
              <w:rPr>
                <w:rFonts w:hint="eastAsia"/>
                <w:color w:val="000000"/>
                <w:kern w:val="0"/>
                <w:szCs w:val="24"/>
                <w:lang w:val="en-US" w:eastAsia="zh-CN" w:bidi="ar"/>
              </w:rPr>
              <w:t>90</w:t>
            </w:r>
            <w:r>
              <w:rPr>
                <w:color w:val="000000"/>
                <w:kern w:val="0"/>
                <w:szCs w:val="24"/>
                <w:lang w:bidi="ar"/>
              </w:rPr>
              <w:t>%</w:t>
            </w:r>
            <w:r>
              <w:rPr>
                <w:rFonts w:hint="eastAsia" w:ascii="宋体" w:hAnsi="宋体" w:cs="宋体"/>
                <w:color w:val="000000"/>
                <w:kern w:val="0"/>
                <w:szCs w:val="24"/>
                <w:lang w:bidi="ar"/>
              </w:rPr>
              <w:t>），分别经各自配套的脉冲式布袋除尘器（除尘效率为</w:t>
            </w:r>
            <w:r>
              <w:rPr>
                <w:color w:val="000000"/>
                <w:kern w:val="0"/>
                <w:szCs w:val="24"/>
                <w:lang w:bidi="ar"/>
              </w:rPr>
              <w:t>99%</w:t>
            </w:r>
            <w:r>
              <w:rPr>
                <w:rFonts w:hint="eastAsia" w:ascii="宋体" w:hAnsi="宋体" w:cs="宋体"/>
                <w:color w:val="000000"/>
                <w:kern w:val="0"/>
                <w:szCs w:val="24"/>
                <w:lang w:bidi="ar"/>
              </w:rPr>
              <w:t>）处理后通过</w:t>
            </w:r>
            <w:r>
              <w:rPr>
                <w:color w:val="000000"/>
                <w:kern w:val="0"/>
                <w:szCs w:val="24"/>
                <w:lang w:bidi="ar"/>
              </w:rPr>
              <w:t>15m</w:t>
            </w:r>
            <w:r>
              <w:rPr>
                <w:rFonts w:hint="eastAsia" w:ascii="宋体" w:hAnsi="宋体" w:cs="宋体"/>
                <w:color w:val="000000"/>
                <w:kern w:val="0"/>
                <w:szCs w:val="24"/>
                <w:lang w:bidi="ar"/>
              </w:rPr>
              <w:t>高排气筒排放，配套风机风量为</w:t>
            </w:r>
            <w:r>
              <w:rPr>
                <w:rFonts w:hint="eastAsia"/>
                <w:color w:val="000000"/>
                <w:kern w:val="0"/>
                <w:szCs w:val="24"/>
                <w:lang w:val="en-US" w:eastAsia="zh-CN" w:bidi="ar"/>
              </w:rPr>
              <w:t>7800</w:t>
            </w:r>
            <w:r>
              <w:rPr>
                <w:color w:val="000000"/>
                <w:kern w:val="0"/>
                <w:szCs w:val="24"/>
                <w:lang w:bidi="ar"/>
              </w:rPr>
              <w:t>m</w:t>
            </w:r>
            <w:r>
              <w:rPr>
                <w:rFonts w:hint="eastAsia"/>
                <w:color w:val="000000"/>
                <w:kern w:val="0"/>
                <w:szCs w:val="24"/>
                <w:vertAlign w:val="superscript"/>
                <w:lang w:bidi="ar"/>
              </w:rPr>
              <w:t>3</w:t>
            </w:r>
            <w:r>
              <w:rPr>
                <w:color w:val="000000"/>
                <w:kern w:val="0"/>
                <w:szCs w:val="24"/>
                <w:lang w:bidi="ar"/>
              </w:rPr>
              <w:t>/h</w:t>
            </w:r>
            <w:r>
              <w:rPr>
                <w:rFonts w:hint="eastAsia" w:ascii="宋体" w:hAnsi="宋体" w:cs="宋体"/>
                <w:color w:val="000000"/>
                <w:kern w:val="0"/>
                <w:szCs w:val="24"/>
                <w:lang w:bidi="ar"/>
              </w:rPr>
              <w:t>，每天投料</w:t>
            </w:r>
            <w:r>
              <w:rPr>
                <w:color w:val="000000"/>
                <w:kern w:val="0"/>
                <w:szCs w:val="24"/>
                <w:lang w:bidi="ar"/>
              </w:rPr>
              <w:t>4</w:t>
            </w:r>
            <w:r>
              <w:rPr>
                <w:rFonts w:hint="eastAsia" w:ascii="宋体" w:hAnsi="宋体" w:cs="宋体"/>
                <w:color w:val="000000"/>
                <w:kern w:val="0"/>
                <w:szCs w:val="24"/>
                <w:lang w:bidi="ar"/>
              </w:rPr>
              <w:t>小时，年运行时间为</w:t>
            </w:r>
            <w:r>
              <w:rPr>
                <w:color w:val="000000"/>
                <w:kern w:val="0"/>
                <w:szCs w:val="24"/>
                <w:lang w:bidi="ar"/>
              </w:rPr>
              <w:t>1200h</w:t>
            </w:r>
            <w:r>
              <w:rPr>
                <w:rFonts w:hint="eastAsia" w:ascii="宋体" w:hAnsi="宋体" w:cs="宋体"/>
                <w:color w:val="000000"/>
                <w:kern w:val="0"/>
                <w:szCs w:val="24"/>
                <w:lang w:bidi="ar"/>
              </w:rPr>
              <w:t>。</w:t>
            </w:r>
          </w:p>
          <w:p>
            <w:pPr>
              <w:widowControl/>
              <w:ind w:firstLine="480"/>
              <w:jc w:val="left"/>
              <w:rPr>
                <w:rFonts w:hint="eastAsia" w:ascii="宋体" w:hAnsi="宋体" w:cs="宋体"/>
                <w:color w:val="000000"/>
                <w:kern w:val="0"/>
                <w:szCs w:val="24"/>
                <w:lang w:bidi="ar"/>
              </w:rPr>
            </w:pPr>
            <w:r>
              <w:rPr>
                <w:rFonts w:hint="eastAsia" w:ascii="宋体" w:hAnsi="宋体" w:cs="宋体"/>
                <w:color w:val="000000"/>
                <w:kern w:val="0"/>
                <w:szCs w:val="24"/>
                <w:lang w:bidi="ar"/>
              </w:rPr>
              <w:t>投料</w:t>
            </w:r>
            <w:r>
              <w:rPr>
                <w:rFonts w:hint="eastAsia" w:ascii="宋体" w:hAnsi="宋体" w:cs="宋体"/>
                <w:color w:val="000000"/>
                <w:kern w:val="0"/>
                <w:szCs w:val="24"/>
                <w:lang w:val="en-US" w:eastAsia="zh-CN" w:bidi="ar"/>
              </w:rPr>
              <w:t>过程</w:t>
            </w:r>
            <w:r>
              <w:rPr>
                <w:rFonts w:hint="eastAsia" w:ascii="宋体" w:hAnsi="宋体" w:cs="宋体"/>
                <w:color w:val="000000"/>
                <w:kern w:val="0"/>
                <w:szCs w:val="24"/>
                <w:lang w:bidi="ar"/>
              </w:rPr>
              <w:t>有组织颗粒物</w:t>
            </w:r>
            <w:r>
              <w:rPr>
                <w:rFonts w:hint="eastAsia" w:ascii="宋体" w:hAnsi="宋体" w:cs="宋体"/>
                <w:color w:val="000000"/>
                <w:kern w:val="0"/>
                <w:szCs w:val="24"/>
                <w:lang w:val="en-US" w:eastAsia="zh-CN" w:bidi="ar"/>
              </w:rPr>
              <w:t>产生</w:t>
            </w:r>
            <w:r>
              <w:rPr>
                <w:rFonts w:hint="eastAsia" w:ascii="宋体" w:hAnsi="宋体" w:cs="宋体"/>
                <w:color w:val="000000"/>
                <w:kern w:val="0"/>
                <w:szCs w:val="24"/>
                <w:lang w:bidi="ar"/>
              </w:rPr>
              <w:t>量</w:t>
            </w:r>
            <w:r>
              <w:rPr>
                <w:rFonts w:hint="eastAsia"/>
                <w:color w:val="000000"/>
                <w:kern w:val="0"/>
                <w:szCs w:val="24"/>
                <w:lang w:bidi="ar"/>
              </w:rPr>
              <w:t>为</w:t>
            </w:r>
            <w:r>
              <w:rPr>
                <w:rFonts w:hint="eastAsia"/>
                <w:color w:val="000000"/>
                <w:kern w:val="0"/>
                <w:szCs w:val="24"/>
                <w:lang w:val="en-US" w:eastAsia="zh-CN" w:bidi="ar"/>
              </w:rPr>
              <w:t>54.72</w:t>
            </w:r>
            <w:r>
              <w:rPr>
                <w:rFonts w:hint="eastAsia"/>
                <w:color w:val="000000"/>
                <w:kern w:val="0"/>
                <w:szCs w:val="24"/>
                <w:lang w:bidi="ar"/>
              </w:rPr>
              <w:t>t/</w:t>
            </w:r>
            <w:r>
              <w:rPr>
                <w:color w:val="000000"/>
                <w:kern w:val="0"/>
                <w:szCs w:val="24"/>
                <w:lang w:bidi="ar"/>
              </w:rPr>
              <w:t>a</w:t>
            </w:r>
            <w:r>
              <w:rPr>
                <w:rFonts w:hint="eastAsia" w:ascii="宋体" w:hAnsi="宋体" w:cs="宋体"/>
                <w:color w:val="000000"/>
                <w:kern w:val="0"/>
                <w:szCs w:val="24"/>
                <w:lang w:bidi="ar"/>
              </w:rPr>
              <w:t>，</w:t>
            </w:r>
            <w:r>
              <w:rPr>
                <w:rFonts w:hint="eastAsia" w:ascii="宋体" w:hAnsi="宋体" w:cs="宋体"/>
                <w:color w:val="000000"/>
                <w:kern w:val="0"/>
                <w:szCs w:val="24"/>
                <w:lang w:val="en-US" w:eastAsia="zh-CN" w:bidi="ar"/>
              </w:rPr>
              <w:t>产生</w:t>
            </w:r>
            <w:r>
              <w:rPr>
                <w:rFonts w:hint="eastAsia"/>
                <w:color w:val="000000"/>
                <w:kern w:val="0"/>
                <w:szCs w:val="24"/>
                <w:lang w:bidi="ar"/>
              </w:rPr>
              <w:t>速率为</w:t>
            </w:r>
            <w:r>
              <w:rPr>
                <w:rFonts w:hint="eastAsia"/>
                <w:color w:val="000000"/>
                <w:kern w:val="0"/>
                <w:szCs w:val="24"/>
                <w:lang w:val="en-US" w:eastAsia="zh-CN" w:bidi="ar"/>
              </w:rPr>
              <w:t>45.6</w:t>
            </w:r>
            <w:r>
              <w:rPr>
                <w:rFonts w:hint="eastAsia"/>
                <w:color w:val="000000"/>
                <w:kern w:val="0"/>
                <w:szCs w:val="24"/>
                <w:lang w:bidi="ar"/>
              </w:rPr>
              <w:t>kg/h，</w:t>
            </w:r>
            <w:r>
              <w:rPr>
                <w:rFonts w:hint="eastAsia" w:ascii="宋体" w:hAnsi="宋体" w:cs="宋体"/>
                <w:color w:val="000000"/>
                <w:kern w:val="0"/>
                <w:szCs w:val="24"/>
                <w:lang w:val="en-US" w:eastAsia="zh-CN" w:bidi="ar"/>
              </w:rPr>
              <w:t>产生</w:t>
            </w:r>
            <w:r>
              <w:rPr>
                <w:rFonts w:hint="eastAsia" w:ascii="宋体" w:hAnsi="宋体" w:cs="宋体"/>
                <w:color w:val="000000"/>
                <w:kern w:val="0"/>
                <w:szCs w:val="24"/>
                <w:lang w:bidi="ar"/>
              </w:rPr>
              <w:t>浓</w:t>
            </w:r>
            <w:r>
              <w:rPr>
                <w:rFonts w:hint="eastAsia"/>
                <w:color w:val="000000"/>
                <w:kern w:val="0"/>
                <w:szCs w:val="24"/>
                <w:lang w:bidi="ar"/>
              </w:rPr>
              <w:t>度</w:t>
            </w:r>
            <w:r>
              <w:rPr>
                <w:rFonts w:hint="eastAsia"/>
                <w:color w:val="000000"/>
                <w:kern w:val="0"/>
                <w:szCs w:val="24"/>
                <w:highlight w:val="none"/>
                <w:lang w:val="en-US" w:eastAsia="zh-CN" w:bidi="ar"/>
              </w:rPr>
              <w:t>5846</w:t>
            </w:r>
            <w:r>
              <w:rPr>
                <w:color w:val="000000"/>
                <w:kern w:val="0"/>
                <w:szCs w:val="24"/>
                <w:highlight w:val="none"/>
                <w:lang w:bidi="ar"/>
              </w:rPr>
              <w:t>mg/m</w:t>
            </w:r>
            <w:r>
              <w:rPr>
                <w:rFonts w:hint="eastAsia"/>
                <w:color w:val="000000"/>
                <w:kern w:val="0"/>
                <w:szCs w:val="24"/>
                <w:highlight w:val="none"/>
                <w:vertAlign w:val="superscript"/>
                <w:lang w:bidi="ar"/>
              </w:rPr>
              <w:t>3</w:t>
            </w:r>
            <w:r>
              <w:rPr>
                <w:rFonts w:hint="eastAsia" w:ascii="宋体" w:hAnsi="宋体" w:cs="宋体"/>
                <w:color w:val="000000"/>
                <w:kern w:val="0"/>
                <w:szCs w:val="24"/>
                <w:highlight w:val="none"/>
                <w:lang w:bidi="ar"/>
              </w:rPr>
              <w:t>。</w:t>
            </w:r>
            <w:r>
              <w:rPr>
                <w:rFonts w:hint="eastAsia" w:ascii="宋体" w:hAnsi="宋体" w:cs="宋体"/>
                <w:color w:val="000000"/>
                <w:kern w:val="0"/>
                <w:szCs w:val="24"/>
                <w:lang w:bidi="ar"/>
              </w:rPr>
              <w:t>无组织</w:t>
            </w:r>
            <w:r>
              <w:rPr>
                <w:rFonts w:hint="eastAsia" w:ascii="宋体" w:hAnsi="宋体" w:cs="宋体"/>
                <w:color w:val="000000"/>
                <w:kern w:val="0"/>
                <w:szCs w:val="24"/>
                <w:lang w:val="en-US" w:eastAsia="zh-CN" w:bidi="ar"/>
              </w:rPr>
              <w:t>颗粒物产生量（</w:t>
            </w:r>
            <w:r>
              <w:rPr>
                <w:rFonts w:hint="eastAsia" w:ascii="宋体" w:hAnsi="宋体" w:cs="宋体"/>
                <w:color w:val="000000"/>
                <w:kern w:val="0"/>
                <w:szCs w:val="24"/>
                <w:lang w:bidi="ar"/>
              </w:rPr>
              <w:t>排放量</w:t>
            </w:r>
            <w:r>
              <w:rPr>
                <w:rFonts w:hint="eastAsia" w:ascii="宋体" w:hAnsi="宋体" w:cs="宋体"/>
                <w:color w:val="000000"/>
                <w:kern w:val="0"/>
                <w:szCs w:val="24"/>
                <w:lang w:val="en-US" w:eastAsia="zh-CN" w:bidi="ar"/>
              </w:rPr>
              <w:t>）</w:t>
            </w:r>
            <w:r>
              <w:rPr>
                <w:rFonts w:hint="eastAsia"/>
                <w:color w:val="000000"/>
                <w:kern w:val="0"/>
                <w:szCs w:val="24"/>
                <w:lang w:bidi="ar"/>
              </w:rPr>
              <w:t>为</w:t>
            </w:r>
            <w:r>
              <w:rPr>
                <w:rFonts w:hint="eastAsia"/>
                <w:color w:val="000000"/>
                <w:kern w:val="0"/>
                <w:szCs w:val="24"/>
                <w:lang w:val="en-US" w:eastAsia="zh-CN" w:bidi="ar"/>
              </w:rPr>
              <w:t>6.08</w:t>
            </w:r>
            <w:r>
              <w:rPr>
                <w:color w:val="000000"/>
                <w:kern w:val="0"/>
                <w:szCs w:val="24"/>
                <w:lang w:bidi="ar"/>
              </w:rPr>
              <w:t>t/a</w:t>
            </w:r>
            <w:r>
              <w:rPr>
                <w:rFonts w:hint="eastAsia" w:ascii="宋体" w:hAnsi="宋体" w:cs="宋体"/>
                <w:color w:val="000000"/>
                <w:kern w:val="0"/>
                <w:szCs w:val="24"/>
                <w:lang w:bidi="ar"/>
              </w:rPr>
              <w:t>，无组织</w:t>
            </w:r>
            <w:r>
              <w:rPr>
                <w:rFonts w:hint="eastAsia" w:ascii="宋体" w:hAnsi="宋体" w:cs="宋体"/>
                <w:color w:val="000000"/>
                <w:kern w:val="0"/>
                <w:szCs w:val="24"/>
                <w:lang w:val="en-US" w:eastAsia="zh-CN" w:bidi="ar"/>
              </w:rPr>
              <w:t>产生</w:t>
            </w:r>
            <w:r>
              <w:rPr>
                <w:rFonts w:hint="eastAsia" w:ascii="宋体" w:hAnsi="宋体" w:cs="宋体"/>
                <w:color w:val="000000"/>
                <w:kern w:val="0"/>
                <w:szCs w:val="24"/>
                <w:lang w:eastAsia="zh-CN" w:bidi="ar"/>
              </w:rPr>
              <w:t>（</w:t>
            </w:r>
            <w:r>
              <w:rPr>
                <w:rFonts w:hint="eastAsia" w:ascii="宋体" w:hAnsi="宋体" w:cs="宋体"/>
                <w:color w:val="000000"/>
                <w:kern w:val="0"/>
                <w:szCs w:val="24"/>
                <w:lang w:val="en-US" w:eastAsia="zh-CN" w:bidi="ar"/>
              </w:rPr>
              <w:t>排放</w:t>
            </w:r>
            <w:r>
              <w:rPr>
                <w:rFonts w:hint="eastAsia" w:ascii="宋体" w:hAnsi="宋体" w:cs="宋体"/>
                <w:color w:val="000000"/>
                <w:kern w:val="0"/>
                <w:szCs w:val="24"/>
                <w:lang w:eastAsia="zh-CN" w:bidi="ar"/>
              </w:rPr>
              <w:t>）</w:t>
            </w:r>
            <w:r>
              <w:rPr>
                <w:rFonts w:hint="eastAsia" w:ascii="宋体" w:hAnsi="宋体" w:cs="宋体"/>
                <w:color w:val="000000"/>
                <w:kern w:val="0"/>
                <w:szCs w:val="24"/>
                <w:lang w:bidi="ar"/>
              </w:rPr>
              <w:t>速率</w:t>
            </w:r>
            <w:r>
              <w:rPr>
                <w:rFonts w:hint="eastAsia"/>
                <w:color w:val="000000"/>
                <w:kern w:val="0"/>
                <w:szCs w:val="24"/>
                <w:lang w:val="en-US" w:eastAsia="zh-CN" w:bidi="ar"/>
              </w:rPr>
              <w:t>5.068</w:t>
            </w:r>
            <w:r>
              <w:rPr>
                <w:rFonts w:hint="eastAsia"/>
                <w:color w:val="000000"/>
                <w:kern w:val="0"/>
                <w:szCs w:val="24"/>
                <w:lang w:bidi="ar"/>
              </w:rPr>
              <w:t>kg</w:t>
            </w:r>
            <w:r>
              <w:rPr>
                <w:color w:val="000000"/>
                <w:kern w:val="0"/>
                <w:szCs w:val="24"/>
                <w:lang w:bidi="ar"/>
              </w:rPr>
              <w:t>/h</w:t>
            </w:r>
            <w:r>
              <w:rPr>
                <w:rFonts w:hint="eastAsia" w:ascii="宋体" w:hAnsi="宋体" w:cs="宋体"/>
                <w:color w:val="000000"/>
                <w:kern w:val="0"/>
                <w:szCs w:val="24"/>
                <w:lang w:bidi="ar"/>
              </w:rPr>
              <w:t>。投料</w:t>
            </w:r>
            <w:r>
              <w:rPr>
                <w:rFonts w:hint="eastAsia" w:ascii="宋体" w:hAnsi="宋体" w:cs="宋体"/>
                <w:color w:val="000000"/>
                <w:kern w:val="0"/>
                <w:szCs w:val="24"/>
                <w:lang w:val="en-US" w:eastAsia="zh-CN" w:bidi="ar"/>
              </w:rPr>
              <w:t>过程</w:t>
            </w:r>
            <w:r>
              <w:rPr>
                <w:rFonts w:hint="eastAsia" w:ascii="宋体" w:hAnsi="宋体" w:cs="宋体"/>
                <w:color w:val="000000"/>
                <w:kern w:val="0"/>
                <w:szCs w:val="24"/>
                <w:lang w:bidi="ar"/>
              </w:rPr>
              <w:t>有组织颗粒物排放量</w:t>
            </w:r>
            <w:r>
              <w:rPr>
                <w:rFonts w:hint="eastAsia"/>
                <w:color w:val="000000"/>
                <w:kern w:val="0"/>
                <w:szCs w:val="24"/>
                <w:lang w:bidi="ar"/>
              </w:rPr>
              <w:t>为0.</w:t>
            </w:r>
            <w:r>
              <w:rPr>
                <w:rFonts w:hint="eastAsia"/>
                <w:color w:val="000000"/>
                <w:kern w:val="0"/>
                <w:szCs w:val="24"/>
                <w:lang w:val="en-US" w:eastAsia="zh-CN" w:bidi="ar"/>
              </w:rPr>
              <w:t>5472</w:t>
            </w:r>
            <w:r>
              <w:rPr>
                <w:rFonts w:hint="eastAsia"/>
                <w:color w:val="000000"/>
                <w:kern w:val="0"/>
                <w:szCs w:val="24"/>
                <w:lang w:bidi="ar"/>
              </w:rPr>
              <w:t>t/</w:t>
            </w:r>
            <w:r>
              <w:rPr>
                <w:color w:val="000000"/>
                <w:kern w:val="0"/>
                <w:szCs w:val="24"/>
                <w:lang w:bidi="ar"/>
              </w:rPr>
              <w:t>a</w:t>
            </w:r>
            <w:r>
              <w:rPr>
                <w:rFonts w:hint="eastAsia" w:ascii="宋体" w:hAnsi="宋体" w:cs="宋体"/>
                <w:color w:val="000000"/>
                <w:kern w:val="0"/>
                <w:szCs w:val="24"/>
                <w:lang w:bidi="ar"/>
              </w:rPr>
              <w:t>，排放</w:t>
            </w:r>
            <w:r>
              <w:rPr>
                <w:rFonts w:hint="eastAsia"/>
                <w:color w:val="000000"/>
                <w:kern w:val="0"/>
                <w:szCs w:val="24"/>
                <w:lang w:bidi="ar"/>
              </w:rPr>
              <w:t>速率为0.4</w:t>
            </w:r>
            <w:r>
              <w:rPr>
                <w:rFonts w:hint="eastAsia"/>
                <w:color w:val="000000"/>
                <w:kern w:val="0"/>
                <w:szCs w:val="24"/>
                <w:lang w:val="en-US" w:eastAsia="zh-CN" w:bidi="ar"/>
              </w:rPr>
              <w:t>56</w:t>
            </w:r>
            <w:r>
              <w:rPr>
                <w:rFonts w:hint="eastAsia"/>
                <w:color w:val="000000"/>
                <w:kern w:val="0"/>
                <w:szCs w:val="24"/>
                <w:lang w:bidi="ar"/>
              </w:rPr>
              <w:t>kg/h，</w:t>
            </w:r>
            <w:r>
              <w:rPr>
                <w:rFonts w:hint="eastAsia" w:ascii="宋体" w:hAnsi="宋体" w:cs="宋体"/>
                <w:color w:val="000000"/>
                <w:kern w:val="0"/>
                <w:szCs w:val="24"/>
                <w:lang w:bidi="ar"/>
              </w:rPr>
              <w:t>排放浓</w:t>
            </w:r>
            <w:r>
              <w:rPr>
                <w:rFonts w:hint="eastAsia"/>
                <w:color w:val="000000"/>
                <w:kern w:val="0"/>
                <w:szCs w:val="24"/>
                <w:lang w:bidi="ar"/>
              </w:rPr>
              <w:t>度</w:t>
            </w:r>
            <w:r>
              <w:rPr>
                <w:rFonts w:hint="eastAsia"/>
                <w:color w:val="000000"/>
                <w:kern w:val="0"/>
                <w:szCs w:val="24"/>
                <w:lang w:val="en-US" w:eastAsia="zh-CN" w:bidi="ar"/>
              </w:rPr>
              <w:t>14.615</w:t>
            </w:r>
            <w:r>
              <w:rPr>
                <w:color w:val="000000"/>
                <w:kern w:val="0"/>
                <w:szCs w:val="24"/>
                <w:lang w:bidi="ar"/>
              </w:rPr>
              <w:t>mg/m</w:t>
            </w:r>
            <w:r>
              <w:rPr>
                <w:rFonts w:hint="eastAsia"/>
                <w:color w:val="000000"/>
                <w:kern w:val="0"/>
                <w:szCs w:val="24"/>
                <w:vertAlign w:val="superscript"/>
                <w:lang w:bidi="ar"/>
              </w:rPr>
              <w:t>3</w:t>
            </w:r>
            <w:r>
              <w:rPr>
                <w:rFonts w:hint="eastAsia" w:ascii="宋体" w:hAnsi="宋体" w:cs="宋体"/>
                <w:color w:val="000000"/>
                <w:kern w:val="0"/>
                <w:szCs w:val="24"/>
                <w:lang w:bidi="ar"/>
              </w:rPr>
              <w:t>。</w:t>
            </w:r>
          </w:p>
          <w:p>
            <w:pPr>
              <w:widowControl/>
              <w:ind w:firstLine="480"/>
              <w:jc w:val="left"/>
            </w:pPr>
            <w:r>
              <w:rPr>
                <w:rFonts w:hint="eastAsia" w:ascii="宋体" w:hAnsi="宋体" w:cs="宋体"/>
                <w:color w:val="000000"/>
                <w:kern w:val="0"/>
                <w:szCs w:val="24"/>
                <w:lang w:bidi="ar"/>
              </w:rPr>
              <w:t>③粉碎、配料混合、制粒冷却废气</w:t>
            </w:r>
          </w:p>
          <w:p>
            <w:pPr>
              <w:widowControl/>
              <w:ind w:firstLine="480"/>
              <w:jc w:val="left"/>
            </w:pPr>
            <w:r>
              <w:rPr>
                <w:rFonts w:hint="eastAsia" w:ascii="宋体" w:hAnsi="宋体" w:cs="宋体"/>
                <w:color w:val="000000"/>
                <w:kern w:val="0"/>
                <w:szCs w:val="24"/>
                <w:lang w:bidi="ar"/>
              </w:rPr>
              <w:t>本项目玉米、豆粕等大粒原料进行粉碎、配料混合、制粒冷却等环节均会产生颗粒物。本项目设有</w:t>
            </w:r>
            <w:r>
              <w:rPr>
                <w:color w:val="000000"/>
                <w:kern w:val="0"/>
                <w:szCs w:val="24"/>
                <w:lang w:bidi="ar"/>
              </w:rPr>
              <w:t>4</w:t>
            </w:r>
            <w:r>
              <w:rPr>
                <w:rFonts w:hint="eastAsia" w:ascii="宋体" w:hAnsi="宋体" w:cs="宋体"/>
                <w:color w:val="000000"/>
                <w:kern w:val="0"/>
                <w:szCs w:val="24"/>
                <w:lang w:bidi="ar"/>
              </w:rPr>
              <w:t>台粉碎机，其中</w:t>
            </w:r>
            <w:r>
              <w:rPr>
                <w:color w:val="000000"/>
                <w:kern w:val="0"/>
                <w:szCs w:val="24"/>
                <w:lang w:bidi="ar"/>
              </w:rPr>
              <w:t>3</w:t>
            </w:r>
            <w:r>
              <w:rPr>
                <w:rFonts w:hint="eastAsia" w:ascii="宋体" w:hAnsi="宋体" w:cs="宋体"/>
                <w:color w:val="000000"/>
                <w:kern w:val="0"/>
                <w:szCs w:val="24"/>
                <w:lang w:bidi="ar"/>
              </w:rPr>
              <w:t>台为豆粕粉碎机，</w:t>
            </w:r>
            <w:r>
              <w:rPr>
                <w:color w:val="000000"/>
                <w:kern w:val="0"/>
                <w:szCs w:val="24"/>
                <w:lang w:bidi="ar"/>
              </w:rPr>
              <w:t>1</w:t>
            </w:r>
            <w:r>
              <w:rPr>
                <w:rFonts w:hint="eastAsia" w:ascii="宋体" w:hAnsi="宋体" w:cs="宋体"/>
                <w:color w:val="000000"/>
                <w:kern w:val="0"/>
                <w:szCs w:val="24"/>
                <w:lang w:bidi="ar"/>
              </w:rPr>
              <w:t>台为玉米粉碎机；设有</w:t>
            </w:r>
            <w:r>
              <w:rPr>
                <w:color w:val="000000"/>
                <w:kern w:val="0"/>
                <w:szCs w:val="24"/>
                <w:lang w:bidi="ar"/>
              </w:rPr>
              <w:t>2</w:t>
            </w:r>
            <w:r>
              <w:rPr>
                <w:rFonts w:hint="eastAsia" w:ascii="宋体" w:hAnsi="宋体" w:cs="宋体"/>
                <w:color w:val="000000"/>
                <w:kern w:val="0"/>
                <w:szCs w:val="24"/>
                <w:lang w:bidi="ar"/>
              </w:rPr>
              <w:t>台混合机，其中</w:t>
            </w:r>
            <w:r>
              <w:rPr>
                <w:color w:val="000000"/>
                <w:kern w:val="0"/>
                <w:szCs w:val="24"/>
                <w:lang w:bidi="ar"/>
              </w:rPr>
              <w:t>1</w:t>
            </w:r>
            <w:r>
              <w:rPr>
                <w:rFonts w:hint="eastAsia" w:ascii="宋体" w:hAnsi="宋体" w:cs="宋体"/>
                <w:color w:val="000000"/>
                <w:kern w:val="0"/>
                <w:szCs w:val="24"/>
                <w:lang w:bidi="ar"/>
              </w:rPr>
              <w:t>为颗粒料混合机，</w:t>
            </w:r>
            <w:r>
              <w:rPr>
                <w:color w:val="000000"/>
                <w:kern w:val="0"/>
                <w:szCs w:val="24"/>
                <w:lang w:bidi="ar"/>
              </w:rPr>
              <w:t>1</w:t>
            </w:r>
            <w:r>
              <w:rPr>
                <w:rFonts w:hint="eastAsia" w:ascii="宋体" w:hAnsi="宋体" w:cs="宋体"/>
                <w:color w:val="000000"/>
                <w:kern w:val="0"/>
                <w:szCs w:val="24"/>
                <w:lang w:bidi="ar"/>
              </w:rPr>
              <w:t>台为粉加粒混合机；设有</w:t>
            </w:r>
            <w:r>
              <w:rPr>
                <w:color w:val="000000"/>
                <w:kern w:val="0"/>
                <w:szCs w:val="24"/>
                <w:lang w:bidi="ar"/>
              </w:rPr>
              <w:t>3</w:t>
            </w:r>
            <w:r>
              <w:rPr>
                <w:rFonts w:hint="eastAsia" w:ascii="宋体" w:hAnsi="宋体" w:cs="宋体"/>
                <w:color w:val="000000"/>
                <w:kern w:val="0"/>
                <w:szCs w:val="24"/>
                <w:lang w:bidi="ar"/>
              </w:rPr>
              <w:t>套制粒、冷却系统，上述设备均为密闭设备，粉碎</w:t>
            </w:r>
            <w:r>
              <w:rPr>
                <w:rFonts w:hint="eastAsia" w:ascii="宋体" w:hAnsi="宋体" w:cs="宋体"/>
                <w:color w:val="000000"/>
                <w:kern w:val="0"/>
                <w:szCs w:val="24"/>
                <w:lang w:val="en-US" w:eastAsia="zh-CN" w:bidi="ar"/>
              </w:rPr>
              <w:t>工序</w:t>
            </w:r>
            <w:r>
              <w:rPr>
                <w:rFonts w:hint="eastAsia" w:ascii="宋体" w:hAnsi="宋体" w:cs="宋体"/>
                <w:color w:val="000000"/>
                <w:kern w:val="0"/>
                <w:szCs w:val="24"/>
                <w:lang w:bidi="ar"/>
              </w:rPr>
              <w:t>由封闭管道与脉冲式布袋除尘器（除尘效率为</w:t>
            </w:r>
            <w:r>
              <w:rPr>
                <w:color w:val="000000"/>
                <w:kern w:val="0"/>
                <w:szCs w:val="24"/>
                <w:lang w:bidi="ar"/>
              </w:rPr>
              <w:t>99%</w:t>
            </w:r>
            <w:r>
              <w:rPr>
                <w:rFonts w:hint="eastAsia" w:ascii="宋体" w:hAnsi="宋体" w:cs="宋体"/>
                <w:color w:val="000000"/>
                <w:kern w:val="0"/>
                <w:szCs w:val="24"/>
                <w:lang w:bidi="ar"/>
              </w:rPr>
              <w:t>）直接相连</w:t>
            </w:r>
            <w:r>
              <w:rPr>
                <w:rFonts w:hint="eastAsia" w:ascii="宋体" w:hAnsi="宋体" w:cs="宋体"/>
                <w:color w:val="000000"/>
                <w:kern w:val="0"/>
                <w:szCs w:val="24"/>
                <w:lang w:eastAsia="zh-CN" w:bidi="ar"/>
              </w:rPr>
              <w:t>，</w:t>
            </w:r>
            <w:r>
              <w:rPr>
                <w:rFonts w:hint="eastAsia" w:ascii="宋体" w:hAnsi="宋体" w:cs="宋体"/>
                <w:color w:val="000000"/>
                <w:kern w:val="0"/>
                <w:szCs w:val="24"/>
                <w:lang w:bidi="ar"/>
              </w:rPr>
              <w:t>配料混合工序设备由封闭管道与脉冲式布袋除尘器（除尘效率为</w:t>
            </w:r>
            <w:r>
              <w:rPr>
                <w:color w:val="000000"/>
                <w:kern w:val="0"/>
                <w:szCs w:val="24"/>
                <w:lang w:bidi="ar"/>
              </w:rPr>
              <w:t>99%</w:t>
            </w:r>
            <w:r>
              <w:rPr>
                <w:rFonts w:hint="eastAsia" w:ascii="宋体" w:hAnsi="宋体" w:cs="宋体"/>
                <w:color w:val="000000"/>
                <w:kern w:val="0"/>
                <w:szCs w:val="24"/>
                <w:lang w:bidi="ar"/>
              </w:rPr>
              <w:t>）直接相连，制粒冷却工序冷却系统与脉冲沙克龙除尘器（除尘效率为7</w:t>
            </w:r>
            <w:r>
              <w:rPr>
                <w:color w:val="000000"/>
                <w:kern w:val="0"/>
                <w:szCs w:val="24"/>
                <w:lang w:bidi="ar"/>
              </w:rPr>
              <w:t>0%</w:t>
            </w:r>
            <w:r>
              <w:rPr>
                <w:rFonts w:hint="eastAsia" w:ascii="宋体" w:hAnsi="宋体" w:cs="宋体"/>
                <w:color w:val="000000"/>
                <w:kern w:val="0"/>
                <w:szCs w:val="24"/>
                <w:lang w:bidi="ar"/>
              </w:rPr>
              <w:t>）直接相连，故废气可全部收集。粉碎</w:t>
            </w:r>
            <w:r>
              <w:rPr>
                <w:rFonts w:hint="eastAsia" w:ascii="宋体" w:hAnsi="宋体" w:cs="宋体"/>
                <w:color w:val="000000"/>
                <w:kern w:val="0"/>
                <w:szCs w:val="24"/>
                <w:lang w:val="en-US" w:eastAsia="zh-CN" w:bidi="ar"/>
              </w:rPr>
              <w:t>工序</w:t>
            </w:r>
            <w:r>
              <w:rPr>
                <w:rFonts w:hint="eastAsia" w:ascii="宋体" w:hAnsi="宋体" w:cs="宋体"/>
                <w:color w:val="000000"/>
                <w:kern w:val="0"/>
                <w:szCs w:val="24"/>
                <w:lang w:bidi="ar"/>
              </w:rPr>
              <w:t>配套风机风量为</w:t>
            </w:r>
            <w:r>
              <w:rPr>
                <w:rFonts w:hint="eastAsia"/>
                <w:color w:val="000000"/>
                <w:kern w:val="0"/>
                <w:szCs w:val="24"/>
                <w:lang w:val="en-US" w:eastAsia="zh-CN" w:bidi="ar"/>
              </w:rPr>
              <w:t>40000</w:t>
            </w:r>
            <w:r>
              <w:rPr>
                <w:color w:val="000000"/>
                <w:kern w:val="0"/>
                <w:szCs w:val="24"/>
                <w:lang w:bidi="ar"/>
              </w:rPr>
              <w:t>m</w:t>
            </w:r>
            <w:r>
              <w:rPr>
                <w:rFonts w:hint="eastAsia"/>
                <w:color w:val="000000"/>
                <w:kern w:val="0"/>
                <w:szCs w:val="24"/>
                <w:vertAlign w:val="superscript"/>
                <w:lang w:bidi="ar"/>
              </w:rPr>
              <w:t>3</w:t>
            </w:r>
            <w:r>
              <w:rPr>
                <w:color w:val="000000"/>
                <w:kern w:val="0"/>
                <w:szCs w:val="24"/>
                <w:lang w:bidi="ar"/>
              </w:rPr>
              <w:t>/h</w:t>
            </w:r>
            <w:r>
              <w:rPr>
                <w:rFonts w:hint="eastAsia" w:ascii="宋体" w:hAnsi="宋体" w:cs="宋体"/>
                <w:color w:val="000000"/>
                <w:kern w:val="0"/>
                <w:szCs w:val="24"/>
                <w:lang w:eastAsia="zh-CN" w:bidi="ar"/>
              </w:rPr>
              <w:t>，</w:t>
            </w:r>
            <w:r>
              <w:rPr>
                <w:rFonts w:hint="eastAsia" w:ascii="宋体" w:hAnsi="宋体" w:cs="宋体"/>
                <w:color w:val="000000"/>
                <w:kern w:val="0"/>
                <w:szCs w:val="24"/>
                <w:lang w:bidi="ar"/>
              </w:rPr>
              <w:t>配料混合工序配套风机风量为</w:t>
            </w:r>
            <w:r>
              <w:rPr>
                <w:rFonts w:hint="eastAsia"/>
                <w:color w:val="000000"/>
                <w:kern w:val="0"/>
                <w:szCs w:val="24"/>
                <w:lang w:val="en-US" w:eastAsia="zh-CN" w:bidi="ar"/>
              </w:rPr>
              <w:t>40000</w:t>
            </w:r>
            <w:r>
              <w:rPr>
                <w:color w:val="000000"/>
                <w:kern w:val="0"/>
                <w:szCs w:val="24"/>
                <w:lang w:bidi="ar"/>
              </w:rPr>
              <w:t>m</w:t>
            </w:r>
            <w:r>
              <w:rPr>
                <w:rFonts w:hint="eastAsia"/>
                <w:color w:val="000000"/>
                <w:kern w:val="0"/>
                <w:szCs w:val="24"/>
                <w:vertAlign w:val="superscript"/>
                <w:lang w:bidi="ar"/>
              </w:rPr>
              <w:t>3</w:t>
            </w:r>
            <w:r>
              <w:rPr>
                <w:color w:val="000000"/>
                <w:kern w:val="0"/>
                <w:szCs w:val="24"/>
                <w:lang w:bidi="ar"/>
              </w:rPr>
              <w:t>/h</w:t>
            </w:r>
            <w:r>
              <w:rPr>
                <w:rFonts w:hint="eastAsia" w:ascii="宋体" w:hAnsi="宋体" w:cs="宋体"/>
                <w:color w:val="000000"/>
                <w:kern w:val="0"/>
                <w:szCs w:val="24"/>
                <w:lang w:bidi="ar"/>
              </w:rPr>
              <w:t>，制粒冷却工序配套风机风量为</w:t>
            </w:r>
            <w:r>
              <w:rPr>
                <w:rFonts w:hint="eastAsia"/>
                <w:color w:val="000000"/>
                <w:kern w:val="0"/>
                <w:szCs w:val="24"/>
                <w:lang w:val="en-US" w:eastAsia="zh-CN" w:bidi="ar"/>
              </w:rPr>
              <w:t>20000</w:t>
            </w:r>
            <w:r>
              <w:rPr>
                <w:color w:val="000000"/>
                <w:kern w:val="0"/>
                <w:szCs w:val="24"/>
                <w:lang w:bidi="ar"/>
              </w:rPr>
              <w:t>m</w:t>
            </w:r>
            <w:r>
              <w:rPr>
                <w:rFonts w:hint="eastAsia"/>
                <w:color w:val="000000"/>
                <w:kern w:val="0"/>
                <w:szCs w:val="24"/>
                <w:vertAlign w:val="superscript"/>
                <w:lang w:bidi="ar"/>
              </w:rPr>
              <w:t>3</w:t>
            </w:r>
            <w:r>
              <w:rPr>
                <w:rFonts w:hint="eastAsia"/>
                <w:color w:val="000000"/>
                <w:kern w:val="0"/>
                <w:szCs w:val="24"/>
                <w:lang w:bidi="ar"/>
              </w:rPr>
              <w:t>/</w:t>
            </w:r>
            <w:r>
              <w:rPr>
                <w:color w:val="000000"/>
                <w:kern w:val="0"/>
                <w:szCs w:val="24"/>
                <w:lang w:bidi="ar"/>
              </w:rPr>
              <w:t>h</w:t>
            </w:r>
            <w:r>
              <w:rPr>
                <w:rFonts w:hint="eastAsia" w:ascii="宋体" w:hAnsi="宋体" w:cs="宋体"/>
                <w:color w:val="000000"/>
                <w:kern w:val="0"/>
                <w:szCs w:val="24"/>
                <w:lang w:bidi="ar"/>
              </w:rPr>
              <w:t>，各工序分别通过各自</w:t>
            </w:r>
            <w:r>
              <w:rPr>
                <w:color w:val="000000"/>
                <w:kern w:val="0"/>
                <w:szCs w:val="24"/>
                <w:lang w:bidi="ar"/>
              </w:rPr>
              <w:t>15m</w:t>
            </w:r>
            <w:r>
              <w:rPr>
                <w:rFonts w:hint="eastAsia" w:ascii="宋体" w:hAnsi="宋体" w:cs="宋体"/>
                <w:color w:val="000000"/>
                <w:kern w:val="0"/>
                <w:szCs w:val="24"/>
                <w:lang w:bidi="ar"/>
              </w:rPr>
              <w:t>高排气筒排放，每天运行时间为</w:t>
            </w:r>
            <w:r>
              <w:rPr>
                <w:color w:val="000000"/>
                <w:kern w:val="0"/>
                <w:szCs w:val="24"/>
                <w:lang w:bidi="ar"/>
              </w:rPr>
              <w:t>8h</w:t>
            </w:r>
            <w:r>
              <w:rPr>
                <w:rFonts w:hint="eastAsia" w:ascii="宋体" w:hAnsi="宋体" w:cs="宋体"/>
                <w:color w:val="000000"/>
                <w:kern w:val="0"/>
                <w:szCs w:val="24"/>
                <w:lang w:bidi="ar"/>
              </w:rPr>
              <w:t>，年运行时间为</w:t>
            </w:r>
            <w:r>
              <w:rPr>
                <w:color w:val="000000"/>
                <w:kern w:val="0"/>
                <w:szCs w:val="24"/>
                <w:lang w:bidi="ar"/>
              </w:rPr>
              <w:t>2400h</w:t>
            </w:r>
            <w:r>
              <w:rPr>
                <w:rFonts w:hint="eastAsia" w:ascii="宋体" w:hAnsi="宋体" w:cs="宋体"/>
                <w:color w:val="000000"/>
                <w:kern w:val="0"/>
                <w:szCs w:val="24"/>
                <w:lang w:bidi="ar"/>
              </w:rPr>
              <w:t>。</w:t>
            </w:r>
          </w:p>
          <w:p>
            <w:pPr>
              <w:widowControl/>
              <w:ind w:firstLine="480"/>
              <w:jc w:val="left"/>
              <w:rPr>
                <w:rFonts w:hint="eastAsia" w:ascii="宋体" w:hAnsi="宋体" w:cs="宋体"/>
                <w:color w:val="000000"/>
                <w:kern w:val="0"/>
                <w:szCs w:val="24"/>
                <w:lang w:bidi="ar"/>
              </w:rPr>
            </w:pPr>
            <w:r>
              <w:rPr>
                <w:rFonts w:hint="eastAsia" w:ascii="宋体" w:hAnsi="宋体" w:cs="宋体"/>
                <w:color w:val="000000"/>
                <w:kern w:val="0"/>
                <w:szCs w:val="24"/>
                <w:lang w:bidi="ar"/>
              </w:rPr>
              <w:t>根据《排放源统计调查产排污核算方法和系数手册》（</w:t>
            </w:r>
            <w:r>
              <w:rPr>
                <w:color w:val="000000"/>
                <w:kern w:val="0"/>
                <w:szCs w:val="24"/>
                <w:lang w:bidi="ar"/>
              </w:rPr>
              <w:t>2021</w:t>
            </w:r>
            <w:r>
              <w:rPr>
                <w:rFonts w:hint="eastAsia" w:ascii="宋体" w:hAnsi="宋体" w:cs="宋体"/>
                <w:color w:val="000000"/>
                <w:kern w:val="0"/>
                <w:szCs w:val="24"/>
                <w:lang w:bidi="ar"/>
              </w:rPr>
              <w:t>年）中</w:t>
            </w:r>
            <w:r>
              <w:rPr>
                <w:rFonts w:hint="eastAsia" w:ascii="宋体" w:hAnsi="宋体" w:cs="宋体"/>
                <w:color w:val="000000"/>
                <w:kern w:val="0"/>
                <w:szCs w:val="24"/>
                <w:lang w:eastAsia="zh-CN" w:bidi="ar"/>
              </w:rPr>
              <w:t>“</w:t>
            </w:r>
            <w:r>
              <w:rPr>
                <w:color w:val="000000"/>
                <w:kern w:val="0"/>
                <w:szCs w:val="24"/>
                <w:lang w:bidi="ar"/>
              </w:rPr>
              <w:t>132</w:t>
            </w:r>
            <w:r>
              <w:rPr>
                <w:rFonts w:hint="eastAsia" w:ascii="宋体" w:hAnsi="宋体" w:cs="宋体"/>
                <w:color w:val="000000"/>
                <w:kern w:val="0"/>
                <w:szCs w:val="24"/>
                <w:lang w:bidi="ar"/>
              </w:rPr>
              <w:t>饲料加工行业系数手册</w:t>
            </w:r>
            <w:r>
              <w:rPr>
                <w:rFonts w:hint="eastAsia" w:ascii="宋体" w:hAnsi="宋体" w:cs="宋体"/>
                <w:color w:val="000000"/>
                <w:kern w:val="0"/>
                <w:szCs w:val="24"/>
                <w:lang w:eastAsia="zh-CN" w:bidi="ar"/>
              </w:rPr>
              <w:t>”</w:t>
            </w:r>
            <w:r>
              <w:rPr>
                <w:rFonts w:hint="eastAsia" w:ascii="宋体" w:hAnsi="宋体" w:cs="宋体"/>
                <w:color w:val="000000"/>
                <w:kern w:val="0"/>
                <w:szCs w:val="24"/>
                <w:lang w:bidi="ar"/>
              </w:rPr>
              <w:t>，规模等级为</w:t>
            </w:r>
            <w:r>
              <w:rPr>
                <w:color w:val="000000"/>
                <w:kern w:val="0"/>
                <w:szCs w:val="24"/>
                <w:lang w:bidi="ar"/>
              </w:rPr>
              <w:t>10</w:t>
            </w:r>
            <w:r>
              <w:rPr>
                <w:rFonts w:hint="eastAsia" w:ascii="宋体" w:hAnsi="宋体" w:cs="宋体"/>
                <w:color w:val="000000"/>
                <w:kern w:val="0"/>
                <w:szCs w:val="24"/>
                <w:lang w:bidi="ar"/>
              </w:rPr>
              <w:t>万吨</w:t>
            </w:r>
            <w:r>
              <w:rPr>
                <w:color w:val="000000"/>
                <w:kern w:val="0"/>
                <w:szCs w:val="24"/>
                <w:lang w:bidi="ar"/>
              </w:rPr>
              <w:t>/</w:t>
            </w:r>
            <w:r>
              <w:rPr>
                <w:rFonts w:hint="eastAsia" w:ascii="宋体" w:hAnsi="宋体" w:cs="宋体"/>
                <w:color w:val="000000"/>
                <w:kern w:val="0"/>
                <w:szCs w:val="24"/>
                <w:lang w:bidi="ar"/>
              </w:rPr>
              <w:t>年以上的配合饲料颗粒物产生系数为</w:t>
            </w:r>
            <w:r>
              <w:rPr>
                <w:color w:val="000000"/>
                <w:kern w:val="0"/>
                <w:szCs w:val="24"/>
                <w:lang w:bidi="ar"/>
              </w:rPr>
              <w:t>0.041</w:t>
            </w:r>
            <w:r>
              <w:rPr>
                <w:rFonts w:hint="eastAsia" w:ascii="宋体" w:hAnsi="宋体" w:cs="宋体"/>
                <w:color w:val="000000"/>
                <w:kern w:val="0"/>
                <w:szCs w:val="24"/>
                <w:lang w:bidi="ar"/>
              </w:rPr>
              <w:t>千克</w:t>
            </w:r>
            <w:r>
              <w:rPr>
                <w:color w:val="000000"/>
                <w:kern w:val="0"/>
                <w:szCs w:val="24"/>
                <w:lang w:bidi="ar"/>
              </w:rPr>
              <w:t>/</w:t>
            </w:r>
            <w:r>
              <w:rPr>
                <w:rFonts w:hint="eastAsia" w:ascii="宋体" w:hAnsi="宋体" w:cs="宋体"/>
                <w:color w:val="000000"/>
                <w:kern w:val="0"/>
                <w:szCs w:val="24"/>
                <w:lang w:bidi="ar"/>
              </w:rPr>
              <w:t>吨</w:t>
            </w:r>
            <w:r>
              <w:rPr>
                <w:color w:val="000000"/>
                <w:kern w:val="0"/>
                <w:szCs w:val="24"/>
                <w:lang w:bidi="ar"/>
              </w:rPr>
              <w:t>-</w:t>
            </w:r>
            <w:r>
              <w:rPr>
                <w:rFonts w:hint="eastAsia" w:ascii="宋体" w:hAnsi="宋体" w:cs="宋体"/>
                <w:color w:val="000000"/>
                <w:kern w:val="0"/>
                <w:szCs w:val="24"/>
                <w:lang w:bidi="ar"/>
              </w:rPr>
              <w:t>产品，排污系数详见下表。</w:t>
            </w:r>
          </w:p>
          <w:p>
            <w:pPr>
              <w:pStyle w:val="65"/>
            </w:pPr>
            <w:r>
              <w:t>表</w:t>
            </w:r>
            <w:r>
              <w:rPr>
                <w:rFonts w:hint="eastAsia"/>
              </w:rPr>
              <w:t>4.2-2</w:t>
            </w:r>
            <w:r>
              <w:t xml:space="preserve"> </w:t>
            </w:r>
            <w:r>
              <w:rPr>
                <w:rFonts w:hint="eastAsia"/>
              </w:rPr>
              <w:t xml:space="preserve"> </w:t>
            </w:r>
            <w:r>
              <w:t xml:space="preserve"> 饲料加工行业系数表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752"/>
              <w:gridCol w:w="1430"/>
              <w:gridCol w:w="875"/>
              <w:gridCol w:w="625"/>
              <w:gridCol w:w="791"/>
              <w:gridCol w:w="1015"/>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pStyle w:val="70"/>
                  </w:pPr>
                  <w:r>
                    <w:t>产品名称</w:t>
                  </w:r>
                </w:p>
              </w:tc>
              <w:tc>
                <w:tcPr>
                  <w:tcW w:w="1720" w:type="dxa"/>
                  <w:vAlign w:val="center"/>
                </w:tcPr>
                <w:p>
                  <w:pPr>
                    <w:pStyle w:val="70"/>
                  </w:pPr>
                  <w:r>
                    <w:t>原料名称</w:t>
                  </w:r>
                </w:p>
              </w:tc>
              <w:tc>
                <w:tcPr>
                  <w:tcW w:w="1404" w:type="dxa"/>
                  <w:vAlign w:val="center"/>
                </w:tcPr>
                <w:p>
                  <w:pPr>
                    <w:pStyle w:val="70"/>
                  </w:pPr>
                  <w:r>
                    <w:t>工艺名称</w:t>
                  </w:r>
                </w:p>
              </w:tc>
              <w:tc>
                <w:tcPr>
                  <w:tcW w:w="859" w:type="dxa"/>
                  <w:vAlign w:val="center"/>
                </w:tcPr>
                <w:p>
                  <w:pPr>
                    <w:pStyle w:val="70"/>
                    <w:rPr>
                      <w:rFonts w:hint="eastAsia" w:eastAsia="宋体"/>
                      <w:lang w:eastAsia="zh-CN"/>
                    </w:rPr>
                  </w:pPr>
                  <w:r>
                    <w:t>规模</w:t>
                  </w:r>
                  <w:r>
                    <w:rPr>
                      <w:rFonts w:hint="eastAsia"/>
                      <w:lang w:val="en-US" w:eastAsia="zh-CN"/>
                    </w:rPr>
                    <w:t>等级</w:t>
                  </w:r>
                </w:p>
              </w:tc>
              <w:tc>
                <w:tcPr>
                  <w:tcW w:w="1391" w:type="dxa"/>
                  <w:gridSpan w:val="2"/>
                  <w:vAlign w:val="center"/>
                </w:tcPr>
                <w:p>
                  <w:pPr>
                    <w:pStyle w:val="70"/>
                  </w:pPr>
                  <w:r>
                    <w:t>污染物指标</w:t>
                  </w:r>
                </w:p>
              </w:tc>
              <w:tc>
                <w:tcPr>
                  <w:tcW w:w="996" w:type="dxa"/>
                  <w:vAlign w:val="center"/>
                </w:tcPr>
                <w:p>
                  <w:pPr>
                    <w:pStyle w:val="70"/>
                  </w:pPr>
                  <w:r>
                    <w:t>系数单位</w:t>
                  </w:r>
                </w:p>
              </w:tc>
              <w:tc>
                <w:tcPr>
                  <w:tcW w:w="1098" w:type="dxa"/>
                  <w:vAlign w:val="center"/>
                </w:tcPr>
                <w:p>
                  <w:pPr>
                    <w:pStyle w:val="70"/>
                  </w:pPr>
                  <w: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4" w:type="dxa"/>
                  <w:vAlign w:val="center"/>
                </w:tcPr>
                <w:p>
                  <w:pPr>
                    <w:pStyle w:val="70"/>
                  </w:pPr>
                  <w:r>
                    <w:t>配合饲料</w:t>
                  </w:r>
                </w:p>
              </w:tc>
              <w:tc>
                <w:tcPr>
                  <w:tcW w:w="1720" w:type="dxa"/>
                  <w:vAlign w:val="center"/>
                </w:tcPr>
                <w:p>
                  <w:pPr>
                    <w:pStyle w:val="70"/>
                  </w:pPr>
                  <w:r>
                    <w:t>玉米、蛋白质类原料（豆粕等）、维生素等</w:t>
                  </w:r>
                </w:p>
              </w:tc>
              <w:tc>
                <w:tcPr>
                  <w:tcW w:w="1404" w:type="dxa"/>
                  <w:vAlign w:val="center"/>
                </w:tcPr>
                <w:p>
                  <w:pPr>
                    <w:pStyle w:val="70"/>
                  </w:pPr>
                  <w:r>
                    <w:t>粉碎+混合+制粒</w:t>
                  </w:r>
                </w:p>
                <w:p>
                  <w:pPr>
                    <w:pStyle w:val="70"/>
                  </w:pPr>
                  <w:r>
                    <w:t>（可不制粒）+除尘</w:t>
                  </w:r>
                </w:p>
              </w:tc>
              <w:tc>
                <w:tcPr>
                  <w:tcW w:w="859" w:type="dxa"/>
                  <w:vAlign w:val="center"/>
                </w:tcPr>
                <w:p>
                  <w:pPr>
                    <w:pStyle w:val="70"/>
                  </w:pPr>
                  <w:r>
                    <w:t>≥10万</w:t>
                  </w:r>
                </w:p>
                <w:p>
                  <w:pPr>
                    <w:pStyle w:val="70"/>
                  </w:pPr>
                  <w:r>
                    <w:t>吨/年</w:t>
                  </w:r>
                </w:p>
              </w:tc>
              <w:tc>
                <w:tcPr>
                  <w:tcW w:w="614" w:type="dxa"/>
                  <w:vAlign w:val="center"/>
                </w:tcPr>
                <w:p>
                  <w:pPr>
                    <w:pStyle w:val="70"/>
                  </w:pPr>
                  <w:r>
                    <w:t>废气</w:t>
                  </w:r>
                </w:p>
              </w:tc>
              <w:tc>
                <w:tcPr>
                  <w:tcW w:w="777" w:type="dxa"/>
                  <w:vAlign w:val="center"/>
                </w:tcPr>
                <w:p>
                  <w:pPr>
                    <w:pStyle w:val="70"/>
                  </w:pPr>
                  <w:r>
                    <w:t>颗粒物</w:t>
                  </w:r>
                </w:p>
              </w:tc>
              <w:tc>
                <w:tcPr>
                  <w:tcW w:w="996" w:type="dxa"/>
                  <w:vAlign w:val="center"/>
                </w:tcPr>
                <w:p>
                  <w:pPr>
                    <w:pStyle w:val="70"/>
                  </w:pPr>
                  <w:r>
                    <w:t>千克</w:t>
                  </w:r>
                  <w:r>
                    <w:rPr>
                      <w:rFonts w:hint="eastAsia"/>
                    </w:rPr>
                    <w:t>/</w:t>
                  </w:r>
                  <w:r>
                    <w:t>吨</w:t>
                  </w:r>
                </w:p>
                <w:p>
                  <w:pPr>
                    <w:pStyle w:val="70"/>
                  </w:pPr>
                  <w:r>
                    <w:t>产品</w:t>
                  </w:r>
                </w:p>
              </w:tc>
              <w:tc>
                <w:tcPr>
                  <w:tcW w:w="1098" w:type="dxa"/>
                  <w:vAlign w:val="center"/>
                </w:tcPr>
                <w:p>
                  <w:pPr>
                    <w:pStyle w:val="70"/>
                  </w:pPr>
                  <w:r>
                    <w:t>0.041</w:t>
                  </w:r>
                </w:p>
              </w:tc>
            </w:tr>
          </w:tbl>
          <w:p>
            <w:pPr>
              <w:ind w:firstLine="480"/>
              <w:rPr>
                <w:rFonts w:hint="eastAsia"/>
              </w:rPr>
            </w:pPr>
            <w:r>
              <w:rPr>
                <w:rFonts w:hint="eastAsia"/>
              </w:rPr>
              <w:t>根据《排放源统计调查产排污核算方法和系数手册》</w:t>
            </w:r>
            <w:r>
              <w:t xml:space="preserve">132 </w:t>
            </w:r>
            <w:r>
              <w:rPr>
                <w:rFonts w:hint="eastAsia"/>
              </w:rPr>
              <w:t>饲料加工行业中相关描述：根据饲料加工行业的生产特点，将</w:t>
            </w:r>
            <w:bookmarkStart w:id="15" w:name="OLE_LINK2"/>
            <w:r>
              <w:rPr>
                <w:rFonts w:hint="eastAsia"/>
              </w:rPr>
              <w:t>除尘系统纳入生产工艺设备</w:t>
            </w:r>
            <w:bookmarkEnd w:id="15"/>
            <w:r>
              <w:rPr>
                <w:rFonts w:hint="eastAsia"/>
              </w:rPr>
              <w:t>，即产污系数已核算扣减污染治理设施去除的颗粒物。因此产污系数为最终的排放系数。根据企业生产运营经验，项目粉碎段的颗粒物排放系数取</w:t>
            </w:r>
            <w:r>
              <w:t>0.015</w:t>
            </w:r>
            <w:r>
              <w:rPr>
                <w:rFonts w:hint="eastAsia"/>
              </w:rPr>
              <w:t>千克</w:t>
            </w:r>
            <w:r>
              <w:t>/</w:t>
            </w:r>
            <w:r>
              <w:rPr>
                <w:rFonts w:hint="eastAsia"/>
              </w:rPr>
              <w:t>吨</w:t>
            </w:r>
            <w:r>
              <w:t>-</w:t>
            </w:r>
            <w:r>
              <w:rPr>
                <w:rFonts w:hint="eastAsia"/>
              </w:rPr>
              <w:t>产品核算；项目配料混合段的颗粒物排放系数取</w:t>
            </w:r>
            <w:r>
              <w:t>0.016</w:t>
            </w:r>
            <w:r>
              <w:rPr>
                <w:rFonts w:hint="eastAsia"/>
              </w:rPr>
              <w:t>千克</w:t>
            </w:r>
            <w:r>
              <w:t>/</w:t>
            </w:r>
            <w:r>
              <w:rPr>
                <w:rFonts w:hint="eastAsia"/>
              </w:rPr>
              <w:t>吨</w:t>
            </w:r>
            <w:r>
              <w:t>-</w:t>
            </w:r>
            <w:r>
              <w:rPr>
                <w:rFonts w:hint="eastAsia"/>
              </w:rPr>
              <w:t>产品核算；项目制粒冷却段的颗粒物排放系数取</w:t>
            </w:r>
            <w:r>
              <w:t>0.01</w:t>
            </w:r>
            <w:r>
              <w:rPr>
                <w:rFonts w:hint="eastAsia"/>
              </w:rPr>
              <w:t>千克</w:t>
            </w:r>
            <w:r>
              <w:t>/</w:t>
            </w:r>
            <w:r>
              <w:rPr>
                <w:rFonts w:hint="eastAsia"/>
              </w:rPr>
              <w:t>吨</w:t>
            </w:r>
            <w:r>
              <w:t>-</w:t>
            </w:r>
            <w:r>
              <w:rPr>
                <w:rFonts w:hint="eastAsia"/>
              </w:rPr>
              <w:t>产品核算。</w:t>
            </w:r>
          </w:p>
          <w:p>
            <w:pPr>
              <w:pStyle w:val="35"/>
              <w:ind w:left="0" w:leftChars="0" w:firstLine="480" w:firstLineChars="200"/>
              <w:rPr>
                <w:rFonts w:hint="default" w:ascii="Times New Roman" w:hAnsi="Times New Roman" w:eastAsia="宋体" w:cs="Times New Roman"/>
                <w:color w:val="auto"/>
                <w:kern w:val="2"/>
                <w:sz w:val="24"/>
                <w:szCs w:val="21"/>
                <w:highlight w:val="none"/>
                <w:lang w:val="en-US" w:eastAsia="zh-CN" w:bidi="ar-SA"/>
              </w:rPr>
            </w:pPr>
            <w:r>
              <w:rPr>
                <w:rFonts w:hint="eastAsia" w:ascii="Times New Roman" w:hAnsi="Times New Roman" w:eastAsia="宋体" w:cs="Times New Roman"/>
                <w:color w:val="auto"/>
                <w:kern w:val="2"/>
                <w:sz w:val="24"/>
                <w:szCs w:val="21"/>
                <w:highlight w:val="none"/>
                <w:lang w:val="en-US" w:eastAsia="zh-CN" w:bidi="ar-SA"/>
              </w:rPr>
              <w:t>本项目生产20万吨秸秆青（黄）储饲料和40万吨全价颗粒饲料，其中生产秸秆青（黄）储饲料和全价颗粒饲料均包括粉碎段，因此粉碎段产品为60万吨，但仅全价颗粒饲料需要混合配料以及制粒冷却，因此混合配料以及制粒冷却产品为40万吨。</w:t>
            </w:r>
          </w:p>
          <w:p>
            <w:pPr>
              <w:ind w:firstLine="480"/>
              <w:rPr>
                <w:highlight w:val="none"/>
              </w:rPr>
            </w:pPr>
            <w:r>
              <w:rPr>
                <w:rFonts w:hint="eastAsia"/>
                <w:highlight w:val="none"/>
              </w:rPr>
              <w:t>则项目粉碎颗粒物有组织排放量为</w:t>
            </w:r>
            <w:r>
              <w:rPr>
                <w:rFonts w:hint="eastAsia"/>
                <w:highlight w:val="none"/>
                <w:lang w:val="en-US" w:eastAsia="zh-CN"/>
              </w:rPr>
              <w:t>9</w:t>
            </w:r>
            <w:r>
              <w:rPr>
                <w:highlight w:val="none"/>
              </w:rPr>
              <w:t>t/a</w:t>
            </w:r>
            <w:r>
              <w:rPr>
                <w:rFonts w:hint="eastAsia"/>
                <w:highlight w:val="none"/>
              </w:rPr>
              <w:t>，有组织排放速率为</w:t>
            </w:r>
            <w:r>
              <w:rPr>
                <w:rFonts w:hint="eastAsia"/>
                <w:highlight w:val="none"/>
                <w:lang w:val="en-US" w:eastAsia="zh-CN"/>
              </w:rPr>
              <w:t>3.75</w:t>
            </w:r>
            <w:r>
              <w:rPr>
                <w:highlight w:val="none"/>
              </w:rPr>
              <w:t>kg/h</w:t>
            </w:r>
            <w:r>
              <w:rPr>
                <w:rFonts w:hint="eastAsia"/>
                <w:highlight w:val="none"/>
              </w:rPr>
              <w:t>，有组织排放浓度</w:t>
            </w:r>
            <w:r>
              <w:rPr>
                <w:rFonts w:hint="eastAsia"/>
                <w:highlight w:val="none"/>
                <w:lang w:val="en-US" w:eastAsia="zh-CN"/>
              </w:rPr>
              <w:t>93.75</w:t>
            </w:r>
            <w:r>
              <w:rPr>
                <w:highlight w:val="none"/>
              </w:rPr>
              <w:t>mg/m</w:t>
            </w:r>
            <w:r>
              <w:rPr>
                <w:rFonts w:hint="eastAsia"/>
                <w:highlight w:val="none"/>
                <w:vertAlign w:val="superscript"/>
              </w:rPr>
              <w:t>3</w:t>
            </w:r>
            <w:r>
              <w:rPr>
                <w:rFonts w:hint="eastAsia"/>
                <w:highlight w:val="none"/>
              </w:rPr>
              <w:t>。配料混合颗粒物有组织排放量</w:t>
            </w:r>
            <w:r>
              <w:rPr>
                <w:rFonts w:hint="eastAsia"/>
                <w:highlight w:val="none"/>
                <w:lang w:val="en-US" w:eastAsia="zh-CN"/>
              </w:rPr>
              <w:t>6.4</w:t>
            </w:r>
            <w:r>
              <w:rPr>
                <w:highlight w:val="none"/>
              </w:rPr>
              <w:t>t/a</w:t>
            </w:r>
            <w:r>
              <w:rPr>
                <w:rFonts w:hint="eastAsia"/>
                <w:highlight w:val="none"/>
              </w:rPr>
              <w:t>，有组织排放速率为</w:t>
            </w:r>
            <w:r>
              <w:rPr>
                <w:rFonts w:hint="eastAsia"/>
                <w:highlight w:val="none"/>
                <w:lang w:val="en-US" w:eastAsia="zh-CN"/>
              </w:rPr>
              <w:t>2.667</w:t>
            </w:r>
            <w:r>
              <w:rPr>
                <w:highlight w:val="none"/>
              </w:rPr>
              <w:t>kg/h</w:t>
            </w:r>
            <w:r>
              <w:rPr>
                <w:rFonts w:hint="eastAsia"/>
                <w:highlight w:val="none"/>
              </w:rPr>
              <w:t>，有组织排放浓度</w:t>
            </w:r>
            <w:r>
              <w:rPr>
                <w:rFonts w:hint="eastAsia"/>
                <w:highlight w:val="none"/>
                <w:lang w:val="en-US" w:eastAsia="zh-CN"/>
              </w:rPr>
              <w:t>66.675</w:t>
            </w:r>
            <w:r>
              <w:rPr>
                <w:highlight w:val="none"/>
              </w:rPr>
              <w:t>mg/m</w:t>
            </w:r>
            <w:r>
              <w:rPr>
                <w:rFonts w:hint="eastAsia"/>
                <w:highlight w:val="none"/>
                <w:vertAlign w:val="superscript"/>
              </w:rPr>
              <w:t>3</w:t>
            </w:r>
            <w:r>
              <w:rPr>
                <w:rFonts w:hint="eastAsia"/>
                <w:highlight w:val="none"/>
              </w:rPr>
              <w:t>。制粒冷却有组织排放量</w:t>
            </w:r>
            <w:r>
              <w:rPr>
                <w:rFonts w:hint="eastAsia"/>
                <w:highlight w:val="none"/>
                <w:lang w:val="en-US" w:eastAsia="zh-CN"/>
              </w:rPr>
              <w:t>4</w:t>
            </w:r>
            <w:r>
              <w:rPr>
                <w:highlight w:val="none"/>
              </w:rPr>
              <w:t>t/a</w:t>
            </w:r>
            <w:r>
              <w:rPr>
                <w:rFonts w:hint="eastAsia"/>
                <w:highlight w:val="none"/>
              </w:rPr>
              <w:t>，有组织排放速率为</w:t>
            </w:r>
            <w:r>
              <w:rPr>
                <w:rFonts w:hint="eastAsia"/>
                <w:highlight w:val="none"/>
                <w:lang w:val="en-US" w:eastAsia="zh-CN"/>
              </w:rPr>
              <w:t>1.667</w:t>
            </w:r>
            <w:r>
              <w:rPr>
                <w:highlight w:val="none"/>
              </w:rPr>
              <w:t>kg/h</w:t>
            </w:r>
            <w:r>
              <w:rPr>
                <w:rFonts w:hint="eastAsia"/>
                <w:highlight w:val="none"/>
              </w:rPr>
              <w:t>，有组织排放浓度</w:t>
            </w:r>
            <w:r>
              <w:rPr>
                <w:rFonts w:hint="eastAsia"/>
                <w:highlight w:val="none"/>
                <w:lang w:val="en-US" w:eastAsia="zh-CN"/>
              </w:rPr>
              <w:t>83.35</w:t>
            </w:r>
            <w:r>
              <w:rPr>
                <w:highlight w:val="none"/>
              </w:rPr>
              <w:t>mg/m</w:t>
            </w:r>
            <w:r>
              <w:rPr>
                <w:rFonts w:hint="eastAsia"/>
                <w:highlight w:val="none"/>
                <w:vertAlign w:val="superscript"/>
              </w:rPr>
              <w:t>3</w:t>
            </w:r>
            <w:r>
              <w:rPr>
                <w:rFonts w:hint="eastAsia"/>
                <w:highlight w:val="none"/>
              </w:rPr>
              <w:t>。</w:t>
            </w:r>
          </w:p>
          <w:p>
            <w:pPr>
              <w:widowControl/>
              <w:ind w:firstLine="480"/>
              <w:jc w:val="left"/>
            </w:pPr>
            <w:r>
              <w:rPr>
                <w:rFonts w:hint="eastAsia" w:ascii="宋体" w:hAnsi="宋体" w:cs="宋体"/>
                <w:color w:val="000000"/>
                <w:kern w:val="0"/>
                <w:szCs w:val="24"/>
                <w:lang w:bidi="ar"/>
              </w:rPr>
              <w:t>④制粒冷却过程异味</w:t>
            </w:r>
          </w:p>
          <w:p>
            <w:pPr>
              <w:ind w:firstLine="480"/>
            </w:pPr>
            <w:r>
              <w:rPr>
                <w:rFonts w:hint="eastAsia"/>
              </w:rPr>
              <w:t>本项目异味来源主要为豆粕等原料在储存过程中产生的恶臭气味以及饲料生产过程中制粒冷却工段等原料产生的异味或恶臭气体。根据《恶臭污染物排放标准》</w:t>
            </w:r>
            <w:r>
              <w:rPr>
                <w:rFonts w:hint="eastAsia"/>
                <w:lang w:eastAsia="zh-CN"/>
              </w:rPr>
              <w:t>（</w:t>
            </w:r>
            <w:r>
              <w:t>GB14554-1993</w:t>
            </w:r>
            <w:r>
              <w:rPr>
                <w:rFonts w:hint="eastAsia"/>
                <w:lang w:eastAsia="zh-CN"/>
              </w:rPr>
              <w:t>）</w:t>
            </w:r>
            <w:r>
              <w:rPr>
                <w:rFonts w:hint="eastAsia"/>
              </w:rPr>
              <w:t>中对恶臭气体的定义，一切刺激嗅觉器官引起人们不愉快及损坏生活环境的气体均属于恶臭气体。</w:t>
            </w:r>
            <w:r>
              <w:t>根据文献《臭气强度与臭气浓度间的定量关系研究》</w:t>
            </w:r>
            <w:r>
              <w:rPr>
                <w:rFonts w:hint="eastAsia"/>
                <w:lang w:eastAsia="zh-CN"/>
              </w:rPr>
              <w:t>（</w:t>
            </w:r>
            <w:r>
              <w:t>来自《城市环境与城市生态》，2014年8月，第</w:t>
            </w:r>
            <w:r>
              <w:rPr>
                <w:rFonts w:hint="eastAsia"/>
              </w:rPr>
              <w:t>27</w:t>
            </w:r>
            <w:r>
              <w:t>卷</w:t>
            </w:r>
            <w:r>
              <w:rPr>
                <w:rFonts w:hint="eastAsia"/>
              </w:rPr>
              <w:t>4</w:t>
            </w:r>
            <w:r>
              <w:t>期</w:t>
            </w:r>
            <w:r>
              <w:rPr>
                <w:rFonts w:hint="eastAsia"/>
                <w:lang w:eastAsia="zh-CN"/>
              </w:rPr>
              <w:t>）</w:t>
            </w:r>
            <w:r>
              <w:t>，不同臭气级别对应的臭气浓度情况见下表。</w:t>
            </w:r>
          </w:p>
          <w:p>
            <w:pPr>
              <w:pStyle w:val="65"/>
            </w:pPr>
            <w:r>
              <w:t>表</w:t>
            </w:r>
            <w:r>
              <w:rPr>
                <w:rFonts w:hint="eastAsia"/>
              </w:rPr>
              <w:t xml:space="preserve">4.2-3 </w:t>
            </w:r>
            <w:r>
              <w:t xml:space="preserve">  臭气级别及臭气浓度情况对应表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15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pStyle w:val="70"/>
                  </w:pPr>
                  <w:r>
                    <w:t>级别</w:t>
                  </w:r>
                </w:p>
              </w:tc>
              <w:tc>
                <w:tcPr>
                  <w:tcW w:w="5150" w:type="dxa"/>
                  <w:vAlign w:val="center"/>
                </w:tcPr>
                <w:p>
                  <w:pPr>
                    <w:pStyle w:val="70"/>
                  </w:pPr>
                  <w:r>
                    <w:t>嗅觉感觉</w:t>
                  </w:r>
                </w:p>
              </w:tc>
              <w:tc>
                <w:tcPr>
                  <w:tcW w:w="2421" w:type="dxa"/>
                  <w:vAlign w:val="center"/>
                </w:tcPr>
                <w:p>
                  <w:pPr>
                    <w:pStyle w:val="70"/>
                  </w:pPr>
                  <w:r>
                    <w:t>臭气浓度区间（无量纲）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pStyle w:val="70"/>
                  </w:pPr>
                  <w:r>
                    <w:t>0</w:t>
                  </w:r>
                </w:p>
              </w:tc>
              <w:tc>
                <w:tcPr>
                  <w:tcW w:w="5150" w:type="dxa"/>
                  <w:vAlign w:val="center"/>
                </w:tcPr>
                <w:p>
                  <w:pPr>
                    <w:pStyle w:val="70"/>
                  </w:pPr>
                  <w:r>
                    <w:t>无臭</w:t>
                  </w:r>
                </w:p>
              </w:tc>
              <w:tc>
                <w:tcPr>
                  <w:tcW w:w="2421" w:type="dxa"/>
                  <w:vAlign w:val="center"/>
                </w:tcPr>
                <w:p>
                  <w:pPr>
                    <w:pStyle w:val="70"/>
                  </w:pPr>
                  <w: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pStyle w:val="70"/>
                  </w:pPr>
                  <w:r>
                    <w:t>1</w:t>
                  </w:r>
                </w:p>
              </w:tc>
              <w:tc>
                <w:tcPr>
                  <w:tcW w:w="5150" w:type="dxa"/>
                  <w:vAlign w:val="center"/>
                </w:tcPr>
                <w:p>
                  <w:pPr>
                    <w:pStyle w:val="70"/>
                  </w:pPr>
                  <w:r>
                    <w:t>能稍微感觉出极微弱的臭味，对应检知阈值的浓度范围</w:t>
                  </w:r>
                </w:p>
              </w:tc>
              <w:tc>
                <w:tcPr>
                  <w:tcW w:w="2421" w:type="dxa"/>
                  <w:vAlign w:val="center"/>
                </w:tcPr>
                <w:p>
                  <w:pPr>
                    <w:pStyle w:val="70"/>
                  </w:pPr>
                  <w:r>
                    <w:t>&lt;49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pStyle w:val="70"/>
                  </w:pPr>
                  <w:r>
                    <w:t>2</w:t>
                  </w:r>
                </w:p>
              </w:tc>
              <w:tc>
                <w:tcPr>
                  <w:tcW w:w="5150" w:type="dxa"/>
                  <w:vAlign w:val="center"/>
                </w:tcPr>
                <w:p>
                  <w:pPr>
                    <w:pStyle w:val="70"/>
                  </w:pPr>
                  <w:r>
                    <w:t>能勉强辨别出臭味的品质，对应确认阈值的浓度范围</w:t>
                  </w:r>
                </w:p>
              </w:tc>
              <w:tc>
                <w:tcPr>
                  <w:tcW w:w="2421" w:type="dxa"/>
                  <w:vAlign w:val="center"/>
                </w:tcPr>
                <w:p>
                  <w:pPr>
                    <w:pStyle w:val="70"/>
                  </w:pPr>
                  <w:r>
                    <w:t>49-234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pStyle w:val="70"/>
                  </w:pPr>
                  <w:r>
                    <w:t>3</w:t>
                  </w:r>
                </w:p>
              </w:tc>
              <w:tc>
                <w:tcPr>
                  <w:tcW w:w="5150" w:type="dxa"/>
                  <w:vAlign w:val="center"/>
                </w:tcPr>
                <w:p>
                  <w:pPr>
                    <w:pStyle w:val="70"/>
                  </w:pPr>
                  <w:r>
                    <w:t>可明显感觉到有臭味</w:t>
                  </w:r>
                </w:p>
              </w:tc>
              <w:tc>
                <w:tcPr>
                  <w:tcW w:w="2421" w:type="dxa"/>
                  <w:vAlign w:val="center"/>
                </w:tcPr>
                <w:p>
                  <w:pPr>
                    <w:pStyle w:val="70"/>
                  </w:pPr>
                  <w:r>
                    <w:t>234-1318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pStyle w:val="70"/>
                  </w:pPr>
                  <w:r>
                    <w:t>4</w:t>
                  </w:r>
                </w:p>
              </w:tc>
              <w:tc>
                <w:tcPr>
                  <w:tcW w:w="5150" w:type="dxa"/>
                  <w:vAlign w:val="center"/>
                </w:tcPr>
                <w:p>
                  <w:pPr>
                    <w:pStyle w:val="70"/>
                  </w:pPr>
                  <w:r>
                    <w:t>强烈的臭味</w:t>
                  </w:r>
                </w:p>
              </w:tc>
              <w:tc>
                <w:tcPr>
                  <w:tcW w:w="2421" w:type="dxa"/>
                  <w:vAlign w:val="center"/>
                </w:tcPr>
                <w:p>
                  <w:pPr>
                    <w:pStyle w:val="70"/>
                  </w:pPr>
                  <w:r>
                    <w:t>1318-7413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pStyle w:val="70"/>
                  </w:pPr>
                  <w:r>
                    <w:t>5</w:t>
                  </w:r>
                </w:p>
              </w:tc>
              <w:tc>
                <w:tcPr>
                  <w:tcW w:w="5150" w:type="dxa"/>
                  <w:vAlign w:val="center"/>
                </w:tcPr>
                <w:p>
                  <w:pPr>
                    <w:pStyle w:val="70"/>
                  </w:pPr>
                  <w:r>
                    <w:t>让人无法忍受的强烈臭味</w:t>
                  </w:r>
                </w:p>
              </w:tc>
              <w:tc>
                <w:tcPr>
                  <w:tcW w:w="2421" w:type="dxa"/>
                  <w:vAlign w:val="center"/>
                </w:tcPr>
                <w:p>
                  <w:pPr>
                    <w:pStyle w:val="70"/>
                  </w:pPr>
                  <w:r>
                    <w:rPr>
                      <w:rFonts w:hint="eastAsia"/>
                      <w:lang w:val="en-US" w:eastAsia="zh-CN"/>
                    </w:rPr>
                    <w:t>&gt;</w:t>
                  </w:r>
                  <w:r>
                    <w:t>7413</w:t>
                  </w:r>
                </w:p>
              </w:tc>
            </w:tr>
          </w:tbl>
          <w:p>
            <w:pPr>
              <w:ind w:firstLine="480"/>
            </w:pPr>
            <w:r>
              <w:rPr>
                <w:rFonts w:hint="eastAsia"/>
              </w:rPr>
              <w:t>本项目</w:t>
            </w:r>
            <w:r>
              <w:rPr>
                <w:rFonts w:hint="eastAsia"/>
                <w:lang w:val="en-US" w:eastAsia="zh-CN"/>
              </w:rPr>
              <w:t>在车间内采用全密闭储罐发酵，生产设备、工艺先进</w:t>
            </w:r>
            <w:r>
              <w:rPr>
                <w:rFonts w:hint="eastAsia"/>
              </w:rPr>
              <w:t>，故臭味产生较少，且厂区周围</w:t>
            </w:r>
            <w:r>
              <w:t>500m</w:t>
            </w:r>
            <w:r>
              <w:rPr>
                <w:rFonts w:hint="eastAsia"/>
              </w:rPr>
              <w:t>范围内无居民，采取通风换气控制异味排放。参考同类项目制粒冷却工段产生的恶臭等级在</w:t>
            </w:r>
            <w:r>
              <w:t>3</w:t>
            </w:r>
            <w:r>
              <w:rPr>
                <w:rFonts w:hint="eastAsia"/>
              </w:rPr>
              <w:t>级左右，为减少异味对周边环境的影响，本项目需加强车间通风换气。制粒冷却工段气体气味在</w:t>
            </w:r>
            <w:r>
              <w:t>3</w:t>
            </w:r>
            <w:r>
              <w:rPr>
                <w:rFonts w:hint="eastAsia"/>
              </w:rPr>
              <w:t>级，臭气浓度值</w:t>
            </w:r>
            <w:r>
              <w:t>234-1318</w:t>
            </w:r>
            <w:r>
              <w:rPr>
                <w:rFonts w:hint="eastAsia"/>
              </w:rPr>
              <w:t>无量纲，车间换气窗户共</w:t>
            </w:r>
            <w:r>
              <w:t>25m</w:t>
            </w:r>
            <w:r>
              <w:rPr>
                <w:rFonts w:hint="eastAsia"/>
                <w:vertAlign w:val="superscript"/>
              </w:rPr>
              <w:t>2</w:t>
            </w:r>
            <w:r>
              <w:rPr>
                <w:rFonts w:hint="eastAsia"/>
              </w:rPr>
              <w:t>参考和静县基本气候情况和静县平均风速</w:t>
            </w:r>
            <w:r>
              <w:t>2.</w:t>
            </w:r>
            <w:r>
              <w:rPr>
                <w:rFonts w:hint="eastAsia"/>
              </w:rPr>
              <w:t>6</w:t>
            </w:r>
            <w:r>
              <w:t>m/s</w:t>
            </w:r>
            <w:r>
              <w:rPr>
                <w:rFonts w:hint="eastAsia"/>
              </w:rPr>
              <w:t>，故每小时换气量为</w:t>
            </w:r>
            <w:r>
              <w:t>117000m</w:t>
            </w:r>
            <w:r>
              <w:rPr>
                <w:rFonts w:hint="eastAsia"/>
                <w:vertAlign w:val="superscript"/>
              </w:rPr>
              <w:t>3</w:t>
            </w:r>
            <w:r>
              <w:rPr>
                <w:rFonts w:hint="eastAsia"/>
              </w:rPr>
              <w:t>。车间约</w:t>
            </w:r>
            <w:r>
              <w:t>3875.65m</w:t>
            </w:r>
            <w:r>
              <w:rPr>
                <w:vertAlign w:val="superscript"/>
              </w:rPr>
              <w:t>3</w:t>
            </w:r>
            <w:r>
              <w:rPr>
                <w:rFonts w:hint="eastAsia"/>
              </w:rPr>
              <w:t>，可知每小时空气扩散倍数30倍</w:t>
            </w:r>
            <w:r>
              <w:rPr>
                <w:rFonts w:hint="eastAsia"/>
                <w:lang w:eastAsia="zh-CN"/>
              </w:rPr>
              <w:t>，</w:t>
            </w:r>
            <w:r>
              <w:rPr>
                <w:rFonts w:hint="eastAsia"/>
              </w:rPr>
              <w:t>经通风后浓度满足《恶臭污染物排放标准》（</w:t>
            </w:r>
            <w:r>
              <w:t>GB14554-93</w:t>
            </w:r>
            <w:r>
              <w:rPr>
                <w:rFonts w:hint="eastAsia"/>
              </w:rPr>
              <w:t>）排放标准。</w:t>
            </w:r>
          </w:p>
          <w:p>
            <w:pPr>
              <w:ind w:firstLine="480"/>
            </w:pPr>
            <w:r>
              <w:rPr>
                <w:rFonts w:hint="eastAsia"/>
              </w:rPr>
              <w:t>⑤包装废气</w:t>
            </w:r>
          </w:p>
          <w:p>
            <w:pPr>
              <w:ind w:firstLine="480"/>
            </w:pPr>
            <w:r>
              <w:rPr>
                <w:rFonts w:hint="eastAsia"/>
              </w:rPr>
              <w:t>本项目年产40万吨</w:t>
            </w:r>
            <w:r>
              <w:rPr>
                <w:rFonts w:hint="eastAsia" w:ascii="Times New Roman" w:hAnsi="Times New Roman" w:eastAsia="宋体" w:cs="Times New Roman"/>
                <w:color w:val="auto"/>
                <w:kern w:val="2"/>
                <w:sz w:val="24"/>
                <w:szCs w:val="21"/>
                <w:highlight w:val="none"/>
                <w:lang w:val="en-US" w:eastAsia="zh-CN" w:bidi="ar-SA"/>
              </w:rPr>
              <w:t>全价颗粒饲料</w:t>
            </w:r>
            <w:r>
              <w:rPr>
                <w:rFonts w:hint="eastAsia"/>
              </w:rPr>
              <w:t>，包装量取40万吨，根据《逸散性工业粉尘控制技术》（中国环境出版社，</w:t>
            </w:r>
            <w:r>
              <w:t>1989</w:t>
            </w:r>
            <w:r>
              <w:rPr>
                <w:rFonts w:hint="eastAsia"/>
              </w:rPr>
              <w:t>年），粒料加工厂物料装卸产污系数为</w:t>
            </w:r>
            <w:r>
              <w:t>0.01kg/t</w:t>
            </w:r>
            <w:r>
              <w:rPr>
                <w:rFonts w:hint="eastAsia"/>
              </w:rPr>
              <w:t>（产品）。则本项目包装粉尘产生量为4</w:t>
            </w:r>
            <w:r>
              <w:t>t/a</w:t>
            </w:r>
            <w:r>
              <w:rPr>
                <w:rFonts w:hint="eastAsia"/>
              </w:rPr>
              <w:t>，共</w:t>
            </w:r>
            <w:r>
              <w:t>2</w:t>
            </w:r>
            <w:r>
              <w:rPr>
                <w:rFonts w:hint="eastAsia"/>
              </w:rPr>
              <w:t>个打包口，在每个打包口上方设置集气罩</w:t>
            </w:r>
            <w:r>
              <w:rPr>
                <w:rFonts w:hint="eastAsia"/>
                <w:lang w:val="en-US" w:eastAsia="zh-CN"/>
              </w:rPr>
              <w:t>负压</w:t>
            </w:r>
            <w:r>
              <w:rPr>
                <w:rFonts w:hint="eastAsia"/>
              </w:rPr>
              <w:t>收集包装产生的废气（收集效率</w:t>
            </w:r>
            <w:r>
              <w:rPr>
                <w:rFonts w:hint="eastAsia"/>
                <w:lang w:val="en-US" w:eastAsia="zh-CN"/>
              </w:rPr>
              <w:t>90</w:t>
            </w:r>
            <w:r>
              <w:t>%</w:t>
            </w:r>
            <w:r>
              <w:rPr>
                <w:rFonts w:hint="eastAsia"/>
              </w:rPr>
              <w:t>），经配套的脉冲式布袋除尘器（除尘效率为</w:t>
            </w:r>
            <w:r>
              <w:t>99%</w:t>
            </w:r>
            <w:r>
              <w:rPr>
                <w:rFonts w:hint="eastAsia"/>
              </w:rPr>
              <w:t>）处理后通过</w:t>
            </w:r>
            <w:r>
              <w:t>1</w:t>
            </w:r>
            <w:r>
              <w:rPr>
                <w:rFonts w:hint="eastAsia"/>
              </w:rPr>
              <w:t>根</w:t>
            </w:r>
            <w:r>
              <w:t>15m</w:t>
            </w:r>
            <w:r>
              <w:rPr>
                <w:rFonts w:hint="eastAsia"/>
              </w:rPr>
              <w:t>高排气筒排放，风机风量为</w:t>
            </w:r>
            <w:r>
              <w:t>30</w:t>
            </w:r>
            <w:r>
              <w:rPr>
                <w:rFonts w:hint="eastAsia"/>
                <w:lang w:val="en-US" w:eastAsia="zh-CN"/>
              </w:rPr>
              <w:t>00</w:t>
            </w:r>
            <w:r>
              <w:t>m</w:t>
            </w:r>
            <w:r>
              <w:rPr>
                <w:rFonts w:hint="eastAsia"/>
                <w:vertAlign w:val="superscript"/>
              </w:rPr>
              <w:t>3</w:t>
            </w:r>
            <w:r>
              <w:t>/h</w:t>
            </w:r>
            <w:r>
              <w:rPr>
                <w:rFonts w:hint="eastAsia"/>
              </w:rPr>
              <w:t>，每天运行时间为</w:t>
            </w:r>
            <w:r>
              <w:t>8h</w:t>
            </w:r>
            <w:r>
              <w:rPr>
                <w:rFonts w:hint="eastAsia"/>
              </w:rPr>
              <w:t>，年包装时间为</w:t>
            </w:r>
            <w:r>
              <w:t>2400h</w:t>
            </w:r>
            <w:r>
              <w:rPr>
                <w:rFonts w:hint="eastAsia"/>
              </w:rPr>
              <w:t>。</w:t>
            </w:r>
          </w:p>
          <w:p>
            <w:pPr>
              <w:ind w:firstLine="480"/>
              <w:rPr>
                <w:rFonts w:hint="eastAsia"/>
              </w:rPr>
            </w:pPr>
            <w:r>
              <w:rPr>
                <w:rFonts w:hint="eastAsia"/>
              </w:rPr>
              <w:t>包装有组织颗粒物</w:t>
            </w:r>
            <w:r>
              <w:rPr>
                <w:rFonts w:hint="eastAsia"/>
                <w:lang w:val="en-US" w:eastAsia="zh-CN"/>
              </w:rPr>
              <w:t>产生</w:t>
            </w:r>
            <w:r>
              <w:rPr>
                <w:rFonts w:hint="eastAsia"/>
              </w:rPr>
              <w:t>量为</w:t>
            </w:r>
            <w:r>
              <w:rPr>
                <w:rFonts w:hint="eastAsia"/>
                <w:lang w:val="en-US" w:eastAsia="zh-CN"/>
              </w:rPr>
              <w:t>3.6</w:t>
            </w:r>
            <w:r>
              <w:t>t/a</w:t>
            </w:r>
            <w:r>
              <w:rPr>
                <w:rFonts w:hint="eastAsia"/>
              </w:rPr>
              <w:t>，</w:t>
            </w:r>
            <w:r>
              <w:rPr>
                <w:rFonts w:hint="eastAsia"/>
                <w:lang w:val="en-US" w:eastAsia="zh-CN"/>
              </w:rPr>
              <w:t>产生</w:t>
            </w:r>
            <w:r>
              <w:rPr>
                <w:rFonts w:hint="eastAsia"/>
              </w:rPr>
              <w:t>速率为</w:t>
            </w:r>
            <w:r>
              <w:rPr>
                <w:rFonts w:hint="eastAsia"/>
                <w:lang w:val="en-US" w:eastAsia="zh-CN"/>
              </w:rPr>
              <w:t>1.5</w:t>
            </w:r>
            <w:r>
              <w:t>kg/h</w:t>
            </w:r>
            <w:r>
              <w:rPr>
                <w:rFonts w:hint="eastAsia"/>
              </w:rPr>
              <w:t>，</w:t>
            </w:r>
            <w:r>
              <w:rPr>
                <w:rFonts w:hint="eastAsia"/>
                <w:lang w:val="en-US" w:eastAsia="zh-CN"/>
              </w:rPr>
              <w:t>产生</w:t>
            </w:r>
            <w:r>
              <w:rPr>
                <w:rFonts w:hint="eastAsia"/>
              </w:rPr>
              <w:t>浓度</w:t>
            </w:r>
            <w:r>
              <w:rPr>
                <w:rFonts w:hint="eastAsia"/>
                <w:lang w:val="en-US" w:eastAsia="zh-CN"/>
              </w:rPr>
              <w:t>500</w:t>
            </w:r>
            <w:r>
              <w:t>mg/m</w:t>
            </w:r>
            <w:r>
              <w:rPr>
                <w:vertAlign w:val="superscript"/>
              </w:rPr>
              <w:t>3</w:t>
            </w:r>
            <w:r>
              <w:rPr>
                <w:rFonts w:hint="eastAsia"/>
              </w:rPr>
              <w:t>。包装有组织颗粒物排放量为0.03</w:t>
            </w:r>
            <w:r>
              <w:rPr>
                <w:rFonts w:hint="eastAsia"/>
                <w:lang w:val="en-US" w:eastAsia="zh-CN"/>
              </w:rPr>
              <w:t>6</w:t>
            </w:r>
            <w:r>
              <w:t>t/a</w:t>
            </w:r>
            <w:r>
              <w:rPr>
                <w:rFonts w:hint="eastAsia"/>
              </w:rPr>
              <w:t>，排放速率为0.01</w:t>
            </w:r>
            <w:r>
              <w:rPr>
                <w:rFonts w:hint="eastAsia"/>
                <w:lang w:val="en-US" w:eastAsia="zh-CN"/>
              </w:rPr>
              <w:t>5</w:t>
            </w:r>
            <w:r>
              <w:t>kg/h</w:t>
            </w:r>
            <w:r>
              <w:rPr>
                <w:rFonts w:hint="eastAsia"/>
              </w:rPr>
              <w:t>，排放浓度</w:t>
            </w:r>
            <w:r>
              <w:rPr>
                <w:rFonts w:hint="eastAsia"/>
                <w:lang w:val="en-US" w:eastAsia="zh-CN"/>
              </w:rPr>
              <w:t>5</w:t>
            </w:r>
            <w:r>
              <w:t>mg/m</w:t>
            </w:r>
            <w:r>
              <w:rPr>
                <w:vertAlign w:val="superscript"/>
              </w:rPr>
              <w:t>3</w:t>
            </w:r>
            <w:r>
              <w:rPr>
                <w:rFonts w:hint="eastAsia"/>
              </w:rPr>
              <w:t>。无组织颗粒物</w:t>
            </w:r>
            <w:r>
              <w:rPr>
                <w:rFonts w:hint="eastAsia"/>
                <w:lang w:val="en-US" w:eastAsia="zh-CN"/>
              </w:rPr>
              <w:t>产生量（</w:t>
            </w:r>
            <w:r>
              <w:rPr>
                <w:rFonts w:hint="eastAsia"/>
              </w:rPr>
              <w:t>排放量</w:t>
            </w:r>
            <w:r>
              <w:rPr>
                <w:rFonts w:hint="eastAsia"/>
                <w:lang w:val="en-US" w:eastAsia="zh-CN"/>
              </w:rPr>
              <w:t>）</w:t>
            </w:r>
            <w:r>
              <w:rPr>
                <w:rFonts w:hint="eastAsia"/>
              </w:rPr>
              <w:t>为0.</w:t>
            </w:r>
            <w:r>
              <w:rPr>
                <w:rFonts w:hint="eastAsia"/>
                <w:lang w:val="en-US" w:eastAsia="zh-CN"/>
              </w:rPr>
              <w:t>4</w:t>
            </w:r>
            <w:r>
              <w:t>t/a</w:t>
            </w:r>
            <w:r>
              <w:rPr>
                <w:rFonts w:hint="eastAsia"/>
              </w:rPr>
              <w:t>，</w:t>
            </w:r>
            <w:r>
              <w:rPr>
                <w:rFonts w:hint="eastAsia"/>
                <w:lang w:val="en-US" w:eastAsia="zh-CN"/>
              </w:rPr>
              <w:t>产生</w:t>
            </w:r>
            <w:r>
              <w:rPr>
                <w:rFonts w:hint="eastAsia"/>
                <w:lang w:eastAsia="zh-CN"/>
              </w:rPr>
              <w:t>（</w:t>
            </w:r>
            <w:r>
              <w:rPr>
                <w:rFonts w:hint="eastAsia"/>
              </w:rPr>
              <w:t>排放</w:t>
            </w:r>
            <w:r>
              <w:rPr>
                <w:rFonts w:hint="eastAsia"/>
                <w:lang w:eastAsia="zh-CN"/>
              </w:rPr>
              <w:t>）</w:t>
            </w:r>
            <w:r>
              <w:rPr>
                <w:rFonts w:hint="eastAsia"/>
              </w:rPr>
              <w:t>速率为0.</w:t>
            </w:r>
            <w:r>
              <w:rPr>
                <w:rFonts w:hint="eastAsia"/>
                <w:lang w:val="en-US" w:eastAsia="zh-CN"/>
              </w:rPr>
              <w:t>17</w:t>
            </w:r>
            <w:r>
              <w:t>kg/h</w:t>
            </w:r>
            <w:r>
              <w:rPr>
                <w:rFonts w:hint="eastAsia"/>
              </w:rPr>
              <w:t>。</w:t>
            </w:r>
          </w:p>
          <w:p>
            <w:pPr>
              <w:pStyle w:val="35"/>
              <w:keepNext w:val="0"/>
              <w:keepLines w:val="0"/>
              <w:pageBreakBefore w:val="0"/>
              <w:kinsoku/>
              <w:wordWrap/>
              <w:overflowPunct/>
              <w:topLinePunct w:val="0"/>
              <w:autoSpaceDE/>
              <w:autoSpaceDN/>
              <w:bidi w:val="0"/>
              <w:spacing w:before="0" w:after="0"/>
              <w:ind w:right="0"/>
              <w:textAlignment w:val="auto"/>
              <w:rPr>
                <w:rFonts w:hint="default" w:ascii="Times New Roman" w:hAnsi="Times New Roman" w:eastAsia="宋体" w:cs="Times New Roman"/>
                <w:color w:val="auto"/>
                <w:kern w:val="2"/>
                <w:sz w:val="24"/>
                <w:szCs w:val="21"/>
                <w:lang w:val="en-US" w:eastAsia="zh-CN" w:bidi="ar-SA"/>
              </w:rPr>
            </w:pPr>
            <w:r>
              <w:rPr>
                <w:rFonts w:hint="eastAsia" w:ascii="宋体" w:hAnsi="宋体" w:eastAsia="宋体" w:cs="宋体"/>
              </w:rPr>
              <w:t>⑥</w:t>
            </w:r>
            <w:r>
              <w:rPr>
                <w:rFonts w:hint="eastAsia" w:ascii="Times New Roman" w:hAnsi="Times New Roman" w:eastAsia="宋体" w:cs="Times New Roman"/>
                <w:color w:val="auto"/>
                <w:kern w:val="2"/>
                <w:sz w:val="24"/>
                <w:szCs w:val="21"/>
                <w:lang w:val="en-US" w:eastAsia="zh-CN" w:bidi="ar-SA"/>
              </w:rPr>
              <w:t>危险废物贮存库</w:t>
            </w:r>
          </w:p>
          <w:p>
            <w:pPr>
              <w:pStyle w:val="36"/>
              <w:keepNext w:val="0"/>
              <w:keepLines w:val="0"/>
              <w:pageBreakBefore w:val="0"/>
              <w:kinsoku/>
              <w:wordWrap/>
              <w:overflowPunct/>
              <w:topLinePunct w:val="0"/>
              <w:autoSpaceDE/>
              <w:autoSpaceDN/>
              <w:bidi w:val="0"/>
              <w:ind w:right="0"/>
              <w:textAlignment w:val="auto"/>
              <w:rPr>
                <w:rFonts w:hint="eastAsia"/>
              </w:rPr>
            </w:pPr>
            <w:r>
              <w:rPr>
                <w:rFonts w:hint="eastAsia"/>
              </w:rPr>
              <w:t>危险废物贮存过程中会产生少量挥发性有机物（VOCs）。根据《环境影响评价实用技术指南》（李爱贞等，机械工业出版社）建议，无组织排放量可按原料年用量或产品年产量的0.1‰~0.4‰核算，本次取最大值0.4‰计算。危险废物储存量为</w:t>
            </w:r>
            <w:r>
              <w:rPr>
                <w:rFonts w:hint="eastAsia"/>
                <w:lang w:val="en-US" w:eastAsia="zh-CN"/>
              </w:rPr>
              <w:t>0.1</w:t>
            </w:r>
            <w:r>
              <w:rPr>
                <w:rFonts w:hint="eastAsia"/>
              </w:rPr>
              <w:t>t/a，废气产生量约为0.</w:t>
            </w:r>
            <w:r>
              <w:rPr>
                <w:rFonts w:hint="eastAsia"/>
                <w:lang w:val="en-US" w:eastAsia="zh-CN"/>
              </w:rPr>
              <w:t>00004</w:t>
            </w:r>
            <w:r>
              <w:rPr>
                <w:rFonts w:hint="eastAsia"/>
              </w:rPr>
              <w:t>t/a（即0.0</w:t>
            </w:r>
            <w:r>
              <w:rPr>
                <w:rFonts w:hint="eastAsia"/>
                <w:lang w:val="en-US" w:eastAsia="zh-CN"/>
              </w:rPr>
              <w:t>000055</w:t>
            </w:r>
            <w:r>
              <w:rPr>
                <w:rFonts w:hint="eastAsia"/>
              </w:rPr>
              <w:t>kg/h）。</w:t>
            </w:r>
          </w:p>
          <w:p>
            <w:pPr>
              <w:pStyle w:val="36"/>
            </w:pPr>
            <w:r>
              <w:rPr>
                <w:rFonts w:hint="eastAsia"/>
                <w:lang w:val="en-US" w:eastAsia="zh-CN"/>
              </w:rPr>
              <w:t>本项目</w:t>
            </w:r>
            <w:r>
              <w:rPr>
                <w:rFonts w:hint="eastAsia" w:ascii="Times New Roman" w:hAnsi="Times New Roman" w:eastAsia="宋体" w:cs="Times New Roman"/>
                <w:color w:val="auto"/>
                <w:kern w:val="2"/>
                <w:sz w:val="24"/>
                <w:szCs w:val="21"/>
                <w:lang w:val="en-US" w:eastAsia="zh-CN" w:bidi="ar-SA"/>
              </w:rPr>
              <w:t>危险废物贮存库</w:t>
            </w:r>
            <w:r>
              <w:rPr>
                <w:rFonts w:hint="eastAsia" w:ascii="Times New Roman" w:hAnsi="Times New Roman" w:cs="Times New Roman"/>
                <w:color w:val="auto"/>
                <w:kern w:val="2"/>
                <w:sz w:val="24"/>
                <w:szCs w:val="21"/>
                <w:lang w:val="en-US" w:eastAsia="zh-CN" w:bidi="ar-SA"/>
              </w:rPr>
              <w:t>产生的</w:t>
            </w:r>
            <w:r>
              <w:rPr>
                <w:rFonts w:hint="eastAsia"/>
              </w:rPr>
              <w:t>挥发性有机物（VOCs）</w:t>
            </w:r>
            <w:r>
              <w:rPr>
                <w:rFonts w:hint="eastAsia"/>
                <w:lang w:val="en-US" w:eastAsia="zh-CN"/>
              </w:rPr>
              <w:t>量非常小，经空气稀释后无组织扩散不会对周边空气产生较大影响</w:t>
            </w:r>
            <w:r>
              <w:rPr>
                <w:rFonts w:hint="eastAsia"/>
              </w:rPr>
              <w:t>。</w:t>
            </w:r>
          </w:p>
          <w:p>
            <w:pPr>
              <w:pStyle w:val="65"/>
              <w:widowControl/>
              <w:rPr>
                <w:highlight w:val="none"/>
              </w:rPr>
            </w:pPr>
            <w:r>
              <w:rPr>
                <w:rFonts w:hint="eastAsia"/>
                <w:highlight w:val="none"/>
              </w:rPr>
              <w:t xml:space="preserve">表4.2-4  </w:t>
            </w:r>
            <w:r>
              <w:rPr>
                <w:highlight w:val="none"/>
              </w:rPr>
              <w:t xml:space="preserve"> </w:t>
            </w:r>
            <w:r>
              <w:rPr>
                <w:rFonts w:hint="eastAsia"/>
                <w:highlight w:val="none"/>
              </w:rPr>
              <w:t>废气排放情况一览表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96"/>
              <w:gridCol w:w="714"/>
              <w:gridCol w:w="1041"/>
              <w:gridCol w:w="833"/>
              <w:gridCol w:w="937"/>
              <w:gridCol w:w="1021"/>
              <w:gridCol w:w="927"/>
              <w:gridCol w:w="818"/>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554" w:type="dxa"/>
                  <w:vAlign w:val="center"/>
                </w:tcPr>
                <w:p>
                  <w:pPr>
                    <w:pStyle w:val="70"/>
                  </w:pPr>
                  <w:r>
                    <w:rPr>
                      <w:rFonts w:hint="eastAsia"/>
                    </w:rPr>
                    <w:t>排放源</w:t>
                  </w:r>
                </w:p>
              </w:tc>
              <w:tc>
                <w:tcPr>
                  <w:tcW w:w="596" w:type="dxa"/>
                  <w:vAlign w:val="center"/>
                </w:tcPr>
                <w:p>
                  <w:pPr>
                    <w:pStyle w:val="70"/>
                  </w:pPr>
                  <w:r>
                    <w:rPr>
                      <w:rFonts w:hint="eastAsia"/>
                    </w:rPr>
                    <w:t>污染物</w:t>
                  </w:r>
                </w:p>
              </w:tc>
              <w:tc>
                <w:tcPr>
                  <w:tcW w:w="714" w:type="dxa"/>
                  <w:vAlign w:val="center"/>
                </w:tcPr>
                <w:p>
                  <w:pPr>
                    <w:pStyle w:val="70"/>
                  </w:pPr>
                  <w:r>
                    <w:rPr>
                      <w:rFonts w:hint="eastAsia"/>
                    </w:rPr>
                    <w:t>排放形式</w:t>
                  </w:r>
                </w:p>
              </w:tc>
              <w:tc>
                <w:tcPr>
                  <w:tcW w:w="1041" w:type="dxa"/>
                  <w:vAlign w:val="center"/>
                </w:tcPr>
                <w:p>
                  <w:pPr>
                    <w:pStyle w:val="70"/>
                  </w:pPr>
                  <w:r>
                    <w:rPr>
                      <w:rFonts w:hint="eastAsia"/>
                    </w:rPr>
                    <w:t>产生</w:t>
                  </w:r>
                </w:p>
                <w:p>
                  <w:pPr>
                    <w:pStyle w:val="70"/>
                  </w:pPr>
                  <w:r>
                    <w:rPr>
                      <w:rFonts w:hint="eastAsia"/>
                    </w:rPr>
                    <w:t>浓度</w:t>
                  </w:r>
                </w:p>
                <w:p>
                  <w:pPr>
                    <w:pStyle w:val="70"/>
                  </w:pPr>
                  <w:r>
                    <w:rPr>
                      <w:rFonts w:hint="eastAsia"/>
                    </w:rPr>
                    <w:t>mg/m</w:t>
                  </w:r>
                  <w:r>
                    <w:rPr>
                      <w:rFonts w:hint="eastAsia"/>
                      <w:vertAlign w:val="superscript"/>
                    </w:rPr>
                    <w:t>3</w:t>
                  </w:r>
                </w:p>
              </w:tc>
              <w:tc>
                <w:tcPr>
                  <w:tcW w:w="833" w:type="dxa"/>
                  <w:vAlign w:val="center"/>
                </w:tcPr>
                <w:p>
                  <w:pPr>
                    <w:pStyle w:val="70"/>
                  </w:pPr>
                  <w:r>
                    <w:rPr>
                      <w:rFonts w:hint="eastAsia"/>
                    </w:rPr>
                    <w:t>产生速率kg/h</w:t>
                  </w:r>
                </w:p>
              </w:tc>
              <w:tc>
                <w:tcPr>
                  <w:tcW w:w="937" w:type="dxa"/>
                  <w:vAlign w:val="center"/>
                </w:tcPr>
                <w:p>
                  <w:pPr>
                    <w:pStyle w:val="70"/>
                  </w:pPr>
                  <w:r>
                    <w:rPr>
                      <w:rFonts w:hint="eastAsia"/>
                    </w:rPr>
                    <w:t>产生量t/a</w:t>
                  </w:r>
                </w:p>
              </w:tc>
              <w:tc>
                <w:tcPr>
                  <w:tcW w:w="1021" w:type="dxa"/>
                  <w:vAlign w:val="center"/>
                </w:tcPr>
                <w:p>
                  <w:pPr>
                    <w:pStyle w:val="70"/>
                  </w:pPr>
                  <w:r>
                    <w:rPr>
                      <w:rFonts w:hint="eastAsia"/>
                    </w:rPr>
                    <w:t>治理措施</w:t>
                  </w:r>
                </w:p>
              </w:tc>
              <w:tc>
                <w:tcPr>
                  <w:tcW w:w="927" w:type="dxa"/>
                  <w:vAlign w:val="center"/>
                </w:tcPr>
                <w:p>
                  <w:pPr>
                    <w:pStyle w:val="70"/>
                  </w:pPr>
                  <w:r>
                    <w:rPr>
                      <w:rFonts w:hint="eastAsia"/>
                      <w:lang w:val="en-US" w:eastAsia="zh-CN"/>
                    </w:rPr>
                    <w:t>排放</w:t>
                  </w:r>
                  <w:r>
                    <w:rPr>
                      <w:rFonts w:hint="eastAsia"/>
                    </w:rPr>
                    <w:t>浓度mg/m</w:t>
                  </w:r>
                  <w:r>
                    <w:rPr>
                      <w:rFonts w:hint="eastAsia"/>
                      <w:vertAlign w:val="superscript"/>
                    </w:rPr>
                    <w:t>3</w:t>
                  </w:r>
                </w:p>
              </w:tc>
              <w:tc>
                <w:tcPr>
                  <w:tcW w:w="818" w:type="dxa"/>
                  <w:vAlign w:val="center"/>
                </w:tcPr>
                <w:p>
                  <w:pPr>
                    <w:pStyle w:val="70"/>
                  </w:pPr>
                  <w:r>
                    <w:rPr>
                      <w:rFonts w:hint="eastAsia"/>
                      <w:lang w:val="en-US" w:eastAsia="zh-CN"/>
                    </w:rPr>
                    <w:t>排放</w:t>
                  </w:r>
                  <w:r>
                    <w:rPr>
                      <w:rFonts w:hint="eastAsia"/>
                    </w:rPr>
                    <w:t>速率kg/h</w:t>
                  </w:r>
                </w:p>
              </w:tc>
              <w:tc>
                <w:tcPr>
                  <w:tcW w:w="832" w:type="dxa"/>
                  <w:vAlign w:val="center"/>
                </w:tcPr>
                <w:p>
                  <w:pPr>
                    <w:pStyle w:val="70"/>
                  </w:pPr>
                  <w:r>
                    <w:rPr>
                      <w:rFonts w:hint="eastAsia"/>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restart"/>
                  <w:vAlign w:val="center"/>
                </w:tcPr>
                <w:p>
                  <w:pPr>
                    <w:pStyle w:val="70"/>
                  </w:pPr>
                  <w:r>
                    <w:rPr>
                      <w:rFonts w:hint="eastAsia"/>
                    </w:rPr>
                    <w:t>燃气锅炉</w:t>
                  </w:r>
                </w:p>
              </w:tc>
              <w:tc>
                <w:tcPr>
                  <w:tcW w:w="7719" w:type="dxa"/>
                  <w:gridSpan w:val="9"/>
                  <w:vAlign w:val="center"/>
                </w:tcPr>
                <w:p>
                  <w:pPr>
                    <w:pStyle w:val="70"/>
                    <w:tabs>
                      <w:tab w:val="left" w:pos="2700"/>
                    </w:tabs>
                    <w:ind w:firstLine="0" w:firstLineChars="0"/>
                    <w:rPr>
                      <w:rFonts w:hint="eastAsia"/>
                      <w:color w:val="auto"/>
                      <w:lang w:val="en-US" w:eastAsia="zh-CN"/>
                    </w:rPr>
                  </w:pPr>
                  <w:r>
                    <w:rPr>
                      <w:rFonts w:hint="eastAsia"/>
                      <w:color w:val="auto"/>
                      <w:lang w:val="en-US" w:eastAsia="zh-CN"/>
                    </w:rPr>
                    <w:t xml:space="preserve">烟气量 </w:t>
                  </w:r>
                  <w:r>
                    <w:rPr>
                      <w:rFonts w:hint="eastAsia"/>
                      <w:color w:val="auto"/>
                    </w:rPr>
                    <w:t>2424.</w:t>
                  </w:r>
                  <w:r>
                    <w:rPr>
                      <w:rFonts w:hint="eastAsia"/>
                      <w:color w:val="auto"/>
                      <w:lang w:val="en-US" w:eastAsia="zh-CN"/>
                    </w:rPr>
                    <w:t>44</w:t>
                  </w:r>
                  <w:r>
                    <w:rPr>
                      <w:rFonts w:hint="eastAsia"/>
                      <w:color w:val="auto"/>
                    </w:rPr>
                    <w:t>万Nm</w:t>
                  </w:r>
                  <w:r>
                    <w:rPr>
                      <w:rFonts w:hint="eastAsia"/>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pStyle w:val="70"/>
                  </w:pPr>
                </w:p>
              </w:tc>
              <w:tc>
                <w:tcPr>
                  <w:tcW w:w="596" w:type="dxa"/>
                  <w:vAlign w:val="center"/>
                </w:tcPr>
                <w:p>
                  <w:pPr>
                    <w:pStyle w:val="70"/>
                  </w:pPr>
                  <w:r>
                    <w:rPr>
                      <w:rFonts w:hint="eastAsia"/>
                    </w:rPr>
                    <w:t>颗粒物</w:t>
                  </w:r>
                </w:p>
              </w:tc>
              <w:tc>
                <w:tcPr>
                  <w:tcW w:w="714" w:type="dxa"/>
                  <w:vAlign w:val="center"/>
                </w:tcPr>
                <w:p>
                  <w:pPr>
                    <w:pStyle w:val="70"/>
                  </w:pPr>
                  <w:r>
                    <w:rPr>
                      <w:rFonts w:hint="eastAsia"/>
                    </w:rPr>
                    <w:t>有组织排放</w:t>
                  </w:r>
                </w:p>
              </w:tc>
              <w:tc>
                <w:tcPr>
                  <w:tcW w:w="1041" w:type="dxa"/>
                  <w:vAlign w:val="center"/>
                </w:tcPr>
                <w:p>
                  <w:pPr>
                    <w:pStyle w:val="70"/>
                    <w:tabs>
                      <w:tab w:val="left" w:pos="2700"/>
                    </w:tabs>
                    <w:ind w:firstLine="0" w:firstLineChars="0"/>
                  </w:pPr>
                  <w:r>
                    <w:rPr>
                      <w:rFonts w:hint="eastAsia"/>
                      <w:color w:val="auto"/>
                      <w:lang w:val="en-US" w:eastAsia="zh-CN"/>
                    </w:rPr>
                    <w:t>10.21</w:t>
                  </w:r>
                </w:p>
              </w:tc>
              <w:tc>
                <w:tcPr>
                  <w:tcW w:w="833" w:type="dxa"/>
                  <w:vAlign w:val="center"/>
                </w:tcPr>
                <w:p>
                  <w:pPr>
                    <w:pStyle w:val="70"/>
                    <w:rPr>
                      <w:rFonts w:hint="eastAsia" w:eastAsia="宋体"/>
                      <w:lang w:eastAsia="zh-CN"/>
                    </w:rPr>
                  </w:pPr>
                  <w:r>
                    <w:rPr>
                      <w:rFonts w:hint="eastAsia"/>
                    </w:rPr>
                    <w:t>0.03</w:t>
                  </w:r>
                  <w:r>
                    <w:rPr>
                      <w:rFonts w:hint="eastAsia"/>
                      <w:lang w:val="en-US" w:eastAsia="zh-CN"/>
                    </w:rPr>
                    <w:t>4</w:t>
                  </w:r>
                </w:p>
              </w:tc>
              <w:tc>
                <w:tcPr>
                  <w:tcW w:w="937" w:type="dxa"/>
                  <w:vAlign w:val="center"/>
                </w:tcPr>
                <w:p>
                  <w:pPr>
                    <w:pStyle w:val="70"/>
                    <w:tabs>
                      <w:tab w:val="left" w:pos="2700"/>
                    </w:tabs>
                    <w:ind w:firstLine="0" w:firstLineChars="0"/>
                    <w:rPr>
                      <w:rFonts w:hint="default"/>
                      <w:lang w:val="en-US"/>
                    </w:rPr>
                  </w:pPr>
                  <w:r>
                    <w:rPr>
                      <w:rFonts w:hint="eastAsia"/>
                      <w:color w:val="auto"/>
                      <w:lang w:val="en-US" w:eastAsia="zh-CN"/>
                    </w:rPr>
                    <w:t>0.2475</w:t>
                  </w:r>
                </w:p>
              </w:tc>
              <w:tc>
                <w:tcPr>
                  <w:tcW w:w="1021" w:type="dxa"/>
                  <w:vMerge w:val="restart"/>
                  <w:vAlign w:val="center"/>
                </w:tcPr>
                <w:p>
                  <w:pPr>
                    <w:pStyle w:val="70"/>
                  </w:pPr>
                  <w:r>
                    <w:rPr>
                      <w:rFonts w:hint="eastAsia"/>
                    </w:rPr>
                    <w:t>低氮燃烧+</w:t>
                  </w:r>
                  <w:r>
                    <w:rPr>
                      <w:rFonts w:hint="eastAsia"/>
                      <w:lang w:val="en-US" w:eastAsia="zh-CN"/>
                    </w:rPr>
                    <w:t>12</w:t>
                  </w:r>
                  <w:r>
                    <w:rPr>
                      <w:rFonts w:hint="eastAsia"/>
                    </w:rPr>
                    <w:t>m高排气筒</w:t>
                  </w:r>
                </w:p>
              </w:tc>
              <w:tc>
                <w:tcPr>
                  <w:tcW w:w="927" w:type="dxa"/>
                  <w:vAlign w:val="center"/>
                </w:tcPr>
                <w:p>
                  <w:pPr>
                    <w:pStyle w:val="70"/>
                    <w:tabs>
                      <w:tab w:val="left" w:pos="2700"/>
                    </w:tabs>
                    <w:ind w:firstLine="0" w:firstLineChars="0"/>
                    <w:rPr>
                      <w:rFonts w:hint="eastAsia" w:eastAsia="宋体"/>
                      <w:lang w:val="en-US" w:eastAsia="zh-CN"/>
                    </w:rPr>
                  </w:pPr>
                  <w:r>
                    <w:rPr>
                      <w:rFonts w:hint="eastAsia"/>
                      <w:color w:val="auto"/>
                      <w:lang w:val="en-US" w:eastAsia="zh-CN"/>
                    </w:rPr>
                    <w:t>10.21</w:t>
                  </w:r>
                </w:p>
              </w:tc>
              <w:tc>
                <w:tcPr>
                  <w:tcW w:w="818" w:type="dxa"/>
                  <w:vAlign w:val="center"/>
                </w:tcPr>
                <w:p>
                  <w:pPr>
                    <w:pStyle w:val="70"/>
                    <w:ind w:firstLine="0" w:firstLineChars="0"/>
                  </w:pPr>
                  <w:r>
                    <w:rPr>
                      <w:rFonts w:hint="eastAsia"/>
                    </w:rPr>
                    <w:t>0.03</w:t>
                  </w:r>
                  <w:r>
                    <w:rPr>
                      <w:rFonts w:hint="eastAsia"/>
                      <w:lang w:val="en-US" w:eastAsia="zh-CN"/>
                    </w:rPr>
                    <w:t>4</w:t>
                  </w:r>
                </w:p>
              </w:tc>
              <w:tc>
                <w:tcPr>
                  <w:tcW w:w="832" w:type="dxa"/>
                  <w:vAlign w:val="center"/>
                </w:tcPr>
                <w:p>
                  <w:pPr>
                    <w:pStyle w:val="70"/>
                    <w:tabs>
                      <w:tab w:val="left" w:pos="2700"/>
                    </w:tabs>
                    <w:ind w:firstLine="0" w:firstLineChars="0"/>
                  </w:pPr>
                  <w:r>
                    <w:rPr>
                      <w:rFonts w:hint="eastAsia"/>
                      <w:color w:val="auto"/>
                      <w:lang w:val="en-US" w:eastAsia="zh-CN"/>
                    </w:rPr>
                    <w:t>0.2475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pStyle w:val="70"/>
                  </w:pPr>
                </w:p>
              </w:tc>
              <w:tc>
                <w:tcPr>
                  <w:tcW w:w="596" w:type="dxa"/>
                  <w:vAlign w:val="center"/>
                </w:tcPr>
                <w:p>
                  <w:pPr>
                    <w:pStyle w:val="70"/>
                  </w:pPr>
                  <w:r>
                    <w:rPr>
                      <w:rFonts w:hint="eastAsia"/>
                    </w:rPr>
                    <w:t>二氧化硫</w:t>
                  </w:r>
                </w:p>
              </w:tc>
              <w:tc>
                <w:tcPr>
                  <w:tcW w:w="714" w:type="dxa"/>
                  <w:vAlign w:val="center"/>
                </w:tcPr>
                <w:p>
                  <w:pPr>
                    <w:pStyle w:val="70"/>
                  </w:pPr>
                  <w:r>
                    <w:rPr>
                      <w:rFonts w:hint="eastAsia"/>
                    </w:rPr>
                    <w:t>有组织排放</w:t>
                  </w:r>
                </w:p>
              </w:tc>
              <w:tc>
                <w:tcPr>
                  <w:tcW w:w="1041" w:type="dxa"/>
                  <w:vAlign w:val="center"/>
                </w:tcPr>
                <w:p>
                  <w:pPr>
                    <w:pStyle w:val="70"/>
                    <w:tabs>
                      <w:tab w:val="left" w:pos="2700"/>
                    </w:tabs>
                    <w:ind w:firstLine="0" w:firstLineChars="0"/>
                    <w:rPr>
                      <w:rFonts w:hint="default" w:eastAsia="宋体"/>
                      <w:lang w:val="en-US" w:eastAsia="zh-CN"/>
                    </w:rPr>
                  </w:pPr>
                  <w:r>
                    <w:rPr>
                      <w:rFonts w:hint="eastAsia"/>
                      <w:color w:val="auto"/>
                      <w:lang w:val="en-US" w:eastAsia="zh-CN"/>
                    </w:rPr>
                    <w:t>18.56</w:t>
                  </w:r>
                </w:p>
              </w:tc>
              <w:tc>
                <w:tcPr>
                  <w:tcW w:w="833" w:type="dxa"/>
                  <w:vAlign w:val="center"/>
                </w:tcPr>
                <w:p>
                  <w:pPr>
                    <w:pStyle w:val="70"/>
                    <w:rPr>
                      <w:rFonts w:hint="default" w:eastAsia="宋体"/>
                      <w:lang w:val="en-US" w:eastAsia="zh-CN"/>
                    </w:rPr>
                  </w:pPr>
                  <w:r>
                    <w:rPr>
                      <w:rFonts w:hint="eastAsia"/>
                    </w:rPr>
                    <w:t>0.</w:t>
                  </w:r>
                  <w:r>
                    <w:rPr>
                      <w:rFonts w:hint="eastAsia"/>
                      <w:lang w:val="en-US" w:eastAsia="zh-CN"/>
                    </w:rPr>
                    <w:t>063</w:t>
                  </w:r>
                </w:p>
              </w:tc>
              <w:tc>
                <w:tcPr>
                  <w:tcW w:w="937" w:type="dxa"/>
                  <w:vAlign w:val="center"/>
                </w:tcPr>
                <w:p>
                  <w:pPr>
                    <w:pStyle w:val="70"/>
                    <w:tabs>
                      <w:tab w:val="left" w:pos="2700"/>
                    </w:tabs>
                    <w:ind w:firstLine="0" w:firstLineChars="0"/>
                    <w:rPr>
                      <w:rFonts w:hint="default" w:eastAsia="宋体"/>
                      <w:lang w:val="en-US" w:eastAsia="zh-CN"/>
                    </w:rPr>
                  </w:pPr>
                  <w:r>
                    <w:rPr>
                      <w:rFonts w:hint="eastAsia"/>
                      <w:color w:val="auto"/>
                      <w:lang w:val="en-US" w:eastAsia="zh-CN"/>
                    </w:rPr>
                    <w:t>0.45</w:t>
                  </w:r>
                </w:p>
              </w:tc>
              <w:tc>
                <w:tcPr>
                  <w:tcW w:w="1021" w:type="dxa"/>
                  <w:vMerge w:val="continue"/>
                  <w:vAlign w:val="center"/>
                </w:tcPr>
                <w:p>
                  <w:pPr>
                    <w:pStyle w:val="70"/>
                  </w:pPr>
                </w:p>
              </w:tc>
              <w:tc>
                <w:tcPr>
                  <w:tcW w:w="927" w:type="dxa"/>
                  <w:vAlign w:val="center"/>
                </w:tcPr>
                <w:p>
                  <w:pPr>
                    <w:pStyle w:val="70"/>
                    <w:tabs>
                      <w:tab w:val="left" w:pos="2700"/>
                    </w:tabs>
                    <w:ind w:firstLine="0" w:firstLineChars="0"/>
                  </w:pPr>
                  <w:r>
                    <w:rPr>
                      <w:rFonts w:hint="eastAsia"/>
                      <w:color w:val="auto"/>
                      <w:lang w:val="en-US" w:eastAsia="zh-CN"/>
                    </w:rPr>
                    <w:t>18.56</w:t>
                  </w:r>
                </w:p>
              </w:tc>
              <w:tc>
                <w:tcPr>
                  <w:tcW w:w="818" w:type="dxa"/>
                  <w:vAlign w:val="center"/>
                </w:tcPr>
                <w:p>
                  <w:pPr>
                    <w:pStyle w:val="70"/>
                    <w:ind w:firstLine="0" w:firstLineChars="0"/>
                  </w:pPr>
                  <w:r>
                    <w:rPr>
                      <w:rFonts w:hint="eastAsia"/>
                    </w:rPr>
                    <w:t>0.</w:t>
                  </w:r>
                  <w:r>
                    <w:rPr>
                      <w:rFonts w:hint="eastAsia"/>
                      <w:lang w:val="en-US" w:eastAsia="zh-CN"/>
                    </w:rPr>
                    <w:t>063</w:t>
                  </w:r>
                </w:p>
              </w:tc>
              <w:tc>
                <w:tcPr>
                  <w:tcW w:w="832" w:type="dxa"/>
                  <w:vAlign w:val="center"/>
                </w:tcPr>
                <w:p>
                  <w:pPr>
                    <w:pStyle w:val="70"/>
                    <w:tabs>
                      <w:tab w:val="left" w:pos="2700"/>
                    </w:tabs>
                    <w:ind w:firstLine="0" w:firstLineChars="0"/>
                    <w:rPr>
                      <w:rFonts w:hint="default" w:eastAsia="宋体"/>
                      <w:lang w:val="en-US" w:eastAsia="zh-CN"/>
                    </w:rPr>
                  </w:pPr>
                  <w:r>
                    <w:rPr>
                      <w:rFonts w:hint="eastAsia"/>
                      <w:color w:val="auto"/>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pStyle w:val="70"/>
                  </w:pPr>
                </w:p>
              </w:tc>
              <w:tc>
                <w:tcPr>
                  <w:tcW w:w="596" w:type="dxa"/>
                  <w:vAlign w:val="center"/>
                </w:tcPr>
                <w:p>
                  <w:pPr>
                    <w:pStyle w:val="70"/>
                  </w:pPr>
                  <w:r>
                    <w:rPr>
                      <w:rFonts w:hint="eastAsia"/>
                    </w:rPr>
                    <w:t>氮氧化物</w:t>
                  </w:r>
                </w:p>
              </w:tc>
              <w:tc>
                <w:tcPr>
                  <w:tcW w:w="714" w:type="dxa"/>
                  <w:vAlign w:val="center"/>
                </w:tcPr>
                <w:p>
                  <w:pPr>
                    <w:pStyle w:val="70"/>
                  </w:pPr>
                  <w:r>
                    <w:rPr>
                      <w:rFonts w:hint="eastAsia"/>
                    </w:rPr>
                    <w:t>有组织排放</w:t>
                  </w:r>
                </w:p>
              </w:tc>
              <w:tc>
                <w:tcPr>
                  <w:tcW w:w="1041" w:type="dxa"/>
                  <w:vAlign w:val="center"/>
                </w:tcPr>
                <w:p>
                  <w:pPr>
                    <w:pStyle w:val="70"/>
                    <w:tabs>
                      <w:tab w:val="left" w:pos="2700"/>
                    </w:tabs>
                    <w:ind w:firstLine="0" w:firstLineChars="0"/>
                  </w:pPr>
                  <w:r>
                    <w:rPr>
                      <w:rFonts w:hint="eastAsia"/>
                      <w:lang w:val="en-US" w:eastAsia="zh-CN"/>
                    </w:rPr>
                    <w:t>28.12</w:t>
                  </w:r>
                </w:p>
              </w:tc>
              <w:tc>
                <w:tcPr>
                  <w:tcW w:w="833" w:type="dxa"/>
                  <w:vAlign w:val="center"/>
                </w:tcPr>
                <w:p>
                  <w:pPr>
                    <w:pStyle w:val="70"/>
                    <w:rPr>
                      <w:rFonts w:hint="default" w:eastAsia="宋体"/>
                      <w:lang w:val="en-US" w:eastAsia="zh-CN"/>
                    </w:rPr>
                  </w:pPr>
                  <w:r>
                    <w:rPr>
                      <w:rFonts w:hint="eastAsia"/>
                    </w:rPr>
                    <w:t>0.</w:t>
                  </w:r>
                  <w:r>
                    <w:rPr>
                      <w:rFonts w:hint="eastAsia"/>
                      <w:lang w:val="en-US" w:eastAsia="zh-CN"/>
                    </w:rPr>
                    <w:t>095</w:t>
                  </w:r>
                </w:p>
              </w:tc>
              <w:tc>
                <w:tcPr>
                  <w:tcW w:w="937" w:type="dxa"/>
                  <w:vAlign w:val="center"/>
                </w:tcPr>
                <w:p>
                  <w:pPr>
                    <w:pStyle w:val="70"/>
                    <w:tabs>
                      <w:tab w:val="left" w:pos="2700"/>
                    </w:tabs>
                    <w:ind w:firstLine="0" w:firstLineChars="0"/>
                  </w:pPr>
                  <w:r>
                    <w:rPr>
                      <w:rFonts w:hint="eastAsia"/>
                      <w:lang w:val="en-US" w:eastAsia="zh-CN"/>
                    </w:rPr>
                    <w:t>0.6817</w:t>
                  </w:r>
                </w:p>
              </w:tc>
              <w:tc>
                <w:tcPr>
                  <w:tcW w:w="1021" w:type="dxa"/>
                  <w:vMerge w:val="continue"/>
                  <w:vAlign w:val="center"/>
                </w:tcPr>
                <w:p>
                  <w:pPr>
                    <w:pStyle w:val="70"/>
                  </w:pPr>
                </w:p>
              </w:tc>
              <w:tc>
                <w:tcPr>
                  <w:tcW w:w="927" w:type="dxa"/>
                  <w:vAlign w:val="center"/>
                </w:tcPr>
                <w:p>
                  <w:pPr>
                    <w:pStyle w:val="70"/>
                    <w:tabs>
                      <w:tab w:val="left" w:pos="2700"/>
                    </w:tabs>
                    <w:ind w:firstLine="0" w:firstLineChars="0"/>
                  </w:pPr>
                  <w:r>
                    <w:rPr>
                      <w:rFonts w:hint="eastAsia"/>
                      <w:lang w:val="en-US" w:eastAsia="zh-CN"/>
                    </w:rPr>
                    <w:t>28.12</w:t>
                  </w:r>
                </w:p>
              </w:tc>
              <w:tc>
                <w:tcPr>
                  <w:tcW w:w="818" w:type="dxa"/>
                  <w:vAlign w:val="center"/>
                </w:tcPr>
                <w:p>
                  <w:pPr>
                    <w:pStyle w:val="70"/>
                    <w:ind w:firstLine="0" w:firstLineChars="0"/>
                  </w:pPr>
                  <w:r>
                    <w:rPr>
                      <w:rFonts w:hint="eastAsia"/>
                    </w:rPr>
                    <w:t>0.</w:t>
                  </w:r>
                  <w:r>
                    <w:rPr>
                      <w:rFonts w:hint="eastAsia"/>
                      <w:lang w:val="en-US" w:eastAsia="zh-CN"/>
                    </w:rPr>
                    <w:t>095</w:t>
                  </w:r>
                </w:p>
              </w:tc>
              <w:tc>
                <w:tcPr>
                  <w:tcW w:w="832" w:type="dxa"/>
                  <w:vAlign w:val="center"/>
                </w:tcPr>
                <w:p>
                  <w:pPr>
                    <w:pStyle w:val="70"/>
                    <w:tabs>
                      <w:tab w:val="left" w:pos="2700"/>
                    </w:tabs>
                    <w:ind w:firstLine="0" w:firstLineChars="0"/>
                  </w:pPr>
                  <w:r>
                    <w:rPr>
                      <w:rFonts w:hint="eastAsia"/>
                      <w:lang w:val="en-US" w:eastAsia="zh-CN"/>
                    </w:rPr>
                    <w:t>0.6817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54" w:type="dxa"/>
                  <w:vMerge w:val="restart"/>
                  <w:vAlign w:val="center"/>
                </w:tcPr>
                <w:p>
                  <w:pPr>
                    <w:pStyle w:val="70"/>
                  </w:pPr>
                  <w:r>
                    <w:rPr>
                      <w:rFonts w:hint="eastAsia"/>
                    </w:rPr>
                    <w:t>卸料工序</w:t>
                  </w:r>
                </w:p>
              </w:tc>
              <w:tc>
                <w:tcPr>
                  <w:tcW w:w="596" w:type="dxa"/>
                  <w:vMerge w:val="restart"/>
                  <w:vAlign w:val="center"/>
                </w:tcPr>
                <w:p>
                  <w:pPr>
                    <w:pStyle w:val="70"/>
                  </w:pPr>
                  <w:r>
                    <w:rPr>
                      <w:rFonts w:hint="eastAsia"/>
                    </w:rPr>
                    <w:t>颗粒物</w:t>
                  </w:r>
                </w:p>
              </w:tc>
              <w:tc>
                <w:tcPr>
                  <w:tcW w:w="714" w:type="dxa"/>
                  <w:vAlign w:val="center"/>
                </w:tcPr>
                <w:p>
                  <w:pPr>
                    <w:pStyle w:val="70"/>
                  </w:pPr>
                  <w:r>
                    <w:rPr>
                      <w:rFonts w:hint="eastAsia"/>
                    </w:rPr>
                    <w:t>有组织排放</w:t>
                  </w:r>
                </w:p>
              </w:tc>
              <w:tc>
                <w:tcPr>
                  <w:tcW w:w="1041" w:type="dxa"/>
                  <w:vAlign w:val="center"/>
                </w:tcPr>
                <w:p>
                  <w:pPr>
                    <w:pStyle w:val="70"/>
                    <w:rPr>
                      <w:rFonts w:hint="default" w:eastAsia="宋体"/>
                      <w:lang w:val="en-US" w:eastAsia="zh-CN"/>
                    </w:rPr>
                  </w:pPr>
                  <w:r>
                    <w:rPr>
                      <w:rFonts w:hint="eastAsia"/>
                      <w:lang w:val="en-US" w:eastAsia="zh-CN"/>
                    </w:rPr>
                    <w:t>10.58</w:t>
                  </w:r>
                </w:p>
              </w:tc>
              <w:tc>
                <w:tcPr>
                  <w:tcW w:w="833" w:type="dxa"/>
                  <w:vAlign w:val="center"/>
                </w:tcPr>
                <w:p>
                  <w:pPr>
                    <w:pStyle w:val="70"/>
                    <w:rPr>
                      <w:rFonts w:hint="default" w:eastAsia="宋体"/>
                      <w:lang w:val="en-US" w:eastAsia="zh-CN"/>
                    </w:rPr>
                  </w:pPr>
                  <w:r>
                    <w:rPr>
                      <w:rFonts w:hint="eastAsia"/>
                      <w:lang w:val="en-US" w:eastAsia="zh-CN"/>
                    </w:rPr>
                    <w:t>0.825</w:t>
                  </w:r>
                </w:p>
              </w:tc>
              <w:tc>
                <w:tcPr>
                  <w:tcW w:w="937" w:type="dxa"/>
                  <w:vAlign w:val="center"/>
                </w:tcPr>
                <w:p>
                  <w:pPr>
                    <w:pStyle w:val="70"/>
                    <w:rPr>
                      <w:rFonts w:hint="default" w:eastAsia="宋体"/>
                      <w:lang w:val="en-US" w:eastAsia="zh-CN"/>
                    </w:rPr>
                  </w:pPr>
                  <w:r>
                    <w:rPr>
                      <w:rFonts w:hint="eastAsia"/>
                      <w:lang w:val="en-US" w:eastAsia="zh-CN"/>
                    </w:rPr>
                    <w:t>1.98</w:t>
                  </w:r>
                </w:p>
              </w:tc>
              <w:tc>
                <w:tcPr>
                  <w:tcW w:w="1021" w:type="dxa"/>
                  <w:vMerge w:val="restart"/>
                  <w:vAlign w:val="center"/>
                </w:tcPr>
                <w:p>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+脉冲式布袋除尘器+15m高排气筒</w:t>
                  </w:r>
                </w:p>
              </w:tc>
              <w:tc>
                <w:tcPr>
                  <w:tcW w:w="927" w:type="dxa"/>
                  <w:vAlign w:val="center"/>
                </w:tcPr>
                <w:p>
                  <w:pPr>
                    <w:pStyle w:val="70"/>
                    <w:rPr>
                      <w:rFonts w:hint="default" w:eastAsia="宋体"/>
                      <w:lang w:val="en-US" w:eastAsia="zh-CN"/>
                    </w:rPr>
                  </w:pPr>
                  <w:r>
                    <w:rPr>
                      <w:rFonts w:hint="eastAsia"/>
                    </w:rPr>
                    <w:t>1.</w:t>
                  </w:r>
                  <w:r>
                    <w:rPr>
                      <w:rFonts w:hint="eastAsia"/>
                      <w:lang w:val="en-US" w:eastAsia="zh-CN"/>
                    </w:rPr>
                    <w:t>057</w:t>
                  </w:r>
                </w:p>
              </w:tc>
              <w:tc>
                <w:tcPr>
                  <w:tcW w:w="818" w:type="dxa"/>
                  <w:vAlign w:val="center"/>
                </w:tcPr>
                <w:p>
                  <w:pPr>
                    <w:pStyle w:val="70"/>
                    <w:rPr>
                      <w:rFonts w:hint="default" w:eastAsia="宋体"/>
                      <w:lang w:val="en-US" w:eastAsia="zh-CN"/>
                    </w:rPr>
                  </w:pPr>
                  <w:r>
                    <w:rPr>
                      <w:rFonts w:hint="eastAsia"/>
                    </w:rPr>
                    <w:t>0.</w:t>
                  </w:r>
                  <w:r>
                    <w:rPr>
                      <w:rFonts w:hint="eastAsia"/>
                      <w:lang w:val="en-US" w:eastAsia="zh-CN"/>
                    </w:rPr>
                    <w:t>00825</w:t>
                  </w:r>
                </w:p>
              </w:tc>
              <w:tc>
                <w:tcPr>
                  <w:tcW w:w="832" w:type="dxa"/>
                  <w:vAlign w:val="center"/>
                </w:tcPr>
                <w:p>
                  <w:pPr>
                    <w:pStyle w:val="70"/>
                    <w:rPr>
                      <w:rFonts w:hint="default" w:eastAsia="宋体"/>
                      <w:lang w:val="en-US" w:eastAsia="zh-CN"/>
                    </w:rPr>
                  </w:pPr>
                  <w:r>
                    <w:rPr>
                      <w:rFonts w:hint="eastAsia"/>
                      <w:lang w:val="en-US" w:eastAsia="zh-CN"/>
                    </w:rPr>
                    <w:t>0.0198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pStyle w:val="70"/>
                  </w:pPr>
                </w:p>
              </w:tc>
              <w:tc>
                <w:tcPr>
                  <w:tcW w:w="596" w:type="dxa"/>
                  <w:vMerge w:val="continue"/>
                  <w:vAlign w:val="center"/>
                </w:tcPr>
                <w:p>
                  <w:pPr>
                    <w:pStyle w:val="70"/>
                  </w:pPr>
                </w:p>
              </w:tc>
              <w:tc>
                <w:tcPr>
                  <w:tcW w:w="714" w:type="dxa"/>
                  <w:vAlign w:val="center"/>
                </w:tcPr>
                <w:p>
                  <w:pPr>
                    <w:pStyle w:val="70"/>
                  </w:pPr>
                  <w:r>
                    <w:rPr>
                      <w:rFonts w:hint="eastAsia"/>
                    </w:rPr>
                    <w:t>无组织排放</w:t>
                  </w:r>
                </w:p>
              </w:tc>
              <w:tc>
                <w:tcPr>
                  <w:tcW w:w="1041" w:type="dxa"/>
                  <w:vAlign w:val="center"/>
                </w:tcPr>
                <w:p>
                  <w:pPr>
                    <w:pStyle w:val="70"/>
                    <w:rPr>
                      <w:rFonts w:hint="default" w:eastAsia="宋体"/>
                      <w:lang w:val="en-US" w:eastAsia="zh-CN"/>
                    </w:rPr>
                  </w:pPr>
                  <w:r>
                    <w:rPr>
                      <w:rFonts w:hint="eastAsia"/>
                      <w:lang w:val="en-US" w:eastAsia="zh-CN"/>
                    </w:rPr>
                    <w:t>/</w:t>
                  </w:r>
                </w:p>
              </w:tc>
              <w:tc>
                <w:tcPr>
                  <w:tcW w:w="833" w:type="dxa"/>
                  <w:vAlign w:val="center"/>
                </w:tcPr>
                <w:p>
                  <w:pPr>
                    <w:pStyle w:val="70"/>
                    <w:rPr>
                      <w:rFonts w:hint="default" w:eastAsia="宋体"/>
                      <w:lang w:val="en-US" w:eastAsia="zh-CN"/>
                    </w:rPr>
                  </w:pPr>
                  <w:r>
                    <w:rPr>
                      <w:rFonts w:hint="eastAsia"/>
                      <w:lang w:val="en-US" w:eastAsia="zh-CN"/>
                    </w:rPr>
                    <w:t>0.917</w:t>
                  </w:r>
                </w:p>
              </w:tc>
              <w:tc>
                <w:tcPr>
                  <w:tcW w:w="937" w:type="dxa"/>
                  <w:vAlign w:val="center"/>
                </w:tcPr>
                <w:p>
                  <w:pPr>
                    <w:pStyle w:val="70"/>
                    <w:rPr>
                      <w:rFonts w:hint="default" w:eastAsia="宋体"/>
                      <w:lang w:val="en-US" w:eastAsia="zh-CN"/>
                    </w:rPr>
                  </w:pPr>
                  <w:r>
                    <w:rPr>
                      <w:rFonts w:hint="eastAsia"/>
                      <w:lang w:val="en-US" w:eastAsia="zh-CN"/>
                    </w:rPr>
                    <w:t>0.22</w:t>
                  </w:r>
                </w:p>
              </w:tc>
              <w:tc>
                <w:tcPr>
                  <w:tcW w:w="1021" w:type="dxa"/>
                  <w:vMerge w:val="continue"/>
                  <w:vAlign w:val="center"/>
                </w:tcPr>
                <w:p>
                  <w:pPr>
                    <w:pStyle w:val="70"/>
                  </w:pPr>
                </w:p>
              </w:tc>
              <w:tc>
                <w:tcPr>
                  <w:tcW w:w="927" w:type="dxa"/>
                  <w:vAlign w:val="center"/>
                </w:tcPr>
                <w:p>
                  <w:pPr>
                    <w:pStyle w:val="70"/>
                  </w:pPr>
                  <w:r>
                    <w:rPr>
                      <w:rFonts w:hint="eastAsia"/>
                    </w:rPr>
                    <w:t>/</w:t>
                  </w:r>
                </w:p>
              </w:tc>
              <w:tc>
                <w:tcPr>
                  <w:tcW w:w="818" w:type="dxa"/>
                  <w:vAlign w:val="center"/>
                </w:tcPr>
                <w:p>
                  <w:pPr>
                    <w:pStyle w:val="70"/>
                    <w:ind w:firstLine="0" w:firstLineChars="0"/>
                  </w:pPr>
                  <w:r>
                    <w:rPr>
                      <w:rFonts w:hint="eastAsia"/>
                      <w:lang w:val="en-US" w:eastAsia="zh-CN"/>
                    </w:rPr>
                    <w:t>0.0917</w:t>
                  </w:r>
                </w:p>
              </w:tc>
              <w:tc>
                <w:tcPr>
                  <w:tcW w:w="832" w:type="dxa"/>
                  <w:vAlign w:val="center"/>
                </w:tcPr>
                <w:p>
                  <w:pPr>
                    <w:pStyle w:val="70"/>
                    <w:ind w:firstLine="0" w:firstLineChars="0"/>
                  </w:pPr>
                  <w:r>
                    <w:rPr>
                      <w:rFonts w:hint="eastAsia"/>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restart"/>
                  <w:vAlign w:val="center"/>
                </w:tcPr>
                <w:p>
                  <w:pPr>
                    <w:pStyle w:val="70"/>
                  </w:pPr>
                  <w:r>
                    <w:rPr>
                      <w:rFonts w:hint="eastAsia"/>
                    </w:rPr>
                    <w:t>投料工序</w:t>
                  </w:r>
                </w:p>
              </w:tc>
              <w:tc>
                <w:tcPr>
                  <w:tcW w:w="596" w:type="dxa"/>
                  <w:vMerge w:val="restart"/>
                  <w:vAlign w:val="center"/>
                </w:tcPr>
                <w:p>
                  <w:pPr>
                    <w:pStyle w:val="70"/>
                  </w:pPr>
                  <w:r>
                    <w:rPr>
                      <w:rFonts w:hint="eastAsia"/>
                    </w:rPr>
                    <w:t>颗粒物</w:t>
                  </w:r>
                </w:p>
              </w:tc>
              <w:tc>
                <w:tcPr>
                  <w:tcW w:w="714" w:type="dxa"/>
                  <w:vAlign w:val="center"/>
                </w:tcPr>
                <w:p>
                  <w:pPr>
                    <w:pStyle w:val="70"/>
                  </w:pPr>
                  <w:r>
                    <w:rPr>
                      <w:rFonts w:hint="eastAsia"/>
                    </w:rPr>
                    <w:t>有组织排放</w:t>
                  </w:r>
                </w:p>
              </w:tc>
              <w:tc>
                <w:tcPr>
                  <w:tcW w:w="1041" w:type="dxa"/>
                  <w:vAlign w:val="center"/>
                </w:tcPr>
                <w:p>
                  <w:pPr>
                    <w:pStyle w:val="70"/>
                    <w:rPr>
                      <w:rFonts w:hint="default" w:eastAsia="宋体"/>
                      <w:lang w:val="en-US" w:eastAsia="zh-CN"/>
                    </w:rPr>
                  </w:pPr>
                  <w:r>
                    <w:rPr>
                      <w:rFonts w:hint="eastAsia"/>
                      <w:lang w:val="en-US" w:eastAsia="zh-CN"/>
                    </w:rPr>
                    <w:t>5846</w:t>
                  </w:r>
                </w:p>
              </w:tc>
              <w:tc>
                <w:tcPr>
                  <w:tcW w:w="833" w:type="dxa"/>
                  <w:vAlign w:val="center"/>
                </w:tcPr>
                <w:p>
                  <w:pPr>
                    <w:pStyle w:val="70"/>
                    <w:rPr>
                      <w:rFonts w:hint="default" w:eastAsia="宋体"/>
                      <w:lang w:val="en-US" w:eastAsia="zh-CN"/>
                    </w:rPr>
                  </w:pPr>
                  <w:r>
                    <w:rPr>
                      <w:rFonts w:hint="eastAsia"/>
                      <w:lang w:val="en-US" w:eastAsia="zh-CN"/>
                    </w:rPr>
                    <w:t>45.6</w:t>
                  </w:r>
                </w:p>
              </w:tc>
              <w:tc>
                <w:tcPr>
                  <w:tcW w:w="937" w:type="dxa"/>
                  <w:vAlign w:val="center"/>
                </w:tcPr>
                <w:p>
                  <w:pPr>
                    <w:pStyle w:val="70"/>
                    <w:rPr>
                      <w:rFonts w:hint="default" w:eastAsia="宋体"/>
                      <w:lang w:val="en-US" w:eastAsia="zh-CN"/>
                    </w:rPr>
                  </w:pPr>
                  <w:r>
                    <w:rPr>
                      <w:rFonts w:hint="eastAsia"/>
                      <w:lang w:val="en-US" w:eastAsia="zh-CN"/>
                    </w:rPr>
                    <w:t>54.72</w:t>
                  </w:r>
                </w:p>
              </w:tc>
              <w:tc>
                <w:tcPr>
                  <w:tcW w:w="1021" w:type="dxa"/>
                  <w:vMerge w:val="restart"/>
                  <w:vAlign w:val="center"/>
                </w:tcPr>
                <w:p>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+脉冲式布袋除尘器+15m高排气筒</w:t>
                  </w:r>
                </w:p>
              </w:tc>
              <w:tc>
                <w:tcPr>
                  <w:tcW w:w="927" w:type="dxa"/>
                  <w:vAlign w:val="center"/>
                </w:tcPr>
                <w:p>
                  <w:pPr>
                    <w:pStyle w:val="70"/>
                    <w:rPr>
                      <w:rFonts w:hint="default" w:eastAsia="宋体"/>
                      <w:lang w:val="en-US" w:eastAsia="zh-CN"/>
                    </w:rPr>
                  </w:pPr>
                  <w:r>
                    <w:rPr>
                      <w:rFonts w:hint="eastAsia"/>
                      <w:lang w:val="en-US" w:eastAsia="zh-CN"/>
                    </w:rPr>
                    <w:t>14.615</w:t>
                  </w:r>
                </w:p>
              </w:tc>
              <w:tc>
                <w:tcPr>
                  <w:tcW w:w="818" w:type="dxa"/>
                  <w:vAlign w:val="center"/>
                </w:tcPr>
                <w:p>
                  <w:pPr>
                    <w:pStyle w:val="70"/>
                    <w:rPr>
                      <w:rFonts w:hint="default" w:eastAsia="宋体"/>
                      <w:lang w:val="en-US" w:eastAsia="zh-CN"/>
                    </w:rPr>
                  </w:pPr>
                  <w:r>
                    <w:rPr>
                      <w:rFonts w:hint="eastAsia"/>
                    </w:rPr>
                    <w:t>0.</w:t>
                  </w:r>
                  <w:r>
                    <w:rPr>
                      <w:rFonts w:hint="eastAsia"/>
                      <w:lang w:val="en-US" w:eastAsia="zh-CN"/>
                    </w:rPr>
                    <w:t>456</w:t>
                  </w:r>
                </w:p>
              </w:tc>
              <w:tc>
                <w:tcPr>
                  <w:tcW w:w="832" w:type="dxa"/>
                  <w:vAlign w:val="center"/>
                </w:tcPr>
                <w:p>
                  <w:pPr>
                    <w:pStyle w:val="70"/>
                    <w:rPr>
                      <w:rFonts w:hint="default" w:eastAsia="宋体"/>
                      <w:lang w:val="en-US" w:eastAsia="zh-CN"/>
                    </w:rPr>
                  </w:pPr>
                  <w:r>
                    <w:rPr>
                      <w:rFonts w:hint="eastAsia"/>
                      <w:lang w:val="en-US" w:eastAsia="zh-CN"/>
                    </w:rPr>
                    <w:t>0.5472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pStyle w:val="70"/>
                  </w:pPr>
                </w:p>
              </w:tc>
              <w:tc>
                <w:tcPr>
                  <w:tcW w:w="596" w:type="dxa"/>
                  <w:vMerge w:val="continue"/>
                  <w:vAlign w:val="center"/>
                </w:tcPr>
                <w:p>
                  <w:pPr>
                    <w:pStyle w:val="70"/>
                  </w:pPr>
                </w:p>
              </w:tc>
              <w:tc>
                <w:tcPr>
                  <w:tcW w:w="714" w:type="dxa"/>
                  <w:vAlign w:val="center"/>
                </w:tcPr>
                <w:p>
                  <w:pPr>
                    <w:pStyle w:val="70"/>
                  </w:pPr>
                  <w:r>
                    <w:rPr>
                      <w:rFonts w:hint="eastAsia"/>
                    </w:rPr>
                    <w:t>无组织排放</w:t>
                  </w:r>
                </w:p>
              </w:tc>
              <w:tc>
                <w:tcPr>
                  <w:tcW w:w="1041" w:type="dxa"/>
                  <w:vAlign w:val="center"/>
                </w:tcPr>
                <w:p>
                  <w:pPr>
                    <w:pStyle w:val="70"/>
                  </w:pPr>
                  <w:r>
                    <w:rPr>
                      <w:rFonts w:hint="eastAsia"/>
                    </w:rPr>
                    <w:t>/</w:t>
                  </w:r>
                </w:p>
              </w:tc>
              <w:tc>
                <w:tcPr>
                  <w:tcW w:w="833" w:type="dxa"/>
                  <w:vAlign w:val="center"/>
                </w:tcPr>
                <w:p>
                  <w:pPr>
                    <w:pStyle w:val="70"/>
                    <w:rPr>
                      <w:rFonts w:hint="default" w:eastAsia="宋体"/>
                      <w:lang w:val="en-US" w:eastAsia="zh-CN"/>
                    </w:rPr>
                  </w:pPr>
                  <w:r>
                    <w:rPr>
                      <w:rFonts w:hint="eastAsia"/>
                      <w:lang w:val="en-US" w:eastAsia="zh-CN"/>
                    </w:rPr>
                    <w:t>5.068</w:t>
                  </w:r>
                </w:p>
              </w:tc>
              <w:tc>
                <w:tcPr>
                  <w:tcW w:w="937" w:type="dxa"/>
                  <w:vAlign w:val="center"/>
                </w:tcPr>
                <w:p>
                  <w:pPr>
                    <w:pStyle w:val="70"/>
                    <w:rPr>
                      <w:rFonts w:hint="default" w:eastAsia="宋体"/>
                      <w:lang w:val="en-US" w:eastAsia="zh-CN"/>
                    </w:rPr>
                  </w:pPr>
                  <w:r>
                    <w:rPr>
                      <w:rFonts w:hint="eastAsia"/>
                      <w:lang w:val="en-US" w:eastAsia="zh-CN"/>
                    </w:rPr>
                    <w:t>6.08</w:t>
                  </w:r>
                </w:p>
              </w:tc>
              <w:tc>
                <w:tcPr>
                  <w:tcW w:w="1021" w:type="dxa"/>
                  <w:vMerge w:val="continue"/>
                  <w:vAlign w:val="center"/>
                </w:tcPr>
                <w:p>
                  <w:pPr>
                    <w:pStyle w:val="70"/>
                  </w:pPr>
                </w:p>
              </w:tc>
              <w:tc>
                <w:tcPr>
                  <w:tcW w:w="927" w:type="dxa"/>
                  <w:vAlign w:val="center"/>
                </w:tcPr>
                <w:p>
                  <w:pPr>
                    <w:pStyle w:val="70"/>
                  </w:pPr>
                  <w:r>
                    <w:rPr>
                      <w:rFonts w:hint="eastAsia"/>
                    </w:rPr>
                    <w:t>/</w:t>
                  </w:r>
                </w:p>
              </w:tc>
              <w:tc>
                <w:tcPr>
                  <w:tcW w:w="818" w:type="dxa"/>
                  <w:vAlign w:val="center"/>
                </w:tcPr>
                <w:p>
                  <w:pPr>
                    <w:pStyle w:val="70"/>
                    <w:ind w:firstLine="0" w:firstLineChars="0"/>
                  </w:pPr>
                  <w:r>
                    <w:rPr>
                      <w:rFonts w:hint="eastAsia"/>
                      <w:lang w:val="en-US" w:eastAsia="zh-CN"/>
                    </w:rPr>
                    <w:t>5.068</w:t>
                  </w:r>
                </w:p>
              </w:tc>
              <w:tc>
                <w:tcPr>
                  <w:tcW w:w="832" w:type="dxa"/>
                  <w:vAlign w:val="center"/>
                </w:tcPr>
                <w:p>
                  <w:pPr>
                    <w:pStyle w:val="70"/>
                    <w:ind w:firstLine="0" w:firstLineChars="0"/>
                  </w:pPr>
                  <w:r>
                    <w:rPr>
                      <w:rFonts w:hint="eastAsia"/>
                      <w:lang w:val="en-US" w:eastAsia="zh-CN"/>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pStyle w:val="70"/>
                  </w:pPr>
                  <w:r>
                    <w:rPr>
                      <w:rFonts w:hint="eastAsia"/>
                    </w:rPr>
                    <w:t>粉碎工序</w:t>
                  </w:r>
                </w:p>
              </w:tc>
              <w:tc>
                <w:tcPr>
                  <w:tcW w:w="596" w:type="dxa"/>
                  <w:vAlign w:val="center"/>
                </w:tcPr>
                <w:p>
                  <w:pPr>
                    <w:pStyle w:val="70"/>
                  </w:pPr>
                  <w:r>
                    <w:rPr>
                      <w:rFonts w:hint="eastAsia"/>
                    </w:rPr>
                    <w:t>颗粒物</w:t>
                  </w:r>
                </w:p>
              </w:tc>
              <w:tc>
                <w:tcPr>
                  <w:tcW w:w="714" w:type="dxa"/>
                  <w:vAlign w:val="center"/>
                </w:tcPr>
                <w:p>
                  <w:pPr>
                    <w:pStyle w:val="70"/>
                  </w:pPr>
                  <w:r>
                    <w:rPr>
                      <w:rFonts w:hint="eastAsia"/>
                    </w:rPr>
                    <w:t>有组织排放</w:t>
                  </w:r>
                </w:p>
              </w:tc>
              <w:tc>
                <w:tcPr>
                  <w:tcW w:w="1041" w:type="dxa"/>
                  <w:vAlign w:val="center"/>
                </w:tcPr>
                <w:p>
                  <w:pPr>
                    <w:pStyle w:val="70"/>
                    <w:rPr>
                      <w:rFonts w:hint="default" w:eastAsia="宋体"/>
                      <w:lang w:val="en-US" w:eastAsia="zh-CN"/>
                    </w:rPr>
                  </w:pPr>
                  <w:r>
                    <w:rPr>
                      <w:rFonts w:hint="eastAsia"/>
                      <w:lang w:val="en-US" w:eastAsia="zh-CN"/>
                    </w:rPr>
                    <w:t>93.75</w:t>
                  </w:r>
                </w:p>
              </w:tc>
              <w:tc>
                <w:tcPr>
                  <w:tcW w:w="833" w:type="dxa"/>
                  <w:vAlign w:val="center"/>
                </w:tcPr>
                <w:p>
                  <w:pPr>
                    <w:pStyle w:val="70"/>
                    <w:rPr>
                      <w:rFonts w:hint="default" w:eastAsia="宋体"/>
                      <w:lang w:val="en-US" w:eastAsia="zh-CN"/>
                    </w:rPr>
                  </w:pPr>
                  <w:r>
                    <w:rPr>
                      <w:rFonts w:hint="eastAsia"/>
                      <w:lang w:val="en-US" w:eastAsia="zh-CN"/>
                    </w:rPr>
                    <w:t>3.75</w:t>
                  </w:r>
                </w:p>
              </w:tc>
              <w:tc>
                <w:tcPr>
                  <w:tcW w:w="937" w:type="dxa"/>
                  <w:vAlign w:val="center"/>
                </w:tcPr>
                <w:p>
                  <w:pPr>
                    <w:pStyle w:val="70"/>
                    <w:rPr>
                      <w:rFonts w:hint="eastAsia" w:eastAsia="宋体"/>
                      <w:lang w:eastAsia="zh-CN"/>
                    </w:rPr>
                  </w:pPr>
                  <w:r>
                    <w:rPr>
                      <w:rFonts w:hint="eastAsia"/>
                      <w:lang w:val="en-US" w:eastAsia="zh-CN"/>
                    </w:rPr>
                    <w:t>9</w:t>
                  </w:r>
                </w:p>
              </w:tc>
              <w:tc>
                <w:tcPr>
                  <w:tcW w:w="1021" w:type="dxa"/>
                  <w:vAlign w:val="center"/>
                </w:tcPr>
                <w:p>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+脉冲式布袋除尘器+15m高排气筒</w:t>
                  </w:r>
                </w:p>
              </w:tc>
              <w:tc>
                <w:tcPr>
                  <w:tcW w:w="927" w:type="dxa"/>
                  <w:vAlign w:val="center"/>
                </w:tcPr>
                <w:p>
                  <w:pPr>
                    <w:pStyle w:val="70"/>
                    <w:ind w:firstLine="0" w:firstLineChars="0"/>
                  </w:pPr>
                  <w:r>
                    <w:rPr>
                      <w:rFonts w:hint="eastAsia"/>
                      <w:lang w:val="en-US" w:eastAsia="zh-CN"/>
                    </w:rPr>
                    <w:t>93.75</w:t>
                  </w:r>
                </w:p>
              </w:tc>
              <w:tc>
                <w:tcPr>
                  <w:tcW w:w="818" w:type="dxa"/>
                  <w:vAlign w:val="center"/>
                </w:tcPr>
                <w:p>
                  <w:pPr>
                    <w:pStyle w:val="70"/>
                    <w:ind w:firstLine="0" w:firstLineChars="0"/>
                  </w:pPr>
                  <w:r>
                    <w:rPr>
                      <w:rFonts w:hint="eastAsia"/>
                      <w:lang w:val="en-US" w:eastAsia="zh-CN"/>
                    </w:rPr>
                    <w:t>3.75</w:t>
                  </w:r>
                </w:p>
              </w:tc>
              <w:tc>
                <w:tcPr>
                  <w:tcW w:w="832" w:type="dxa"/>
                  <w:vAlign w:val="center"/>
                </w:tcPr>
                <w:p>
                  <w:pPr>
                    <w:pStyle w:val="70"/>
                    <w:ind w:firstLine="0" w:firstLineChars="0"/>
                  </w:pPr>
                  <w:r>
                    <w:rPr>
                      <w:rFonts w:hint="eastAsia"/>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pStyle w:val="70"/>
                  </w:pPr>
                  <w:r>
                    <w:rPr>
                      <w:rFonts w:hint="eastAsia"/>
                    </w:rPr>
                    <w:t>配料混合</w:t>
                  </w:r>
                </w:p>
                <w:p>
                  <w:pPr>
                    <w:pStyle w:val="70"/>
                  </w:pPr>
                  <w:r>
                    <w:rPr>
                      <w:rFonts w:hint="eastAsia"/>
                    </w:rPr>
                    <w:t>工序</w:t>
                  </w:r>
                </w:p>
              </w:tc>
              <w:tc>
                <w:tcPr>
                  <w:tcW w:w="596" w:type="dxa"/>
                  <w:vAlign w:val="center"/>
                </w:tcPr>
                <w:p>
                  <w:pPr>
                    <w:pStyle w:val="70"/>
                  </w:pPr>
                  <w:r>
                    <w:rPr>
                      <w:rFonts w:hint="eastAsia"/>
                    </w:rPr>
                    <w:t>颗粒物</w:t>
                  </w:r>
                </w:p>
              </w:tc>
              <w:tc>
                <w:tcPr>
                  <w:tcW w:w="714" w:type="dxa"/>
                  <w:vAlign w:val="center"/>
                </w:tcPr>
                <w:p>
                  <w:pPr>
                    <w:pStyle w:val="70"/>
                  </w:pPr>
                  <w:r>
                    <w:rPr>
                      <w:rFonts w:hint="eastAsia"/>
                    </w:rPr>
                    <w:t>有组织排放</w:t>
                  </w:r>
                </w:p>
              </w:tc>
              <w:tc>
                <w:tcPr>
                  <w:tcW w:w="1041" w:type="dxa"/>
                  <w:vAlign w:val="center"/>
                </w:tcPr>
                <w:p>
                  <w:pPr>
                    <w:pStyle w:val="70"/>
                    <w:rPr>
                      <w:rFonts w:hint="default" w:eastAsia="宋体"/>
                      <w:lang w:val="en-US" w:eastAsia="zh-CN"/>
                    </w:rPr>
                  </w:pPr>
                  <w:r>
                    <w:rPr>
                      <w:rFonts w:hint="eastAsia"/>
                      <w:lang w:val="en-US" w:eastAsia="zh-CN"/>
                    </w:rPr>
                    <w:t>66.675</w:t>
                  </w:r>
                </w:p>
              </w:tc>
              <w:tc>
                <w:tcPr>
                  <w:tcW w:w="833" w:type="dxa"/>
                  <w:vAlign w:val="center"/>
                </w:tcPr>
                <w:p>
                  <w:pPr>
                    <w:pStyle w:val="70"/>
                    <w:rPr>
                      <w:rFonts w:hint="default" w:eastAsia="宋体"/>
                      <w:lang w:val="en-US" w:eastAsia="zh-CN"/>
                    </w:rPr>
                  </w:pPr>
                  <w:r>
                    <w:rPr>
                      <w:rFonts w:hint="eastAsia"/>
                      <w:lang w:val="en-US" w:eastAsia="zh-CN"/>
                    </w:rPr>
                    <w:t>2.667</w:t>
                  </w:r>
                </w:p>
              </w:tc>
              <w:tc>
                <w:tcPr>
                  <w:tcW w:w="937" w:type="dxa"/>
                  <w:vAlign w:val="center"/>
                </w:tcPr>
                <w:p>
                  <w:pPr>
                    <w:pStyle w:val="70"/>
                    <w:rPr>
                      <w:rFonts w:hint="default" w:eastAsia="宋体"/>
                      <w:lang w:val="en-US" w:eastAsia="zh-CN"/>
                    </w:rPr>
                  </w:pPr>
                  <w:r>
                    <w:rPr>
                      <w:rFonts w:hint="eastAsia"/>
                      <w:lang w:val="en-US" w:eastAsia="zh-CN"/>
                    </w:rPr>
                    <w:t>6.4</w:t>
                  </w:r>
                </w:p>
              </w:tc>
              <w:tc>
                <w:tcPr>
                  <w:tcW w:w="1021" w:type="dxa"/>
                  <w:vAlign w:val="center"/>
                </w:tcPr>
                <w:p>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+脉冲式布袋除尘器+15m高排气筒</w:t>
                  </w:r>
                </w:p>
              </w:tc>
              <w:tc>
                <w:tcPr>
                  <w:tcW w:w="927" w:type="dxa"/>
                  <w:vAlign w:val="center"/>
                </w:tcPr>
                <w:p>
                  <w:pPr>
                    <w:pStyle w:val="70"/>
                    <w:ind w:firstLine="0" w:firstLineChars="0"/>
                  </w:pPr>
                  <w:r>
                    <w:rPr>
                      <w:rFonts w:hint="eastAsia"/>
                      <w:lang w:val="en-US" w:eastAsia="zh-CN"/>
                    </w:rPr>
                    <w:t>66.675</w:t>
                  </w:r>
                </w:p>
              </w:tc>
              <w:tc>
                <w:tcPr>
                  <w:tcW w:w="818" w:type="dxa"/>
                  <w:vAlign w:val="center"/>
                </w:tcPr>
                <w:p>
                  <w:pPr>
                    <w:pStyle w:val="70"/>
                    <w:ind w:firstLine="0" w:firstLineChars="0"/>
                  </w:pPr>
                  <w:r>
                    <w:rPr>
                      <w:rFonts w:hint="eastAsia"/>
                      <w:lang w:val="en-US" w:eastAsia="zh-CN"/>
                    </w:rPr>
                    <w:t>2.667</w:t>
                  </w:r>
                </w:p>
              </w:tc>
              <w:tc>
                <w:tcPr>
                  <w:tcW w:w="832" w:type="dxa"/>
                  <w:vAlign w:val="center"/>
                </w:tcPr>
                <w:p>
                  <w:pPr>
                    <w:pStyle w:val="70"/>
                    <w:ind w:firstLine="0" w:firstLineChars="0"/>
                  </w:pPr>
                  <w:r>
                    <w:rPr>
                      <w:rFonts w:hint="eastAsia"/>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pStyle w:val="70"/>
                  </w:pPr>
                  <w:r>
                    <w:rPr>
                      <w:rFonts w:hint="eastAsia"/>
                    </w:rPr>
                    <w:t>制粒冷却工序</w:t>
                  </w:r>
                </w:p>
              </w:tc>
              <w:tc>
                <w:tcPr>
                  <w:tcW w:w="596" w:type="dxa"/>
                  <w:vAlign w:val="center"/>
                </w:tcPr>
                <w:p>
                  <w:pPr>
                    <w:pStyle w:val="70"/>
                  </w:pPr>
                  <w:r>
                    <w:rPr>
                      <w:rFonts w:hint="eastAsia"/>
                    </w:rPr>
                    <w:t>颗粒物</w:t>
                  </w:r>
                </w:p>
              </w:tc>
              <w:tc>
                <w:tcPr>
                  <w:tcW w:w="714" w:type="dxa"/>
                  <w:vAlign w:val="center"/>
                </w:tcPr>
                <w:p>
                  <w:pPr>
                    <w:pStyle w:val="70"/>
                  </w:pPr>
                  <w:r>
                    <w:rPr>
                      <w:rFonts w:hint="eastAsia"/>
                    </w:rPr>
                    <w:t>有组织排放</w:t>
                  </w:r>
                </w:p>
              </w:tc>
              <w:tc>
                <w:tcPr>
                  <w:tcW w:w="1041" w:type="dxa"/>
                  <w:vAlign w:val="center"/>
                </w:tcPr>
                <w:p>
                  <w:pPr>
                    <w:pStyle w:val="70"/>
                    <w:rPr>
                      <w:rFonts w:hint="default" w:eastAsia="宋体"/>
                      <w:lang w:val="en-US" w:eastAsia="zh-CN"/>
                    </w:rPr>
                  </w:pPr>
                  <w:r>
                    <w:rPr>
                      <w:rFonts w:hint="eastAsia"/>
                      <w:lang w:val="en-US" w:eastAsia="zh-CN"/>
                    </w:rPr>
                    <w:t>83.35</w:t>
                  </w:r>
                </w:p>
              </w:tc>
              <w:tc>
                <w:tcPr>
                  <w:tcW w:w="833" w:type="dxa"/>
                  <w:vAlign w:val="center"/>
                </w:tcPr>
                <w:p>
                  <w:pPr>
                    <w:pStyle w:val="70"/>
                    <w:rPr>
                      <w:rFonts w:hint="default" w:eastAsia="宋体"/>
                      <w:lang w:val="en-US" w:eastAsia="zh-CN"/>
                    </w:rPr>
                  </w:pPr>
                  <w:r>
                    <w:rPr>
                      <w:rFonts w:hint="eastAsia"/>
                      <w:lang w:val="en-US" w:eastAsia="zh-CN"/>
                    </w:rPr>
                    <w:t>1.667</w:t>
                  </w:r>
                </w:p>
              </w:tc>
              <w:tc>
                <w:tcPr>
                  <w:tcW w:w="937" w:type="dxa"/>
                  <w:vAlign w:val="center"/>
                </w:tcPr>
                <w:p>
                  <w:pPr>
                    <w:pStyle w:val="70"/>
                    <w:rPr>
                      <w:rFonts w:hint="eastAsia" w:eastAsia="宋体"/>
                      <w:lang w:eastAsia="zh-CN"/>
                    </w:rPr>
                  </w:pPr>
                  <w:r>
                    <w:rPr>
                      <w:rFonts w:hint="eastAsia"/>
                      <w:lang w:val="en-US" w:eastAsia="zh-CN"/>
                    </w:rPr>
                    <w:t>4</w:t>
                  </w:r>
                </w:p>
              </w:tc>
              <w:tc>
                <w:tcPr>
                  <w:tcW w:w="1021" w:type="dxa"/>
                  <w:vAlign w:val="center"/>
                </w:tcPr>
                <w:p>
                  <w:pPr>
                    <w:pStyle w:val="70"/>
                    <w:rPr>
                      <w:rFonts w:hint="eastAsia" w:eastAsia="宋体"/>
                      <w:lang w:eastAsia="zh-CN"/>
                    </w:rPr>
                  </w:pPr>
                  <w:r>
                    <w:rPr>
                      <w:rFonts w:hint="eastAsia"/>
                    </w:rPr>
                    <w:t>脉冲</w:t>
                  </w:r>
                  <w:r>
                    <w:rPr>
                      <w:rFonts w:hint="eastAsia"/>
                      <w:lang w:val="en-US" w:eastAsia="zh-CN"/>
                    </w:rPr>
                    <w:t>沙</w:t>
                  </w:r>
                </w:p>
                <w:p>
                  <w:pPr>
                    <w:pStyle w:val="70"/>
                  </w:pPr>
                  <w:r>
                    <w:rPr>
                      <w:rFonts w:hint="eastAsia"/>
                    </w:rPr>
                    <w:t>克龙除</w:t>
                  </w:r>
                </w:p>
                <w:p>
                  <w:pPr>
                    <w:pStyle w:val="70"/>
                  </w:pPr>
                  <w:r>
                    <w:rPr>
                      <w:rFonts w:hint="eastAsia"/>
                    </w:rPr>
                    <w:t>尘器</w:t>
                  </w:r>
                </w:p>
                <w:p>
                  <w:pPr>
                    <w:pStyle w:val="70"/>
                  </w:pPr>
                  <w:r>
                    <w:t>+15m</w:t>
                  </w:r>
                  <w:r>
                    <w:rPr>
                      <w:rFonts w:hint="eastAsia"/>
                    </w:rPr>
                    <w:t>高</w:t>
                  </w:r>
                </w:p>
                <w:p>
                  <w:pPr>
                    <w:pStyle w:val="70"/>
                  </w:pPr>
                  <w:r>
                    <w:rPr>
                      <w:rFonts w:hint="eastAsia"/>
                    </w:rPr>
                    <w:t>排气筒</w:t>
                  </w:r>
                </w:p>
              </w:tc>
              <w:tc>
                <w:tcPr>
                  <w:tcW w:w="927" w:type="dxa"/>
                  <w:vAlign w:val="center"/>
                </w:tcPr>
                <w:p>
                  <w:pPr>
                    <w:pStyle w:val="70"/>
                    <w:ind w:firstLine="0" w:firstLineChars="0"/>
                  </w:pPr>
                  <w:r>
                    <w:rPr>
                      <w:rFonts w:hint="eastAsia"/>
                      <w:lang w:val="en-US" w:eastAsia="zh-CN"/>
                    </w:rPr>
                    <w:t>83.35</w:t>
                  </w:r>
                </w:p>
              </w:tc>
              <w:tc>
                <w:tcPr>
                  <w:tcW w:w="818" w:type="dxa"/>
                  <w:vAlign w:val="center"/>
                </w:tcPr>
                <w:p>
                  <w:pPr>
                    <w:pStyle w:val="70"/>
                    <w:ind w:firstLine="0" w:firstLineChars="0"/>
                  </w:pPr>
                  <w:r>
                    <w:rPr>
                      <w:rFonts w:hint="eastAsia"/>
                      <w:lang w:val="en-US" w:eastAsia="zh-CN"/>
                    </w:rPr>
                    <w:t>1.667</w:t>
                  </w:r>
                </w:p>
              </w:tc>
              <w:tc>
                <w:tcPr>
                  <w:tcW w:w="832" w:type="dxa"/>
                  <w:vAlign w:val="center"/>
                </w:tcPr>
                <w:p>
                  <w:pPr>
                    <w:pStyle w:val="70"/>
                    <w:ind w:firstLine="0" w:firstLineChars="0"/>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restart"/>
                  <w:vAlign w:val="center"/>
                </w:tcPr>
                <w:p>
                  <w:pPr>
                    <w:pStyle w:val="70"/>
                    <w:rPr>
                      <w:rFonts w:hint="eastAsia" w:eastAsia="宋体"/>
                      <w:lang w:val="en-US" w:eastAsia="zh-CN"/>
                    </w:rPr>
                  </w:pPr>
                  <w:r>
                    <w:rPr>
                      <w:rFonts w:hint="eastAsia"/>
                    </w:rPr>
                    <w:t>产品</w:t>
                  </w:r>
                  <w:r>
                    <w:rPr>
                      <w:rFonts w:hint="eastAsia"/>
                      <w:lang w:val="en-US" w:eastAsia="zh-CN"/>
                    </w:rPr>
                    <w:t>包装</w:t>
                  </w:r>
                </w:p>
              </w:tc>
              <w:tc>
                <w:tcPr>
                  <w:tcW w:w="596" w:type="dxa"/>
                  <w:vMerge w:val="restart"/>
                  <w:vAlign w:val="center"/>
                </w:tcPr>
                <w:p>
                  <w:pPr>
                    <w:pStyle w:val="70"/>
                  </w:pPr>
                  <w:r>
                    <w:rPr>
                      <w:rFonts w:hint="eastAsia"/>
                    </w:rPr>
                    <w:t>颗粒物</w:t>
                  </w:r>
                </w:p>
              </w:tc>
              <w:tc>
                <w:tcPr>
                  <w:tcW w:w="714" w:type="dxa"/>
                  <w:vAlign w:val="center"/>
                </w:tcPr>
                <w:p>
                  <w:pPr>
                    <w:pStyle w:val="70"/>
                  </w:pPr>
                  <w:r>
                    <w:rPr>
                      <w:rFonts w:hint="eastAsia"/>
                    </w:rPr>
                    <w:t>有组织排放</w:t>
                  </w:r>
                </w:p>
              </w:tc>
              <w:tc>
                <w:tcPr>
                  <w:tcW w:w="1041" w:type="dxa"/>
                  <w:vAlign w:val="center"/>
                </w:tcPr>
                <w:p>
                  <w:pPr>
                    <w:pStyle w:val="70"/>
                    <w:rPr>
                      <w:rFonts w:hint="default" w:eastAsia="宋体"/>
                      <w:lang w:val="en-US" w:eastAsia="zh-CN"/>
                    </w:rPr>
                  </w:pPr>
                  <w:r>
                    <w:rPr>
                      <w:rFonts w:hint="eastAsia"/>
                      <w:lang w:val="en-US" w:eastAsia="zh-CN"/>
                    </w:rPr>
                    <w:t>500</w:t>
                  </w:r>
                </w:p>
              </w:tc>
              <w:tc>
                <w:tcPr>
                  <w:tcW w:w="833" w:type="dxa"/>
                  <w:vAlign w:val="center"/>
                </w:tcPr>
                <w:p>
                  <w:pPr>
                    <w:pStyle w:val="70"/>
                    <w:rPr>
                      <w:rFonts w:hint="eastAsia" w:eastAsia="宋体"/>
                      <w:lang w:eastAsia="zh-CN"/>
                    </w:rPr>
                  </w:pPr>
                  <w:r>
                    <w:rPr>
                      <w:rFonts w:hint="eastAsia"/>
                    </w:rPr>
                    <w:t>1.</w:t>
                  </w:r>
                  <w:r>
                    <w:rPr>
                      <w:rFonts w:hint="eastAsia"/>
                      <w:lang w:val="en-US" w:eastAsia="zh-CN"/>
                    </w:rPr>
                    <w:t>5</w:t>
                  </w:r>
                </w:p>
              </w:tc>
              <w:tc>
                <w:tcPr>
                  <w:tcW w:w="937" w:type="dxa"/>
                  <w:vAlign w:val="center"/>
                </w:tcPr>
                <w:p>
                  <w:pPr>
                    <w:pStyle w:val="70"/>
                    <w:rPr>
                      <w:rFonts w:hint="default" w:eastAsia="宋体"/>
                      <w:lang w:val="en-US" w:eastAsia="zh-CN"/>
                    </w:rPr>
                  </w:pPr>
                  <w:r>
                    <w:rPr>
                      <w:rFonts w:hint="eastAsia"/>
                      <w:lang w:val="en-US" w:eastAsia="zh-CN"/>
                    </w:rPr>
                    <w:t>3.6</w:t>
                  </w:r>
                </w:p>
              </w:tc>
              <w:tc>
                <w:tcPr>
                  <w:tcW w:w="1021" w:type="dxa"/>
                  <w:vMerge w:val="restart"/>
                  <w:vAlign w:val="center"/>
                </w:tcPr>
                <w:p>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+脉冲式布袋除尘器+15m高排气筒</w:t>
                  </w:r>
                </w:p>
              </w:tc>
              <w:tc>
                <w:tcPr>
                  <w:tcW w:w="927" w:type="dxa"/>
                  <w:vAlign w:val="center"/>
                </w:tcPr>
                <w:p>
                  <w:pPr>
                    <w:pStyle w:val="70"/>
                    <w:rPr>
                      <w:rFonts w:hint="eastAsia" w:eastAsia="宋体"/>
                      <w:lang w:eastAsia="zh-CN"/>
                    </w:rPr>
                  </w:pPr>
                  <w:r>
                    <w:rPr>
                      <w:rFonts w:hint="eastAsia"/>
                      <w:lang w:val="en-US" w:eastAsia="zh-CN"/>
                    </w:rPr>
                    <w:t>5</w:t>
                  </w:r>
                </w:p>
              </w:tc>
              <w:tc>
                <w:tcPr>
                  <w:tcW w:w="818" w:type="dxa"/>
                  <w:vAlign w:val="center"/>
                </w:tcPr>
                <w:p>
                  <w:pPr>
                    <w:pStyle w:val="70"/>
                    <w:rPr>
                      <w:rFonts w:hint="eastAsia" w:eastAsia="宋体"/>
                      <w:lang w:eastAsia="zh-CN"/>
                    </w:rPr>
                  </w:pPr>
                  <w:r>
                    <w:rPr>
                      <w:rFonts w:hint="eastAsia"/>
                    </w:rPr>
                    <w:t>0.01</w:t>
                  </w:r>
                  <w:r>
                    <w:rPr>
                      <w:rFonts w:hint="eastAsia"/>
                      <w:lang w:val="en-US" w:eastAsia="zh-CN"/>
                    </w:rPr>
                    <w:t>5</w:t>
                  </w:r>
                </w:p>
              </w:tc>
              <w:tc>
                <w:tcPr>
                  <w:tcW w:w="832" w:type="dxa"/>
                  <w:vAlign w:val="center"/>
                </w:tcPr>
                <w:p>
                  <w:pPr>
                    <w:pStyle w:val="70"/>
                    <w:rPr>
                      <w:rFonts w:hint="default" w:eastAsia="宋体"/>
                      <w:lang w:val="en-US" w:eastAsia="zh-CN"/>
                    </w:rPr>
                  </w:pPr>
                  <w:r>
                    <w:rPr>
                      <w:rFonts w:hint="eastAsia"/>
                    </w:rPr>
                    <w:t>0.</w:t>
                  </w:r>
                  <w:r>
                    <w:rPr>
                      <w:rFonts w:hint="eastAsia"/>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pStyle w:val="70"/>
                  </w:pPr>
                </w:p>
              </w:tc>
              <w:tc>
                <w:tcPr>
                  <w:tcW w:w="596" w:type="dxa"/>
                  <w:vMerge w:val="continue"/>
                  <w:vAlign w:val="center"/>
                </w:tcPr>
                <w:p>
                  <w:pPr>
                    <w:pStyle w:val="70"/>
                  </w:pPr>
                </w:p>
              </w:tc>
              <w:tc>
                <w:tcPr>
                  <w:tcW w:w="714" w:type="dxa"/>
                  <w:vAlign w:val="center"/>
                </w:tcPr>
                <w:p>
                  <w:pPr>
                    <w:pStyle w:val="70"/>
                  </w:pPr>
                  <w:r>
                    <w:rPr>
                      <w:rFonts w:hint="eastAsia"/>
                    </w:rPr>
                    <w:t>无组织排放</w:t>
                  </w:r>
                </w:p>
              </w:tc>
              <w:tc>
                <w:tcPr>
                  <w:tcW w:w="1041" w:type="dxa"/>
                  <w:vAlign w:val="center"/>
                </w:tcPr>
                <w:p>
                  <w:pPr>
                    <w:pStyle w:val="70"/>
                  </w:pPr>
                  <w:r>
                    <w:rPr>
                      <w:rFonts w:hint="eastAsia"/>
                    </w:rPr>
                    <w:t>/</w:t>
                  </w:r>
                </w:p>
              </w:tc>
              <w:tc>
                <w:tcPr>
                  <w:tcW w:w="833" w:type="dxa"/>
                  <w:vAlign w:val="center"/>
                </w:tcPr>
                <w:p>
                  <w:pPr>
                    <w:pStyle w:val="70"/>
                    <w:rPr>
                      <w:rFonts w:hint="default" w:eastAsia="宋体"/>
                      <w:lang w:val="en-US" w:eastAsia="zh-CN"/>
                    </w:rPr>
                  </w:pPr>
                  <w:r>
                    <w:rPr>
                      <w:rFonts w:hint="eastAsia"/>
                    </w:rPr>
                    <w:t>0.</w:t>
                  </w:r>
                  <w:r>
                    <w:rPr>
                      <w:rFonts w:hint="eastAsia"/>
                      <w:lang w:val="en-US" w:eastAsia="zh-CN"/>
                    </w:rPr>
                    <w:t>17</w:t>
                  </w:r>
                </w:p>
              </w:tc>
              <w:tc>
                <w:tcPr>
                  <w:tcW w:w="937" w:type="dxa"/>
                  <w:vAlign w:val="center"/>
                </w:tcPr>
                <w:p>
                  <w:pPr>
                    <w:pStyle w:val="70"/>
                    <w:rPr>
                      <w:rFonts w:hint="default" w:eastAsia="宋体"/>
                      <w:lang w:val="en-US" w:eastAsia="zh-CN"/>
                    </w:rPr>
                  </w:pPr>
                  <w:r>
                    <w:rPr>
                      <w:rFonts w:hint="eastAsia"/>
                      <w:lang w:val="en-US" w:eastAsia="zh-CN"/>
                    </w:rPr>
                    <w:t>0.4</w:t>
                  </w:r>
                </w:p>
              </w:tc>
              <w:tc>
                <w:tcPr>
                  <w:tcW w:w="1021" w:type="dxa"/>
                  <w:vMerge w:val="continue"/>
                  <w:vAlign w:val="center"/>
                </w:tcPr>
                <w:p>
                  <w:pPr>
                    <w:pStyle w:val="70"/>
                  </w:pPr>
                </w:p>
              </w:tc>
              <w:tc>
                <w:tcPr>
                  <w:tcW w:w="927" w:type="dxa"/>
                  <w:vAlign w:val="center"/>
                </w:tcPr>
                <w:p>
                  <w:pPr>
                    <w:pStyle w:val="70"/>
                  </w:pPr>
                  <w:r>
                    <w:rPr>
                      <w:rFonts w:hint="eastAsia"/>
                    </w:rPr>
                    <w:t>/</w:t>
                  </w:r>
                </w:p>
              </w:tc>
              <w:tc>
                <w:tcPr>
                  <w:tcW w:w="818" w:type="dxa"/>
                  <w:vAlign w:val="center"/>
                </w:tcPr>
                <w:p>
                  <w:pPr>
                    <w:pStyle w:val="70"/>
                    <w:ind w:firstLine="0" w:firstLineChars="0"/>
                  </w:pPr>
                  <w:r>
                    <w:rPr>
                      <w:rFonts w:hint="eastAsia"/>
                    </w:rPr>
                    <w:t>0.</w:t>
                  </w:r>
                  <w:r>
                    <w:rPr>
                      <w:rFonts w:hint="eastAsia"/>
                      <w:lang w:val="en-US" w:eastAsia="zh-CN"/>
                    </w:rPr>
                    <w:t>17</w:t>
                  </w:r>
                </w:p>
              </w:tc>
              <w:tc>
                <w:tcPr>
                  <w:tcW w:w="832" w:type="dxa"/>
                  <w:vAlign w:val="center"/>
                </w:tcPr>
                <w:p>
                  <w:pPr>
                    <w:pStyle w:val="70"/>
                    <w:ind w:firstLine="0" w:firstLineChars="0"/>
                  </w:pPr>
                  <w:r>
                    <w:rPr>
                      <w:rFonts w:hint="eastAsia"/>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pStyle w:val="70"/>
                    <w:rPr>
                      <w:rFonts w:hint="default" w:eastAsia="宋体"/>
                      <w:lang w:val="en-US" w:eastAsia="zh-CN"/>
                    </w:rPr>
                  </w:pPr>
                  <w:r>
                    <w:rPr>
                      <w:rFonts w:hint="eastAsia"/>
                      <w:lang w:val="en-US" w:eastAsia="zh-CN"/>
                    </w:rPr>
                    <w:t>危险废物贮存库</w:t>
                  </w:r>
                </w:p>
              </w:tc>
              <w:tc>
                <w:tcPr>
                  <w:tcW w:w="596" w:type="dxa"/>
                  <w:vAlign w:val="center"/>
                </w:tcPr>
                <w:p>
                  <w:pPr>
                    <w:pStyle w:val="70"/>
                    <w:rPr>
                      <w:rFonts w:hint="default" w:eastAsia="宋体"/>
                      <w:lang w:val="en-US" w:eastAsia="zh-CN"/>
                    </w:rPr>
                  </w:pPr>
                  <w:r>
                    <w:rPr>
                      <w:rFonts w:hint="eastAsia"/>
                      <w:lang w:val="en-US" w:eastAsia="zh-CN"/>
                    </w:rPr>
                    <w:t>挥发性有机物</w:t>
                  </w:r>
                </w:p>
              </w:tc>
              <w:tc>
                <w:tcPr>
                  <w:tcW w:w="714" w:type="dxa"/>
                  <w:vAlign w:val="center"/>
                </w:tcPr>
                <w:p>
                  <w:pPr>
                    <w:pStyle w:val="70"/>
                    <w:rPr>
                      <w:rFonts w:hint="eastAsia"/>
                    </w:rPr>
                  </w:pPr>
                  <w:r>
                    <w:rPr>
                      <w:rFonts w:hint="eastAsia"/>
                    </w:rPr>
                    <w:t>无组织排放</w:t>
                  </w:r>
                </w:p>
              </w:tc>
              <w:tc>
                <w:tcPr>
                  <w:tcW w:w="1041" w:type="dxa"/>
                  <w:vAlign w:val="center"/>
                </w:tcPr>
                <w:p>
                  <w:pPr>
                    <w:pStyle w:val="70"/>
                    <w:rPr>
                      <w:rFonts w:hint="eastAsia" w:eastAsia="宋体"/>
                      <w:lang w:eastAsia="zh-CN"/>
                    </w:rPr>
                  </w:pPr>
                  <w:r>
                    <w:rPr>
                      <w:rFonts w:hint="eastAsia"/>
                      <w:lang w:val="en-US" w:eastAsia="zh-CN"/>
                    </w:rPr>
                    <w:t>/</w:t>
                  </w:r>
                </w:p>
              </w:tc>
              <w:tc>
                <w:tcPr>
                  <w:tcW w:w="833" w:type="dxa"/>
                  <w:vAlign w:val="center"/>
                </w:tcPr>
                <w:p>
                  <w:pPr>
                    <w:pStyle w:val="70"/>
                    <w:rPr>
                      <w:rFonts w:hint="eastAsia"/>
                    </w:rPr>
                  </w:pPr>
                  <w:r>
                    <w:rPr>
                      <w:rFonts w:hint="eastAsia"/>
                    </w:rPr>
                    <w:t>0.0</w:t>
                  </w:r>
                  <w:r>
                    <w:rPr>
                      <w:rFonts w:hint="eastAsia"/>
                      <w:lang w:val="en-US" w:eastAsia="zh-CN"/>
                    </w:rPr>
                    <w:t>000055</w:t>
                  </w:r>
                </w:p>
              </w:tc>
              <w:tc>
                <w:tcPr>
                  <w:tcW w:w="937" w:type="dxa"/>
                  <w:vAlign w:val="center"/>
                </w:tcPr>
                <w:p>
                  <w:pPr>
                    <w:pStyle w:val="70"/>
                    <w:rPr>
                      <w:rFonts w:hint="eastAsia"/>
                      <w:lang w:val="en-US" w:eastAsia="zh-CN"/>
                    </w:rPr>
                  </w:pPr>
                  <w:r>
                    <w:rPr>
                      <w:rFonts w:hint="eastAsia"/>
                    </w:rPr>
                    <w:t>0.</w:t>
                  </w:r>
                  <w:r>
                    <w:rPr>
                      <w:rFonts w:hint="eastAsia"/>
                      <w:lang w:val="en-US" w:eastAsia="zh-CN"/>
                    </w:rPr>
                    <w:t>00004</w:t>
                  </w:r>
                  <w:r>
                    <w:rPr>
                      <w:rFonts w:hint="eastAsia"/>
                    </w:rPr>
                    <w:t>t/a</w:t>
                  </w:r>
                </w:p>
              </w:tc>
              <w:tc>
                <w:tcPr>
                  <w:tcW w:w="1021" w:type="dxa"/>
                  <w:vAlign w:val="center"/>
                </w:tcPr>
                <w:p>
                  <w:pPr>
                    <w:pStyle w:val="70"/>
                  </w:pPr>
                  <w:r>
                    <w:rPr>
                      <w:rFonts w:hint="eastAsia"/>
                      <w:lang w:val="en-US" w:eastAsia="zh-CN"/>
                    </w:rPr>
                    <w:t>空气稀释后无组织扩散</w:t>
                  </w:r>
                </w:p>
              </w:tc>
              <w:tc>
                <w:tcPr>
                  <w:tcW w:w="927" w:type="dxa"/>
                  <w:vAlign w:val="center"/>
                </w:tcPr>
                <w:p>
                  <w:pPr>
                    <w:pStyle w:val="70"/>
                    <w:rPr>
                      <w:rFonts w:hint="default" w:eastAsia="宋体"/>
                      <w:lang w:val="en-US" w:eastAsia="zh-CN"/>
                    </w:rPr>
                  </w:pPr>
                  <w:r>
                    <w:rPr>
                      <w:rFonts w:hint="eastAsia"/>
                      <w:lang w:val="en-US" w:eastAsia="zh-CN"/>
                    </w:rPr>
                    <w:t>/</w:t>
                  </w:r>
                </w:p>
              </w:tc>
              <w:tc>
                <w:tcPr>
                  <w:tcW w:w="818" w:type="dxa"/>
                  <w:vAlign w:val="center"/>
                </w:tcPr>
                <w:p>
                  <w:pPr>
                    <w:pStyle w:val="70"/>
                    <w:ind w:firstLine="0" w:firstLineChars="0"/>
                    <w:rPr>
                      <w:rFonts w:hint="eastAsia"/>
                    </w:rPr>
                  </w:pPr>
                  <w:r>
                    <w:rPr>
                      <w:rFonts w:hint="eastAsia"/>
                    </w:rPr>
                    <w:t>0.0</w:t>
                  </w:r>
                  <w:r>
                    <w:rPr>
                      <w:rFonts w:hint="eastAsia"/>
                      <w:lang w:val="en-US" w:eastAsia="zh-CN"/>
                    </w:rPr>
                    <w:t>000055</w:t>
                  </w:r>
                </w:p>
              </w:tc>
              <w:tc>
                <w:tcPr>
                  <w:tcW w:w="832" w:type="dxa"/>
                  <w:vAlign w:val="center"/>
                </w:tcPr>
                <w:p>
                  <w:pPr>
                    <w:pStyle w:val="70"/>
                    <w:ind w:firstLine="0" w:firstLineChars="0"/>
                    <w:rPr>
                      <w:rFonts w:hint="eastAsia"/>
                      <w:lang w:val="en-US" w:eastAsia="zh-CN"/>
                    </w:rPr>
                  </w:pPr>
                  <w:r>
                    <w:rPr>
                      <w:rFonts w:hint="eastAsia"/>
                    </w:rPr>
                    <w:t>0.</w:t>
                  </w:r>
                  <w:r>
                    <w:rPr>
                      <w:rFonts w:hint="eastAsia"/>
                      <w:lang w:val="en-US" w:eastAsia="zh-CN"/>
                    </w:rPr>
                    <w:t>00004</w:t>
                  </w:r>
                  <w:r>
                    <w:rPr>
                      <w:rFonts w:hint="eastAsia"/>
                    </w:rPr>
                    <w:t>t/a</w:t>
                  </w:r>
                </w:p>
              </w:tc>
            </w:tr>
          </w:tbl>
          <w:p>
            <w:pPr>
              <w:ind w:firstLine="480"/>
              <w:rPr>
                <w:rFonts w:hint="eastAsia" w:ascii="Times New Roman" w:hAnsi="Times New Roman" w:eastAsia="宋体" w:cs="Times New Roman"/>
                <w:b w:val="0"/>
                <w:color w:val="auto"/>
                <w:kern w:val="2"/>
                <w:sz w:val="24"/>
                <w:szCs w:val="21"/>
                <w:lang w:val="en-US" w:eastAsia="zh-CN" w:bidi="ar-SA"/>
              </w:rPr>
            </w:pPr>
            <w:r>
              <w:rPr>
                <w:rFonts w:hint="eastAsia"/>
              </w:rPr>
              <w:t>（4）排放口信息</w:t>
            </w:r>
          </w:p>
          <w:p>
            <w:pPr>
              <w:pStyle w:val="65"/>
            </w:pPr>
            <w:r>
              <w:t>表</w:t>
            </w:r>
            <w:r>
              <w:rPr>
                <w:rFonts w:hint="eastAsia"/>
              </w:rPr>
              <w:t xml:space="preserve">4.2-5 </w:t>
            </w:r>
            <w:r>
              <w:t xml:space="preserve">  排放口基本情况</w:t>
            </w:r>
            <w:r>
              <w:rPr>
                <w:rFonts w:hint="eastAsia"/>
              </w:rPr>
              <w:t>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387"/>
              <w:gridCol w:w="750"/>
              <w:gridCol w:w="700"/>
              <w:gridCol w:w="813"/>
              <w:gridCol w:w="2225"/>
              <w:gridCol w:w="14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77" w:type="dxa"/>
                  <w:vMerge w:val="restart"/>
                  <w:tcBorders>
                    <w:top w:val="single" w:color="auto" w:sz="4" w:space="0"/>
                    <w:left w:val="single" w:color="auto" w:sz="4" w:space="0"/>
                    <w:right w:val="single" w:color="auto" w:sz="6" w:space="0"/>
                  </w:tcBorders>
                  <w:vAlign w:val="center"/>
                </w:tcPr>
                <w:p>
                  <w:pPr>
                    <w:pStyle w:val="70"/>
                  </w:pPr>
                  <w:r>
                    <w:rPr>
                      <w:rFonts w:hint="eastAsia"/>
                    </w:rPr>
                    <w:t>编号</w:t>
                  </w:r>
                </w:p>
              </w:tc>
              <w:tc>
                <w:tcPr>
                  <w:tcW w:w="1387" w:type="dxa"/>
                  <w:vMerge w:val="restart"/>
                  <w:tcBorders>
                    <w:top w:val="single" w:color="auto" w:sz="4" w:space="0"/>
                    <w:left w:val="single" w:color="auto" w:sz="4" w:space="0"/>
                    <w:right w:val="single" w:color="auto" w:sz="6" w:space="0"/>
                  </w:tcBorders>
                  <w:vAlign w:val="center"/>
                </w:tcPr>
                <w:p>
                  <w:pPr>
                    <w:pStyle w:val="70"/>
                  </w:pPr>
                  <w:r>
                    <w:rPr>
                      <w:rFonts w:hint="eastAsia"/>
                    </w:rPr>
                    <w:t>排气筒名称</w:t>
                  </w:r>
                </w:p>
              </w:tc>
              <w:tc>
                <w:tcPr>
                  <w:tcW w:w="2263" w:type="dxa"/>
                  <w:gridSpan w:val="3"/>
                  <w:tcBorders>
                    <w:top w:val="single" w:color="auto" w:sz="4" w:space="0"/>
                    <w:left w:val="single" w:color="auto" w:sz="6" w:space="0"/>
                    <w:bottom w:val="single" w:color="auto" w:sz="6" w:space="0"/>
                    <w:right w:val="single" w:color="auto" w:sz="6" w:space="0"/>
                  </w:tcBorders>
                  <w:vAlign w:val="center"/>
                </w:tcPr>
                <w:p>
                  <w:pPr>
                    <w:pStyle w:val="70"/>
                    <w:rPr>
                      <w:lang w:val="en-GB"/>
                    </w:rPr>
                  </w:pPr>
                  <w:r>
                    <w:rPr>
                      <w:lang w:val="en-GB"/>
                    </w:rPr>
                    <w:t>排气筒参数</w:t>
                  </w:r>
                </w:p>
              </w:tc>
              <w:tc>
                <w:tcPr>
                  <w:tcW w:w="2225" w:type="dxa"/>
                  <w:vMerge w:val="restart"/>
                  <w:tcBorders>
                    <w:top w:val="single" w:color="auto" w:sz="4" w:space="0"/>
                    <w:left w:val="single" w:color="auto" w:sz="6" w:space="0"/>
                    <w:right w:val="single" w:color="auto" w:sz="4" w:space="0"/>
                  </w:tcBorders>
                  <w:vAlign w:val="center"/>
                </w:tcPr>
                <w:p>
                  <w:pPr>
                    <w:pStyle w:val="70"/>
                    <w:rPr>
                      <w:lang w:val="en-GB"/>
                    </w:rPr>
                  </w:pPr>
                  <w:r>
                    <w:rPr>
                      <w:lang w:val="en-GB"/>
                    </w:rPr>
                    <w:t>排气筒坐标</w:t>
                  </w:r>
                </w:p>
              </w:tc>
              <w:tc>
                <w:tcPr>
                  <w:tcW w:w="1421" w:type="dxa"/>
                  <w:vMerge w:val="restart"/>
                  <w:tcBorders>
                    <w:top w:val="single" w:color="auto" w:sz="4" w:space="0"/>
                    <w:left w:val="single" w:color="auto" w:sz="6" w:space="0"/>
                    <w:right w:val="single" w:color="auto" w:sz="4" w:space="0"/>
                  </w:tcBorders>
                  <w:vAlign w:val="center"/>
                </w:tcPr>
                <w:p>
                  <w:pPr>
                    <w:pStyle w:val="70"/>
                  </w:pPr>
                  <w:r>
                    <w:rPr>
                      <w:lang w:val="en-GB"/>
                    </w:rPr>
                    <w:t>排气筒类</w:t>
                  </w:r>
                  <w:r>
                    <w:rPr>
                      <w:rFonts w:hint="eastAsia"/>
                    </w:rPr>
                    <w:t>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977" w:type="dxa"/>
                  <w:vMerge w:val="continue"/>
                  <w:tcBorders>
                    <w:left w:val="single" w:color="auto" w:sz="4" w:space="0"/>
                    <w:bottom w:val="single" w:color="auto" w:sz="6" w:space="0"/>
                    <w:right w:val="single" w:color="auto" w:sz="6" w:space="0"/>
                  </w:tcBorders>
                  <w:vAlign w:val="center"/>
                </w:tcPr>
                <w:p>
                  <w:pPr>
                    <w:pStyle w:val="70"/>
                  </w:pPr>
                </w:p>
              </w:tc>
              <w:tc>
                <w:tcPr>
                  <w:tcW w:w="1387" w:type="dxa"/>
                  <w:vMerge w:val="continue"/>
                  <w:tcBorders>
                    <w:left w:val="single" w:color="auto" w:sz="4" w:space="0"/>
                    <w:bottom w:val="single" w:color="auto" w:sz="6" w:space="0"/>
                    <w:right w:val="single" w:color="auto" w:sz="6" w:space="0"/>
                  </w:tcBorders>
                  <w:vAlign w:val="center"/>
                </w:tcPr>
                <w:p>
                  <w:pPr>
                    <w:pStyle w:val="70"/>
                  </w:pPr>
                </w:p>
              </w:tc>
              <w:tc>
                <w:tcPr>
                  <w:tcW w:w="750" w:type="dxa"/>
                  <w:tcBorders>
                    <w:top w:val="single" w:color="auto" w:sz="6" w:space="0"/>
                    <w:left w:val="single" w:color="auto" w:sz="6" w:space="0"/>
                    <w:bottom w:val="single" w:color="auto" w:sz="6" w:space="0"/>
                    <w:right w:val="single" w:color="auto" w:sz="6" w:space="0"/>
                  </w:tcBorders>
                  <w:vAlign w:val="center"/>
                </w:tcPr>
                <w:p>
                  <w:pPr>
                    <w:pStyle w:val="70"/>
                    <w:rPr>
                      <w:lang w:val="en-GB"/>
                    </w:rPr>
                  </w:pPr>
                  <w:r>
                    <w:rPr>
                      <w:lang w:val="en-GB"/>
                    </w:rPr>
                    <w:t>高</w:t>
                  </w:r>
                </w:p>
                <w:p>
                  <w:pPr>
                    <w:pStyle w:val="70"/>
                    <w:rPr>
                      <w:lang w:val="en-GB"/>
                    </w:rPr>
                  </w:pPr>
                  <w:r>
                    <w:rPr>
                      <w:lang w:val="en-GB"/>
                    </w:rPr>
                    <w:t>（m）</w:t>
                  </w:r>
                </w:p>
              </w:tc>
              <w:tc>
                <w:tcPr>
                  <w:tcW w:w="700" w:type="dxa"/>
                  <w:tcBorders>
                    <w:top w:val="single" w:color="auto" w:sz="6" w:space="0"/>
                    <w:left w:val="single" w:color="auto" w:sz="6" w:space="0"/>
                    <w:bottom w:val="single" w:color="auto" w:sz="6" w:space="0"/>
                    <w:right w:val="single" w:color="auto" w:sz="6" w:space="0"/>
                  </w:tcBorders>
                  <w:vAlign w:val="center"/>
                </w:tcPr>
                <w:p>
                  <w:pPr>
                    <w:pStyle w:val="70"/>
                    <w:rPr>
                      <w:lang w:val="en-GB"/>
                    </w:rPr>
                  </w:pPr>
                  <w:r>
                    <w:rPr>
                      <w:lang w:val="en-GB"/>
                    </w:rPr>
                    <w:t>内径（m）</w:t>
                  </w:r>
                </w:p>
              </w:tc>
              <w:tc>
                <w:tcPr>
                  <w:tcW w:w="813" w:type="dxa"/>
                  <w:tcBorders>
                    <w:top w:val="single" w:color="auto" w:sz="6" w:space="0"/>
                    <w:left w:val="single" w:color="auto" w:sz="6" w:space="0"/>
                    <w:bottom w:val="single" w:color="auto" w:sz="6" w:space="0"/>
                    <w:right w:val="single" w:color="auto" w:sz="6" w:space="0"/>
                  </w:tcBorders>
                  <w:vAlign w:val="center"/>
                </w:tcPr>
                <w:p>
                  <w:pPr>
                    <w:pStyle w:val="70"/>
                    <w:rPr>
                      <w:lang w:val="en-GB"/>
                    </w:rPr>
                  </w:pPr>
                  <w:r>
                    <w:rPr>
                      <w:lang w:val="en-GB"/>
                    </w:rPr>
                    <w:t>温度</w:t>
                  </w:r>
                </w:p>
                <w:p>
                  <w:pPr>
                    <w:pStyle w:val="70"/>
                    <w:rPr>
                      <w:lang w:val="en-GB"/>
                    </w:rPr>
                  </w:pPr>
                  <w:r>
                    <w:rPr>
                      <w:lang w:val="en-GB"/>
                    </w:rPr>
                    <w:t>（℃）</w:t>
                  </w:r>
                </w:p>
              </w:tc>
              <w:tc>
                <w:tcPr>
                  <w:tcW w:w="2225" w:type="dxa"/>
                  <w:vMerge w:val="continue"/>
                  <w:tcBorders>
                    <w:left w:val="single" w:color="auto" w:sz="6" w:space="0"/>
                    <w:bottom w:val="single" w:color="auto" w:sz="6" w:space="0"/>
                    <w:right w:val="single" w:color="auto" w:sz="4" w:space="0"/>
                  </w:tcBorders>
                  <w:vAlign w:val="center"/>
                </w:tcPr>
                <w:p>
                  <w:pPr>
                    <w:pStyle w:val="70"/>
                    <w:rPr>
                      <w:lang w:val="en-GB"/>
                    </w:rPr>
                  </w:pPr>
                </w:p>
              </w:tc>
              <w:tc>
                <w:tcPr>
                  <w:tcW w:w="1421" w:type="dxa"/>
                  <w:vMerge w:val="continue"/>
                  <w:tcBorders>
                    <w:left w:val="single" w:color="auto" w:sz="6" w:space="0"/>
                    <w:bottom w:val="single" w:color="auto" w:sz="6" w:space="0"/>
                    <w:right w:val="single" w:color="auto" w:sz="4" w:space="0"/>
                  </w:tcBorders>
                  <w:vAlign w:val="center"/>
                </w:tcPr>
                <w:p>
                  <w:pPr>
                    <w:pStyle w:val="70"/>
                    <w:rPr>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pPr>
                    <w:pStyle w:val="70"/>
                  </w:pPr>
                  <w:r>
                    <w:rPr>
                      <w:lang w:val="en-GB"/>
                    </w:rPr>
                    <w:t>DA001</w:t>
                  </w:r>
                </w:p>
              </w:tc>
              <w:tc>
                <w:tcPr>
                  <w:tcW w:w="1387"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燃气锅炉排气筒</w:t>
                  </w:r>
                </w:p>
              </w:tc>
              <w:tc>
                <w:tcPr>
                  <w:tcW w:w="750" w:type="dxa"/>
                  <w:tcBorders>
                    <w:top w:val="single" w:color="auto" w:sz="6" w:space="0"/>
                    <w:left w:val="single" w:color="auto" w:sz="6" w:space="0"/>
                    <w:bottom w:val="single" w:color="auto" w:sz="6" w:space="0"/>
                    <w:right w:val="single" w:color="auto" w:sz="6" w:space="0"/>
                  </w:tcBorders>
                  <w:vAlign w:val="center"/>
                </w:tcPr>
                <w:p>
                  <w:pPr>
                    <w:pStyle w:val="70"/>
                    <w:rPr>
                      <w:rFonts w:hint="default" w:eastAsia="宋体"/>
                      <w:lang w:val="en-US" w:eastAsia="zh-CN"/>
                    </w:rPr>
                  </w:pPr>
                  <w:r>
                    <w:rPr>
                      <w:rFonts w:hint="eastAsia"/>
                      <w:lang w:val="en-US" w:eastAsia="zh-CN"/>
                    </w:rPr>
                    <w:t>12</w:t>
                  </w:r>
                </w:p>
              </w:tc>
              <w:tc>
                <w:tcPr>
                  <w:tcW w:w="700" w:type="dxa"/>
                  <w:tcBorders>
                    <w:top w:val="single" w:color="auto" w:sz="6" w:space="0"/>
                    <w:left w:val="single" w:color="auto" w:sz="6" w:space="0"/>
                    <w:bottom w:val="single" w:color="auto" w:sz="6" w:space="0"/>
                    <w:right w:val="single" w:color="auto" w:sz="6" w:space="0"/>
                  </w:tcBorders>
                  <w:vAlign w:val="center"/>
                </w:tcPr>
                <w:p>
                  <w:pPr>
                    <w:pStyle w:val="70"/>
                    <w:rPr>
                      <w:rFonts w:hint="eastAsia" w:eastAsia="宋体"/>
                      <w:lang w:eastAsia="zh-CN"/>
                    </w:rPr>
                  </w:pPr>
                  <w:r>
                    <w:rPr>
                      <w:rFonts w:hint="eastAsia"/>
                    </w:rP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80</w:t>
                  </w:r>
                </w:p>
              </w:tc>
              <w:tc>
                <w:tcPr>
                  <w:tcW w:w="2225" w:type="dxa"/>
                  <w:tcBorders>
                    <w:top w:val="single" w:color="auto" w:sz="6" w:space="0"/>
                    <w:left w:val="single" w:color="auto" w:sz="6" w:space="0"/>
                    <w:bottom w:val="single" w:color="auto" w:sz="6" w:space="0"/>
                    <w:right w:val="single" w:color="auto" w:sz="4" w:space="0"/>
                  </w:tcBorders>
                  <w:vAlign w:val="center"/>
                </w:tcPr>
                <w:p>
                  <w:pPr>
                    <w:pStyle w:val="70"/>
                  </w:pPr>
                  <w:r>
                    <w:t>E</w:t>
                  </w:r>
                  <w:r>
                    <w:rPr>
                      <w:rFonts w:hint="eastAsia"/>
                    </w:rPr>
                    <w:t>86°13'29.101"东</w:t>
                  </w:r>
                </w:p>
                <w:p>
                  <w:pPr>
                    <w:pStyle w:val="70"/>
                  </w:pPr>
                  <w:r>
                    <w:t>N</w:t>
                  </w:r>
                  <w:r>
                    <w:rPr>
                      <w:rFonts w:hint="eastAsia"/>
                    </w:rPr>
                    <w:t>42°19'12.112"北</w:t>
                  </w:r>
                </w:p>
              </w:tc>
              <w:tc>
                <w:tcPr>
                  <w:tcW w:w="1421" w:type="dxa"/>
                  <w:tcBorders>
                    <w:top w:val="single" w:color="auto" w:sz="6" w:space="0"/>
                    <w:left w:val="single" w:color="auto" w:sz="6" w:space="0"/>
                    <w:bottom w:val="single" w:color="auto" w:sz="6" w:space="0"/>
                    <w:right w:val="single" w:color="auto" w:sz="4" w:space="0"/>
                  </w:tcBorders>
                  <w:vAlign w:val="center"/>
                </w:tcPr>
                <w:p>
                  <w:pPr>
                    <w:pStyle w:val="70"/>
                  </w:pPr>
                  <w:r>
                    <w:rPr>
                      <w:lang w:val="en-GB"/>
                    </w:rPr>
                    <w:t>一般排放口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pPr>
                    <w:pStyle w:val="70"/>
                  </w:pPr>
                  <w:r>
                    <w:rPr>
                      <w:lang w:val="en-GB"/>
                    </w:rPr>
                    <w:t>DA002</w:t>
                  </w:r>
                </w:p>
              </w:tc>
              <w:tc>
                <w:tcPr>
                  <w:tcW w:w="1387"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卸料工序排气筒</w:t>
                  </w:r>
                </w:p>
              </w:tc>
              <w:tc>
                <w:tcPr>
                  <w:tcW w:w="750"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15</w:t>
                  </w:r>
                </w:p>
              </w:tc>
              <w:tc>
                <w:tcPr>
                  <w:tcW w:w="700" w:type="dxa"/>
                  <w:tcBorders>
                    <w:top w:val="single" w:color="auto" w:sz="6" w:space="0"/>
                    <w:left w:val="single" w:color="auto" w:sz="6" w:space="0"/>
                    <w:bottom w:val="single" w:color="auto" w:sz="6" w:space="0"/>
                    <w:right w:val="single" w:color="auto" w:sz="6" w:space="0"/>
                  </w:tcBorders>
                  <w:vAlign w:val="center"/>
                </w:tcPr>
                <w:p>
                  <w:pPr>
                    <w:pStyle w:val="70"/>
                    <w:rPr>
                      <w:rFonts w:hint="eastAsia" w:eastAsia="宋体"/>
                      <w:lang w:eastAsia="zh-CN"/>
                    </w:rPr>
                  </w:pPr>
                  <w: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25</w:t>
                  </w:r>
                </w:p>
              </w:tc>
              <w:tc>
                <w:tcPr>
                  <w:tcW w:w="2225" w:type="dxa"/>
                  <w:tcBorders>
                    <w:top w:val="single" w:color="auto" w:sz="6" w:space="0"/>
                    <w:left w:val="single" w:color="auto" w:sz="6" w:space="0"/>
                    <w:bottom w:val="single" w:color="auto" w:sz="6" w:space="0"/>
                    <w:right w:val="single" w:color="auto" w:sz="4" w:space="0"/>
                  </w:tcBorders>
                  <w:vAlign w:val="center"/>
                </w:tcPr>
                <w:p>
                  <w:pPr>
                    <w:pStyle w:val="70"/>
                    <w:rPr>
                      <w:lang w:val="en-GB"/>
                    </w:rPr>
                  </w:pPr>
                  <w:r>
                    <w:t>E</w:t>
                  </w:r>
                  <w:r>
                    <w:rPr>
                      <w:rFonts w:hint="eastAsia"/>
                      <w:lang w:val="en-GB"/>
                    </w:rPr>
                    <w:t>86°13'35.75</w:t>
                  </w:r>
                  <w:r>
                    <w:rPr>
                      <w:rFonts w:hint="eastAsia"/>
                    </w:rPr>
                    <w:t>2</w:t>
                  </w:r>
                  <w:r>
                    <w:rPr>
                      <w:rFonts w:hint="eastAsia"/>
                      <w:lang w:val="en-GB"/>
                    </w:rPr>
                    <w:t>"东</w:t>
                  </w:r>
                </w:p>
                <w:p>
                  <w:pPr>
                    <w:pStyle w:val="70"/>
                    <w:rPr>
                      <w:lang w:val="en-GB"/>
                    </w:rPr>
                  </w:pPr>
                  <w:r>
                    <w:t>N</w:t>
                  </w:r>
                  <w:r>
                    <w:rPr>
                      <w:rFonts w:hint="eastAsia"/>
                      <w:lang w:val="en-GB"/>
                    </w:rPr>
                    <w:t>42°19'11.98</w:t>
                  </w:r>
                  <w:r>
                    <w:rPr>
                      <w:rFonts w:hint="eastAsia"/>
                    </w:rPr>
                    <w:t>1</w:t>
                  </w:r>
                  <w:r>
                    <w:rPr>
                      <w:rFonts w:hint="eastAsia"/>
                      <w:lang w:val="en-GB"/>
                    </w:rPr>
                    <w:t>"北</w:t>
                  </w:r>
                </w:p>
              </w:tc>
              <w:tc>
                <w:tcPr>
                  <w:tcW w:w="1421" w:type="dxa"/>
                  <w:tcBorders>
                    <w:top w:val="single" w:color="auto" w:sz="6" w:space="0"/>
                    <w:left w:val="single" w:color="auto" w:sz="6" w:space="0"/>
                    <w:bottom w:val="single" w:color="auto" w:sz="6" w:space="0"/>
                    <w:right w:val="single" w:color="auto" w:sz="4" w:space="0"/>
                  </w:tcBorders>
                  <w:vAlign w:val="center"/>
                </w:tcPr>
                <w:p>
                  <w:pPr>
                    <w:pStyle w:val="70"/>
                    <w:rPr>
                      <w:lang w:val="en-GB"/>
                    </w:rPr>
                  </w:pPr>
                  <w:r>
                    <w:rPr>
                      <w:lang w:val="en-GB"/>
                    </w:rPr>
                    <w:t>一般排放口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pPr>
                    <w:pStyle w:val="70"/>
                  </w:pPr>
                  <w:r>
                    <w:rPr>
                      <w:lang w:val="en-GB"/>
                    </w:rPr>
                    <w:t>DA00</w:t>
                  </w:r>
                  <w:r>
                    <w:rPr>
                      <w:rFonts w:hint="eastAsia"/>
                    </w:rPr>
                    <w:t>3</w:t>
                  </w:r>
                </w:p>
              </w:tc>
              <w:tc>
                <w:tcPr>
                  <w:tcW w:w="1387"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投料工序排气筒</w:t>
                  </w:r>
                </w:p>
              </w:tc>
              <w:tc>
                <w:tcPr>
                  <w:tcW w:w="750"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15</w:t>
                  </w:r>
                </w:p>
              </w:tc>
              <w:tc>
                <w:tcPr>
                  <w:tcW w:w="700" w:type="dxa"/>
                  <w:tcBorders>
                    <w:top w:val="single" w:color="auto" w:sz="6" w:space="0"/>
                    <w:left w:val="single" w:color="auto" w:sz="6" w:space="0"/>
                    <w:bottom w:val="single" w:color="auto" w:sz="6" w:space="0"/>
                    <w:right w:val="single" w:color="auto" w:sz="6" w:space="0"/>
                  </w:tcBorders>
                  <w:vAlign w:val="center"/>
                </w:tcPr>
                <w:p>
                  <w:pPr>
                    <w:pStyle w:val="70"/>
                    <w:rPr>
                      <w:rFonts w:hint="eastAsia" w:eastAsia="宋体"/>
                      <w:lang w:eastAsia="zh-CN"/>
                    </w:rPr>
                  </w:pPr>
                  <w:r>
                    <w:rPr>
                      <w:rFonts w:hint="eastAsia"/>
                    </w:rP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25</w:t>
                  </w:r>
                </w:p>
              </w:tc>
              <w:tc>
                <w:tcPr>
                  <w:tcW w:w="2225" w:type="dxa"/>
                  <w:tcBorders>
                    <w:top w:val="single" w:color="auto" w:sz="6" w:space="0"/>
                    <w:left w:val="single" w:color="auto" w:sz="6" w:space="0"/>
                    <w:bottom w:val="single" w:color="auto" w:sz="6" w:space="0"/>
                    <w:right w:val="single" w:color="auto" w:sz="4" w:space="0"/>
                  </w:tcBorders>
                  <w:vAlign w:val="center"/>
                </w:tcPr>
                <w:p>
                  <w:pPr>
                    <w:pStyle w:val="70"/>
                  </w:pPr>
                  <w:r>
                    <w:t>E</w:t>
                  </w:r>
                  <w:r>
                    <w:rPr>
                      <w:rFonts w:hint="eastAsia"/>
                    </w:rPr>
                    <w:t>86°13'28.771"东</w:t>
                  </w:r>
                </w:p>
                <w:p>
                  <w:pPr>
                    <w:pStyle w:val="70"/>
                  </w:pPr>
                  <w:r>
                    <w:t>N</w:t>
                  </w:r>
                  <w:r>
                    <w:rPr>
                      <w:rFonts w:hint="eastAsia"/>
                    </w:rPr>
                    <w:t>42°19'30.824"北</w:t>
                  </w:r>
                </w:p>
              </w:tc>
              <w:tc>
                <w:tcPr>
                  <w:tcW w:w="1421" w:type="dxa"/>
                  <w:tcBorders>
                    <w:top w:val="single" w:color="auto" w:sz="6" w:space="0"/>
                    <w:left w:val="single" w:color="auto" w:sz="6" w:space="0"/>
                    <w:bottom w:val="single" w:color="auto" w:sz="6" w:space="0"/>
                    <w:right w:val="single" w:color="auto" w:sz="4" w:space="0"/>
                  </w:tcBorders>
                  <w:vAlign w:val="center"/>
                </w:tcPr>
                <w:p>
                  <w:pPr>
                    <w:pStyle w:val="70"/>
                  </w:pPr>
                  <w:r>
                    <w:rPr>
                      <w:lang w:val="en-GB"/>
                    </w:rPr>
                    <w:t>一般排放口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pPr>
                    <w:pStyle w:val="70"/>
                  </w:pPr>
                  <w:r>
                    <w:rPr>
                      <w:lang w:val="en-GB"/>
                    </w:rPr>
                    <w:t>DA00</w:t>
                  </w:r>
                  <w:r>
                    <w:rPr>
                      <w:rFonts w:hint="eastAsia"/>
                    </w:rPr>
                    <w:t>4</w:t>
                  </w:r>
                </w:p>
              </w:tc>
              <w:tc>
                <w:tcPr>
                  <w:tcW w:w="1387"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粉碎工序排气筒</w:t>
                  </w:r>
                </w:p>
              </w:tc>
              <w:tc>
                <w:tcPr>
                  <w:tcW w:w="750"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15</w:t>
                  </w:r>
                </w:p>
              </w:tc>
              <w:tc>
                <w:tcPr>
                  <w:tcW w:w="700" w:type="dxa"/>
                  <w:tcBorders>
                    <w:top w:val="single" w:color="auto" w:sz="6" w:space="0"/>
                    <w:left w:val="single" w:color="auto" w:sz="6" w:space="0"/>
                    <w:bottom w:val="single" w:color="auto" w:sz="6" w:space="0"/>
                    <w:right w:val="single" w:color="auto" w:sz="6" w:space="0"/>
                  </w:tcBorders>
                  <w:vAlign w:val="center"/>
                </w:tcPr>
                <w:p>
                  <w:pPr>
                    <w:pStyle w:val="70"/>
                    <w:rPr>
                      <w:rFonts w:hint="eastAsia" w:eastAsia="宋体"/>
                      <w:lang w:eastAsia="zh-CN"/>
                    </w:rPr>
                  </w:pPr>
                  <w:r>
                    <w:rPr>
                      <w:rFonts w:hint="eastAsia"/>
                    </w:rP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25</w:t>
                  </w:r>
                </w:p>
              </w:tc>
              <w:tc>
                <w:tcPr>
                  <w:tcW w:w="2225" w:type="dxa"/>
                  <w:tcBorders>
                    <w:top w:val="single" w:color="auto" w:sz="6" w:space="0"/>
                    <w:left w:val="single" w:color="auto" w:sz="6" w:space="0"/>
                    <w:bottom w:val="single" w:color="auto" w:sz="6" w:space="0"/>
                    <w:right w:val="single" w:color="auto" w:sz="4" w:space="0"/>
                  </w:tcBorders>
                  <w:vAlign w:val="center"/>
                </w:tcPr>
                <w:p>
                  <w:pPr>
                    <w:pStyle w:val="70"/>
                  </w:pPr>
                  <w:r>
                    <w:t>E</w:t>
                  </w:r>
                  <w:r>
                    <w:rPr>
                      <w:rFonts w:hint="eastAsia"/>
                    </w:rPr>
                    <w:t>86°13'35.102"东</w:t>
                  </w:r>
                </w:p>
                <w:p>
                  <w:pPr>
                    <w:pStyle w:val="70"/>
                  </w:pPr>
                  <w:r>
                    <w:t>N</w:t>
                  </w:r>
                  <w:r>
                    <w:rPr>
                      <w:rFonts w:hint="eastAsia"/>
                    </w:rPr>
                    <w:t>42°19'30.691"北</w:t>
                  </w:r>
                </w:p>
              </w:tc>
              <w:tc>
                <w:tcPr>
                  <w:tcW w:w="1421" w:type="dxa"/>
                  <w:tcBorders>
                    <w:top w:val="single" w:color="auto" w:sz="6" w:space="0"/>
                    <w:left w:val="single" w:color="auto" w:sz="6" w:space="0"/>
                    <w:bottom w:val="single" w:color="auto" w:sz="6" w:space="0"/>
                    <w:right w:val="single" w:color="auto" w:sz="4" w:space="0"/>
                  </w:tcBorders>
                  <w:vAlign w:val="center"/>
                </w:tcPr>
                <w:p>
                  <w:pPr>
                    <w:pStyle w:val="70"/>
                  </w:pPr>
                  <w:r>
                    <w:rPr>
                      <w:lang w:val="en-GB"/>
                    </w:rPr>
                    <w:t>一般排放口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pPr>
                    <w:pStyle w:val="70"/>
                  </w:pPr>
                  <w:r>
                    <w:rPr>
                      <w:lang w:val="en-GB"/>
                    </w:rPr>
                    <w:t>DA00</w:t>
                  </w:r>
                  <w:r>
                    <w:rPr>
                      <w:rFonts w:hint="eastAsia"/>
                    </w:rPr>
                    <w:t>5</w:t>
                  </w:r>
                </w:p>
              </w:tc>
              <w:tc>
                <w:tcPr>
                  <w:tcW w:w="1387"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配料混合工序排气筒</w:t>
                  </w:r>
                </w:p>
              </w:tc>
              <w:tc>
                <w:tcPr>
                  <w:tcW w:w="750"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15</w:t>
                  </w:r>
                </w:p>
              </w:tc>
              <w:tc>
                <w:tcPr>
                  <w:tcW w:w="700" w:type="dxa"/>
                  <w:tcBorders>
                    <w:top w:val="single" w:color="auto" w:sz="6" w:space="0"/>
                    <w:left w:val="single" w:color="auto" w:sz="6" w:space="0"/>
                    <w:bottom w:val="single" w:color="auto" w:sz="6" w:space="0"/>
                    <w:right w:val="single" w:color="auto" w:sz="6" w:space="0"/>
                  </w:tcBorders>
                  <w:vAlign w:val="center"/>
                </w:tcPr>
                <w:p>
                  <w:pPr>
                    <w:pStyle w:val="70"/>
                    <w:rPr>
                      <w:rFonts w:hint="eastAsia" w:eastAsia="宋体"/>
                      <w:lang w:eastAsia="zh-CN"/>
                    </w:rPr>
                  </w:pPr>
                  <w:r>
                    <w:rPr>
                      <w:rFonts w:hint="eastAsia"/>
                    </w:rP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25</w:t>
                  </w:r>
                </w:p>
              </w:tc>
              <w:tc>
                <w:tcPr>
                  <w:tcW w:w="2225" w:type="dxa"/>
                  <w:tcBorders>
                    <w:top w:val="single" w:color="auto" w:sz="6" w:space="0"/>
                    <w:left w:val="single" w:color="auto" w:sz="6" w:space="0"/>
                    <w:bottom w:val="single" w:color="auto" w:sz="6" w:space="0"/>
                    <w:right w:val="single" w:color="auto" w:sz="4" w:space="0"/>
                  </w:tcBorders>
                  <w:vAlign w:val="center"/>
                </w:tcPr>
                <w:p>
                  <w:pPr>
                    <w:pStyle w:val="70"/>
                  </w:pPr>
                  <w:r>
                    <w:t>E</w:t>
                  </w:r>
                  <w:r>
                    <w:rPr>
                      <w:rFonts w:hint="eastAsia"/>
                    </w:rPr>
                    <w:t>86°13'30.112"东</w:t>
                  </w:r>
                </w:p>
                <w:p>
                  <w:pPr>
                    <w:pStyle w:val="70"/>
                  </w:pPr>
                  <w:r>
                    <w:t>N</w:t>
                  </w:r>
                  <w:r>
                    <w:rPr>
                      <w:rFonts w:hint="eastAsia"/>
                    </w:rPr>
                    <w:t>42°19'81.823"北</w:t>
                  </w:r>
                </w:p>
              </w:tc>
              <w:tc>
                <w:tcPr>
                  <w:tcW w:w="1421" w:type="dxa"/>
                  <w:tcBorders>
                    <w:top w:val="single" w:color="auto" w:sz="6" w:space="0"/>
                    <w:left w:val="single" w:color="auto" w:sz="6" w:space="0"/>
                    <w:bottom w:val="single" w:color="auto" w:sz="6" w:space="0"/>
                    <w:right w:val="single" w:color="auto" w:sz="4" w:space="0"/>
                  </w:tcBorders>
                  <w:vAlign w:val="center"/>
                </w:tcPr>
                <w:p>
                  <w:pPr>
                    <w:pStyle w:val="70"/>
                  </w:pPr>
                  <w:r>
                    <w:rPr>
                      <w:lang w:val="en-GB"/>
                    </w:rPr>
                    <w:t>一般排放口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pPr>
                    <w:pStyle w:val="70"/>
                  </w:pPr>
                  <w:r>
                    <w:rPr>
                      <w:lang w:val="en-GB"/>
                    </w:rPr>
                    <w:t>DA00</w:t>
                  </w:r>
                  <w:r>
                    <w:rPr>
                      <w:rFonts w:hint="eastAsia"/>
                    </w:rPr>
                    <w:t>6</w:t>
                  </w:r>
                </w:p>
              </w:tc>
              <w:tc>
                <w:tcPr>
                  <w:tcW w:w="1387"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制粒冷却工序排气筒</w:t>
                  </w:r>
                </w:p>
              </w:tc>
              <w:tc>
                <w:tcPr>
                  <w:tcW w:w="750"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15</w:t>
                  </w:r>
                </w:p>
              </w:tc>
              <w:tc>
                <w:tcPr>
                  <w:tcW w:w="700" w:type="dxa"/>
                  <w:tcBorders>
                    <w:top w:val="single" w:color="auto" w:sz="6" w:space="0"/>
                    <w:left w:val="single" w:color="auto" w:sz="6" w:space="0"/>
                    <w:bottom w:val="single" w:color="auto" w:sz="6" w:space="0"/>
                    <w:right w:val="single" w:color="auto" w:sz="6" w:space="0"/>
                  </w:tcBorders>
                  <w:vAlign w:val="center"/>
                </w:tcPr>
                <w:p>
                  <w:pPr>
                    <w:pStyle w:val="70"/>
                    <w:rPr>
                      <w:rFonts w:hint="eastAsia" w:eastAsia="宋体"/>
                      <w:lang w:eastAsia="zh-CN"/>
                    </w:rPr>
                  </w:pPr>
                  <w:r>
                    <w:rPr>
                      <w:rFonts w:hint="eastAsia"/>
                    </w:rP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25</w:t>
                  </w:r>
                </w:p>
              </w:tc>
              <w:tc>
                <w:tcPr>
                  <w:tcW w:w="2225" w:type="dxa"/>
                  <w:tcBorders>
                    <w:top w:val="single" w:color="auto" w:sz="6" w:space="0"/>
                    <w:left w:val="single" w:color="auto" w:sz="6" w:space="0"/>
                    <w:bottom w:val="single" w:color="auto" w:sz="6" w:space="0"/>
                    <w:right w:val="single" w:color="auto" w:sz="4" w:space="0"/>
                  </w:tcBorders>
                  <w:vAlign w:val="center"/>
                </w:tcPr>
                <w:p>
                  <w:pPr>
                    <w:pStyle w:val="70"/>
                  </w:pPr>
                  <w:r>
                    <w:t>E</w:t>
                  </w:r>
                  <w:r>
                    <w:rPr>
                      <w:rFonts w:hint="eastAsia"/>
                    </w:rPr>
                    <w:t>86°13'31.114"东</w:t>
                  </w:r>
                </w:p>
                <w:p>
                  <w:pPr>
                    <w:pStyle w:val="70"/>
                  </w:pPr>
                  <w:r>
                    <w:t>N</w:t>
                  </w:r>
                  <w:r>
                    <w:rPr>
                      <w:rFonts w:hint="eastAsia"/>
                    </w:rPr>
                    <w:t>42°19'62.341"北</w:t>
                  </w:r>
                </w:p>
              </w:tc>
              <w:tc>
                <w:tcPr>
                  <w:tcW w:w="1421" w:type="dxa"/>
                  <w:tcBorders>
                    <w:top w:val="single" w:color="auto" w:sz="6" w:space="0"/>
                    <w:left w:val="single" w:color="auto" w:sz="6" w:space="0"/>
                    <w:bottom w:val="single" w:color="auto" w:sz="6" w:space="0"/>
                    <w:right w:val="single" w:color="auto" w:sz="4" w:space="0"/>
                  </w:tcBorders>
                  <w:vAlign w:val="center"/>
                </w:tcPr>
                <w:p>
                  <w:pPr>
                    <w:pStyle w:val="70"/>
                  </w:pPr>
                  <w:r>
                    <w:rPr>
                      <w:lang w:val="en-GB"/>
                    </w:rPr>
                    <w:t>一般排放口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pPr>
                    <w:pStyle w:val="70"/>
                  </w:pPr>
                  <w:r>
                    <w:rPr>
                      <w:lang w:val="en-GB"/>
                    </w:rPr>
                    <w:t>DA00</w:t>
                  </w:r>
                  <w:r>
                    <w:rPr>
                      <w:rFonts w:hint="eastAsia"/>
                    </w:rPr>
                    <w:t>7</w:t>
                  </w:r>
                </w:p>
              </w:tc>
              <w:tc>
                <w:tcPr>
                  <w:tcW w:w="1387"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产品打包排气筒</w:t>
                  </w:r>
                </w:p>
              </w:tc>
              <w:tc>
                <w:tcPr>
                  <w:tcW w:w="750"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15</w:t>
                  </w:r>
                </w:p>
              </w:tc>
              <w:tc>
                <w:tcPr>
                  <w:tcW w:w="700" w:type="dxa"/>
                  <w:tcBorders>
                    <w:top w:val="single" w:color="auto" w:sz="6" w:space="0"/>
                    <w:left w:val="single" w:color="auto" w:sz="6" w:space="0"/>
                    <w:bottom w:val="single" w:color="auto" w:sz="6" w:space="0"/>
                    <w:right w:val="single" w:color="auto" w:sz="6" w:space="0"/>
                  </w:tcBorders>
                  <w:vAlign w:val="center"/>
                </w:tcPr>
                <w:p>
                  <w:pPr>
                    <w:pStyle w:val="70"/>
                    <w:rPr>
                      <w:rFonts w:hint="eastAsia" w:eastAsia="宋体"/>
                      <w:lang w:eastAsia="zh-CN"/>
                    </w:rPr>
                  </w:pPr>
                  <w:r>
                    <w:rPr>
                      <w:rFonts w:hint="eastAsia"/>
                    </w:rP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pPr>
                    <w:pStyle w:val="70"/>
                  </w:pPr>
                  <w:r>
                    <w:rPr>
                      <w:rFonts w:hint="eastAsia"/>
                    </w:rPr>
                    <w:t>25</w:t>
                  </w:r>
                </w:p>
              </w:tc>
              <w:tc>
                <w:tcPr>
                  <w:tcW w:w="2225" w:type="dxa"/>
                  <w:tcBorders>
                    <w:top w:val="single" w:color="auto" w:sz="6" w:space="0"/>
                    <w:left w:val="single" w:color="auto" w:sz="6" w:space="0"/>
                    <w:bottom w:val="single" w:color="auto" w:sz="6" w:space="0"/>
                    <w:right w:val="single" w:color="auto" w:sz="4" w:space="0"/>
                  </w:tcBorders>
                  <w:vAlign w:val="center"/>
                </w:tcPr>
                <w:p>
                  <w:pPr>
                    <w:pStyle w:val="70"/>
                  </w:pPr>
                  <w:r>
                    <w:t>E</w:t>
                  </w:r>
                  <w:r>
                    <w:rPr>
                      <w:rFonts w:hint="eastAsia"/>
                    </w:rPr>
                    <w:t>86°13'32.772"东</w:t>
                  </w:r>
                </w:p>
                <w:p>
                  <w:pPr>
                    <w:pStyle w:val="70"/>
                  </w:pPr>
                  <w:r>
                    <w:t>N</w:t>
                  </w:r>
                  <w:r>
                    <w:rPr>
                      <w:rFonts w:hint="eastAsia"/>
                    </w:rPr>
                    <w:t>42°19'81.103"北</w:t>
                  </w:r>
                </w:p>
              </w:tc>
              <w:tc>
                <w:tcPr>
                  <w:tcW w:w="1421" w:type="dxa"/>
                  <w:tcBorders>
                    <w:top w:val="single" w:color="auto" w:sz="6" w:space="0"/>
                    <w:left w:val="single" w:color="auto" w:sz="6" w:space="0"/>
                    <w:bottom w:val="single" w:color="auto" w:sz="6" w:space="0"/>
                    <w:right w:val="single" w:color="auto" w:sz="4" w:space="0"/>
                  </w:tcBorders>
                  <w:vAlign w:val="center"/>
                </w:tcPr>
                <w:p>
                  <w:pPr>
                    <w:pStyle w:val="70"/>
                  </w:pPr>
                  <w:r>
                    <w:rPr>
                      <w:lang w:val="en-GB"/>
                    </w:rPr>
                    <w:t>一般排放口</w:t>
                  </w:r>
                </w:p>
              </w:tc>
            </w:tr>
          </w:tbl>
          <w:p>
            <w:pPr>
              <w:ind w:firstLine="480"/>
            </w:pPr>
            <w:bookmarkStart w:id="16" w:name="_Toc382903248"/>
            <w:bookmarkStart w:id="17" w:name="_Toc381340753"/>
            <w:bookmarkStart w:id="18" w:name="_Toc332103729"/>
            <w:bookmarkStart w:id="19" w:name="_Toc332103629"/>
            <w:bookmarkStart w:id="20" w:name="_Toc249693706"/>
            <w:bookmarkStart w:id="21" w:name="_Toc15851"/>
            <w:bookmarkStart w:id="22" w:name="_Toc383796787"/>
            <w:bookmarkStart w:id="23" w:name="_Toc319228417"/>
            <w:r>
              <w:rPr>
                <w:rFonts w:hint="eastAsia"/>
              </w:rPr>
              <w:t>（</w:t>
            </w:r>
            <w:r>
              <w:t>5</w:t>
            </w:r>
            <w:r>
              <w:rPr>
                <w:rFonts w:hint="eastAsia"/>
              </w:rPr>
              <w:t>）达标可行性分析</w:t>
            </w:r>
          </w:p>
          <w:p>
            <w:pPr>
              <w:ind w:firstLine="480"/>
            </w:pPr>
            <w:r>
              <w:rPr>
                <w:rFonts w:hint="eastAsia"/>
              </w:rPr>
              <w:t>①生产废气治理设施可行性分析</w:t>
            </w:r>
          </w:p>
          <w:p>
            <w:pPr>
              <w:ind w:firstLine="480"/>
              <w:rPr>
                <w:rFonts w:hint="eastAsia" w:ascii="宋体" w:hAnsi="宋体" w:cs="宋体"/>
                <w:color w:val="000000"/>
                <w:kern w:val="0"/>
                <w:szCs w:val="24"/>
                <w:highlight w:val="none"/>
                <w:lang w:bidi="ar"/>
              </w:rPr>
            </w:pPr>
            <w:r>
              <w:rPr>
                <w:rFonts w:hint="eastAsia"/>
                <w:highlight w:val="none"/>
              </w:rPr>
              <w:t>根据企业提供的工艺流程及工艺特点，项目产尘节点的为原料卸料、粉碎、配料混合、制粒冷却、包装工序。原料卸料、包装工序产生的颗粒物均经集尘装置</w:t>
            </w:r>
            <w:r>
              <w:rPr>
                <w:highlight w:val="none"/>
              </w:rPr>
              <w:t>+</w:t>
            </w:r>
            <w:r>
              <w:rPr>
                <w:rFonts w:hint="eastAsia"/>
                <w:highlight w:val="none"/>
              </w:rPr>
              <w:t>布袋除尘器处理后分别经排气筒排放，原料粉碎、配料混合均密闭，设备经管道与脉冲式布袋除尘器相连，制粒冷却工序冷却塔与脉冲沙克龙除尘器相连。根据表4.2-3可知，</w:t>
            </w:r>
            <w:r>
              <w:rPr>
                <w:rFonts w:hint="eastAsia"/>
                <w:highlight w:val="none"/>
                <w:lang w:val="en-US" w:eastAsia="zh-CN"/>
              </w:rPr>
              <w:t>本项目</w:t>
            </w:r>
            <w:r>
              <w:rPr>
                <w:rFonts w:hint="eastAsia"/>
                <w:highlight w:val="none"/>
              </w:rPr>
              <w:t>颗粒物产生量较大，但经对应的除尘措施后，收集后排放的颗粒物大大减少，同时加工</w:t>
            </w:r>
            <w:r>
              <w:rPr>
                <w:rFonts w:hint="eastAsia"/>
                <w:highlight w:val="none"/>
                <w:lang w:val="en-US" w:eastAsia="zh-CN"/>
              </w:rPr>
              <w:t>过程</w:t>
            </w:r>
            <w:r>
              <w:rPr>
                <w:rFonts w:hint="eastAsia"/>
                <w:highlight w:val="none"/>
              </w:rPr>
              <w:t>均在厂房内，生产时厂房封闭，封闭厂房对未收集的颗粒物有一定的阻断效果，同时为减少无组织颗粒物的排放，企业采取洒水降尘、控制物料落差等</w:t>
            </w:r>
            <w:r>
              <w:rPr>
                <w:rFonts w:hint="eastAsia"/>
                <w:highlight w:val="none"/>
                <w:lang w:val="en-US" w:eastAsia="zh-CN"/>
              </w:rPr>
              <w:t>降尘</w:t>
            </w:r>
            <w:r>
              <w:rPr>
                <w:rFonts w:hint="eastAsia"/>
                <w:highlight w:val="none"/>
              </w:rPr>
              <w:t>措施，综上，未收集的颗粒物逸散到大气环境中的量较少，本项目排放的颗粒物可满足《大气污染物综合排放标准》</w:t>
            </w:r>
            <w:r>
              <w:rPr>
                <w:rFonts w:hint="eastAsia" w:ascii="宋体" w:hAnsi="宋体" w:cs="宋体"/>
                <w:color w:val="000000"/>
                <w:kern w:val="0"/>
                <w:szCs w:val="24"/>
                <w:highlight w:val="none"/>
                <w:lang w:bidi="ar"/>
              </w:rPr>
              <w:t>（</w:t>
            </w:r>
            <w:r>
              <w:rPr>
                <w:color w:val="000000"/>
                <w:kern w:val="0"/>
                <w:szCs w:val="24"/>
                <w:highlight w:val="none"/>
                <w:lang w:bidi="ar"/>
              </w:rPr>
              <w:t>GB16297-1996</w:t>
            </w:r>
            <w:r>
              <w:rPr>
                <w:rFonts w:hint="eastAsia" w:ascii="宋体" w:hAnsi="宋体" w:cs="宋体"/>
                <w:color w:val="000000"/>
                <w:kern w:val="0"/>
                <w:szCs w:val="24"/>
                <w:highlight w:val="none"/>
                <w:lang w:bidi="ar"/>
              </w:rPr>
              <w:t>）中表</w:t>
            </w:r>
            <w:r>
              <w:rPr>
                <w:color w:val="000000"/>
                <w:kern w:val="0"/>
                <w:szCs w:val="24"/>
                <w:highlight w:val="none"/>
                <w:lang w:bidi="ar"/>
              </w:rPr>
              <w:t>2</w:t>
            </w:r>
            <w:r>
              <w:rPr>
                <w:rFonts w:hint="eastAsia" w:ascii="宋体" w:hAnsi="宋体" w:cs="宋体"/>
                <w:color w:val="000000"/>
                <w:kern w:val="0"/>
                <w:szCs w:val="24"/>
                <w:highlight w:val="none"/>
                <w:lang w:bidi="ar"/>
              </w:rPr>
              <w:t>标准限值要求。</w:t>
            </w:r>
          </w:p>
          <w:p>
            <w:pPr>
              <w:ind w:firstLine="480"/>
              <w:rPr>
                <w:rFonts w:hint="default" w:ascii="宋体" w:hAnsi="宋体" w:eastAsia="宋体" w:cs="宋体"/>
                <w:color w:val="000000"/>
                <w:kern w:val="0"/>
                <w:szCs w:val="24"/>
                <w:highlight w:val="none"/>
                <w:lang w:val="en-US" w:eastAsia="zh-CN" w:bidi="ar"/>
              </w:rPr>
            </w:pPr>
            <w:r>
              <w:rPr>
                <w:rFonts w:hint="eastAsia"/>
                <w:highlight w:val="none"/>
                <w:lang w:val="en-US" w:eastAsia="zh-CN"/>
              </w:rPr>
              <w:t>根据</w:t>
            </w:r>
            <w:r>
              <w:rPr>
                <w:rFonts w:hint="eastAsia"/>
                <w:highlight w:val="none"/>
              </w:rPr>
              <w:t>《大气污染物综合排放标准》</w:t>
            </w:r>
            <w:r>
              <w:rPr>
                <w:rFonts w:hint="eastAsia" w:ascii="宋体" w:hAnsi="宋体" w:cs="宋体"/>
                <w:color w:val="000000"/>
                <w:kern w:val="0"/>
                <w:szCs w:val="24"/>
                <w:highlight w:val="none"/>
                <w:lang w:bidi="ar"/>
              </w:rPr>
              <w:t>（</w:t>
            </w:r>
            <w:r>
              <w:rPr>
                <w:color w:val="000000"/>
                <w:kern w:val="0"/>
                <w:szCs w:val="24"/>
                <w:highlight w:val="none"/>
                <w:lang w:bidi="ar"/>
              </w:rPr>
              <w:t>GB16297-1996</w:t>
            </w:r>
            <w:r>
              <w:rPr>
                <w:rFonts w:hint="eastAsia"/>
                <w:color w:val="000000"/>
                <w:kern w:val="0"/>
                <w:szCs w:val="24"/>
                <w:highlight w:val="none"/>
                <w:lang w:bidi="ar"/>
              </w:rPr>
              <w:t>）</w:t>
            </w:r>
            <w:r>
              <w:rPr>
                <w:rFonts w:hint="eastAsia"/>
                <w:color w:val="000000"/>
                <w:kern w:val="0"/>
                <w:szCs w:val="24"/>
                <w:highlight w:val="none"/>
                <w:lang w:val="en-US" w:eastAsia="zh-CN" w:bidi="ar"/>
              </w:rPr>
              <w:t>7.1规定“排气筒高度除须遵守表列排放速率标准值外，还应高出周围200m半径范围的建筑5m以上，不能达到该要求的排气筒，应按其高度对应的表列排放速率标准值严格50%执</w:t>
            </w:r>
            <w:r>
              <w:rPr>
                <w:rFonts w:hint="eastAsia" w:ascii="宋体" w:hAnsi="宋体" w:cs="宋体"/>
                <w:color w:val="000000"/>
                <w:kern w:val="0"/>
                <w:szCs w:val="24"/>
                <w:highlight w:val="none"/>
                <w:lang w:val="en-US" w:eastAsia="zh-CN" w:bidi="ar"/>
              </w:rPr>
              <w:t>行。”本项目</w:t>
            </w:r>
            <w:r>
              <w:rPr>
                <w:rFonts w:hint="eastAsia" w:ascii="Times New Roman" w:hAnsi="Times New Roman" w:eastAsia="宋体" w:cs="Times New Roman"/>
                <w:b w:val="0"/>
                <w:color w:val="auto"/>
                <w:kern w:val="2"/>
                <w:sz w:val="24"/>
                <w:szCs w:val="21"/>
                <w:highlight w:val="none"/>
                <w:lang w:val="en-US" w:eastAsia="zh-CN" w:bidi="ar-SA"/>
              </w:rPr>
              <w:t>周围200m范围内建筑物原料草料加工车间最高高度为8.5m</w:t>
            </w:r>
            <w:r>
              <w:rPr>
                <w:rFonts w:hint="eastAsia" w:cs="Times New Roman"/>
                <w:b w:val="0"/>
                <w:color w:val="auto"/>
                <w:kern w:val="2"/>
                <w:sz w:val="24"/>
                <w:szCs w:val="21"/>
                <w:highlight w:val="none"/>
                <w:lang w:val="en-US" w:eastAsia="zh-CN" w:bidi="ar-SA"/>
              </w:rPr>
              <w:t>，生产过程产生的颗粒物经</w:t>
            </w:r>
            <w:r>
              <w:rPr>
                <w:rFonts w:hint="eastAsia"/>
                <w:highlight w:val="none"/>
              </w:rPr>
              <w:t>集气罩</w:t>
            </w:r>
            <w:r>
              <w:rPr>
                <w:rFonts w:hint="eastAsia"/>
                <w:lang w:eastAsia="zh-CN"/>
              </w:rPr>
              <w:t>（</w:t>
            </w:r>
            <w:r>
              <w:rPr>
                <w:rFonts w:hint="eastAsia"/>
                <w:lang w:val="en-US" w:eastAsia="zh-CN"/>
              </w:rPr>
              <w:t>负压收集</w:t>
            </w:r>
            <w:r>
              <w:rPr>
                <w:rFonts w:hint="eastAsia"/>
                <w:lang w:eastAsia="zh-CN"/>
              </w:rPr>
              <w:t>）</w:t>
            </w:r>
            <w:r>
              <w:rPr>
                <w:rFonts w:hint="eastAsia"/>
                <w:highlight w:val="none"/>
              </w:rPr>
              <w:t>+布袋除尘器+15m高排气筒</w:t>
            </w:r>
            <w:r>
              <w:rPr>
                <w:rFonts w:hint="eastAsia"/>
                <w:highlight w:val="none"/>
                <w:lang w:val="en-US" w:eastAsia="zh-CN"/>
              </w:rPr>
              <w:t>排放，能够满足要求。</w:t>
            </w:r>
          </w:p>
          <w:p>
            <w:pPr>
              <w:ind w:firstLine="480"/>
              <w:rPr>
                <w:highlight w:val="none"/>
              </w:rPr>
            </w:pPr>
            <w:r>
              <w:rPr>
                <w:rFonts w:hint="eastAsia"/>
                <w:highlight w:val="none"/>
              </w:rPr>
              <w:t>②锅炉废气</w:t>
            </w:r>
          </w:p>
          <w:p>
            <w:pPr>
              <w:ind w:firstLine="480"/>
              <w:rPr>
                <w:rFonts w:hint="eastAsia"/>
              </w:rPr>
            </w:pPr>
            <w:r>
              <w:rPr>
                <w:rFonts w:hint="eastAsia"/>
                <w:highlight w:val="none"/>
              </w:rPr>
              <w:t>本项目天然气燃烧会产生锅炉废气，本项目锅炉产生的颗粒物、二氧化硫、氮氧化物产生量较少，同时锅炉配备低氮燃烧器，经处理后的锅炉废气经</w:t>
            </w:r>
            <w:r>
              <w:rPr>
                <w:rFonts w:hint="eastAsia"/>
                <w:highlight w:val="none"/>
                <w:lang w:val="en-US" w:eastAsia="zh-CN"/>
              </w:rPr>
              <w:t>12</w:t>
            </w:r>
            <w:r>
              <w:rPr>
                <w:highlight w:val="none"/>
              </w:rPr>
              <w:t>m</w:t>
            </w:r>
            <w:r>
              <w:rPr>
                <w:rFonts w:hint="eastAsia"/>
                <w:highlight w:val="none"/>
              </w:rPr>
              <w:t>高排气筒有组织排放，根据表4.2-3可知，颗粒物、二氧化硫可满足《锅炉大气污染物排放标准》（GB13271-2014）</w:t>
            </w:r>
            <w:r>
              <w:rPr>
                <w:rFonts w:hint="eastAsia"/>
              </w:rPr>
              <w:t>表</w:t>
            </w:r>
            <w:r>
              <w:rPr>
                <w:rFonts w:hint="eastAsia"/>
                <w:lang w:val="en-US" w:eastAsia="zh-CN"/>
              </w:rPr>
              <w:t>2新建锅炉大气污染物排放浓度限值</w:t>
            </w:r>
            <w:r>
              <w:rPr>
                <w:rFonts w:hint="eastAsia"/>
              </w:rPr>
              <w:t>中燃气锅炉标准；氮氧化物可满足《关于开展自治区2022年度夏秋季大气污染防治</w:t>
            </w:r>
            <w:r>
              <w:rPr>
                <w:rFonts w:hint="eastAsia"/>
                <w:lang w:eastAsia="zh-CN"/>
              </w:rPr>
              <w:t>“</w:t>
            </w:r>
            <w:r>
              <w:rPr>
                <w:rFonts w:hint="eastAsia"/>
              </w:rPr>
              <w:t>冬病夏治</w:t>
            </w:r>
            <w:r>
              <w:rPr>
                <w:rFonts w:hint="eastAsia"/>
                <w:lang w:eastAsia="zh-CN"/>
              </w:rPr>
              <w:t>”</w:t>
            </w:r>
            <w:r>
              <w:rPr>
                <w:rFonts w:hint="eastAsia"/>
              </w:rPr>
              <w:t>工作的通知》（新环大气发〔2022〕483号）文件中燃气锅炉氮氧化物排放浓度不高于50mg/m</w:t>
            </w:r>
            <w:r>
              <w:rPr>
                <w:rFonts w:hint="eastAsia"/>
                <w:vertAlign w:val="superscript"/>
              </w:rPr>
              <w:t>3</w:t>
            </w:r>
            <w:r>
              <w:rPr>
                <w:rFonts w:hint="eastAsia"/>
              </w:rPr>
              <w:t>的要求。</w:t>
            </w:r>
          </w:p>
          <w:p>
            <w:pPr>
              <w:ind w:firstLine="480"/>
            </w:pPr>
            <w:r>
              <w:rPr>
                <w:rFonts w:hint="eastAsia" w:ascii="Times New Roman" w:hAnsi="Times New Roman" w:eastAsia="宋体" w:cs="Times New Roman"/>
                <w:b w:val="0"/>
                <w:color w:val="auto"/>
                <w:kern w:val="2"/>
                <w:sz w:val="24"/>
                <w:szCs w:val="21"/>
                <w:lang w:val="en-US" w:eastAsia="zh-CN" w:bidi="ar-SA"/>
              </w:rPr>
              <w:t>根据《锅炉大气污染物排放标准》（GB13271-2014），“燃油、燃气锅炉烟囱不低于</w:t>
            </w:r>
            <w:r>
              <w:rPr>
                <w:rFonts w:hint="default" w:ascii="Times New Roman" w:hAnsi="Times New Roman" w:eastAsia="宋体" w:cs="Times New Roman"/>
                <w:b w:val="0"/>
                <w:color w:val="auto"/>
                <w:kern w:val="2"/>
                <w:sz w:val="24"/>
                <w:szCs w:val="21"/>
                <w:lang w:val="en-US" w:eastAsia="zh-CN" w:bidi="ar-SA"/>
              </w:rPr>
              <w:t>8</w:t>
            </w:r>
            <w:r>
              <w:rPr>
                <w:rFonts w:hint="eastAsia" w:ascii="Times New Roman" w:hAnsi="Times New Roman" w:eastAsia="宋体" w:cs="Times New Roman"/>
                <w:b w:val="0"/>
                <w:color w:val="auto"/>
                <w:kern w:val="2"/>
                <w:sz w:val="24"/>
                <w:szCs w:val="21"/>
                <w:lang w:val="en-US" w:eastAsia="zh-CN" w:bidi="ar-SA"/>
              </w:rPr>
              <w:t>米，新建锅炉房的烟囱周围半径200m距离内有建筑物时，其烟囱应高出最高建筑物3m”要求，本项目周围200m范围内建筑物原料草料加工车间最高高度为8.5m，因此，燃气锅炉排气筒高度设置为12m</w:t>
            </w:r>
            <w:r>
              <w:rPr>
                <w:rFonts w:hint="eastAsia" w:ascii="Times New Roman" w:hAnsi="Times New Roman" w:cs="Times New Roman"/>
                <w:b w:val="0"/>
                <w:color w:val="auto"/>
                <w:kern w:val="2"/>
                <w:sz w:val="24"/>
                <w:szCs w:val="21"/>
                <w:lang w:val="en-US" w:eastAsia="zh-CN" w:bidi="ar-SA"/>
              </w:rPr>
              <w:t>，可使得锅炉废气对周边环境影响降至最低。</w:t>
            </w:r>
          </w:p>
          <w:p>
            <w:pPr>
              <w:widowControl/>
              <w:ind w:firstLine="480"/>
              <w:jc w:val="left"/>
            </w:pPr>
            <w:r>
              <w:rPr>
                <w:rFonts w:hint="eastAsia" w:ascii="宋体" w:hAnsi="宋体" w:cs="宋体"/>
                <w:color w:val="000000"/>
                <w:kern w:val="0"/>
                <w:szCs w:val="24"/>
                <w:lang w:bidi="ar"/>
              </w:rPr>
              <w:t>（</w:t>
            </w:r>
            <w:r>
              <w:rPr>
                <w:color w:val="000000"/>
                <w:kern w:val="0"/>
                <w:szCs w:val="24"/>
                <w:lang w:bidi="ar"/>
              </w:rPr>
              <w:t>6</w:t>
            </w:r>
            <w:r>
              <w:rPr>
                <w:rFonts w:hint="eastAsia" w:ascii="宋体" w:hAnsi="宋体" w:cs="宋体"/>
                <w:color w:val="000000"/>
                <w:kern w:val="0"/>
                <w:szCs w:val="24"/>
                <w:lang w:bidi="ar"/>
              </w:rPr>
              <w:t>）废气治理措施可行性分析</w:t>
            </w:r>
          </w:p>
          <w:p>
            <w:pPr>
              <w:widowControl/>
              <w:ind w:firstLine="480"/>
              <w:jc w:val="left"/>
            </w:pPr>
            <w:r>
              <w:rPr>
                <w:rFonts w:hint="eastAsia" w:ascii="宋体" w:hAnsi="宋体" w:cs="宋体"/>
                <w:color w:val="000000"/>
                <w:kern w:val="0"/>
                <w:szCs w:val="24"/>
                <w:lang w:bidi="ar"/>
              </w:rPr>
              <w:t>①本项目为饲料加工项目，原料卸料、粉碎、配料混合、包装工序废气为颗粒物，采用布袋除尘器处理后排放，制粒冷却工序采用脉冲沙克龙除尘器处理后排放，属于《排污许可证申请与核发技术规范农副食品加工工业—饲料加工、植物油加工工业》（</w:t>
            </w:r>
            <w:r>
              <w:rPr>
                <w:color w:val="000000"/>
                <w:kern w:val="0"/>
                <w:szCs w:val="24"/>
                <w:lang w:bidi="ar"/>
              </w:rPr>
              <w:t>HJ1110-2020</w:t>
            </w:r>
            <w:r>
              <w:rPr>
                <w:rFonts w:hint="eastAsia" w:ascii="宋体" w:hAnsi="宋体" w:cs="宋体"/>
                <w:color w:val="000000"/>
                <w:kern w:val="0"/>
                <w:szCs w:val="24"/>
                <w:lang w:bidi="ar"/>
              </w:rPr>
              <w:t>）附录</w:t>
            </w:r>
            <w:r>
              <w:rPr>
                <w:color w:val="000000"/>
                <w:kern w:val="0"/>
                <w:szCs w:val="24"/>
                <w:lang w:bidi="ar"/>
              </w:rPr>
              <w:t>C</w:t>
            </w:r>
            <w:r>
              <w:rPr>
                <w:rFonts w:hint="eastAsia" w:ascii="宋体" w:hAnsi="宋体" w:cs="宋体"/>
                <w:color w:val="000000"/>
                <w:kern w:val="0"/>
                <w:szCs w:val="24"/>
                <w:lang w:bidi="ar"/>
              </w:rPr>
              <w:t>废气污染可行技术。</w:t>
            </w:r>
          </w:p>
          <w:p>
            <w:pPr>
              <w:widowControl/>
              <w:ind w:firstLine="480"/>
              <w:jc w:val="left"/>
            </w:pPr>
            <w:r>
              <w:rPr>
                <w:rFonts w:hint="eastAsia" w:ascii="宋体" w:hAnsi="宋体" w:cs="宋体"/>
                <w:color w:val="000000"/>
                <w:kern w:val="0"/>
                <w:szCs w:val="24"/>
                <w:lang w:bidi="ar"/>
              </w:rPr>
              <w:t>②锅炉废气</w:t>
            </w:r>
          </w:p>
          <w:p>
            <w:pPr>
              <w:widowControl/>
              <w:ind w:firstLine="480"/>
              <w:jc w:val="left"/>
            </w:pPr>
            <w:r>
              <w:rPr>
                <w:rFonts w:hint="eastAsia" w:ascii="宋体" w:hAnsi="宋体" w:cs="宋体"/>
                <w:color w:val="000000"/>
                <w:kern w:val="0"/>
                <w:szCs w:val="24"/>
                <w:lang w:bidi="ar"/>
              </w:rPr>
              <w:t>根据《排污许可证申请与核发技术规范锅炉》（</w:t>
            </w:r>
            <w:r>
              <w:rPr>
                <w:color w:val="000000"/>
                <w:kern w:val="0"/>
                <w:szCs w:val="24"/>
                <w:lang w:bidi="ar"/>
              </w:rPr>
              <w:t>HJ953-20</w:t>
            </w:r>
            <w:r>
              <w:rPr>
                <w:rFonts w:hint="default" w:ascii="Times New Roman" w:hAnsi="Times New Roman" w:cs="Times New Roman"/>
                <w:color w:val="000000"/>
                <w:kern w:val="0"/>
                <w:szCs w:val="24"/>
                <w:lang w:bidi="ar"/>
              </w:rPr>
              <w:t>18）中</w:t>
            </w:r>
            <w:r>
              <w:rPr>
                <w:rFonts w:hint="default" w:ascii="Times New Roman" w:hAnsi="Times New Roman" w:cs="Times New Roman"/>
                <w:color w:val="000000"/>
                <w:kern w:val="0"/>
                <w:szCs w:val="24"/>
                <w:lang w:eastAsia="zh-CN" w:bidi="ar"/>
              </w:rPr>
              <w:t>“</w:t>
            </w:r>
            <w:r>
              <w:rPr>
                <w:rFonts w:hint="default" w:ascii="Times New Roman" w:hAnsi="Times New Roman" w:cs="Times New Roman"/>
                <w:color w:val="000000"/>
                <w:kern w:val="0"/>
                <w:szCs w:val="24"/>
                <w:lang w:bidi="ar"/>
              </w:rPr>
              <w:t>表4.2-5锅炉烟气污染防治可行技术</w:t>
            </w:r>
            <w:r>
              <w:rPr>
                <w:rFonts w:hint="default" w:ascii="Times New Roman" w:hAnsi="Times New Roman" w:cs="Times New Roman"/>
                <w:color w:val="000000"/>
                <w:kern w:val="0"/>
                <w:szCs w:val="24"/>
                <w:lang w:eastAsia="zh-CN" w:bidi="ar"/>
              </w:rPr>
              <w:t>”</w:t>
            </w:r>
            <w:r>
              <w:rPr>
                <w:rFonts w:hint="default" w:ascii="Times New Roman" w:hAnsi="Times New Roman" w:cs="Times New Roman"/>
                <w:color w:val="000000"/>
                <w:kern w:val="0"/>
                <w:szCs w:val="24"/>
                <w:lang w:bidi="ar"/>
              </w:rPr>
              <w:t>要求，燃气锅炉需采用低氮燃烧技术。本项目燃</w:t>
            </w:r>
            <w:r>
              <w:rPr>
                <w:rFonts w:hint="eastAsia" w:ascii="宋体" w:hAnsi="宋体" w:cs="宋体"/>
                <w:color w:val="000000"/>
                <w:kern w:val="0"/>
                <w:szCs w:val="24"/>
                <w:lang w:bidi="ar"/>
              </w:rPr>
              <w:t>气锅炉设置低氮燃烧器，本项目采用全预混燃气燃烧器，在燃烧之前，供给完全燃烧所需的全部空气，并使燃气与空气充分混合，再经燃烧器喷出进行燃烧，由于预先混合均匀，所以能在较小的过剩空气系数下实现完全燃烧，燃烧温度可以很高。属于《排污许可证申请与核发技术规范锅炉》（</w:t>
            </w:r>
            <w:r>
              <w:rPr>
                <w:color w:val="000000"/>
                <w:kern w:val="0"/>
                <w:szCs w:val="24"/>
                <w:lang w:bidi="ar"/>
              </w:rPr>
              <w:t>HJ953-2018</w:t>
            </w:r>
            <w:r>
              <w:rPr>
                <w:rFonts w:hint="eastAsia" w:ascii="宋体" w:hAnsi="宋体" w:cs="宋体"/>
                <w:color w:val="000000"/>
                <w:kern w:val="0"/>
                <w:szCs w:val="24"/>
                <w:lang w:bidi="ar"/>
              </w:rPr>
              <w:t>）推荐技术。</w:t>
            </w:r>
          </w:p>
          <w:p>
            <w:pPr>
              <w:widowControl/>
              <w:ind w:firstLine="480"/>
              <w:jc w:val="left"/>
            </w:pPr>
            <w:r>
              <w:rPr>
                <w:rFonts w:hint="eastAsia" w:ascii="宋体" w:hAnsi="宋体" w:cs="宋体"/>
                <w:color w:val="000000"/>
                <w:kern w:val="0"/>
                <w:szCs w:val="24"/>
                <w:lang w:bidi="ar"/>
              </w:rPr>
              <w:t>（</w:t>
            </w:r>
            <w:r>
              <w:rPr>
                <w:color w:val="000000"/>
                <w:kern w:val="0"/>
                <w:szCs w:val="24"/>
                <w:lang w:bidi="ar"/>
              </w:rPr>
              <w:t>7</w:t>
            </w:r>
            <w:r>
              <w:rPr>
                <w:rFonts w:hint="eastAsia" w:ascii="宋体" w:hAnsi="宋体" w:cs="宋体"/>
                <w:color w:val="000000"/>
                <w:kern w:val="0"/>
                <w:szCs w:val="24"/>
                <w:lang w:bidi="ar"/>
              </w:rPr>
              <w:t>）非正常工况</w:t>
            </w:r>
          </w:p>
          <w:p>
            <w:pPr>
              <w:widowControl/>
              <w:ind w:firstLine="480"/>
              <w:jc w:val="left"/>
            </w:pPr>
            <w:r>
              <w:rPr>
                <w:rFonts w:hint="eastAsia" w:ascii="宋体" w:hAnsi="宋体" w:cs="宋体"/>
                <w:color w:val="000000"/>
                <w:kern w:val="0"/>
                <w:szCs w:val="24"/>
                <w:lang w:bidi="ar"/>
              </w:rPr>
              <w:t>本项目非正常工况考虑除尘器运行不稳定或不能运行，导致颗粒物直接外排，非正常工况出现次数为</w:t>
            </w:r>
            <w:r>
              <w:rPr>
                <w:color w:val="000000"/>
                <w:kern w:val="0"/>
                <w:szCs w:val="24"/>
                <w:lang w:bidi="ar"/>
              </w:rPr>
              <w:t>1</w:t>
            </w:r>
            <w:r>
              <w:rPr>
                <w:rFonts w:hint="eastAsia" w:ascii="宋体" w:hAnsi="宋体" w:cs="宋体"/>
                <w:color w:val="000000"/>
                <w:kern w:val="0"/>
                <w:szCs w:val="24"/>
                <w:lang w:bidi="ar"/>
              </w:rPr>
              <w:t>次</w:t>
            </w:r>
            <w:r>
              <w:rPr>
                <w:color w:val="000000"/>
                <w:kern w:val="0"/>
                <w:szCs w:val="24"/>
                <w:lang w:bidi="ar"/>
              </w:rPr>
              <w:t>/</w:t>
            </w:r>
            <w:r>
              <w:rPr>
                <w:rFonts w:hint="eastAsia" w:ascii="宋体" w:hAnsi="宋体" w:cs="宋体"/>
                <w:color w:val="000000"/>
                <w:kern w:val="0"/>
                <w:szCs w:val="24"/>
                <w:lang w:bidi="ar"/>
              </w:rPr>
              <w:t>年，非正常工况持续时间按</w:t>
            </w:r>
            <w:r>
              <w:rPr>
                <w:color w:val="000000"/>
                <w:kern w:val="0"/>
                <w:szCs w:val="24"/>
                <w:lang w:bidi="ar"/>
              </w:rPr>
              <w:t>1h</w:t>
            </w:r>
            <w:r>
              <w:rPr>
                <w:rFonts w:hint="eastAsia" w:ascii="宋体" w:hAnsi="宋体" w:cs="宋体"/>
                <w:color w:val="000000"/>
                <w:kern w:val="0"/>
                <w:szCs w:val="24"/>
                <w:lang w:bidi="ar"/>
              </w:rPr>
              <w:t>计算，一般情况下除尘器不会同时损坏，则非正常工况情况下各个除尘措施运行不稳定或不能运行时各污染物排放情况如下。污染物源强进行分析。</w:t>
            </w:r>
          </w:p>
          <w:p>
            <w:pPr>
              <w:pStyle w:val="65"/>
            </w:pPr>
            <w:r>
              <w:rPr>
                <w:rFonts w:hint="eastAsia"/>
              </w:rPr>
              <w:t xml:space="preserve">表 </w:t>
            </w:r>
            <w:r>
              <w:t>4</w:t>
            </w:r>
            <w:r>
              <w:rPr>
                <w:rFonts w:hint="eastAsia"/>
              </w:rPr>
              <w:t>.2</w:t>
            </w:r>
            <w:r>
              <w:t>-</w:t>
            </w:r>
            <w:r>
              <w:rPr>
                <w:rFonts w:hint="eastAsia"/>
              </w:rPr>
              <w:t>6</w:t>
            </w:r>
            <w:r>
              <w:t xml:space="preserve"> </w:t>
            </w:r>
            <w:r>
              <w:rPr>
                <w:rFonts w:hint="eastAsia"/>
              </w:rPr>
              <w:t xml:space="preserve">  污染源非正常排放量核算表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596"/>
              <w:gridCol w:w="913"/>
              <w:gridCol w:w="1037"/>
              <w:gridCol w:w="1281"/>
              <w:gridCol w:w="147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15" w:type="dxa"/>
                  <w:vAlign w:val="center"/>
                </w:tcPr>
                <w:p>
                  <w:pPr>
                    <w:pStyle w:val="70"/>
                  </w:pPr>
                  <w:r>
                    <w:rPr>
                      <w:rFonts w:hint="eastAsia"/>
                    </w:rPr>
                    <w:t>序号</w:t>
                  </w:r>
                </w:p>
              </w:tc>
              <w:tc>
                <w:tcPr>
                  <w:tcW w:w="1596" w:type="dxa"/>
                  <w:vAlign w:val="center"/>
                </w:tcPr>
                <w:p>
                  <w:pPr>
                    <w:pStyle w:val="70"/>
                  </w:pPr>
                  <w:r>
                    <w:rPr>
                      <w:rFonts w:hint="eastAsia"/>
                    </w:rPr>
                    <w:t>污染源</w:t>
                  </w:r>
                </w:p>
              </w:tc>
              <w:tc>
                <w:tcPr>
                  <w:tcW w:w="913" w:type="dxa"/>
                  <w:vAlign w:val="center"/>
                </w:tcPr>
                <w:p>
                  <w:pPr>
                    <w:pStyle w:val="70"/>
                  </w:pPr>
                  <w:r>
                    <w:rPr>
                      <w:rFonts w:hint="eastAsia"/>
                    </w:rPr>
                    <w:t>污染物</w:t>
                  </w:r>
                </w:p>
              </w:tc>
              <w:tc>
                <w:tcPr>
                  <w:tcW w:w="1037" w:type="dxa"/>
                  <w:vAlign w:val="center"/>
                </w:tcPr>
                <w:p>
                  <w:pPr>
                    <w:pStyle w:val="70"/>
                  </w:pPr>
                  <w:r>
                    <w:rPr>
                      <w:rFonts w:hint="eastAsia"/>
                    </w:rPr>
                    <w:t>非正常排放量t</w:t>
                  </w:r>
                </w:p>
              </w:tc>
              <w:tc>
                <w:tcPr>
                  <w:tcW w:w="1281" w:type="dxa"/>
                  <w:vAlign w:val="center"/>
                </w:tcPr>
                <w:p>
                  <w:pPr>
                    <w:pStyle w:val="70"/>
                  </w:pPr>
                  <w:r>
                    <w:rPr>
                      <w:rFonts w:hint="eastAsia"/>
                    </w:rPr>
                    <w:t>非正常排放浓度mg/m</w:t>
                  </w:r>
                  <w:r>
                    <w:rPr>
                      <w:rFonts w:hint="eastAsia"/>
                      <w:vertAlign w:val="superscript"/>
                    </w:rPr>
                    <w:t>3</w:t>
                  </w:r>
                </w:p>
              </w:tc>
              <w:tc>
                <w:tcPr>
                  <w:tcW w:w="1473" w:type="dxa"/>
                  <w:vAlign w:val="center"/>
                </w:tcPr>
                <w:p>
                  <w:pPr>
                    <w:pStyle w:val="70"/>
                  </w:pPr>
                  <w:r>
                    <w:rPr>
                      <w:rFonts w:hint="eastAsia"/>
                    </w:rPr>
                    <w:t>频次及</w:t>
                  </w:r>
                  <w:r>
                    <w:rPr>
                      <w:rFonts w:hint="eastAsia"/>
                      <w:lang w:val="en-US" w:eastAsia="zh-CN"/>
                    </w:rPr>
                    <w:t>持</w:t>
                  </w:r>
                  <w:r>
                    <w:rPr>
                      <w:rFonts w:hint="eastAsia"/>
                    </w:rPr>
                    <w:t>续时间</w:t>
                  </w:r>
                </w:p>
              </w:tc>
              <w:tc>
                <w:tcPr>
                  <w:tcW w:w="1558" w:type="dxa"/>
                  <w:vAlign w:val="center"/>
                </w:tcPr>
                <w:p>
                  <w:pPr>
                    <w:pStyle w:val="70"/>
                  </w:pPr>
                  <w:r>
                    <w:rPr>
                      <w:rFonts w:hint="eastAsia"/>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pPr>
                    <w:pStyle w:val="70"/>
                  </w:pPr>
                  <w:r>
                    <w:rPr>
                      <w:rFonts w:hint="eastAsia"/>
                    </w:rPr>
                    <w:t>1</w:t>
                  </w:r>
                </w:p>
              </w:tc>
              <w:tc>
                <w:tcPr>
                  <w:tcW w:w="1596" w:type="dxa"/>
                  <w:vAlign w:val="center"/>
                </w:tcPr>
                <w:p>
                  <w:pPr>
                    <w:pStyle w:val="70"/>
                  </w:pPr>
                  <w:r>
                    <w:rPr>
                      <w:rFonts w:hint="eastAsia"/>
                    </w:rPr>
                    <w:t>卸料工序</w:t>
                  </w:r>
                </w:p>
              </w:tc>
              <w:tc>
                <w:tcPr>
                  <w:tcW w:w="913" w:type="dxa"/>
                  <w:vAlign w:val="center"/>
                </w:tcPr>
                <w:p>
                  <w:pPr>
                    <w:pStyle w:val="70"/>
                  </w:pPr>
                  <w:r>
                    <w:rPr>
                      <w:rFonts w:hint="eastAsia"/>
                    </w:rPr>
                    <w:t>颗粒物</w:t>
                  </w:r>
                </w:p>
              </w:tc>
              <w:tc>
                <w:tcPr>
                  <w:tcW w:w="1037" w:type="dxa"/>
                  <w:vAlign w:val="center"/>
                </w:tcPr>
                <w:p>
                  <w:pPr>
                    <w:pStyle w:val="70"/>
                    <w:rPr>
                      <w:rFonts w:hint="default" w:eastAsia="宋体"/>
                      <w:lang w:val="en-US" w:eastAsia="zh-CN"/>
                    </w:rPr>
                  </w:pPr>
                  <w:r>
                    <w:rPr>
                      <w:rFonts w:hint="eastAsia"/>
                    </w:rPr>
                    <w:t>0.000</w:t>
                  </w:r>
                  <w:r>
                    <w:rPr>
                      <w:rFonts w:hint="eastAsia"/>
                      <w:lang w:val="en-US" w:eastAsia="zh-CN"/>
                    </w:rPr>
                    <w:t>825</w:t>
                  </w:r>
                </w:p>
              </w:tc>
              <w:tc>
                <w:tcPr>
                  <w:tcW w:w="1281" w:type="dxa"/>
                  <w:vAlign w:val="center"/>
                </w:tcPr>
                <w:p>
                  <w:pPr>
                    <w:pStyle w:val="70"/>
                    <w:rPr>
                      <w:rFonts w:hint="default" w:eastAsia="宋体"/>
                      <w:lang w:val="en-US" w:eastAsia="zh-CN"/>
                    </w:rPr>
                  </w:pPr>
                  <w:r>
                    <w:rPr>
                      <w:rFonts w:hint="eastAsia"/>
                      <w:lang w:val="en-US" w:eastAsia="zh-CN"/>
                    </w:rPr>
                    <w:t>10.58</w:t>
                  </w:r>
                </w:p>
              </w:tc>
              <w:tc>
                <w:tcPr>
                  <w:tcW w:w="1473" w:type="dxa"/>
                  <w:vAlign w:val="center"/>
                </w:tcPr>
                <w:p>
                  <w:pPr>
                    <w:pStyle w:val="70"/>
                  </w:pPr>
                  <w:r>
                    <w:rPr>
                      <w:rFonts w:hint="eastAsia"/>
                    </w:rPr>
                    <w:t>1次/年，1h/次</w:t>
                  </w:r>
                </w:p>
              </w:tc>
              <w:tc>
                <w:tcPr>
                  <w:tcW w:w="1558" w:type="dxa"/>
                  <w:vAlign w:val="center"/>
                </w:tcPr>
                <w:p>
                  <w:pPr>
                    <w:pStyle w:val="70"/>
                  </w:pPr>
                  <w:r>
                    <w:rPr>
                      <w:rFonts w:hint="eastAsia"/>
                    </w:rPr>
                    <w:t>停工检修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pPr>
                    <w:pStyle w:val="70"/>
                  </w:pPr>
                  <w:r>
                    <w:rPr>
                      <w:rFonts w:hint="eastAsia"/>
                    </w:rPr>
                    <w:t>2</w:t>
                  </w:r>
                </w:p>
              </w:tc>
              <w:tc>
                <w:tcPr>
                  <w:tcW w:w="1596" w:type="dxa"/>
                  <w:vAlign w:val="center"/>
                </w:tcPr>
                <w:p>
                  <w:pPr>
                    <w:pStyle w:val="70"/>
                  </w:pPr>
                  <w:r>
                    <w:rPr>
                      <w:rFonts w:hint="eastAsia"/>
                    </w:rPr>
                    <w:t>投料工序</w:t>
                  </w:r>
                </w:p>
              </w:tc>
              <w:tc>
                <w:tcPr>
                  <w:tcW w:w="913" w:type="dxa"/>
                  <w:vAlign w:val="center"/>
                </w:tcPr>
                <w:p>
                  <w:pPr>
                    <w:pStyle w:val="70"/>
                  </w:pPr>
                  <w:r>
                    <w:rPr>
                      <w:rFonts w:hint="eastAsia"/>
                    </w:rPr>
                    <w:t>颗粒物</w:t>
                  </w:r>
                </w:p>
              </w:tc>
              <w:tc>
                <w:tcPr>
                  <w:tcW w:w="1037" w:type="dxa"/>
                  <w:vAlign w:val="center"/>
                </w:tcPr>
                <w:p>
                  <w:pPr>
                    <w:pStyle w:val="70"/>
                    <w:rPr>
                      <w:rFonts w:hint="default" w:eastAsia="宋体"/>
                      <w:lang w:val="en-US" w:eastAsia="zh-CN"/>
                    </w:rPr>
                  </w:pPr>
                  <w:r>
                    <w:rPr>
                      <w:rFonts w:hint="eastAsia"/>
                    </w:rPr>
                    <w:t>0.0</w:t>
                  </w:r>
                  <w:r>
                    <w:rPr>
                      <w:rFonts w:hint="eastAsia"/>
                      <w:lang w:val="en-US" w:eastAsia="zh-CN"/>
                    </w:rPr>
                    <w:t>456</w:t>
                  </w:r>
                </w:p>
              </w:tc>
              <w:tc>
                <w:tcPr>
                  <w:tcW w:w="1281" w:type="dxa"/>
                  <w:vAlign w:val="center"/>
                </w:tcPr>
                <w:p>
                  <w:pPr>
                    <w:pStyle w:val="70"/>
                    <w:rPr>
                      <w:rFonts w:hint="default" w:eastAsia="宋体"/>
                      <w:lang w:val="en-US" w:eastAsia="zh-CN"/>
                    </w:rPr>
                  </w:pPr>
                  <w:r>
                    <w:rPr>
                      <w:rFonts w:hint="eastAsia"/>
                      <w:lang w:val="en-US" w:eastAsia="zh-CN"/>
                    </w:rPr>
                    <w:t>5846</w:t>
                  </w:r>
                </w:p>
              </w:tc>
              <w:tc>
                <w:tcPr>
                  <w:tcW w:w="1473" w:type="dxa"/>
                  <w:vAlign w:val="center"/>
                </w:tcPr>
                <w:p>
                  <w:pPr>
                    <w:pStyle w:val="70"/>
                  </w:pPr>
                  <w:r>
                    <w:rPr>
                      <w:rFonts w:hint="eastAsia"/>
                    </w:rPr>
                    <w:t>1次/年，1h/次</w:t>
                  </w:r>
                </w:p>
              </w:tc>
              <w:tc>
                <w:tcPr>
                  <w:tcW w:w="1558" w:type="dxa"/>
                  <w:vAlign w:val="center"/>
                </w:tcPr>
                <w:p>
                  <w:pPr>
                    <w:pStyle w:val="70"/>
                  </w:pPr>
                  <w:r>
                    <w:rPr>
                      <w:rFonts w:hint="eastAsia"/>
                    </w:rPr>
                    <w:t>停工检修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pPr>
                    <w:pStyle w:val="70"/>
                  </w:pPr>
                  <w:r>
                    <w:rPr>
                      <w:rFonts w:hint="eastAsia"/>
                    </w:rPr>
                    <w:t>3</w:t>
                  </w:r>
                </w:p>
              </w:tc>
              <w:tc>
                <w:tcPr>
                  <w:tcW w:w="1596" w:type="dxa"/>
                  <w:vAlign w:val="center"/>
                </w:tcPr>
                <w:p>
                  <w:pPr>
                    <w:pStyle w:val="70"/>
                  </w:pPr>
                  <w:r>
                    <w:rPr>
                      <w:rFonts w:hint="eastAsia"/>
                    </w:rPr>
                    <w:t>粉碎工序</w:t>
                  </w:r>
                </w:p>
              </w:tc>
              <w:tc>
                <w:tcPr>
                  <w:tcW w:w="913" w:type="dxa"/>
                  <w:vAlign w:val="center"/>
                </w:tcPr>
                <w:p>
                  <w:pPr>
                    <w:pStyle w:val="70"/>
                  </w:pPr>
                  <w:r>
                    <w:rPr>
                      <w:rFonts w:hint="eastAsia"/>
                    </w:rPr>
                    <w:t>颗粒物</w:t>
                  </w:r>
                </w:p>
              </w:tc>
              <w:tc>
                <w:tcPr>
                  <w:tcW w:w="1037" w:type="dxa"/>
                  <w:vAlign w:val="center"/>
                </w:tcPr>
                <w:p>
                  <w:pPr>
                    <w:pStyle w:val="70"/>
                    <w:rPr>
                      <w:rFonts w:hint="default" w:eastAsia="宋体"/>
                      <w:lang w:val="en-US" w:eastAsia="zh-CN"/>
                    </w:rPr>
                  </w:pPr>
                  <w:r>
                    <w:rPr>
                      <w:rFonts w:hint="eastAsia"/>
                    </w:rPr>
                    <w:t>0.00</w:t>
                  </w:r>
                  <w:r>
                    <w:rPr>
                      <w:rFonts w:hint="eastAsia"/>
                      <w:lang w:val="en-US" w:eastAsia="zh-CN"/>
                    </w:rPr>
                    <w:t>64</w:t>
                  </w:r>
                </w:p>
              </w:tc>
              <w:tc>
                <w:tcPr>
                  <w:tcW w:w="1281" w:type="dxa"/>
                  <w:vAlign w:val="center"/>
                </w:tcPr>
                <w:p>
                  <w:pPr>
                    <w:pStyle w:val="70"/>
                    <w:rPr>
                      <w:rFonts w:hint="default" w:eastAsia="宋体"/>
                      <w:lang w:val="en-US" w:eastAsia="zh-CN"/>
                    </w:rPr>
                  </w:pPr>
                  <w:r>
                    <w:rPr>
                      <w:rFonts w:hint="eastAsia"/>
                      <w:lang w:val="en-US" w:eastAsia="zh-CN"/>
                    </w:rPr>
                    <w:t>93.75</w:t>
                  </w:r>
                </w:p>
              </w:tc>
              <w:tc>
                <w:tcPr>
                  <w:tcW w:w="1473" w:type="dxa"/>
                  <w:vAlign w:val="center"/>
                </w:tcPr>
                <w:p>
                  <w:pPr>
                    <w:pStyle w:val="70"/>
                  </w:pPr>
                  <w:r>
                    <w:rPr>
                      <w:rFonts w:hint="eastAsia"/>
                    </w:rPr>
                    <w:t>1次/年，1h/次</w:t>
                  </w:r>
                </w:p>
              </w:tc>
              <w:tc>
                <w:tcPr>
                  <w:tcW w:w="1558" w:type="dxa"/>
                  <w:vAlign w:val="center"/>
                </w:tcPr>
                <w:p>
                  <w:pPr>
                    <w:pStyle w:val="70"/>
                  </w:pPr>
                  <w:r>
                    <w:rPr>
                      <w:rFonts w:hint="eastAsia"/>
                    </w:rPr>
                    <w:t>停工检修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pPr>
                    <w:pStyle w:val="70"/>
                  </w:pPr>
                  <w:r>
                    <w:rPr>
                      <w:rFonts w:hint="eastAsia"/>
                    </w:rPr>
                    <w:t>4</w:t>
                  </w:r>
                </w:p>
              </w:tc>
              <w:tc>
                <w:tcPr>
                  <w:tcW w:w="1596" w:type="dxa"/>
                  <w:vAlign w:val="center"/>
                </w:tcPr>
                <w:p>
                  <w:pPr>
                    <w:pStyle w:val="70"/>
                  </w:pPr>
                  <w:r>
                    <w:rPr>
                      <w:rFonts w:hint="eastAsia"/>
                    </w:rPr>
                    <w:t>配料混合工序</w:t>
                  </w:r>
                </w:p>
              </w:tc>
              <w:tc>
                <w:tcPr>
                  <w:tcW w:w="913" w:type="dxa"/>
                  <w:vAlign w:val="center"/>
                </w:tcPr>
                <w:p>
                  <w:pPr>
                    <w:pStyle w:val="70"/>
                  </w:pPr>
                  <w:r>
                    <w:rPr>
                      <w:rFonts w:hint="eastAsia"/>
                    </w:rPr>
                    <w:t>颗粒物</w:t>
                  </w:r>
                </w:p>
              </w:tc>
              <w:tc>
                <w:tcPr>
                  <w:tcW w:w="1037" w:type="dxa"/>
                  <w:vAlign w:val="center"/>
                </w:tcPr>
                <w:p>
                  <w:pPr>
                    <w:pStyle w:val="70"/>
                    <w:rPr>
                      <w:rFonts w:hint="default" w:eastAsia="宋体"/>
                      <w:lang w:val="en-US" w:eastAsia="zh-CN"/>
                    </w:rPr>
                  </w:pPr>
                  <w:r>
                    <w:rPr>
                      <w:rFonts w:hint="eastAsia"/>
                      <w:lang w:val="en-US" w:eastAsia="zh-CN"/>
                    </w:rPr>
                    <w:t>0.00267</w:t>
                  </w:r>
                </w:p>
              </w:tc>
              <w:tc>
                <w:tcPr>
                  <w:tcW w:w="1281" w:type="dxa"/>
                  <w:vAlign w:val="center"/>
                </w:tcPr>
                <w:p>
                  <w:pPr>
                    <w:pStyle w:val="70"/>
                    <w:rPr>
                      <w:rFonts w:hint="default" w:eastAsia="宋体"/>
                      <w:lang w:val="en-US" w:eastAsia="zh-CN"/>
                    </w:rPr>
                  </w:pPr>
                  <w:r>
                    <w:rPr>
                      <w:rFonts w:hint="eastAsia"/>
                      <w:lang w:val="en-US" w:eastAsia="zh-CN"/>
                    </w:rPr>
                    <w:t>66.675</w:t>
                  </w:r>
                </w:p>
              </w:tc>
              <w:tc>
                <w:tcPr>
                  <w:tcW w:w="1473" w:type="dxa"/>
                  <w:vAlign w:val="center"/>
                </w:tcPr>
                <w:p>
                  <w:pPr>
                    <w:pStyle w:val="70"/>
                  </w:pPr>
                  <w:r>
                    <w:rPr>
                      <w:rFonts w:hint="eastAsia"/>
                    </w:rPr>
                    <w:t>1次/年，1h/次</w:t>
                  </w:r>
                </w:p>
              </w:tc>
              <w:tc>
                <w:tcPr>
                  <w:tcW w:w="1558" w:type="dxa"/>
                  <w:vAlign w:val="center"/>
                </w:tcPr>
                <w:p>
                  <w:pPr>
                    <w:pStyle w:val="70"/>
                  </w:pPr>
                  <w:r>
                    <w:rPr>
                      <w:rFonts w:hint="eastAsia"/>
                    </w:rPr>
                    <w:t>停工检修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pPr>
                    <w:pStyle w:val="70"/>
                  </w:pPr>
                  <w:r>
                    <w:rPr>
                      <w:rFonts w:hint="eastAsia"/>
                    </w:rPr>
                    <w:t>5</w:t>
                  </w:r>
                </w:p>
              </w:tc>
              <w:tc>
                <w:tcPr>
                  <w:tcW w:w="1596" w:type="dxa"/>
                  <w:vAlign w:val="center"/>
                </w:tcPr>
                <w:p>
                  <w:pPr>
                    <w:pStyle w:val="70"/>
                  </w:pPr>
                  <w:r>
                    <w:rPr>
                      <w:rFonts w:hint="eastAsia"/>
                    </w:rPr>
                    <w:t>制粒冷却工序</w:t>
                  </w:r>
                </w:p>
              </w:tc>
              <w:tc>
                <w:tcPr>
                  <w:tcW w:w="913" w:type="dxa"/>
                  <w:vAlign w:val="center"/>
                </w:tcPr>
                <w:p>
                  <w:pPr>
                    <w:pStyle w:val="70"/>
                  </w:pPr>
                  <w:r>
                    <w:rPr>
                      <w:rFonts w:hint="eastAsia"/>
                    </w:rPr>
                    <w:t>颗粒物</w:t>
                  </w:r>
                </w:p>
              </w:tc>
              <w:tc>
                <w:tcPr>
                  <w:tcW w:w="1037" w:type="dxa"/>
                  <w:vAlign w:val="center"/>
                </w:tcPr>
                <w:p>
                  <w:pPr>
                    <w:pStyle w:val="70"/>
                    <w:rPr>
                      <w:rFonts w:hint="default" w:eastAsia="宋体"/>
                      <w:lang w:val="en-US" w:eastAsia="zh-CN"/>
                    </w:rPr>
                  </w:pPr>
                  <w:r>
                    <w:rPr>
                      <w:rFonts w:hint="eastAsia"/>
                    </w:rPr>
                    <w:t>0.0</w:t>
                  </w:r>
                  <w:r>
                    <w:rPr>
                      <w:rFonts w:hint="eastAsia"/>
                      <w:lang w:val="en-US" w:eastAsia="zh-CN"/>
                    </w:rPr>
                    <w:t>0167</w:t>
                  </w:r>
                </w:p>
              </w:tc>
              <w:tc>
                <w:tcPr>
                  <w:tcW w:w="1281" w:type="dxa"/>
                  <w:vAlign w:val="center"/>
                </w:tcPr>
                <w:p>
                  <w:pPr>
                    <w:pStyle w:val="70"/>
                    <w:rPr>
                      <w:rFonts w:hint="default" w:eastAsia="宋体"/>
                      <w:lang w:val="en-US" w:eastAsia="zh-CN"/>
                    </w:rPr>
                  </w:pPr>
                  <w:r>
                    <w:rPr>
                      <w:rFonts w:hint="eastAsia"/>
                      <w:lang w:val="en-US" w:eastAsia="zh-CN"/>
                    </w:rPr>
                    <w:t>83.35</w:t>
                  </w:r>
                </w:p>
              </w:tc>
              <w:tc>
                <w:tcPr>
                  <w:tcW w:w="1473" w:type="dxa"/>
                  <w:vAlign w:val="center"/>
                </w:tcPr>
                <w:p>
                  <w:pPr>
                    <w:pStyle w:val="70"/>
                  </w:pPr>
                  <w:r>
                    <w:rPr>
                      <w:rFonts w:hint="eastAsia"/>
                    </w:rPr>
                    <w:t>1次/年，1h/次</w:t>
                  </w:r>
                </w:p>
              </w:tc>
              <w:tc>
                <w:tcPr>
                  <w:tcW w:w="1558" w:type="dxa"/>
                  <w:vAlign w:val="center"/>
                </w:tcPr>
                <w:p>
                  <w:pPr>
                    <w:pStyle w:val="70"/>
                  </w:pPr>
                  <w:r>
                    <w:rPr>
                      <w:rFonts w:hint="eastAsia"/>
                    </w:rPr>
                    <w:t>停工检修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pPr>
                    <w:pStyle w:val="70"/>
                  </w:pPr>
                  <w:r>
                    <w:rPr>
                      <w:rFonts w:hint="eastAsia"/>
                    </w:rPr>
                    <w:t>6</w:t>
                  </w:r>
                </w:p>
              </w:tc>
              <w:tc>
                <w:tcPr>
                  <w:tcW w:w="1596" w:type="dxa"/>
                  <w:vAlign w:val="center"/>
                </w:tcPr>
                <w:p>
                  <w:pPr>
                    <w:pStyle w:val="70"/>
                  </w:pPr>
                  <w:r>
                    <w:rPr>
                      <w:rFonts w:hint="eastAsia"/>
                    </w:rPr>
                    <w:t>成品包装</w:t>
                  </w:r>
                </w:p>
              </w:tc>
              <w:tc>
                <w:tcPr>
                  <w:tcW w:w="913" w:type="dxa"/>
                  <w:vAlign w:val="center"/>
                </w:tcPr>
                <w:p>
                  <w:pPr>
                    <w:pStyle w:val="70"/>
                  </w:pPr>
                  <w:r>
                    <w:rPr>
                      <w:rFonts w:hint="eastAsia"/>
                    </w:rPr>
                    <w:t>颗粒物</w:t>
                  </w:r>
                </w:p>
              </w:tc>
              <w:tc>
                <w:tcPr>
                  <w:tcW w:w="1037" w:type="dxa"/>
                  <w:vAlign w:val="center"/>
                </w:tcPr>
                <w:p>
                  <w:pPr>
                    <w:pStyle w:val="70"/>
                    <w:rPr>
                      <w:rFonts w:hint="default" w:eastAsia="宋体"/>
                      <w:lang w:val="en-US" w:eastAsia="zh-CN"/>
                    </w:rPr>
                  </w:pPr>
                  <w:r>
                    <w:rPr>
                      <w:rFonts w:hint="eastAsia"/>
                    </w:rPr>
                    <w:t>0.00</w:t>
                  </w:r>
                  <w:r>
                    <w:rPr>
                      <w:rFonts w:hint="eastAsia"/>
                      <w:lang w:val="en-US" w:eastAsia="zh-CN"/>
                    </w:rPr>
                    <w:t>167</w:t>
                  </w:r>
                </w:p>
              </w:tc>
              <w:tc>
                <w:tcPr>
                  <w:tcW w:w="1281" w:type="dxa"/>
                  <w:vAlign w:val="center"/>
                </w:tcPr>
                <w:p>
                  <w:pPr>
                    <w:pStyle w:val="70"/>
                    <w:rPr>
                      <w:rFonts w:hint="default" w:eastAsia="宋体"/>
                      <w:lang w:val="en-US" w:eastAsia="zh-CN"/>
                    </w:rPr>
                  </w:pPr>
                  <w:r>
                    <w:rPr>
                      <w:rFonts w:hint="eastAsia"/>
                      <w:lang w:val="en-US" w:eastAsia="zh-CN"/>
                    </w:rPr>
                    <w:t>500</w:t>
                  </w:r>
                </w:p>
              </w:tc>
              <w:tc>
                <w:tcPr>
                  <w:tcW w:w="1473" w:type="dxa"/>
                  <w:vAlign w:val="center"/>
                </w:tcPr>
                <w:p>
                  <w:pPr>
                    <w:pStyle w:val="70"/>
                  </w:pPr>
                  <w:r>
                    <w:rPr>
                      <w:rFonts w:hint="eastAsia"/>
                    </w:rPr>
                    <w:t>1次/年，1h/次</w:t>
                  </w:r>
                </w:p>
              </w:tc>
              <w:tc>
                <w:tcPr>
                  <w:tcW w:w="1558" w:type="dxa"/>
                  <w:shd w:val="clear" w:color="auto" w:fill="auto"/>
                  <w:vAlign w:val="center"/>
                </w:tcPr>
                <w:p>
                  <w:pPr>
                    <w:pStyle w:val="70"/>
                  </w:pPr>
                  <w:r>
                    <w:rPr>
                      <w:rFonts w:hint="eastAsia"/>
                    </w:rPr>
                    <w:t>停工检修</w:t>
                  </w:r>
                </w:p>
              </w:tc>
            </w:tr>
          </w:tbl>
          <w:p>
            <w:pPr>
              <w:pStyle w:val="24"/>
              <w:ind w:firstLine="482"/>
            </w:pPr>
            <w:r>
              <w:t>4.2.2水环境影响</w:t>
            </w:r>
            <w:bookmarkEnd w:id="16"/>
            <w:bookmarkEnd w:id="17"/>
            <w:bookmarkEnd w:id="18"/>
            <w:bookmarkEnd w:id="19"/>
            <w:bookmarkEnd w:id="20"/>
            <w:bookmarkEnd w:id="21"/>
            <w:bookmarkEnd w:id="22"/>
            <w:bookmarkEnd w:id="23"/>
            <w:r>
              <w:t>分析</w:t>
            </w:r>
          </w:p>
          <w:p>
            <w:pPr>
              <w:pStyle w:val="24"/>
              <w:ind w:firstLine="482"/>
            </w:pPr>
            <w:r>
              <w:t>（1）生产废水</w:t>
            </w:r>
          </w:p>
          <w:p>
            <w:pPr>
              <w:ind w:firstLine="480"/>
            </w:pPr>
            <w:r>
              <w:rPr>
                <w:rFonts w:hint="eastAsia"/>
              </w:rPr>
              <w:t>项目生产线无废水产生，主要废水产生环节为软水制备系统排水和</w:t>
            </w:r>
            <w:r>
              <w:rPr>
                <w:rFonts w:hint="eastAsia"/>
                <w:lang w:eastAsia="zh-CN"/>
              </w:rPr>
              <w:t>锅炉废水</w:t>
            </w:r>
            <w:r>
              <w:rPr>
                <w:rFonts w:hint="eastAsia"/>
              </w:rPr>
              <w:t>。</w:t>
            </w:r>
            <w:r>
              <w:rPr>
                <w:rFonts w:hint="eastAsia"/>
                <w:bCs/>
              </w:rPr>
              <w:t>软水制备采用离子交换树脂，软水制备设备排水18m</w:t>
            </w:r>
            <w:r>
              <w:rPr>
                <w:bCs/>
                <w:vertAlign w:val="superscript"/>
              </w:rPr>
              <w:t>3</w:t>
            </w:r>
            <w:r>
              <w:rPr>
                <w:bCs/>
              </w:rPr>
              <w:t>/</w:t>
            </w:r>
            <w:r>
              <w:rPr>
                <w:rFonts w:hint="eastAsia"/>
                <w:bCs/>
              </w:rPr>
              <w:t>d和</w:t>
            </w:r>
            <w:r>
              <w:rPr>
                <w:rFonts w:hint="eastAsia"/>
                <w:bCs/>
                <w:lang w:eastAsia="zh-CN"/>
              </w:rPr>
              <w:t>锅炉废水</w:t>
            </w:r>
            <w:r>
              <w:rPr>
                <w:rFonts w:hint="eastAsia"/>
                <w:bCs/>
              </w:rPr>
              <w:t>0.072m</w:t>
            </w:r>
            <w:r>
              <w:rPr>
                <w:bCs/>
                <w:vertAlign w:val="superscript"/>
              </w:rPr>
              <w:t>3</w:t>
            </w:r>
            <w:r>
              <w:rPr>
                <w:bCs/>
              </w:rPr>
              <w:t>/</w:t>
            </w:r>
            <w:r>
              <w:rPr>
                <w:rFonts w:hint="eastAsia"/>
                <w:bCs/>
              </w:rPr>
              <w:t>d，排入园区污水管网。</w:t>
            </w:r>
          </w:p>
          <w:p>
            <w:pPr>
              <w:pStyle w:val="24"/>
              <w:ind w:firstLine="482"/>
            </w:pPr>
            <w:r>
              <w:t>（2）生活废水</w:t>
            </w:r>
          </w:p>
          <w:p>
            <w:pPr>
              <w:ind w:firstLine="480"/>
            </w:pPr>
            <w:r>
              <w:t>项目劳动定员</w:t>
            </w:r>
            <w:r>
              <w:rPr>
                <w:rFonts w:hint="eastAsia"/>
              </w:rPr>
              <w:t>100</w:t>
            </w:r>
            <w:r>
              <w:t>人，根据用水定额每人每天</w:t>
            </w:r>
            <w:r>
              <w:rPr>
                <w:rFonts w:hint="eastAsia"/>
              </w:rPr>
              <w:t>20</w:t>
            </w:r>
            <w:r>
              <w:t>L，则生活用水为</w:t>
            </w:r>
            <w:r>
              <w:rPr>
                <w:rFonts w:hint="eastAsia"/>
              </w:rPr>
              <w:t>2</w:t>
            </w:r>
            <w:r>
              <w:t>m</w:t>
            </w:r>
            <w:r>
              <w:rPr>
                <w:vertAlign w:val="superscript"/>
              </w:rPr>
              <w:t>3/</w:t>
            </w:r>
            <w:r>
              <w:t>d，</w:t>
            </w:r>
            <w:r>
              <w:rPr>
                <w:rFonts w:hint="eastAsia"/>
                <w:lang w:val="en-US" w:eastAsia="zh-CN"/>
              </w:rPr>
              <w:t>600</w:t>
            </w:r>
            <w:r>
              <w:t>m</w:t>
            </w:r>
            <w:r>
              <w:rPr>
                <w:vertAlign w:val="superscript"/>
              </w:rPr>
              <w:t>3</w:t>
            </w:r>
            <w:r>
              <w:t>/a，生活污水占80%，则生活污水排放量为</w:t>
            </w:r>
            <w:r>
              <w:rPr>
                <w:rFonts w:hint="eastAsia"/>
              </w:rPr>
              <w:t>1.6</w:t>
            </w:r>
            <w:r>
              <w:t>m</w:t>
            </w:r>
            <w:r>
              <w:rPr>
                <w:vertAlign w:val="superscript"/>
              </w:rPr>
              <w:t>3</w:t>
            </w:r>
            <w:r>
              <w:t>/d，</w:t>
            </w:r>
            <w:r>
              <w:rPr>
                <w:rFonts w:hint="eastAsia"/>
                <w:lang w:val="en-US" w:eastAsia="zh-CN"/>
              </w:rPr>
              <w:t>480</w:t>
            </w:r>
            <w:r>
              <w:t>m</w:t>
            </w:r>
            <w:r>
              <w:rPr>
                <w:vertAlign w:val="superscript"/>
              </w:rPr>
              <w:t>3</w:t>
            </w:r>
            <w:r>
              <w:t>/a。经类比调查，化粪池的处理效率为COD：10%、SS：25%、BOD</w:t>
            </w:r>
            <w:r>
              <w:rPr>
                <w:vertAlign w:val="subscript"/>
              </w:rPr>
              <w:t>5</w:t>
            </w:r>
            <w:r>
              <w:t>：9%、NH</w:t>
            </w:r>
            <w:r>
              <w:rPr>
                <w:vertAlign w:val="subscript"/>
              </w:rPr>
              <w:t>3</w:t>
            </w:r>
            <w:r>
              <w:t>-N：3%左右。项目生活污水产排情况见表4-6</w:t>
            </w:r>
            <w:r>
              <w:rPr>
                <w:rFonts w:hint="eastAsia"/>
              </w:rPr>
              <w:t>。</w:t>
            </w:r>
          </w:p>
          <w:p>
            <w:pPr>
              <w:pStyle w:val="65"/>
            </w:pPr>
            <w:r>
              <w:t>表</w:t>
            </w:r>
            <w:r>
              <w:rPr>
                <w:rFonts w:hint="eastAsia"/>
              </w:rPr>
              <w:t>4.2-7</w:t>
            </w:r>
            <w:r>
              <w:t xml:space="preserve">   项目生活污水排放情况</w:t>
            </w:r>
          </w:p>
          <w:tbl>
            <w:tblPr>
              <w:tblStyle w:val="27"/>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886"/>
              <w:gridCol w:w="1056"/>
              <w:gridCol w:w="903"/>
              <w:gridCol w:w="1208"/>
              <w:gridCol w:w="827"/>
              <w:gridCol w:w="990"/>
              <w:gridCol w:w="90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1" w:type="dxa"/>
                  <w:vMerge w:val="restart"/>
                  <w:vAlign w:val="center"/>
                </w:tcPr>
                <w:p>
                  <w:pPr>
                    <w:pStyle w:val="70"/>
                  </w:pPr>
                  <w:r>
                    <w:t>污染源</w:t>
                  </w:r>
                </w:p>
              </w:tc>
              <w:tc>
                <w:tcPr>
                  <w:tcW w:w="886" w:type="dxa"/>
                  <w:vMerge w:val="restart"/>
                  <w:vAlign w:val="center"/>
                </w:tcPr>
                <w:p>
                  <w:pPr>
                    <w:pStyle w:val="70"/>
                  </w:pPr>
                  <w:r>
                    <w:t>污染物</w:t>
                  </w:r>
                </w:p>
              </w:tc>
              <w:tc>
                <w:tcPr>
                  <w:tcW w:w="1959" w:type="dxa"/>
                  <w:gridSpan w:val="2"/>
                  <w:vAlign w:val="center"/>
                </w:tcPr>
                <w:p>
                  <w:pPr>
                    <w:pStyle w:val="70"/>
                  </w:pPr>
                  <w:r>
                    <w:t>进水</w:t>
                  </w:r>
                </w:p>
              </w:tc>
              <w:tc>
                <w:tcPr>
                  <w:tcW w:w="1208" w:type="dxa"/>
                  <w:vMerge w:val="restart"/>
                  <w:vAlign w:val="center"/>
                </w:tcPr>
                <w:p>
                  <w:pPr>
                    <w:pStyle w:val="70"/>
                  </w:pPr>
                  <w:r>
                    <w:t>治理措施</w:t>
                  </w:r>
                </w:p>
              </w:tc>
              <w:tc>
                <w:tcPr>
                  <w:tcW w:w="827" w:type="dxa"/>
                  <w:vMerge w:val="restart"/>
                  <w:vAlign w:val="center"/>
                </w:tcPr>
                <w:p>
                  <w:pPr>
                    <w:pStyle w:val="70"/>
                  </w:pPr>
                  <w:r>
                    <w:t>去除</w:t>
                  </w:r>
                </w:p>
                <w:p>
                  <w:pPr>
                    <w:pStyle w:val="70"/>
                  </w:pPr>
                  <w:r>
                    <w:t>效率（%）</w:t>
                  </w:r>
                </w:p>
              </w:tc>
              <w:tc>
                <w:tcPr>
                  <w:tcW w:w="1890" w:type="dxa"/>
                  <w:gridSpan w:val="2"/>
                  <w:vAlign w:val="center"/>
                </w:tcPr>
                <w:p>
                  <w:pPr>
                    <w:pStyle w:val="70"/>
                  </w:pPr>
                  <w:r>
                    <w:t>排放</w:t>
                  </w:r>
                </w:p>
              </w:tc>
              <w:tc>
                <w:tcPr>
                  <w:tcW w:w="936" w:type="dxa"/>
                  <w:vMerge w:val="restart"/>
                  <w:vAlign w:val="center"/>
                </w:tcPr>
                <w:p>
                  <w:pPr>
                    <w:pStyle w:val="70"/>
                  </w:pPr>
                  <w: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31" w:type="dxa"/>
                  <w:vMerge w:val="continue"/>
                  <w:vAlign w:val="center"/>
                </w:tcPr>
                <w:p>
                  <w:pPr>
                    <w:pStyle w:val="70"/>
                  </w:pPr>
                </w:p>
              </w:tc>
              <w:tc>
                <w:tcPr>
                  <w:tcW w:w="886" w:type="dxa"/>
                  <w:vMerge w:val="continue"/>
                  <w:vAlign w:val="center"/>
                </w:tcPr>
                <w:p>
                  <w:pPr>
                    <w:pStyle w:val="70"/>
                  </w:pPr>
                </w:p>
              </w:tc>
              <w:tc>
                <w:tcPr>
                  <w:tcW w:w="1056" w:type="dxa"/>
                  <w:vAlign w:val="center"/>
                </w:tcPr>
                <w:p>
                  <w:pPr>
                    <w:pStyle w:val="70"/>
                  </w:pPr>
                  <w:r>
                    <w:t>浓度（mg/L）</w:t>
                  </w:r>
                </w:p>
              </w:tc>
              <w:tc>
                <w:tcPr>
                  <w:tcW w:w="903" w:type="dxa"/>
                  <w:vAlign w:val="center"/>
                </w:tcPr>
                <w:p>
                  <w:pPr>
                    <w:pStyle w:val="70"/>
                  </w:pPr>
                  <w:r>
                    <w:t>产生量（t/a）</w:t>
                  </w:r>
                </w:p>
              </w:tc>
              <w:tc>
                <w:tcPr>
                  <w:tcW w:w="1208" w:type="dxa"/>
                  <w:vMerge w:val="continue"/>
                  <w:vAlign w:val="center"/>
                </w:tcPr>
                <w:p>
                  <w:pPr>
                    <w:pStyle w:val="70"/>
                  </w:pPr>
                </w:p>
              </w:tc>
              <w:tc>
                <w:tcPr>
                  <w:tcW w:w="827" w:type="dxa"/>
                  <w:vMerge w:val="continue"/>
                  <w:vAlign w:val="center"/>
                </w:tcPr>
                <w:p>
                  <w:pPr>
                    <w:pStyle w:val="70"/>
                  </w:pPr>
                </w:p>
              </w:tc>
              <w:tc>
                <w:tcPr>
                  <w:tcW w:w="990" w:type="dxa"/>
                  <w:vAlign w:val="center"/>
                </w:tcPr>
                <w:p>
                  <w:pPr>
                    <w:pStyle w:val="70"/>
                  </w:pPr>
                  <w:r>
                    <w:t>浓度（mg/L）</w:t>
                  </w:r>
                </w:p>
              </w:tc>
              <w:tc>
                <w:tcPr>
                  <w:tcW w:w="900" w:type="dxa"/>
                  <w:vAlign w:val="center"/>
                </w:tcPr>
                <w:p>
                  <w:pPr>
                    <w:pStyle w:val="70"/>
                  </w:pPr>
                  <w:r>
                    <w:t>排放量（t/a）</w:t>
                  </w:r>
                </w:p>
              </w:tc>
              <w:tc>
                <w:tcPr>
                  <w:tcW w:w="936"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1" w:type="dxa"/>
                  <w:vMerge w:val="restart"/>
                  <w:vAlign w:val="center"/>
                </w:tcPr>
                <w:p>
                  <w:pPr>
                    <w:pStyle w:val="70"/>
                  </w:pPr>
                  <w:r>
                    <w:t>生活污水</w:t>
                  </w:r>
                </w:p>
              </w:tc>
              <w:tc>
                <w:tcPr>
                  <w:tcW w:w="886" w:type="dxa"/>
                  <w:vAlign w:val="center"/>
                </w:tcPr>
                <w:p>
                  <w:pPr>
                    <w:pStyle w:val="70"/>
                  </w:pPr>
                  <w:r>
                    <w:t>污水</w:t>
                  </w:r>
                </w:p>
              </w:tc>
              <w:tc>
                <w:tcPr>
                  <w:tcW w:w="1056" w:type="dxa"/>
                  <w:vAlign w:val="center"/>
                </w:tcPr>
                <w:p>
                  <w:pPr>
                    <w:pStyle w:val="70"/>
                  </w:pPr>
                  <w:r>
                    <w:t>—</w:t>
                  </w:r>
                </w:p>
              </w:tc>
              <w:tc>
                <w:tcPr>
                  <w:tcW w:w="903" w:type="dxa"/>
                  <w:vAlign w:val="center"/>
                </w:tcPr>
                <w:p>
                  <w:pPr>
                    <w:pStyle w:val="70"/>
                    <w:rPr>
                      <w:rFonts w:hint="default" w:eastAsia="宋体"/>
                      <w:lang w:val="en-US" w:eastAsia="zh-CN"/>
                    </w:rPr>
                  </w:pPr>
                  <w:r>
                    <w:rPr>
                      <w:rFonts w:hint="eastAsia"/>
                      <w:lang w:val="en-US" w:eastAsia="zh-CN"/>
                    </w:rPr>
                    <w:t>480</w:t>
                  </w:r>
                </w:p>
              </w:tc>
              <w:tc>
                <w:tcPr>
                  <w:tcW w:w="1208" w:type="dxa"/>
                  <w:vMerge w:val="restart"/>
                  <w:vAlign w:val="center"/>
                </w:tcPr>
                <w:p>
                  <w:pPr>
                    <w:pStyle w:val="70"/>
                  </w:pPr>
                  <w:r>
                    <w:rPr>
                      <w:rFonts w:hint="eastAsia"/>
                      <w:lang w:val="en-US" w:eastAsia="zh-CN"/>
                    </w:rPr>
                    <w:t>隔油池+</w:t>
                  </w:r>
                  <w:r>
                    <w:t>化粪池预处理</w:t>
                  </w:r>
                </w:p>
              </w:tc>
              <w:tc>
                <w:tcPr>
                  <w:tcW w:w="827" w:type="dxa"/>
                  <w:vAlign w:val="center"/>
                </w:tcPr>
                <w:p>
                  <w:pPr>
                    <w:pStyle w:val="70"/>
                  </w:pPr>
                  <w:r>
                    <w:t>--</w:t>
                  </w:r>
                </w:p>
              </w:tc>
              <w:tc>
                <w:tcPr>
                  <w:tcW w:w="990" w:type="dxa"/>
                  <w:vAlign w:val="center"/>
                </w:tcPr>
                <w:p>
                  <w:pPr>
                    <w:pStyle w:val="70"/>
                  </w:pPr>
                  <w:r>
                    <w:t>—</w:t>
                  </w:r>
                </w:p>
              </w:tc>
              <w:tc>
                <w:tcPr>
                  <w:tcW w:w="900" w:type="dxa"/>
                  <w:vAlign w:val="center"/>
                </w:tcPr>
                <w:p>
                  <w:pPr>
                    <w:pStyle w:val="70"/>
                    <w:rPr>
                      <w:rFonts w:hint="default" w:eastAsia="宋体"/>
                      <w:lang w:val="en-US" w:eastAsia="zh-CN"/>
                    </w:rPr>
                  </w:pPr>
                  <w:r>
                    <w:rPr>
                      <w:rFonts w:hint="eastAsia"/>
                      <w:lang w:val="en-US" w:eastAsia="zh-CN"/>
                    </w:rPr>
                    <w:t>480</w:t>
                  </w:r>
                </w:p>
              </w:tc>
              <w:tc>
                <w:tcPr>
                  <w:tcW w:w="936" w:type="dxa"/>
                  <w:vMerge w:val="restart"/>
                  <w:vAlign w:val="center"/>
                </w:tcPr>
                <w:p>
                  <w:pPr>
                    <w:pStyle w:val="70"/>
                  </w:pPr>
                  <w: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1" w:type="dxa"/>
                  <w:vMerge w:val="continue"/>
                  <w:vAlign w:val="center"/>
                </w:tcPr>
                <w:p>
                  <w:pPr>
                    <w:pStyle w:val="70"/>
                  </w:pPr>
                </w:p>
              </w:tc>
              <w:tc>
                <w:tcPr>
                  <w:tcW w:w="886" w:type="dxa"/>
                  <w:vAlign w:val="center"/>
                </w:tcPr>
                <w:p>
                  <w:pPr>
                    <w:pStyle w:val="70"/>
                  </w:pPr>
                  <w:r>
                    <w:t>COD</w:t>
                  </w:r>
                </w:p>
              </w:tc>
              <w:tc>
                <w:tcPr>
                  <w:tcW w:w="1056" w:type="dxa"/>
                  <w:vAlign w:val="center"/>
                </w:tcPr>
                <w:p>
                  <w:pPr>
                    <w:pStyle w:val="70"/>
                  </w:pPr>
                  <w:r>
                    <w:t>400</w:t>
                  </w:r>
                </w:p>
              </w:tc>
              <w:tc>
                <w:tcPr>
                  <w:tcW w:w="903" w:type="dxa"/>
                  <w:vAlign w:val="center"/>
                </w:tcPr>
                <w:p>
                  <w:pPr>
                    <w:pStyle w:val="70"/>
                    <w:rPr>
                      <w:rFonts w:hint="default" w:eastAsia="宋体"/>
                      <w:lang w:val="en-US" w:eastAsia="zh-CN"/>
                    </w:rPr>
                  </w:pPr>
                  <w:r>
                    <w:rPr>
                      <w:rFonts w:hint="eastAsia"/>
                    </w:rPr>
                    <w:t>0.</w:t>
                  </w:r>
                  <w:r>
                    <w:rPr>
                      <w:rFonts w:hint="eastAsia"/>
                      <w:lang w:val="en-US" w:eastAsia="zh-CN"/>
                    </w:rPr>
                    <w:t>192</w:t>
                  </w:r>
                </w:p>
              </w:tc>
              <w:tc>
                <w:tcPr>
                  <w:tcW w:w="1208" w:type="dxa"/>
                  <w:vMerge w:val="continue"/>
                  <w:vAlign w:val="center"/>
                </w:tcPr>
                <w:p>
                  <w:pPr>
                    <w:pStyle w:val="70"/>
                  </w:pPr>
                </w:p>
              </w:tc>
              <w:tc>
                <w:tcPr>
                  <w:tcW w:w="827" w:type="dxa"/>
                  <w:vAlign w:val="center"/>
                </w:tcPr>
                <w:p>
                  <w:pPr>
                    <w:pStyle w:val="70"/>
                  </w:pPr>
                  <w:r>
                    <w:t>10</w:t>
                  </w:r>
                </w:p>
              </w:tc>
              <w:tc>
                <w:tcPr>
                  <w:tcW w:w="990" w:type="dxa"/>
                  <w:vAlign w:val="center"/>
                </w:tcPr>
                <w:p>
                  <w:pPr>
                    <w:pStyle w:val="70"/>
                  </w:pPr>
                  <w:r>
                    <w:t>360</w:t>
                  </w:r>
                </w:p>
              </w:tc>
              <w:tc>
                <w:tcPr>
                  <w:tcW w:w="900" w:type="dxa"/>
                  <w:vAlign w:val="center"/>
                </w:tcPr>
                <w:p>
                  <w:pPr>
                    <w:pStyle w:val="70"/>
                    <w:rPr>
                      <w:rFonts w:hint="default" w:eastAsia="宋体"/>
                      <w:lang w:val="en-US" w:eastAsia="zh-CN"/>
                    </w:rPr>
                  </w:pPr>
                  <w:r>
                    <w:rPr>
                      <w:rFonts w:hint="eastAsia"/>
                    </w:rPr>
                    <w:t>0.</w:t>
                  </w:r>
                  <w:r>
                    <w:rPr>
                      <w:rFonts w:hint="eastAsia"/>
                      <w:lang w:val="en-US" w:eastAsia="zh-CN"/>
                    </w:rPr>
                    <w:t>173</w:t>
                  </w:r>
                </w:p>
              </w:tc>
              <w:tc>
                <w:tcPr>
                  <w:tcW w:w="936"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31" w:type="dxa"/>
                  <w:vMerge w:val="continue"/>
                  <w:vAlign w:val="center"/>
                </w:tcPr>
                <w:p>
                  <w:pPr>
                    <w:pStyle w:val="70"/>
                  </w:pPr>
                </w:p>
              </w:tc>
              <w:tc>
                <w:tcPr>
                  <w:tcW w:w="886" w:type="dxa"/>
                  <w:vAlign w:val="center"/>
                </w:tcPr>
                <w:p>
                  <w:pPr>
                    <w:pStyle w:val="70"/>
                  </w:pPr>
                  <w:r>
                    <w:t>BOD</w:t>
                  </w:r>
                  <w:r>
                    <w:rPr>
                      <w:vertAlign w:val="subscript"/>
                    </w:rPr>
                    <w:t>5</w:t>
                  </w:r>
                </w:p>
              </w:tc>
              <w:tc>
                <w:tcPr>
                  <w:tcW w:w="1056" w:type="dxa"/>
                  <w:vAlign w:val="center"/>
                </w:tcPr>
                <w:p>
                  <w:pPr>
                    <w:pStyle w:val="70"/>
                  </w:pPr>
                  <w:r>
                    <w:t>300</w:t>
                  </w:r>
                </w:p>
              </w:tc>
              <w:tc>
                <w:tcPr>
                  <w:tcW w:w="903" w:type="dxa"/>
                  <w:vAlign w:val="center"/>
                </w:tcPr>
                <w:p>
                  <w:pPr>
                    <w:pStyle w:val="70"/>
                    <w:rPr>
                      <w:rFonts w:hint="default" w:eastAsia="宋体"/>
                      <w:lang w:val="en-US" w:eastAsia="zh-CN"/>
                    </w:rPr>
                  </w:pPr>
                  <w:r>
                    <w:t>0.</w:t>
                  </w:r>
                  <w:r>
                    <w:rPr>
                      <w:rFonts w:hint="eastAsia"/>
                      <w:lang w:val="en-US" w:eastAsia="zh-CN"/>
                    </w:rPr>
                    <w:t>144</w:t>
                  </w:r>
                </w:p>
              </w:tc>
              <w:tc>
                <w:tcPr>
                  <w:tcW w:w="1208" w:type="dxa"/>
                  <w:vMerge w:val="continue"/>
                  <w:vAlign w:val="center"/>
                </w:tcPr>
                <w:p>
                  <w:pPr>
                    <w:pStyle w:val="70"/>
                  </w:pPr>
                </w:p>
              </w:tc>
              <w:tc>
                <w:tcPr>
                  <w:tcW w:w="827" w:type="dxa"/>
                  <w:vAlign w:val="center"/>
                </w:tcPr>
                <w:p>
                  <w:pPr>
                    <w:pStyle w:val="70"/>
                  </w:pPr>
                  <w:r>
                    <w:t>9</w:t>
                  </w:r>
                </w:p>
              </w:tc>
              <w:tc>
                <w:tcPr>
                  <w:tcW w:w="990" w:type="dxa"/>
                  <w:vAlign w:val="center"/>
                </w:tcPr>
                <w:p>
                  <w:pPr>
                    <w:pStyle w:val="70"/>
                  </w:pPr>
                  <w:r>
                    <w:t>273</w:t>
                  </w:r>
                </w:p>
              </w:tc>
              <w:tc>
                <w:tcPr>
                  <w:tcW w:w="900" w:type="dxa"/>
                  <w:vAlign w:val="center"/>
                </w:tcPr>
                <w:p>
                  <w:pPr>
                    <w:pStyle w:val="70"/>
                    <w:rPr>
                      <w:rFonts w:hint="default" w:eastAsia="宋体"/>
                      <w:lang w:val="en-US" w:eastAsia="zh-CN"/>
                    </w:rPr>
                  </w:pPr>
                  <w:r>
                    <w:rPr>
                      <w:rFonts w:hint="eastAsia"/>
                    </w:rPr>
                    <w:t>0.</w:t>
                  </w:r>
                  <w:r>
                    <w:rPr>
                      <w:rFonts w:hint="eastAsia"/>
                      <w:lang w:val="en-US" w:eastAsia="zh-CN"/>
                    </w:rPr>
                    <w:t>131</w:t>
                  </w:r>
                </w:p>
              </w:tc>
              <w:tc>
                <w:tcPr>
                  <w:tcW w:w="936"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1" w:type="dxa"/>
                  <w:vMerge w:val="continue"/>
                  <w:vAlign w:val="center"/>
                </w:tcPr>
                <w:p>
                  <w:pPr>
                    <w:pStyle w:val="70"/>
                  </w:pPr>
                </w:p>
              </w:tc>
              <w:tc>
                <w:tcPr>
                  <w:tcW w:w="886" w:type="dxa"/>
                  <w:vAlign w:val="center"/>
                </w:tcPr>
                <w:p>
                  <w:pPr>
                    <w:pStyle w:val="70"/>
                  </w:pPr>
                  <w:r>
                    <w:t>SS</w:t>
                  </w:r>
                </w:p>
              </w:tc>
              <w:tc>
                <w:tcPr>
                  <w:tcW w:w="1056" w:type="dxa"/>
                  <w:vAlign w:val="center"/>
                </w:tcPr>
                <w:p>
                  <w:pPr>
                    <w:pStyle w:val="70"/>
                  </w:pPr>
                  <w:r>
                    <w:t>250</w:t>
                  </w:r>
                </w:p>
              </w:tc>
              <w:tc>
                <w:tcPr>
                  <w:tcW w:w="903" w:type="dxa"/>
                  <w:vAlign w:val="center"/>
                </w:tcPr>
                <w:p>
                  <w:pPr>
                    <w:pStyle w:val="70"/>
                    <w:rPr>
                      <w:rFonts w:hint="default" w:eastAsia="宋体"/>
                      <w:lang w:val="en-US" w:eastAsia="zh-CN"/>
                    </w:rPr>
                  </w:pPr>
                  <w:r>
                    <w:rPr>
                      <w:rFonts w:hint="eastAsia"/>
                    </w:rPr>
                    <w:t>0.</w:t>
                  </w:r>
                  <w:r>
                    <w:rPr>
                      <w:rFonts w:hint="eastAsia"/>
                      <w:lang w:val="en-US" w:eastAsia="zh-CN"/>
                    </w:rPr>
                    <w:t>12</w:t>
                  </w:r>
                </w:p>
              </w:tc>
              <w:tc>
                <w:tcPr>
                  <w:tcW w:w="1208" w:type="dxa"/>
                  <w:vMerge w:val="continue"/>
                  <w:vAlign w:val="center"/>
                </w:tcPr>
                <w:p>
                  <w:pPr>
                    <w:pStyle w:val="70"/>
                  </w:pPr>
                </w:p>
              </w:tc>
              <w:tc>
                <w:tcPr>
                  <w:tcW w:w="827" w:type="dxa"/>
                  <w:vAlign w:val="center"/>
                </w:tcPr>
                <w:p>
                  <w:pPr>
                    <w:pStyle w:val="70"/>
                  </w:pPr>
                  <w:r>
                    <w:t>25</w:t>
                  </w:r>
                </w:p>
              </w:tc>
              <w:tc>
                <w:tcPr>
                  <w:tcW w:w="990" w:type="dxa"/>
                  <w:vAlign w:val="center"/>
                </w:tcPr>
                <w:p>
                  <w:pPr>
                    <w:pStyle w:val="70"/>
                  </w:pPr>
                  <w:r>
                    <w:t>187.5</w:t>
                  </w:r>
                </w:p>
              </w:tc>
              <w:tc>
                <w:tcPr>
                  <w:tcW w:w="900" w:type="dxa"/>
                  <w:vAlign w:val="center"/>
                </w:tcPr>
                <w:p>
                  <w:pPr>
                    <w:pStyle w:val="70"/>
                    <w:rPr>
                      <w:rFonts w:hint="default" w:eastAsia="宋体"/>
                      <w:lang w:val="en-US" w:eastAsia="zh-CN"/>
                    </w:rPr>
                  </w:pPr>
                  <w:r>
                    <w:rPr>
                      <w:rFonts w:hint="eastAsia"/>
                    </w:rPr>
                    <w:t>0.</w:t>
                  </w:r>
                  <w:r>
                    <w:rPr>
                      <w:rFonts w:hint="eastAsia"/>
                      <w:lang w:val="en-US" w:eastAsia="zh-CN"/>
                    </w:rPr>
                    <w:t>090</w:t>
                  </w:r>
                </w:p>
              </w:tc>
              <w:tc>
                <w:tcPr>
                  <w:tcW w:w="936"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31" w:type="dxa"/>
                  <w:vMerge w:val="continue"/>
                  <w:vAlign w:val="center"/>
                </w:tcPr>
                <w:p>
                  <w:pPr>
                    <w:pStyle w:val="70"/>
                  </w:pPr>
                </w:p>
              </w:tc>
              <w:tc>
                <w:tcPr>
                  <w:tcW w:w="886" w:type="dxa"/>
                  <w:vAlign w:val="center"/>
                </w:tcPr>
                <w:p>
                  <w:pPr>
                    <w:pStyle w:val="70"/>
                  </w:pPr>
                  <w:r>
                    <w:t>NH</w:t>
                  </w:r>
                  <w:r>
                    <w:rPr>
                      <w:vertAlign w:val="subscript"/>
                    </w:rPr>
                    <w:t>3</w:t>
                  </w:r>
                  <w:r>
                    <w:t>-N</w:t>
                  </w:r>
                </w:p>
              </w:tc>
              <w:tc>
                <w:tcPr>
                  <w:tcW w:w="1056" w:type="dxa"/>
                  <w:vAlign w:val="center"/>
                </w:tcPr>
                <w:p>
                  <w:pPr>
                    <w:pStyle w:val="70"/>
                  </w:pPr>
                  <w:r>
                    <w:t>30</w:t>
                  </w:r>
                </w:p>
              </w:tc>
              <w:tc>
                <w:tcPr>
                  <w:tcW w:w="903" w:type="dxa"/>
                  <w:vAlign w:val="center"/>
                </w:tcPr>
                <w:p>
                  <w:pPr>
                    <w:pStyle w:val="70"/>
                    <w:rPr>
                      <w:rFonts w:hint="default" w:eastAsia="宋体"/>
                      <w:lang w:val="en-US" w:eastAsia="zh-CN"/>
                    </w:rPr>
                  </w:pPr>
                  <w:r>
                    <w:rPr>
                      <w:rFonts w:hint="eastAsia"/>
                    </w:rPr>
                    <w:t>0.0</w:t>
                  </w:r>
                  <w:r>
                    <w:rPr>
                      <w:rFonts w:hint="eastAsia"/>
                      <w:lang w:val="en-US" w:eastAsia="zh-CN"/>
                    </w:rPr>
                    <w:t>144</w:t>
                  </w:r>
                </w:p>
              </w:tc>
              <w:tc>
                <w:tcPr>
                  <w:tcW w:w="1208" w:type="dxa"/>
                  <w:vMerge w:val="continue"/>
                  <w:vAlign w:val="center"/>
                </w:tcPr>
                <w:p>
                  <w:pPr>
                    <w:pStyle w:val="70"/>
                  </w:pPr>
                </w:p>
              </w:tc>
              <w:tc>
                <w:tcPr>
                  <w:tcW w:w="827" w:type="dxa"/>
                  <w:vAlign w:val="center"/>
                </w:tcPr>
                <w:p>
                  <w:pPr>
                    <w:pStyle w:val="70"/>
                  </w:pPr>
                  <w:r>
                    <w:t>3</w:t>
                  </w:r>
                </w:p>
              </w:tc>
              <w:tc>
                <w:tcPr>
                  <w:tcW w:w="990" w:type="dxa"/>
                  <w:vAlign w:val="center"/>
                </w:tcPr>
                <w:p>
                  <w:pPr>
                    <w:pStyle w:val="70"/>
                  </w:pPr>
                  <w:r>
                    <w:t>29.1</w:t>
                  </w:r>
                </w:p>
              </w:tc>
              <w:tc>
                <w:tcPr>
                  <w:tcW w:w="900" w:type="dxa"/>
                  <w:vAlign w:val="center"/>
                </w:tcPr>
                <w:p>
                  <w:pPr>
                    <w:pStyle w:val="70"/>
                    <w:rPr>
                      <w:rFonts w:hint="eastAsia" w:eastAsia="宋体"/>
                      <w:lang w:eastAsia="zh-CN"/>
                    </w:rPr>
                  </w:pPr>
                  <w:r>
                    <w:rPr>
                      <w:rFonts w:hint="eastAsia"/>
                    </w:rPr>
                    <w:t>0.01</w:t>
                  </w:r>
                  <w:r>
                    <w:rPr>
                      <w:rFonts w:hint="eastAsia"/>
                      <w:lang w:val="en-US" w:eastAsia="zh-CN"/>
                    </w:rPr>
                    <w:t>4</w:t>
                  </w:r>
                </w:p>
              </w:tc>
              <w:tc>
                <w:tcPr>
                  <w:tcW w:w="936"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31" w:type="dxa"/>
                  <w:vMerge w:val="continue"/>
                  <w:vAlign w:val="center"/>
                </w:tcPr>
                <w:p>
                  <w:pPr>
                    <w:pStyle w:val="70"/>
                  </w:pPr>
                </w:p>
              </w:tc>
              <w:tc>
                <w:tcPr>
                  <w:tcW w:w="886" w:type="dxa"/>
                  <w:vAlign w:val="center"/>
                </w:tcPr>
                <w:p>
                  <w:pPr>
                    <w:pStyle w:val="70"/>
                    <w:rPr>
                      <w:rFonts w:hint="eastAsia" w:eastAsia="宋体"/>
                      <w:lang w:val="en-US" w:eastAsia="zh-CN"/>
                    </w:rPr>
                  </w:pPr>
                  <w:r>
                    <w:rPr>
                      <w:rFonts w:hint="eastAsia"/>
                      <w:lang w:val="en-US" w:eastAsia="zh-CN"/>
                    </w:rPr>
                    <w:t>动植物油</w:t>
                  </w:r>
                </w:p>
              </w:tc>
              <w:tc>
                <w:tcPr>
                  <w:tcW w:w="1056" w:type="dxa"/>
                  <w:vAlign w:val="center"/>
                </w:tcPr>
                <w:p>
                  <w:pPr>
                    <w:pStyle w:val="70"/>
                    <w:rPr>
                      <w:rFonts w:hint="default" w:eastAsia="宋体"/>
                      <w:lang w:val="en-US" w:eastAsia="zh-CN"/>
                    </w:rPr>
                  </w:pPr>
                  <w:r>
                    <w:rPr>
                      <w:rFonts w:hint="eastAsia"/>
                      <w:lang w:val="en-US" w:eastAsia="zh-CN"/>
                    </w:rPr>
                    <w:t>100</w:t>
                  </w:r>
                </w:p>
              </w:tc>
              <w:tc>
                <w:tcPr>
                  <w:tcW w:w="903" w:type="dxa"/>
                  <w:vAlign w:val="center"/>
                </w:tcPr>
                <w:p>
                  <w:pPr>
                    <w:pStyle w:val="70"/>
                    <w:rPr>
                      <w:rFonts w:hint="default" w:eastAsia="宋体"/>
                      <w:lang w:val="en-US" w:eastAsia="zh-CN"/>
                    </w:rPr>
                  </w:pPr>
                  <w:r>
                    <w:rPr>
                      <w:rFonts w:hint="eastAsia"/>
                      <w:lang w:val="en-US" w:eastAsia="zh-CN"/>
                    </w:rPr>
                    <w:t>0.048</w:t>
                  </w:r>
                </w:p>
              </w:tc>
              <w:tc>
                <w:tcPr>
                  <w:tcW w:w="1208" w:type="dxa"/>
                  <w:vMerge w:val="continue"/>
                  <w:vAlign w:val="center"/>
                </w:tcPr>
                <w:p>
                  <w:pPr>
                    <w:pStyle w:val="70"/>
                  </w:pPr>
                </w:p>
              </w:tc>
              <w:tc>
                <w:tcPr>
                  <w:tcW w:w="827" w:type="dxa"/>
                  <w:vAlign w:val="center"/>
                </w:tcPr>
                <w:p>
                  <w:pPr>
                    <w:pStyle w:val="70"/>
                  </w:pPr>
                  <w:r>
                    <w:t>--</w:t>
                  </w:r>
                </w:p>
              </w:tc>
              <w:tc>
                <w:tcPr>
                  <w:tcW w:w="990" w:type="dxa"/>
                  <w:vAlign w:val="center"/>
                </w:tcPr>
                <w:p>
                  <w:pPr>
                    <w:pStyle w:val="70"/>
                    <w:rPr>
                      <w:rFonts w:hint="default" w:eastAsia="宋体"/>
                      <w:lang w:val="en-US" w:eastAsia="zh-CN"/>
                    </w:rPr>
                  </w:pPr>
                  <w:r>
                    <w:rPr>
                      <w:rFonts w:hint="eastAsia"/>
                      <w:lang w:val="en-US" w:eastAsia="zh-CN"/>
                    </w:rPr>
                    <w:t>100</w:t>
                  </w:r>
                </w:p>
              </w:tc>
              <w:tc>
                <w:tcPr>
                  <w:tcW w:w="900" w:type="dxa"/>
                  <w:vAlign w:val="center"/>
                </w:tcPr>
                <w:p>
                  <w:pPr>
                    <w:pStyle w:val="70"/>
                    <w:rPr>
                      <w:rFonts w:hint="default" w:eastAsia="宋体"/>
                      <w:lang w:val="en-US" w:eastAsia="zh-CN"/>
                    </w:rPr>
                  </w:pPr>
                  <w:r>
                    <w:rPr>
                      <w:rFonts w:hint="eastAsia"/>
                      <w:lang w:val="en-US" w:eastAsia="zh-CN"/>
                    </w:rPr>
                    <w:t>0.048</w:t>
                  </w:r>
                </w:p>
              </w:tc>
              <w:tc>
                <w:tcPr>
                  <w:tcW w:w="936" w:type="dxa"/>
                  <w:vMerge w:val="continue"/>
                  <w:vAlign w:val="center"/>
                </w:tcPr>
                <w:p>
                  <w:pPr>
                    <w:pStyle w:val="70"/>
                  </w:pPr>
                </w:p>
              </w:tc>
            </w:tr>
          </w:tbl>
          <w:p>
            <w:pPr>
              <w:pStyle w:val="65"/>
            </w:pPr>
            <w:r>
              <w:t>表</w:t>
            </w:r>
            <w:r>
              <w:rPr>
                <w:rFonts w:hint="eastAsia"/>
              </w:rPr>
              <w:t>4.2-8</w:t>
            </w:r>
            <w:r>
              <w:t xml:space="preserve">   废水排放口基本情况一览表</w:t>
            </w:r>
          </w:p>
          <w:tbl>
            <w:tblPr>
              <w:tblStyle w:val="27"/>
              <w:tblW w:w="8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722"/>
              <w:gridCol w:w="885"/>
              <w:gridCol w:w="1875"/>
              <w:gridCol w:w="814"/>
              <w:gridCol w:w="1099"/>
              <w:gridCol w:w="670"/>
              <w:gridCol w:w="672"/>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44" w:type="dxa"/>
                  <w:vMerge w:val="restart"/>
                  <w:vAlign w:val="center"/>
                </w:tcPr>
                <w:p>
                  <w:pPr>
                    <w:pStyle w:val="70"/>
                  </w:pPr>
                  <w:r>
                    <w:t>污染源</w:t>
                  </w:r>
                </w:p>
              </w:tc>
              <w:tc>
                <w:tcPr>
                  <w:tcW w:w="3482" w:type="dxa"/>
                  <w:gridSpan w:val="3"/>
                  <w:vAlign w:val="center"/>
                </w:tcPr>
                <w:p>
                  <w:pPr>
                    <w:pStyle w:val="70"/>
                  </w:pPr>
                  <w:r>
                    <w:t>排放口基本情况</w:t>
                  </w:r>
                </w:p>
              </w:tc>
              <w:tc>
                <w:tcPr>
                  <w:tcW w:w="814" w:type="dxa"/>
                  <w:vMerge w:val="restart"/>
                  <w:vAlign w:val="center"/>
                </w:tcPr>
                <w:p>
                  <w:pPr>
                    <w:pStyle w:val="70"/>
                  </w:pPr>
                  <w:r>
                    <w:t>主要污染物</w:t>
                  </w:r>
                </w:p>
              </w:tc>
              <w:tc>
                <w:tcPr>
                  <w:tcW w:w="1099" w:type="dxa"/>
                  <w:vMerge w:val="restart"/>
                  <w:vAlign w:val="center"/>
                </w:tcPr>
                <w:p>
                  <w:pPr>
                    <w:pStyle w:val="70"/>
                  </w:pPr>
                  <w:r>
                    <w:t>排放标准（mg/L）</w:t>
                  </w:r>
                </w:p>
              </w:tc>
              <w:tc>
                <w:tcPr>
                  <w:tcW w:w="670" w:type="dxa"/>
                  <w:vMerge w:val="restart"/>
                  <w:vAlign w:val="center"/>
                </w:tcPr>
                <w:p>
                  <w:pPr>
                    <w:pStyle w:val="70"/>
                  </w:pPr>
                  <w:r>
                    <w:t>排放方式</w:t>
                  </w:r>
                </w:p>
              </w:tc>
              <w:tc>
                <w:tcPr>
                  <w:tcW w:w="672" w:type="dxa"/>
                  <w:vMerge w:val="restart"/>
                  <w:vAlign w:val="center"/>
                </w:tcPr>
                <w:p>
                  <w:pPr>
                    <w:pStyle w:val="70"/>
                  </w:pPr>
                  <w:r>
                    <w:t>排放规律</w:t>
                  </w:r>
                </w:p>
              </w:tc>
              <w:tc>
                <w:tcPr>
                  <w:tcW w:w="677" w:type="dxa"/>
                  <w:vMerge w:val="restart"/>
                  <w:vAlign w:val="center"/>
                </w:tcPr>
                <w:p>
                  <w:pPr>
                    <w:pStyle w:val="70"/>
                  </w:pPr>
                  <w: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4" w:type="dxa"/>
                  <w:vMerge w:val="continue"/>
                  <w:vAlign w:val="center"/>
                </w:tcPr>
                <w:p>
                  <w:pPr>
                    <w:pStyle w:val="70"/>
                  </w:pPr>
                </w:p>
              </w:tc>
              <w:tc>
                <w:tcPr>
                  <w:tcW w:w="722" w:type="dxa"/>
                  <w:vAlign w:val="center"/>
                </w:tcPr>
                <w:p>
                  <w:pPr>
                    <w:pStyle w:val="70"/>
                  </w:pPr>
                  <w:r>
                    <w:t>名称</w:t>
                  </w:r>
                </w:p>
              </w:tc>
              <w:tc>
                <w:tcPr>
                  <w:tcW w:w="885" w:type="dxa"/>
                  <w:vAlign w:val="center"/>
                </w:tcPr>
                <w:p>
                  <w:pPr>
                    <w:pStyle w:val="70"/>
                  </w:pPr>
                  <w:r>
                    <w:t>编号</w:t>
                  </w:r>
                </w:p>
              </w:tc>
              <w:tc>
                <w:tcPr>
                  <w:tcW w:w="1875" w:type="dxa"/>
                  <w:vAlign w:val="center"/>
                </w:tcPr>
                <w:p>
                  <w:pPr>
                    <w:pStyle w:val="70"/>
                  </w:pPr>
                  <w:r>
                    <w:t>坐标</w:t>
                  </w:r>
                </w:p>
              </w:tc>
              <w:tc>
                <w:tcPr>
                  <w:tcW w:w="814" w:type="dxa"/>
                  <w:vMerge w:val="continue"/>
                  <w:vAlign w:val="center"/>
                </w:tcPr>
                <w:p>
                  <w:pPr>
                    <w:pStyle w:val="70"/>
                  </w:pPr>
                </w:p>
              </w:tc>
              <w:tc>
                <w:tcPr>
                  <w:tcW w:w="1099" w:type="dxa"/>
                  <w:vMerge w:val="continue"/>
                  <w:vAlign w:val="center"/>
                </w:tcPr>
                <w:p>
                  <w:pPr>
                    <w:pStyle w:val="70"/>
                  </w:pPr>
                </w:p>
              </w:tc>
              <w:tc>
                <w:tcPr>
                  <w:tcW w:w="670" w:type="dxa"/>
                  <w:vMerge w:val="continue"/>
                  <w:vAlign w:val="center"/>
                </w:tcPr>
                <w:p>
                  <w:pPr>
                    <w:pStyle w:val="70"/>
                  </w:pPr>
                </w:p>
              </w:tc>
              <w:tc>
                <w:tcPr>
                  <w:tcW w:w="672" w:type="dxa"/>
                  <w:vMerge w:val="continue"/>
                  <w:vAlign w:val="center"/>
                </w:tcPr>
                <w:p>
                  <w:pPr>
                    <w:pStyle w:val="70"/>
                  </w:pPr>
                </w:p>
              </w:tc>
              <w:tc>
                <w:tcPr>
                  <w:tcW w:w="677"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44" w:type="dxa"/>
                  <w:vMerge w:val="restart"/>
                  <w:vAlign w:val="center"/>
                </w:tcPr>
                <w:p>
                  <w:pPr>
                    <w:pStyle w:val="70"/>
                  </w:pPr>
                  <w:r>
                    <w:t>生活污水</w:t>
                  </w:r>
                </w:p>
              </w:tc>
              <w:tc>
                <w:tcPr>
                  <w:tcW w:w="722" w:type="dxa"/>
                  <w:vMerge w:val="restart"/>
                  <w:vAlign w:val="center"/>
                </w:tcPr>
                <w:p>
                  <w:pPr>
                    <w:pStyle w:val="70"/>
                  </w:pPr>
                  <w:r>
                    <w:t>生活污水排放口</w:t>
                  </w:r>
                </w:p>
              </w:tc>
              <w:tc>
                <w:tcPr>
                  <w:tcW w:w="885" w:type="dxa"/>
                  <w:vMerge w:val="restart"/>
                  <w:vAlign w:val="center"/>
                </w:tcPr>
                <w:p>
                  <w:pPr>
                    <w:pStyle w:val="70"/>
                    <w:rPr>
                      <w:color w:val="auto"/>
                    </w:rPr>
                  </w:pPr>
                  <w:r>
                    <w:rPr>
                      <w:color w:val="auto"/>
                    </w:rPr>
                    <w:t>DW001</w:t>
                  </w:r>
                </w:p>
              </w:tc>
              <w:tc>
                <w:tcPr>
                  <w:tcW w:w="1875" w:type="dxa"/>
                  <w:vMerge w:val="restart"/>
                  <w:vAlign w:val="center"/>
                </w:tcPr>
                <w:p>
                  <w:pPr>
                    <w:pStyle w:val="70"/>
                    <w:rPr>
                      <w:color w:val="auto"/>
                    </w:rPr>
                  </w:pPr>
                  <w:r>
                    <w:rPr>
                      <w:color w:val="auto"/>
                    </w:rPr>
                    <w:t>E86°13′28.77</w:t>
                  </w:r>
                  <w:r>
                    <w:rPr>
                      <w:rFonts w:hint="eastAsia"/>
                      <w:color w:val="auto"/>
                    </w:rPr>
                    <w:t>1</w:t>
                  </w:r>
                  <w:r>
                    <w:rPr>
                      <w:color w:val="auto"/>
                    </w:rPr>
                    <w:t>"</w:t>
                  </w:r>
                </w:p>
                <w:p>
                  <w:pPr>
                    <w:pStyle w:val="70"/>
                    <w:rPr>
                      <w:color w:val="auto"/>
                    </w:rPr>
                  </w:pPr>
                  <w:r>
                    <w:rPr>
                      <w:color w:val="auto"/>
                    </w:rPr>
                    <w:t>N42°19′03.81</w:t>
                  </w:r>
                  <w:r>
                    <w:rPr>
                      <w:rFonts w:hint="eastAsia"/>
                      <w:color w:val="auto"/>
                    </w:rPr>
                    <w:t>3</w:t>
                  </w:r>
                  <w:r>
                    <w:rPr>
                      <w:color w:val="auto"/>
                    </w:rPr>
                    <w:t>"</w:t>
                  </w:r>
                </w:p>
              </w:tc>
              <w:tc>
                <w:tcPr>
                  <w:tcW w:w="814" w:type="dxa"/>
                  <w:vAlign w:val="center"/>
                </w:tcPr>
                <w:p>
                  <w:pPr>
                    <w:pStyle w:val="70"/>
                    <w:rPr>
                      <w:color w:val="auto"/>
                    </w:rPr>
                  </w:pPr>
                  <w:r>
                    <w:rPr>
                      <w:color w:val="auto"/>
                    </w:rPr>
                    <w:t>COD</w:t>
                  </w:r>
                </w:p>
              </w:tc>
              <w:tc>
                <w:tcPr>
                  <w:tcW w:w="1099" w:type="dxa"/>
                  <w:vAlign w:val="center"/>
                </w:tcPr>
                <w:p>
                  <w:pPr>
                    <w:pStyle w:val="70"/>
                  </w:pPr>
                  <w:r>
                    <w:t>500</w:t>
                  </w:r>
                </w:p>
              </w:tc>
              <w:tc>
                <w:tcPr>
                  <w:tcW w:w="670" w:type="dxa"/>
                  <w:vMerge w:val="restart"/>
                  <w:vAlign w:val="center"/>
                </w:tcPr>
                <w:p>
                  <w:pPr>
                    <w:pStyle w:val="70"/>
                  </w:pPr>
                  <w:r>
                    <w:t>间接</w:t>
                  </w:r>
                </w:p>
              </w:tc>
              <w:tc>
                <w:tcPr>
                  <w:tcW w:w="672" w:type="dxa"/>
                  <w:vMerge w:val="restart"/>
                  <w:vAlign w:val="center"/>
                </w:tcPr>
                <w:p>
                  <w:pPr>
                    <w:pStyle w:val="70"/>
                  </w:pPr>
                  <w:r>
                    <w:t>间歇</w:t>
                  </w:r>
                </w:p>
              </w:tc>
              <w:tc>
                <w:tcPr>
                  <w:tcW w:w="677" w:type="dxa"/>
                  <w:vMerge w:val="restart"/>
                  <w:vAlign w:val="center"/>
                </w:tcPr>
                <w:p>
                  <w:pPr>
                    <w:pStyle w:val="70"/>
                  </w:pPr>
                  <w:r>
                    <w:t>和静县污水处理厂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44" w:type="dxa"/>
                  <w:vMerge w:val="continue"/>
                  <w:vAlign w:val="center"/>
                </w:tcPr>
                <w:p>
                  <w:pPr>
                    <w:pStyle w:val="70"/>
                  </w:pPr>
                </w:p>
              </w:tc>
              <w:tc>
                <w:tcPr>
                  <w:tcW w:w="722" w:type="dxa"/>
                  <w:vMerge w:val="continue"/>
                  <w:vAlign w:val="center"/>
                </w:tcPr>
                <w:p>
                  <w:pPr>
                    <w:pStyle w:val="70"/>
                  </w:pPr>
                </w:p>
              </w:tc>
              <w:tc>
                <w:tcPr>
                  <w:tcW w:w="885" w:type="dxa"/>
                  <w:vMerge w:val="continue"/>
                  <w:vAlign w:val="center"/>
                </w:tcPr>
                <w:p>
                  <w:pPr>
                    <w:pStyle w:val="70"/>
                    <w:rPr>
                      <w:color w:val="auto"/>
                    </w:rPr>
                  </w:pPr>
                </w:p>
              </w:tc>
              <w:tc>
                <w:tcPr>
                  <w:tcW w:w="1875" w:type="dxa"/>
                  <w:vMerge w:val="continue"/>
                  <w:vAlign w:val="center"/>
                </w:tcPr>
                <w:p>
                  <w:pPr>
                    <w:pStyle w:val="70"/>
                    <w:rPr>
                      <w:color w:val="auto"/>
                    </w:rPr>
                  </w:pPr>
                </w:p>
              </w:tc>
              <w:tc>
                <w:tcPr>
                  <w:tcW w:w="814" w:type="dxa"/>
                  <w:vAlign w:val="center"/>
                </w:tcPr>
                <w:p>
                  <w:pPr>
                    <w:pStyle w:val="70"/>
                    <w:rPr>
                      <w:color w:val="auto"/>
                    </w:rPr>
                  </w:pPr>
                  <w:r>
                    <w:rPr>
                      <w:color w:val="auto"/>
                    </w:rPr>
                    <w:t>BOD</w:t>
                  </w:r>
                  <w:r>
                    <w:rPr>
                      <w:color w:val="auto"/>
                      <w:vertAlign w:val="subscript"/>
                    </w:rPr>
                    <w:t>5</w:t>
                  </w:r>
                </w:p>
              </w:tc>
              <w:tc>
                <w:tcPr>
                  <w:tcW w:w="1099" w:type="dxa"/>
                  <w:vAlign w:val="center"/>
                </w:tcPr>
                <w:p>
                  <w:pPr>
                    <w:pStyle w:val="70"/>
                  </w:pPr>
                  <w:r>
                    <w:t>300</w:t>
                  </w:r>
                </w:p>
              </w:tc>
              <w:tc>
                <w:tcPr>
                  <w:tcW w:w="670" w:type="dxa"/>
                  <w:vMerge w:val="continue"/>
                  <w:vAlign w:val="center"/>
                </w:tcPr>
                <w:p>
                  <w:pPr>
                    <w:pStyle w:val="70"/>
                  </w:pPr>
                </w:p>
              </w:tc>
              <w:tc>
                <w:tcPr>
                  <w:tcW w:w="672" w:type="dxa"/>
                  <w:vMerge w:val="continue"/>
                  <w:vAlign w:val="center"/>
                </w:tcPr>
                <w:p>
                  <w:pPr>
                    <w:pStyle w:val="70"/>
                  </w:pPr>
                </w:p>
              </w:tc>
              <w:tc>
                <w:tcPr>
                  <w:tcW w:w="677"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44" w:type="dxa"/>
                  <w:vMerge w:val="continue"/>
                  <w:vAlign w:val="center"/>
                </w:tcPr>
                <w:p>
                  <w:pPr>
                    <w:pStyle w:val="70"/>
                  </w:pPr>
                </w:p>
              </w:tc>
              <w:tc>
                <w:tcPr>
                  <w:tcW w:w="722" w:type="dxa"/>
                  <w:vMerge w:val="continue"/>
                  <w:vAlign w:val="center"/>
                </w:tcPr>
                <w:p>
                  <w:pPr>
                    <w:pStyle w:val="70"/>
                  </w:pPr>
                </w:p>
              </w:tc>
              <w:tc>
                <w:tcPr>
                  <w:tcW w:w="885" w:type="dxa"/>
                  <w:vMerge w:val="continue"/>
                  <w:vAlign w:val="center"/>
                </w:tcPr>
                <w:p>
                  <w:pPr>
                    <w:pStyle w:val="70"/>
                    <w:rPr>
                      <w:color w:val="auto"/>
                    </w:rPr>
                  </w:pPr>
                </w:p>
              </w:tc>
              <w:tc>
                <w:tcPr>
                  <w:tcW w:w="1875" w:type="dxa"/>
                  <w:vMerge w:val="continue"/>
                  <w:vAlign w:val="center"/>
                </w:tcPr>
                <w:p>
                  <w:pPr>
                    <w:pStyle w:val="70"/>
                    <w:rPr>
                      <w:color w:val="auto"/>
                    </w:rPr>
                  </w:pPr>
                </w:p>
              </w:tc>
              <w:tc>
                <w:tcPr>
                  <w:tcW w:w="814" w:type="dxa"/>
                  <w:vAlign w:val="center"/>
                </w:tcPr>
                <w:p>
                  <w:pPr>
                    <w:pStyle w:val="70"/>
                    <w:rPr>
                      <w:color w:val="auto"/>
                    </w:rPr>
                  </w:pPr>
                  <w:r>
                    <w:rPr>
                      <w:color w:val="auto"/>
                    </w:rPr>
                    <w:t>SS</w:t>
                  </w:r>
                </w:p>
              </w:tc>
              <w:tc>
                <w:tcPr>
                  <w:tcW w:w="1099" w:type="dxa"/>
                  <w:vAlign w:val="center"/>
                </w:tcPr>
                <w:p>
                  <w:pPr>
                    <w:pStyle w:val="70"/>
                  </w:pPr>
                  <w:r>
                    <w:t>400</w:t>
                  </w:r>
                </w:p>
              </w:tc>
              <w:tc>
                <w:tcPr>
                  <w:tcW w:w="670" w:type="dxa"/>
                  <w:vMerge w:val="continue"/>
                  <w:vAlign w:val="center"/>
                </w:tcPr>
                <w:p>
                  <w:pPr>
                    <w:pStyle w:val="70"/>
                  </w:pPr>
                </w:p>
              </w:tc>
              <w:tc>
                <w:tcPr>
                  <w:tcW w:w="672" w:type="dxa"/>
                  <w:vMerge w:val="continue"/>
                  <w:vAlign w:val="center"/>
                </w:tcPr>
                <w:p>
                  <w:pPr>
                    <w:pStyle w:val="70"/>
                  </w:pPr>
                </w:p>
              </w:tc>
              <w:tc>
                <w:tcPr>
                  <w:tcW w:w="677"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4" w:type="dxa"/>
                  <w:vMerge w:val="continue"/>
                  <w:vAlign w:val="center"/>
                </w:tcPr>
                <w:p>
                  <w:pPr>
                    <w:pStyle w:val="70"/>
                  </w:pPr>
                </w:p>
              </w:tc>
              <w:tc>
                <w:tcPr>
                  <w:tcW w:w="722" w:type="dxa"/>
                  <w:vMerge w:val="continue"/>
                  <w:vAlign w:val="center"/>
                </w:tcPr>
                <w:p>
                  <w:pPr>
                    <w:pStyle w:val="70"/>
                  </w:pPr>
                </w:p>
              </w:tc>
              <w:tc>
                <w:tcPr>
                  <w:tcW w:w="885" w:type="dxa"/>
                  <w:vMerge w:val="continue"/>
                  <w:vAlign w:val="center"/>
                </w:tcPr>
                <w:p>
                  <w:pPr>
                    <w:pStyle w:val="70"/>
                    <w:rPr>
                      <w:color w:val="auto"/>
                    </w:rPr>
                  </w:pPr>
                </w:p>
              </w:tc>
              <w:tc>
                <w:tcPr>
                  <w:tcW w:w="1875" w:type="dxa"/>
                  <w:vMerge w:val="continue"/>
                  <w:vAlign w:val="center"/>
                </w:tcPr>
                <w:p>
                  <w:pPr>
                    <w:pStyle w:val="70"/>
                    <w:rPr>
                      <w:color w:val="auto"/>
                    </w:rPr>
                  </w:pPr>
                </w:p>
              </w:tc>
              <w:tc>
                <w:tcPr>
                  <w:tcW w:w="814" w:type="dxa"/>
                  <w:vAlign w:val="center"/>
                </w:tcPr>
                <w:p>
                  <w:pPr>
                    <w:pStyle w:val="70"/>
                    <w:rPr>
                      <w:color w:val="auto"/>
                    </w:rPr>
                  </w:pPr>
                  <w:r>
                    <w:rPr>
                      <w:color w:val="auto"/>
                    </w:rPr>
                    <w:t>NH</w:t>
                  </w:r>
                  <w:r>
                    <w:rPr>
                      <w:color w:val="auto"/>
                      <w:vertAlign w:val="subscript"/>
                    </w:rPr>
                    <w:t>3</w:t>
                  </w:r>
                  <w:r>
                    <w:rPr>
                      <w:rFonts w:hint="eastAsia"/>
                      <w:color w:val="auto"/>
                      <w:vertAlign w:val="baseline"/>
                      <w:lang w:val="en-US" w:eastAsia="zh-CN"/>
                    </w:rPr>
                    <w:t>-</w:t>
                  </w:r>
                  <w:r>
                    <w:rPr>
                      <w:color w:val="auto"/>
                    </w:rPr>
                    <w:t>N</w:t>
                  </w:r>
                </w:p>
              </w:tc>
              <w:tc>
                <w:tcPr>
                  <w:tcW w:w="1099" w:type="dxa"/>
                  <w:vAlign w:val="center"/>
                </w:tcPr>
                <w:p>
                  <w:pPr>
                    <w:pStyle w:val="70"/>
                  </w:pPr>
                  <w:r>
                    <w:t>--</w:t>
                  </w:r>
                </w:p>
              </w:tc>
              <w:tc>
                <w:tcPr>
                  <w:tcW w:w="670" w:type="dxa"/>
                  <w:vMerge w:val="continue"/>
                  <w:vAlign w:val="center"/>
                </w:tcPr>
                <w:p>
                  <w:pPr>
                    <w:pStyle w:val="70"/>
                  </w:pPr>
                </w:p>
              </w:tc>
              <w:tc>
                <w:tcPr>
                  <w:tcW w:w="672" w:type="dxa"/>
                  <w:vMerge w:val="continue"/>
                  <w:vAlign w:val="center"/>
                </w:tcPr>
                <w:p>
                  <w:pPr>
                    <w:pStyle w:val="70"/>
                  </w:pPr>
                </w:p>
              </w:tc>
              <w:tc>
                <w:tcPr>
                  <w:tcW w:w="677" w:type="dxa"/>
                  <w:vMerge w:val="continue"/>
                  <w:vAlign w:val="center"/>
                </w:tcPr>
                <w:p>
                  <w:pPr>
                    <w:pStyle w:val="70"/>
                  </w:pPr>
                </w:p>
              </w:tc>
            </w:tr>
          </w:tbl>
          <w:p>
            <w:pPr>
              <w:pStyle w:val="24"/>
              <w:ind w:firstLine="482"/>
            </w:pPr>
            <w:r>
              <w:rPr>
                <w:rFonts w:hint="eastAsia"/>
              </w:rPr>
              <w:t>（3）生活污水依托处理可行性分析</w:t>
            </w:r>
          </w:p>
          <w:p>
            <w:pPr>
              <w:ind w:firstLine="480"/>
              <w:rPr>
                <w:rFonts w:hint="eastAsia"/>
              </w:rPr>
            </w:pPr>
            <w:r>
              <w:rPr>
                <w:rFonts w:hint="eastAsia"/>
              </w:rPr>
              <w:t>本项目外排废水为生活污水及</w:t>
            </w:r>
            <w:r>
              <w:rPr>
                <w:rFonts w:hint="eastAsia"/>
                <w:lang w:eastAsia="zh-CN"/>
              </w:rPr>
              <w:t>锅炉废水（</w:t>
            </w:r>
            <w:r>
              <w:rPr>
                <w:rFonts w:hint="eastAsia"/>
              </w:rPr>
              <w:t>含软水制备废水</w:t>
            </w:r>
            <w:r>
              <w:rPr>
                <w:rFonts w:hint="eastAsia"/>
                <w:lang w:eastAsia="zh-CN"/>
              </w:rPr>
              <w:t>）</w:t>
            </w:r>
            <w:r>
              <w:rPr>
                <w:rFonts w:hint="eastAsia"/>
              </w:rPr>
              <w:t>，生活污水经化粪池预处理后与</w:t>
            </w:r>
            <w:r>
              <w:rPr>
                <w:rFonts w:hint="eastAsia"/>
                <w:lang w:eastAsia="zh-CN"/>
              </w:rPr>
              <w:t>锅炉废水（</w:t>
            </w:r>
            <w:r>
              <w:rPr>
                <w:rFonts w:hint="eastAsia"/>
              </w:rPr>
              <w:t>含软水制备废水</w:t>
            </w:r>
            <w:r>
              <w:rPr>
                <w:rFonts w:hint="eastAsia"/>
                <w:lang w:eastAsia="zh-CN"/>
              </w:rPr>
              <w:t>）</w:t>
            </w:r>
            <w:r>
              <w:rPr>
                <w:rFonts w:hint="eastAsia"/>
              </w:rPr>
              <w:t>一同排入园区污水管网，最终排入和静县污水处理厂进一步处理。</w:t>
            </w:r>
          </w:p>
          <w:p>
            <w:pPr>
              <w:ind w:firstLine="480"/>
              <w:rPr>
                <w:szCs w:val="24"/>
              </w:rPr>
            </w:pPr>
            <w:r>
              <w:rPr>
                <w:rFonts w:hint="eastAsia"/>
              </w:rPr>
              <w:t>和静县污水处理厂位于和静县城区东南方向2.3km处，位于和静工业园区东南侧约8km处。和静县污水处理厂于2009年年底完成建设并投入使用，处理能力为1.0万m</w:t>
            </w:r>
            <w:r>
              <w:rPr>
                <w:rFonts w:hint="eastAsia"/>
                <w:vertAlign w:val="superscript"/>
              </w:rPr>
              <w:t>3</w:t>
            </w:r>
            <w:r>
              <w:rPr>
                <w:rFonts w:hint="eastAsia"/>
              </w:rPr>
              <w:t>/d，出水水质标准为《城镇污水处理厂污染物排放标准》（GB18918-2002）中三级标准。污水经处理后直接排入厂区南侧排碱渠，最终进入人工育苇区。2012年，和静县住建局投资2400万元对污水处理厂进行了提标改造，改造完成后达到2.0万m</w:t>
            </w:r>
            <w:r>
              <w:rPr>
                <w:rFonts w:hint="eastAsia"/>
                <w:vertAlign w:val="superscript"/>
              </w:rPr>
              <w:t>3</w:t>
            </w:r>
            <w:r>
              <w:rPr>
                <w:rFonts w:hint="eastAsia"/>
              </w:rPr>
              <w:t>/d的污水处理能力，出水水质达到了《城镇污水处理厂污染物排放标准》（GB18918-2002）中一级B标准。污水经处理后排入人工育苇区。2</w:t>
            </w:r>
            <w:r>
              <w:t>017</w:t>
            </w:r>
            <w:r>
              <w:rPr>
                <w:rFonts w:hint="eastAsia"/>
              </w:rPr>
              <w:t>年和静县污水处理厂进行提标改造，接纳和静县中心城区、和静工业园区（哈尔莫敦矿业片区、新兴产业区、额勒再特工业片区）、县道279沿线额勒再特乡、养殖场、巩哈拉村小学、拉布润及夏尔布鲁克村周边乡镇废水，采用A</w:t>
            </w:r>
            <w:r>
              <w:rPr>
                <w:vertAlign w:val="superscript"/>
              </w:rPr>
              <w:t>2</w:t>
            </w:r>
            <w:r>
              <w:t>/O+MBR池处理工艺，设计最大处理规模</w:t>
            </w:r>
            <w:r>
              <w:rPr>
                <w:rFonts w:hint="eastAsia"/>
              </w:rPr>
              <w:t>2</w:t>
            </w:r>
            <w:r>
              <w:t>万</w:t>
            </w:r>
            <w:r>
              <w:rPr>
                <w:rFonts w:hint="eastAsia"/>
              </w:rPr>
              <w:t>m</w:t>
            </w:r>
            <w:r>
              <w:rPr>
                <w:vertAlign w:val="superscript"/>
              </w:rPr>
              <w:t>3</w:t>
            </w:r>
            <w:r>
              <w:t>/d</w:t>
            </w:r>
            <w:r>
              <w:rPr>
                <w:rFonts w:hint="eastAsia"/>
              </w:rPr>
              <w:t>，出水水质达到《城镇污水处理厂污染物排放标准》（18918-2002）中一级A标准后，通过厂区南侧的排碱渠外排，最终进入厂区东部约17km处的二十四团人工育苇区。本项目产生的生活污水量少，且水质简单，</w:t>
            </w:r>
            <w:r>
              <w:rPr>
                <w:szCs w:val="24"/>
              </w:rPr>
              <w:t>经化粪池预处理达到</w:t>
            </w:r>
            <w:r>
              <w:t>《</w:t>
            </w:r>
            <w:r>
              <w:rPr>
                <w:rFonts w:hint="eastAsia"/>
                <w:lang w:val="en-US" w:eastAsia="zh-CN"/>
              </w:rPr>
              <w:t>污水排入城镇下水道水质标准</w:t>
            </w:r>
            <w:r>
              <w:t>》（GB</w:t>
            </w:r>
            <w:r>
              <w:rPr>
                <w:rFonts w:hint="eastAsia"/>
                <w:lang w:val="en-US" w:eastAsia="zh-CN"/>
              </w:rPr>
              <w:t>/T31962-2015</w:t>
            </w:r>
            <w:r>
              <w:t>）</w:t>
            </w:r>
            <w:r>
              <w:rPr>
                <w:rFonts w:hint="eastAsia"/>
                <w:lang w:val="en-US" w:eastAsia="zh-CN"/>
              </w:rPr>
              <w:t>B级</w:t>
            </w:r>
            <w:r>
              <w:t>排放标准</w:t>
            </w:r>
            <w:r>
              <w:rPr>
                <w:szCs w:val="24"/>
              </w:rPr>
              <w:t>后</w:t>
            </w:r>
            <w:r>
              <w:rPr>
                <w:snapToGrid w:val="0"/>
                <w:color w:val="000000"/>
                <w:szCs w:val="24"/>
              </w:rPr>
              <w:t>经污水管网排入和静县污水处理厂处理</w:t>
            </w:r>
            <w:r>
              <w:rPr>
                <w:rFonts w:hint="eastAsia"/>
                <w:snapToGrid w:val="0"/>
                <w:color w:val="000000"/>
                <w:szCs w:val="24"/>
                <w:lang w:val="en-US" w:eastAsia="zh-CN"/>
              </w:rPr>
              <w:t>可行</w:t>
            </w:r>
            <w:r>
              <w:rPr>
                <w:szCs w:val="24"/>
              </w:rPr>
              <w:t>。</w:t>
            </w:r>
          </w:p>
          <w:p>
            <w:pPr>
              <w:pStyle w:val="24"/>
              <w:ind w:firstLine="482"/>
            </w:pPr>
            <w:r>
              <w:t>4.2.3声环境影响与评价</w:t>
            </w:r>
          </w:p>
          <w:p>
            <w:pPr>
              <w:ind w:firstLine="480"/>
              <w:rPr>
                <w:rFonts w:hint="default" w:eastAsia="宋体"/>
                <w:lang w:val="en-US" w:eastAsia="zh-CN"/>
              </w:rPr>
            </w:pPr>
            <w:bookmarkStart w:id="24" w:name="_Toc249693709"/>
            <w:bookmarkStart w:id="25" w:name="_Toc16383"/>
            <w:bookmarkStart w:id="26" w:name="_Toc332103732"/>
            <w:bookmarkStart w:id="27" w:name="_Toc319228420"/>
            <w:bookmarkStart w:id="28" w:name="_Toc382903251"/>
            <w:bookmarkStart w:id="29" w:name="_Toc332103632"/>
            <w:bookmarkStart w:id="30" w:name="_Toc383796790"/>
            <w:bookmarkStart w:id="31" w:name="_Toc381340756"/>
            <w:bookmarkStart w:id="32" w:name="_Toc384381675"/>
            <w:bookmarkStart w:id="33" w:name="_Toc381340751"/>
            <w:bookmarkStart w:id="34" w:name="_Toc383796785"/>
            <w:bookmarkStart w:id="35" w:name="_Toc382903246"/>
            <w:r>
              <w:rPr>
                <w:rFonts w:hint="eastAsia"/>
                <w:lang w:eastAsia="zh-CN"/>
              </w:rPr>
              <w:t>（</w:t>
            </w:r>
            <w:r>
              <w:rPr>
                <w:rFonts w:hint="eastAsia"/>
                <w:lang w:val="en-US" w:eastAsia="zh-CN"/>
              </w:rPr>
              <w:t>1</w:t>
            </w:r>
            <w:r>
              <w:rPr>
                <w:rFonts w:hint="eastAsia"/>
                <w:lang w:eastAsia="zh-CN"/>
              </w:rPr>
              <w:t>）</w:t>
            </w:r>
            <w:r>
              <w:rPr>
                <w:rFonts w:hint="eastAsia"/>
                <w:lang w:val="en-US" w:eastAsia="zh-CN"/>
              </w:rPr>
              <w:t>噪声源强</w:t>
            </w:r>
          </w:p>
          <w:p>
            <w:pPr>
              <w:ind w:firstLine="480"/>
            </w:pPr>
            <w:r>
              <w:rPr>
                <w:rFonts w:hint="eastAsia"/>
              </w:rPr>
              <w:t>本项目营运期噪声主要来自粉碎机、搅拌机等生产设备运行时产生的噪声，噪声源强约为</w:t>
            </w:r>
            <w:r>
              <w:rPr>
                <w:rFonts w:hint="eastAsia"/>
                <w:lang w:val="en-US" w:eastAsia="zh-CN"/>
              </w:rPr>
              <w:t>80</w:t>
            </w:r>
            <w:r>
              <w:rPr>
                <w:rFonts w:hint="eastAsia"/>
              </w:rPr>
              <w:t>-</w:t>
            </w:r>
            <w:r>
              <w:rPr>
                <w:rFonts w:hint="eastAsia"/>
                <w:lang w:val="en-US" w:eastAsia="zh-CN"/>
              </w:rPr>
              <w:t>95</w:t>
            </w:r>
            <w:r>
              <w:rPr>
                <w:rFonts w:hint="eastAsia"/>
              </w:rPr>
              <w:t>dB（A），选用低噪声设备，并对高噪声设备进行基础隔声、加装消音器、减振措施，厂房隔声措施可以确保厂界噪声达标。</w:t>
            </w:r>
          </w:p>
          <w:p>
            <w:pPr>
              <w:pStyle w:val="65"/>
            </w:pPr>
            <w:r>
              <w:rPr>
                <w:rFonts w:hint="eastAsia"/>
              </w:rPr>
              <w:t>表4.2-9   噪声源强及措施一览表</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4"/>
              <w:gridCol w:w="1887"/>
              <w:gridCol w:w="1666"/>
              <w:gridCol w:w="1496"/>
              <w:gridCol w:w="1595"/>
              <w:gridCol w:w="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383" w:type="pct"/>
                  <w:tcBorders>
                    <w:tl2br w:val="nil"/>
                    <w:tr2bl w:val="nil"/>
                  </w:tcBorders>
                  <w:vAlign w:val="center"/>
                </w:tcPr>
                <w:p>
                  <w:pPr>
                    <w:pStyle w:val="70"/>
                  </w:pPr>
                  <w:r>
                    <w:rPr>
                      <w:rFonts w:hint="eastAsia"/>
                    </w:rPr>
                    <w:t>类别</w:t>
                  </w:r>
                </w:p>
              </w:tc>
              <w:tc>
                <w:tcPr>
                  <w:tcW w:w="1141" w:type="pct"/>
                  <w:tcBorders>
                    <w:tl2br w:val="nil"/>
                    <w:tr2bl w:val="nil"/>
                  </w:tcBorders>
                  <w:vAlign w:val="center"/>
                </w:tcPr>
                <w:p>
                  <w:pPr>
                    <w:pStyle w:val="70"/>
                  </w:pPr>
                  <w:r>
                    <w:rPr>
                      <w:rFonts w:hint="eastAsia"/>
                    </w:rPr>
                    <w:t>污染源</w:t>
                  </w:r>
                </w:p>
              </w:tc>
              <w:tc>
                <w:tcPr>
                  <w:tcW w:w="1008" w:type="pct"/>
                  <w:tcBorders>
                    <w:tl2br w:val="nil"/>
                    <w:tr2bl w:val="nil"/>
                  </w:tcBorders>
                  <w:vAlign w:val="center"/>
                </w:tcPr>
                <w:p>
                  <w:pPr>
                    <w:pStyle w:val="70"/>
                  </w:pPr>
                  <w:r>
                    <w:rPr>
                      <w:rFonts w:hint="eastAsia"/>
                    </w:rPr>
                    <w:t>产生强度</w:t>
                  </w:r>
                </w:p>
                <w:p>
                  <w:pPr>
                    <w:pStyle w:val="70"/>
                  </w:pPr>
                  <w:r>
                    <w:rPr>
                      <w:rFonts w:hint="eastAsia"/>
                    </w:rPr>
                    <w:t>（</w:t>
                  </w:r>
                  <w:r>
                    <w:t>dB（A）</w:t>
                  </w:r>
                  <w:r>
                    <w:rPr>
                      <w:rFonts w:hint="eastAsia"/>
                    </w:rPr>
                    <w:t>）</w:t>
                  </w:r>
                </w:p>
              </w:tc>
              <w:tc>
                <w:tcPr>
                  <w:tcW w:w="905" w:type="pct"/>
                  <w:tcBorders>
                    <w:tl2br w:val="nil"/>
                    <w:tr2bl w:val="nil"/>
                  </w:tcBorders>
                  <w:vAlign w:val="center"/>
                </w:tcPr>
                <w:p>
                  <w:pPr>
                    <w:pStyle w:val="70"/>
                  </w:pPr>
                  <w:r>
                    <w:rPr>
                      <w:rFonts w:hint="eastAsia"/>
                    </w:rPr>
                    <w:t>治理措施</w:t>
                  </w:r>
                </w:p>
              </w:tc>
              <w:tc>
                <w:tcPr>
                  <w:tcW w:w="965" w:type="pct"/>
                  <w:tcBorders>
                    <w:tl2br w:val="nil"/>
                    <w:tr2bl w:val="nil"/>
                  </w:tcBorders>
                  <w:vAlign w:val="center"/>
                </w:tcPr>
                <w:p>
                  <w:pPr>
                    <w:pStyle w:val="70"/>
                  </w:pPr>
                  <w:r>
                    <w:rPr>
                      <w:rFonts w:hint="eastAsia"/>
                    </w:rPr>
                    <w:t>排放强度</w:t>
                  </w:r>
                </w:p>
                <w:p>
                  <w:pPr>
                    <w:pStyle w:val="70"/>
                  </w:pPr>
                  <w:r>
                    <w:rPr>
                      <w:rFonts w:hint="eastAsia"/>
                    </w:rPr>
                    <w:t>（</w:t>
                  </w:r>
                  <w:r>
                    <w:t>dB（A）</w:t>
                  </w:r>
                  <w:r>
                    <w:rPr>
                      <w:rFonts w:hint="eastAsia"/>
                    </w:rPr>
                    <w:t>）</w:t>
                  </w:r>
                </w:p>
              </w:tc>
              <w:tc>
                <w:tcPr>
                  <w:tcW w:w="596" w:type="pct"/>
                  <w:tcBorders>
                    <w:tl2br w:val="nil"/>
                    <w:tr2bl w:val="nil"/>
                  </w:tcBorders>
                  <w:vAlign w:val="center"/>
                </w:tcPr>
                <w:p>
                  <w:pPr>
                    <w:pStyle w:val="70"/>
                  </w:pPr>
                  <w:r>
                    <w:rPr>
                      <w:rFonts w:hint="eastAsia"/>
                    </w:rPr>
                    <w:t>排放</w:t>
                  </w:r>
                </w:p>
                <w:p>
                  <w:pPr>
                    <w:pStyle w:val="70"/>
                  </w:pPr>
                  <w:r>
                    <w:rPr>
                      <w:rFonts w:hint="eastAsia"/>
                    </w:rPr>
                    <w:t>规律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383" w:type="pct"/>
                  <w:vMerge w:val="restart"/>
                  <w:tcBorders>
                    <w:tl2br w:val="nil"/>
                    <w:tr2bl w:val="nil"/>
                  </w:tcBorders>
                  <w:vAlign w:val="center"/>
                </w:tcPr>
                <w:p>
                  <w:pPr>
                    <w:pStyle w:val="70"/>
                  </w:pPr>
                  <w:r>
                    <w:rPr>
                      <w:rFonts w:hint="eastAsia"/>
                    </w:rPr>
                    <w:t>设备噪声</w:t>
                  </w:r>
                </w:p>
              </w:tc>
              <w:tc>
                <w:tcPr>
                  <w:tcW w:w="1141" w:type="pct"/>
                  <w:tcBorders>
                    <w:tl2br w:val="nil"/>
                    <w:tr2bl w:val="nil"/>
                  </w:tcBorders>
                  <w:vAlign w:val="center"/>
                </w:tcPr>
                <w:p>
                  <w:pPr>
                    <w:pStyle w:val="70"/>
                    <w:rPr>
                      <w:rFonts w:hint="eastAsia" w:eastAsia="宋体"/>
                      <w:lang w:val="en-US" w:eastAsia="zh-CN"/>
                    </w:rPr>
                  </w:pPr>
                  <w:r>
                    <w:rPr>
                      <w:rFonts w:hint="eastAsia"/>
                      <w:lang w:val="en-US" w:eastAsia="zh-CN"/>
                    </w:rPr>
                    <w:t>破碎机</w:t>
                  </w:r>
                </w:p>
              </w:tc>
              <w:tc>
                <w:tcPr>
                  <w:tcW w:w="1008" w:type="pct"/>
                  <w:tcBorders>
                    <w:tl2br w:val="nil"/>
                    <w:tr2bl w:val="nil"/>
                  </w:tcBorders>
                  <w:vAlign w:val="center"/>
                </w:tcPr>
                <w:p>
                  <w:pPr>
                    <w:pStyle w:val="70"/>
                    <w:rPr>
                      <w:rFonts w:hint="default" w:eastAsia="宋体"/>
                      <w:lang w:val="en-US" w:eastAsia="zh-CN"/>
                    </w:rPr>
                  </w:pPr>
                  <w:r>
                    <w:rPr>
                      <w:rFonts w:hint="eastAsia"/>
                      <w:lang w:val="en-US" w:eastAsia="zh-CN"/>
                    </w:rPr>
                    <w:t>95</w:t>
                  </w:r>
                </w:p>
              </w:tc>
              <w:tc>
                <w:tcPr>
                  <w:tcW w:w="905" w:type="pct"/>
                  <w:vMerge w:val="restart"/>
                  <w:tcBorders>
                    <w:tl2br w:val="nil"/>
                    <w:tr2bl w:val="nil"/>
                  </w:tcBorders>
                  <w:vAlign w:val="center"/>
                </w:tcPr>
                <w:p>
                  <w:pPr>
                    <w:pStyle w:val="70"/>
                  </w:pPr>
                  <w:r>
                    <w:rPr>
                      <w:rFonts w:hint="eastAsia" w:ascii="Times New Roman" w:hAnsi="Times New Roman" w:eastAsia="宋体" w:cs="Times New Roman"/>
                    </w:rPr>
                    <w:t>选用低噪声设备，并对高噪声设备进行基础隔声、加装消音器、减振措施，厂房隔声</w:t>
                  </w:r>
                </w:p>
              </w:tc>
              <w:tc>
                <w:tcPr>
                  <w:tcW w:w="965" w:type="pct"/>
                  <w:tcBorders>
                    <w:tl2br w:val="nil"/>
                    <w:tr2bl w:val="nil"/>
                  </w:tcBorders>
                  <w:vAlign w:val="center"/>
                </w:tcPr>
                <w:p>
                  <w:pPr>
                    <w:pStyle w:val="70"/>
                    <w:rPr>
                      <w:rFonts w:hint="default" w:eastAsia="宋体"/>
                      <w:lang w:val="en-US" w:eastAsia="zh-CN"/>
                    </w:rPr>
                  </w:pPr>
                  <w:r>
                    <w:rPr>
                      <w:rFonts w:hint="eastAsia"/>
                      <w:lang w:val="en-US" w:eastAsia="zh-CN"/>
                    </w:rPr>
                    <w:t>53.1</w:t>
                  </w:r>
                </w:p>
              </w:tc>
              <w:tc>
                <w:tcPr>
                  <w:tcW w:w="596" w:type="pct"/>
                  <w:tcBorders>
                    <w:tl2br w:val="nil"/>
                    <w:tr2bl w:val="nil"/>
                  </w:tcBorders>
                  <w:vAlign w:val="center"/>
                </w:tcPr>
                <w:p>
                  <w:pPr>
                    <w:pStyle w:val="70"/>
                    <w:rPr>
                      <w:rFonts w:hint="eastAsia"/>
                    </w:rPr>
                  </w:pPr>
                  <w:r>
                    <w:t>连续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pPr>
                    <w:pStyle w:val="70"/>
                  </w:pPr>
                </w:p>
              </w:tc>
              <w:tc>
                <w:tcPr>
                  <w:tcW w:w="1141" w:type="pct"/>
                  <w:tcBorders>
                    <w:tl2br w:val="nil"/>
                    <w:tr2bl w:val="nil"/>
                  </w:tcBorders>
                  <w:vAlign w:val="center"/>
                </w:tcPr>
                <w:p>
                  <w:pPr>
                    <w:pStyle w:val="70"/>
                  </w:pPr>
                  <w:r>
                    <w:rPr>
                      <w:rFonts w:hint="eastAsia"/>
                      <w:lang w:val="en-US" w:eastAsia="zh-CN"/>
                    </w:rPr>
                    <w:t>锤片</w:t>
                  </w:r>
                  <w:r>
                    <w:rPr>
                      <w:rFonts w:hint="eastAsia"/>
                    </w:rPr>
                    <w:t>粉碎机</w:t>
                  </w:r>
                </w:p>
              </w:tc>
              <w:tc>
                <w:tcPr>
                  <w:tcW w:w="1008" w:type="pct"/>
                  <w:tcBorders>
                    <w:tl2br w:val="nil"/>
                    <w:tr2bl w:val="nil"/>
                  </w:tcBorders>
                  <w:vAlign w:val="center"/>
                </w:tcPr>
                <w:p>
                  <w:pPr>
                    <w:pStyle w:val="70"/>
                    <w:rPr>
                      <w:rFonts w:hint="default" w:eastAsia="宋体"/>
                      <w:lang w:val="en-US" w:eastAsia="zh-CN"/>
                    </w:rPr>
                  </w:pPr>
                  <w:r>
                    <w:rPr>
                      <w:rFonts w:hint="eastAsia"/>
                      <w:lang w:val="en-US" w:eastAsia="zh-CN"/>
                    </w:rPr>
                    <w:t>95</w:t>
                  </w:r>
                </w:p>
              </w:tc>
              <w:tc>
                <w:tcPr>
                  <w:tcW w:w="905" w:type="pct"/>
                  <w:vMerge w:val="continue"/>
                  <w:tcBorders>
                    <w:tl2br w:val="nil"/>
                    <w:tr2bl w:val="nil"/>
                  </w:tcBorders>
                  <w:vAlign w:val="center"/>
                </w:tcPr>
                <w:p>
                  <w:pPr>
                    <w:pStyle w:val="70"/>
                  </w:pPr>
                </w:p>
              </w:tc>
              <w:tc>
                <w:tcPr>
                  <w:tcW w:w="965" w:type="pct"/>
                  <w:tcBorders>
                    <w:tl2br w:val="nil"/>
                    <w:tr2bl w:val="nil"/>
                  </w:tcBorders>
                  <w:vAlign w:val="center"/>
                </w:tcPr>
                <w:p>
                  <w:pPr>
                    <w:pStyle w:val="70"/>
                    <w:rPr>
                      <w:rFonts w:hint="default" w:eastAsia="宋体"/>
                      <w:lang w:val="en-US" w:eastAsia="zh-CN"/>
                    </w:rPr>
                  </w:pPr>
                  <w:r>
                    <w:rPr>
                      <w:rFonts w:hint="eastAsia"/>
                      <w:lang w:val="en-US" w:eastAsia="zh-CN"/>
                    </w:rPr>
                    <w:t>53.1</w:t>
                  </w:r>
                </w:p>
              </w:tc>
              <w:tc>
                <w:tcPr>
                  <w:tcW w:w="596" w:type="pct"/>
                  <w:tcBorders>
                    <w:tl2br w:val="nil"/>
                    <w:tr2bl w:val="nil"/>
                  </w:tcBorders>
                  <w:vAlign w:val="center"/>
                </w:tcPr>
                <w:p>
                  <w:pPr>
                    <w:pStyle w:val="70"/>
                  </w:pPr>
                  <w:r>
                    <w:t>连续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pPr>
                    <w:pStyle w:val="70"/>
                  </w:pPr>
                </w:p>
              </w:tc>
              <w:tc>
                <w:tcPr>
                  <w:tcW w:w="1141" w:type="pct"/>
                  <w:tcBorders>
                    <w:tl2br w:val="nil"/>
                    <w:tr2bl w:val="nil"/>
                  </w:tcBorders>
                  <w:vAlign w:val="center"/>
                </w:tcPr>
                <w:p>
                  <w:pPr>
                    <w:pStyle w:val="70"/>
                  </w:pPr>
                  <w:r>
                    <w:rPr>
                      <w:rFonts w:hint="eastAsia"/>
                      <w:lang w:val="en-US" w:eastAsia="zh-CN"/>
                    </w:rPr>
                    <w:t>除尘</w:t>
                  </w:r>
                  <w:r>
                    <w:rPr>
                      <w:rFonts w:hint="eastAsia"/>
                    </w:rPr>
                    <w:t>风机</w:t>
                  </w:r>
                </w:p>
              </w:tc>
              <w:tc>
                <w:tcPr>
                  <w:tcW w:w="1008" w:type="pct"/>
                  <w:tcBorders>
                    <w:tl2br w:val="nil"/>
                    <w:tr2bl w:val="nil"/>
                  </w:tcBorders>
                  <w:vAlign w:val="center"/>
                </w:tcPr>
                <w:p>
                  <w:pPr>
                    <w:pStyle w:val="70"/>
                    <w:rPr>
                      <w:rFonts w:hint="default" w:eastAsia="宋体"/>
                      <w:lang w:val="en-US" w:eastAsia="zh-CN"/>
                    </w:rPr>
                  </w:pPr>
                  <w:r>
                    <w:rPr>
                      <w:rFonts w:hint="eastAsia"/>
                      <w:lang w:val="en-US" w:eastAsia="zh-CN"/>
                    </w:rPr>
                    <w:t>90</w:t>
                  </w:r>
                </w:p>
              </w:tc>
              <w:tc>
                <w:tcPr>
                  <w:tcW w:w="905" w:type="pct"/>
                  <w:vMerge w:val="continue"/>
                  <w:tcBorders>
                    <w:tl2br w:val="nil"/>
                    <w:tr2bl w:val="nil"/>
                  </w:tcBorders>
                  <w:vAlign w:val="center"/>
                </w:tcPr>
                <w:p>
                  <w:pPr>
                    <w:pStyle w:val="70"/>
                  </w:pPr>
                </w:p>
              </w:tc>
              <w:tc>
                <w:tcPr>
                  <w:tcW w:w="965" w:type="pct"/>
                  <w:tcBorders>
                    <w:tl2br w:val="nil"/>
                    <w:tr2bl w:val="nil"/>
                  </w:tcBorders>
                  <w:vAlign w:val="center"/>
                </w:tcPr>
                <w:p>
                  <w:pPr>
                    <w:pStyle w:val="70"/>
                    <w:rPr>
                      <w:rFonts w:hint="default" w:eastAsia="宋体"/>
                      <w:lang w:val="en-US" w:eastAsia="zh-CN"/>
                    </w:rPr>
                  </w:pPr>
                  <w:r>
                    <w:rPr>
                      <w:rFonts w:hint="eastAsia"/>
                      <w:lang w:val="en-US" w:eastAsia="zh-CN"/>
                    </w:rPr>
                    <w:t>48.1</w:t>
                  </w:r>
                </w:p>
              </w:tc>
              <w:tc>
                <w:tcPr>
                  <w:tcW w:w="596" w:type="pct"/>
                  <w:tcBorders>
                    <w:tl2br w:val="nil"/>
                    <w:tr2bl w:val="nil"/>
                  </w:tcBorders>
                  <w:vAlign w:val="center"/>
                </w:tcPr>
                <w:p>
                  <w:pPr>
                    <w:pStyle w:val="70"/>
                  </w:pPr>
                  <w:r>
                    <w:t>连续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pPr>
                    <w:pStyle w:val="70"/>
                  </w:pPr>
                </w:p>
              </w:tc>
              <w:tc>
                <w:tcPr>
                  <w:tcW w:w="1141" w:type="pct"/>
                  <w:tcBorders>
                    <w:tl2br w:val="nil"/>
                    <w:tr2bl w:val="nil"/>
                  </w:tcBorders>
                  <w:vAlign w:val="center"/>
                </w:tcPr>
                <w:p>
                  <w:pPr>
                    <w:pStyle w:val="70"/>
                    <w:rPr>
                      <w:rFonts w:hint="default"/>
                      <w:lang w:val="en-US" w:eastAsia="zh-CN"/>
                    </w:rPr>
                  </w:pPr>
                  <w:r>
                    <w:rPr>
                      <w:rFonts w:hint="eastAsia"/>
                      <w:lang w:val="en-US" w:eastAsia="zh-CN"/>
                    </w:rPr>
                    <w:t>空气振动器</w:t>
                  </w:r>
                </w:p>
              </w:tc>
              <w:tc>
                <w:tcPr>
                  <w:tcW w:w="1008" w:type="pct"/>
                  <w:tcBorders>
                    <w:tl2br w:val="nil"/>
                    <w:tr2bl w:val="nil"/>
                  </w:tcBorders>
                  <w:vAlign w:val="center"/>
                </w:tcPr>
                <w:p>
                  <w:pPr>
                    <w:pStyle w:val="70"/>
                    <w:rPr>
                      <w:rFonts w:hint="default" w:eastAsia="宋体"/>
                      <w:lang w:val="en-US" w:eastAsia="zh-CN"/>
                    </w:rPr>
                  </w:pPr>
                  <w:r>
                    <w:rPr>
                      <w:rFonts w:hint="eastAsia"/>
                      <w:lang w:val="en-US" w:eastAsia="zh-CN"/>
                    </w:rPr>
                    <w:t>80</w:t>
                  </w:r>
                </w:p>
              </w:tc>
              <w:tc>
                <w:tcPr>
                  <w:tcW w:w="905" w:type="pct"/>
                  <w:vMerge w:val="continue"/>
                  <w:tcBorders>
                    <w:tl2br w:val="nil"/>
                    <w:tr2bl w:val="nil"/>
                  </w:tcBorders>
                  <w:vAlign w:val="center"/>
                </w:tcPr>
                <w:p>
                  <w:pPr>
                    <w:pStyle w:val="70"/>
                  </w:pPr>
                </w:p>
              </w:tc>
              <w:tc>
                <w:tcPr>
                  <w:tcW w:w="965" w:type="pct"/>
                  <w:tcBorders>
                    <w:tl2br w:val="nil"/>
                    <w:tr2bl w:val="nil"/>
                  </w:tcBorders>
                  <w:vAlign w:val="center"/>
                </w:tcPr>
                <w:p>
                  <w:pPr>
                    <w:pStyle w:val="70"/>
                    <w:rPr>
                      <w:rFonts w:hint="default" w:eastAsia="宋体"/>
                      <w:lang w:val="en-US" w:eastAsia="zh-CN"/>
                    </w:rPr>
                  </w:pPr>
                  <w:r>
                    <w:rPr>
                      <w:rFonts w:hint="eastAsia"/>
                      <w:lang w:val="en-US" w:eastAsia="zh-CN"/>
                    </w:rPr>
                    <w:t>38.1</w:t>
                  </w:r>
                </w:p>
              </w:tc>
              <w:tc>
                <w:tcPr>
                  <w:tcW w:w="596" w:type="pct"/>
                  <w:tcBorders>
                    <w:tl2br w:val="nil"/>
                    <w:tr2bl w:val="nil"/>
                  </w:tcBorders>
                  <w:vAlign w:val="center"/>
                </w:tcPr>
                <w:p>
                  <w:pPr>
                    <w:pStyle w:val="70"/>
                  </w:pPr>
                  <w:r>
                    <w:t>连续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pPr>
                    <w:pStyle w:val="70"/>
                  </w:pPr>
                </w:p>
              </w:tc>
              <w:tc>
                <w:tcPr>
                  <w:tcW w:w="1141" w:type="pct"/>
                  <w:tcBorders>
                    <w:tl2br w:val="nil"/>
                    <w:tr2bl w:val="nil"/>
                  </w:tcBorders>
                  <w:vAlign w:val="center"/>
                </w:tcPr>
                <w:p>
                  <w:pPr>
                    <w:pStyle w:val="70"/>
                    <w:rPr>
                      <w:rFonts w:hint="default"/>
                      <w:lang w:val="en-US" w:eastAsia="zh-CN"/>
                    </w:rPr>
                  </w:pPr>
                  <w:r>
                    <w:rPr>
                      <w:rFonts w:hint="eastAsia"/>
                      <w:lang w:val="en-US" w:eastAsia="zh-CN"/>
                    </w:rPr>
                    <w:t>气锤</w:t>
                  </w:r>
                </w:p>
              </w:tc>
              <w:tc>
                <w:tcPr>
                  <w:tcW w:w="1008" w:type="pct"/>
                  <w:tcBorders>
                    <w:tl2br w:val="nil"/>
                    <w:tr2bl w:val="nil"/>
                  </w:tcBorders>
                  <w:vAlign w:val="center"/>
                </w:tcPr>
                <w:p>
                  <w:pPr>
                    <w:pStyle w:val="70"/>
                    <w:rPr>
                      <w:rFonts w:hint="default" w:eastAsia="宋体"/>
                      <w:lang w:val="en-US" w:eastAsia="zh-CN"/>
                    </w:rPr>
                  </w:pPr>
                  <w:r>
                    <w:rPr>
                      <w:rFonts w:hint="eastAsia"/>
                      <w:lang w:val="en-US" w:eastAsia="zh-CN"/>
                    </w:rPr>
                    <w:t>90</w:t>
                  </w:r>
                </w:p>
              </w:tc>
              <w:tc>
                <w:tcPr>
                  <w:tcW w:w="905" w:type="pct"/>
                  <w:vMerge w:val="continue"/>
                  <w:tcBorders>
                    <w:tl2br w:val="nil"/>
                    <w:tr2bl w:val="nil"/>
                  </w:tcBorders>
                  <w:vAlign w:val="center"/>
                </w:tcPr>
                <w:p>
                  <w:pPr>
                    <w:pStyle w:val="70"/>
                  </w:pPr>
                </w:p>
              </w:tc>
              <w:tc>
                <w:tcPr>
                  <w:tcW w:w="965" w:type="pct"/>
                  <w:tcBorders>
                    <w:tl2br w:val="nil"/>
                    <w:tr2bl w:val="nil"/>
                  </w:tcBorders>
                  <w:vAlign w:val="center"/>
                </w:tcPr>
                <w:p>
                  <w:pPr>
                    <w:pStyle w:val="70"/>
                    <w:rPr>
                      <w:rFonts w:hint="default" w:eastAsia="宋体"/>
                      <w:lang w:val="en-US" w:eastAsia="zh-CN"/>
                    </w:rPr>
                  </w:pPr>
                  <w:r>
                    <w:rPr>
                      <w:rFonts w:hint="eastAsia"/>
                      <w:lang w:val="en-US" w:eastAsia="zh-CN"/>
                    </w:rPr>
                    <w:t>48.2</w:t>
                  </w:r>
                </w:p>
              </w:tc>
              <w:tc>
                <w:tcPr>
                  <w:tcW w:w="596" w:type="pct"/>
                  <w:tcBorders>
                    <w:tl2br w:val="nil"/>
                    <w:tr2bl w:val="nil"/>
                  </w:tcBorders>
                  <w:vAlign w:val="center"/>
                </w:tcPr>
                <w:p>
                  <w:pPr>
                    <w:pStyle w:val="70"/>
                  </w:pPr>
                  <w:r>
                    <w:t>连续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pPr>
                    <w:pStyle w:val="70"/>
                  </w:pPr>
                </w:p>
              </w:tc>
              <w:tc>
                <w:tcPr>
                  <w:tcW w:w="1141" w:type="pct"/>
                  <w:tcBorders>
                    <w:tl2br w:val="nil"/>
                    <w:tr2bl w:val="nil"/>
                  </w:tcBorders>
                  <w:vAlign w:val="center"/>
                </w:tcPr>
                <w:p>
                  <w:pPr>
                    <w:pStyle w:val="70"/>
                    <w:rPr>
                      <w:rFonts w:hint="default"/>
                      <w:lang w:val="en-US" w:eastAsia="zh-CN"/>
                    </w:rPr>
                  </w:pPr>
                  <w:r>
                    <w:rPr>
                      <w:rFonts w:hint="eastAsia"/>
                      <w:lang w:val="en-US" w:eastAsia="zh-CN"/>
                    </w:rPr>
                    <w:t>无焰卸爆机</w:t>
                  </w:r>
                </w:p>
              </w:tc>
              <w:tc>
                <w:tcPr>
                  <w:tcW w:w="1008" w:type="pct"/>
                  <w:tcBorders>
                    <w:tl2br w:val="nil"/>
                    <w:tr2bl w:val="nil"/>
                  </w:tcBorders>
                  <w:vAlign w:val="center"/>
                </w:tcPr>
                <w:p>
                  <w:pPr>
                    <w:pStyle w:val="70"/>
                    <w:rPr>
                      <w:rFonts w:hint="default" w:eastAsia="宋体"/>
                      <w:lang w:val="en-US" w:eastAsia="zh-CN"/>
                    </w:rPr>
                  </w:pPr>
                  <w:r>
                    <w:rPr>
                      <w:rFonts w:hint="eastAsia"/>
                      <w:lang w:val="en-US" w:eastAsia="zh-CN"/>
                    </w:rPr>
                    <w:t>85</w:t>
                  </w:r>
                </w:p>
              </w:tc>
              <w:tc>
                <w:tcPr>
                  <w:tcW w:w="905" w:type="pct"/>
                  <w:vMerge w:val="continue"/>
                  <w:tcBorders>
                    <w:tl2br w:val="nil"/>
                    <w:tr2bl w:val="nil"/>
                  </w:tcBorders>
                  <w:vAlign w:val="center"/>
                </w:tcPr>
                <w:p>
                  <w:pPr>
                    <w:pStyle w:val="70"/>
                  </w:pPr>
                </w:p>
              </w:tc>
              <w:tc>
                <w:tcPr>
                  <w:tcW w:w="965" w:type="pct"/>
                  <w:tcBorders>
                    <w:tl2br w:val="nil"/>
                    <w:tr2bl w:val="nil"/>
                  </w:tcBorders>
                  <w:vAlign w:val="center"/>
                </w:tcPr>
                <w:p>
                  <w:pPr>
                    <w:pStyle w:val="70"/>
                    <w:rPr>
                      <w:rFonts w:hint="default" w:eastAsia="宋体"/>
                      <w:lang w:val="en-US" w:eastAsia="zh-CN"/>
                    </w:rPr>
                  </w:pPr>
                  <w:r>
                    <w:rPr>
                      <w:rFonts w:hint="eastAsia"/>
                      <w:lang w:val="en-US" w:eastAsia="zh-CN"/>
                    </w:rPr>
                    <w:t>43.1</w:t>
                  </w:r>
                </w:p>
              </w:tc>
              <w:tc>
                <w:tcPr>
                  <w:tcW w:w="596" w:type="pct"/>
                  <w:tcBorders>
                    <w:tl2br w:val="nil"/>
                    <w:tr2bl w:val="nil"/>
                  </w:tcBorders>
                  <w:vAlign w:val="center"/>
                </w:tcPr>
                <w:p>
                  <w:pPr>
                    <w:pStyle w:val="70"/>
                  </w:pPr>
                  <w:r>
                    <w:t>连续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pPr>
                    <w:pStyle w:val="70"/>
                  </w:pPr>
                </w:p>
              </w:tc>
              <w:tc>
                <w:tcPr>
                  <w:tcW w:w="1141" w:type="pct"/>
                  <w:tcBorders>
                    <w:tl2br w:val="nil"/>
                    <w:tr2bl w:val="nil"/>
                  </w:tcBorders>
                  <w:vAlign w:val="center"/>
                </w:tcPr>
                <w:p>
                  <w:pPr>
                    <w:pStyle w:val="70"/>
                    <w:rPr>
                      <w:rFonts w:hint="default"/>
                      <w:lang w:val="en-US" w:eastAsia="zh-CN"/>
                    </w:rPr>
                  </w:pPr>
                  <w:r>
                    <w:rPr>
                      <w:rFonts w:hint="eastAsia"/>
                      <w:color w:val="auto"/>
                    </w:rPr>
                    <w:t>燃气蒸汽锅炉</w:t>
                  </w:r>
                </w:p>
              </w:tc>
              <w:tc>
                <w:tcPr>
                  <w:tcW w:w="1008" w:type="pct"/>
                  <w:tcBorders>
                    <w:tl2br w:val="nil"/>
                    <w:tr2bl w:val="nil"/>
                  </w:tcBorders>
                  <w:vAlign w:val="center"/>
                </w:tcPr>
                <w:p>
                  <w:pPr>
                    <w:pStyle w:val="70"/>
                    <w:rPr>
                      <w:rFonts w:hint="default" w:eastAsia="宋体"/>
                      <w:lang w:val="en-US" w:eastAsia="zh-CN"/>
                    </w:rPr>
                  </w:pPr>
                  <w:r>
                    <w:rPr>
                      <w:rFonts w:hint="eastAsia"/>
                      <w:lang w:val="en-US" w:eastAsia="zh-CN"/>
                    </w:rPr>
                    <w:t>80</w:t>
                  </w:r>
                </w:p>
              </w:tc>
              <w:tc>
                <w:tcPr>
                  <w:tcW w:w="905" w:type="pct"/>
                  <w:vMerge w:val="continue"/>
                  <w:tcBorders>
                    <w:tl2br w:val="nil"/>
                    <w:tr2bl w:val="nil"/>
                  </w:tcBorders>
                  <w:vAlign w:val="center"/>
                </w:tcPr>
                <w:p>
                  <w:pPr>
                    <w:pStyle w:val="70"/>
                  </w:pPr>
                </w:p>
              </w:tc>
              <w:tc>
                <w:tcPr>
                  <w:tcW w:w="965" w:type="pct"/>
                  <w:tcBorders>
                    <w:tl2br w:val="nil"/>
                    <w:tr2bl w:val="nil"/>
                  </w:tcBorders>
                  <w:vAlign w:val="center"/>
                </w:tcPr>
                <w:p>
                  <w:pPr>
                    <w:pStyle w:val="70"/>
                    <w:rPr>
                      <w:rFonts w:hint="default" w:eastAsia="宋体"/>
                      <w:lang w:val="en-US" w:eastAsia="zh-CN"/>
                    </w:rPr>
                  </w:pPr>
                  <w:r>
                    <w:rPr>
                      <w:rFonts w:hint="eastAsia"/>
                      <w:lang w:val="en-US" w:eastAsia="zh-CN"/>
                    </w:rPr>
                    <w:t>38.1</w:t>
                  </w:r>
                </w:p>
              </w:tc>
              <w:tc>
                <w:tcPr>
                  <w:tcW w:w="596" w:type="pct"/>
                  <w:tcBorders>
                    <w:tl2br w:val="nil"/>
                    <w:tr2bl w:val="nil"/>
                  </w:tcBorders>
                  <w:vAlign w:val="center"/>
                </w:tcPr>
                <w:p>
                  <w:pPr>
                    <w:pStyle w:val="70"/>
                  </w:pPr>
                  <w:r>
                    <w:t>连续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pPr>
                    <w:pStyle w:val="70"/>
                  </w:pPr>
                </w:p>
              </w:tc>
              <w:tc>
                <w:tcPr>
                  <w:tcW w:w="1141" w:type="pct"/>
                  <w:tcBorders>
                    <w:tl2br w:val="nil"/>
                    <w:tr2bl w:val="nil"/>
                  </w:tcBorders>
                  <w:vAlign w:val="center"/>
                </w:tcPr>
                <w:p>
                  <w:pPr>
                    <w:pStyle w:val="70"/>
                    <w:rPr>
                      <w:rFonts w:hint="eastAsia" w:eastAsia="宋体"/>
                      <w:color w:val="auto"/>
                      <w:lang w:val="en-US" w:eastAsia="zh-CN"/>
                    </w:rPr>
                  </w:pPr>
                  <w:r>
                    <w:rPr>
                      <w:rFonts w:hint="eastAsia"/>
                      <w:color w:val="auto"/>
                      <w:lang w:val="en-US" w:eastAsia="zh-CN"/>
                    </w:rPr>
                    <w:t>铲车</w:t>
                  </w:r>
                </w:p>
              </w:tc>
              <w:tc>
                <w:tcPr>
                  <w:tcW w:w="1008" w:type="pct"/>
                  <w:tcBorders>
                    <w:tl2br w:val="nil"/>
                    <w:tr2bl w:val="nil"/>
                  </w:tcBorders>
                  <w:vAlign w:val="center"/>
                </w:tcPr>
                <w:p>
                  <w:pPr>
                    <w:pStyle w:val="70"/>
                    <w:rPr>
                      <w:rFonts w:hint="default" w:eastAsia="宋体"/>
                      <w:lang w:val="en-US" w:eastAsia="zh-CN"/>
                    </w:rPr>
                  </w:pPr>
                  <w:r>
                    <w:rPr>
                      <w:rFonts w:hint="eastAsia"/>
                      <w:lang w:val="en-US" w:eastAsia="zh-CN"/>
                    </w:rPr>
                    <w:t>85</w:t>
                  </w:r>
                </w:p>
              </w:tc>
              <w:tc>
                <w:tcPr>
                  <w:tcW w:w="905" w:type="pct"/>
                  <w:vMerge w:val="continue"/>
                  <w:tcBorders>
                    <w:tl2br w:val="nil"/>
                    <w:tr2bl w:val="nil"/>
                  </w:tcBorders>
                  <w:vAlign w:val="center"/>
                </w:tcPr>
                <w:p>
                  <w:pPr>
                    <w:pStyle w:val="70"/>
                  </w:pPr>
                </w:p>
              </w:tc>
              <w:tc>
                <w:tcPr>
                  <w:tcW w:w="1595" w:type="dxa"/>
                  <w:tcBorders>
                    <w:tl2br w:val="nil"/>
                    <w:tr2bl w:val="nil"/>
                  </w:tcBorders>
                  <w:vAlign w:val="center"/>
                </w:tcPr>
                <w:p>
                  <w:pPr>
                    <w:pStyle w:val="70"/>
                    <w:ind w:firstLine="0" w:firstLineChars="0"/>
                    <w:rPr>
                      <w:rFonts w:hint="eastAsia"/>
                    </w:rPr>
                  </w:pPr>
                  <w:r>
                    <w:rPr>
                      <w:rFonts w:hint="eastAsia"/>
                      <w:lang w:val="en-US" w:eastAsia="zh-CN"/>
                    </w:rPr>
                    <w:t>43.1</w:t>
                  </w:r>
                </w:p>
              </w:tc>
              <w:tc>
                <w:tcPr>
                  <w:tcW w:w="596" w:type="pct"/>
                  <w:tcBorders>
                    <w:tl2br w:val="nil"/>
                    <w:tr2bl w:val="nil"/>
                  </w:tcBorders>
                  <w:vAlign w:val="center"/>
                </w:tcPr>
                <w:p>
                  <w:pPr>
                    <w:pStyle w:val="70"/>
                  </w:pPr>
                  <w:r>
                    <w:t>连续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pPr>
                    <w:pStyle w:val="70"/>
                  </w:pPr>
                </w:p>
              </w:tc>
              <w:tc>
                <w:tcPr>
                  <w:tcW w:w="1141" w:type="pct"/>
                  <w:tcBorders>
                    <w:tl2br w:val="nil"/>
                    <w:tr2bl w:val="nil"/>
                  </w:tcBorders>
                  <w:vAlign w:val="center"/>
                </w:tcPr>
                <w:p>
                  <w:pPr>
                    <w:pStyle w:val="70"/>
                  </w:pPr>
                  <w:r>
                    <w:rPr>
                      <w:rFonts w:hint="eastAsia"/>
                    </w:rPr>
                    <w:t>叉车</w:t>
                  </w:r>
                </w:p>
              </w:tc>
              <w:tc>
                <w:tcPr>
                  <w:tcW w:w="1008" w:type="pct"/>
                  <w:tcBorders>
                    <w:tl2br w:val="nil"/>
                    <w:tr2bl w:val="nil"/>
                  </w:tcBorders>
                  <w:vAlign w:val="center"/>
                </w:tcPr>
                <w:p>
                  <w:pPr>
                    <w:pStyle w:val="70"/>
                    <w:rPr>
                      <w:rFonts w:hint="default" w:eastAsia="宋体"/>
                      <w:lang w:val="en-US" w:eastAsia="zh-CN"/>
                    </w:rPr>
                  </w:pPr>
                  <w:r>
                    <w:rPr>
                      <w:rFonts w:hint="eastAsia"/>
                      <w:lang w:val="en-US" w:eastAsia="zh-CN"/>
                    </w:rPr>
                    <w:t>80</w:t>
                  </w:r>
                </w:p>
              </w:tc>
              <w:tc>
                <w:tcPr>
                  <w:tcW w:w="905" w:type="pct"/>
                  <w:vMerge w:val="continue"/>
                  <w:tcBorders>
                    <w:tl2br w:val="nil"/>
                    <w:tr2bl w:val="nil"/>
                  </w:tcBorders>
                  <w:vAlign w:val="center"/>
                </w:tcPr>
                <w:p>
                  <w:pPr>
                    <w:pStyle w:val="70"/>
                  </w:pPr>
                </w:p>
              </w:tc>
              <w:tc>
                <w:tcPr>
                  <w:tcW w:w="1595" w:type="dxa"/>
                  <w:tcBorders>
                    <w:tl2br w:val="nil"/>
                    <w:tr2bl w:val="nil"/>
                  </w:tcBorders>
                  <w:vAlign w:val="center"/>
                </w:tcPr>
                <w:p>
                  <w:pPr>
                    <w:pStyle w:val="70"/>
                    <w:ind w:firstLine="0" w:firstLineChars="0"/>
                  </w:pPr>
                  <w:r>
                    <w:rPr>
                      <w:rFonts w:hint="eastAsia"/>
                      <w:lang w:val="en-US" w:eastAsia="zh-CN"/>
                    </w:rPr>
                    <w:t>38.1</w:t>
                  </w:r>
                </w:p>
              </w:tc>
              <w:tc>
                <w:tcPr>
                  <w:tcW w:w="596" w:type="pct"/>
                  <w:tcBorders>
                    <w:tl2br w:val="nil"/>
                    <w:tr2bl w:val="nil"/>
                  </w:tcBorders>
                  <w:vAlign w:val="center"/>
                </w:tcPr>
                <w:p>
                  <w:pPr>
                    <w:pStyle w:val="70"/>
                  </w:pPr>
                  <w:r>
                    <w:t>连续</w:t>
                  </w:r>
                </w:p>
              </w:tc>
            </w:tr>
          </w:tbl>
          <w:p>
            <w:pPr>
              <w:ind w:firstLine="480"/>
            </w:pPr>
            <w:r>
              <w:rPr>
                <w:rFonts w:hint="eastAsia"/>
              </w:rPr>
              <w:t>本项目按《环境影响评价技术导则 声环境》（HJ2.4-2021）的规定，机械设备可简化为点声源。选用点源模式，根据噪声衰减特性，分别预测分析其在评价范围内产生的噪声声级。分别以到达东、西、南、北各厂界及周边敏感目标噪声贡献值，分析其噪声达标及区域声污染情况。</w:t>
            </w:r>
          </w:p>
          <w:p>
            <w:pPr>
              <w:pStyle w:val="65"/>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heme="minorBidi"/>
                <w:b/>
                <w:color w:val="000000" w:themeColor="text1"/>
                <w:kern w:val="2"/>
                <w:sz w:val="21"/>
                <w:szCs w:val="22"/>
                <w:lang w:val="en-US" w:eastAsia="zh-CN" w:bidi="ar-SA"/>
                <w14:textFill>
                  <w14:solidFill>
                    <w14:schemeClr w14:val="tx1"/>
                  </w14:solidFill>
                </w14:textFill>
              </w:rPr>
            </w:pPr>
            <w:r>
              <w:rPr>
                <w:rFonts w:hint="eastAsia"/>
              </w:rPr>
              <w:t>表4.2</w:t>
            </w:r>
            <w:r>
              <w:t>-</w:t>
            </w:r>
            <w:r>
              <w:rPr>
                <w:rFonts w:hint="eastAsia"/>
              </w:rPr>
              <w:t xml:space="preserve">10   </w:t>
            </w:r>
            <w:r>
              <w:rPr>
                <w:rFonts w:ascii="Times New Roman" w:hAnsi="Times New Roman" w:eastAsia="宋体" w:cstheme="minorBidi"/>
                <w:b/>
                <w:color w:val="000000" w:themeColor="text1"/>
                <w:kern w:val="2"/>
                <w:sz w:val="21"/>
                <w:szCs w:val="22"/>
                <w:lang w:val="en-US" w:eastAsia="zh-CN" w:bidi="ar-SA"/>
                <w14:textFill>
                  <w14:solidFill>
                    <w14:schemeClr w14:val="tx1"/>
                  </w14:solidFill>
                </w14:textFill>
              </w:rPr>
              <w:t>工业企业噪声源强调查清单（室内声源）</w:t>
            </w:r>
          </w:p>
          <w:tbl>
            <w:tblPr>
              <w:tblStyle w:val="27"/>
              <w:tblW w:w="8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362"/>
              <w:gridCol w:w="275"/>
              <w:gridCol w:w="438"/>
              <w:gridCol w:w="387"/>
              <w:gridCol w:w="288"/>
              <w:gridCol w:w="425"/>
              <w:gridCol w:w="375"/>
              <w:gridCol w:w="325"/>
              <w:gridCol w:w="350"/>
              <w:gridCol w:w="337"/>
              <w:gridCol w:w="350"/>
              <w:gridCol w:w="375"/>
              <w:gridCol w:w="325"/>
              <w:gridCol w:w="325"/>
              <w:gridCol w:w="375"/>
              <w:gridCol w:w="350"/>
              <w:gridCol w:w="338"/>
              <w:gridCol w:w="325"/>
              <w:gridCol w:w="400"/>
              <w:gridCol w:w="337"/>
              <w:gridCol w:w="338"/>
              <w:gridCol w:w="337"/>
              <w:gridCol w:w="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trPr>
              <w:tc>
                <w:tcPr>
                  <w:tcW w:w="313" w:type="dxa"/>
                  <w:vMerge w:val="restart"/>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bookmarkStart w:id="36" w:name="PT_6"/>
                  <w:r>
                    <w:rPr>
                      <w:sz w:val="18"/>
                      <w:szCs w:val="18"/>
                    </w:rPr>
                    <w:t>建筑物名称</w:t>
                  </w:r>
                </w:p>
              </w:tc>
              <w:tc>
                <w:tcPr>
                  <w:tcW w:w="362" w:type="dxa"/>
                  <w:vMerge w:val="restart"/>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声源名称</w:t>
                  </w:r>
                </w:p>
              </w:tc>
              <w:tc>
                <w:tcPr>
                  <w:tcW w:w="275" w:type="dxa"/>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lang w:eastAsia="zh-CN"/>
                    </w:rPr>
                  </w:pPr>
                  <w:r>
                    <w:rPr>
                      <w:sz w:val="18"/>
                      <w:szCs w:val="18"/>
                      <w:lang w:eastAsia="zh-CN"/>
                    </w:rPr>
                    <w:t>声源源强</w:t>
                  </w:r>
                </w:p>
              </w:tc>
              <w:tc>
                <w:tcPr>
                  <w:tcW w:w="1113" w:type="dxa"/>
                  <w:gridSpan w:val="3"/>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空间相对位置/m</w:t>
                  </w:r>
                </w:p>
              </w:tc>
              <w:tc>
                <w:tcPr>
                  <w:tcW w:w="1475" w:type="dxa"/>
                  <w:gridSpan w:val="4"/>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距室内边界距离/m</w:t>
                  </w:r>
                </w:p>
              </w:tc>
              <w:tc>
                <w:tcPr>
                  <w:tcW w:w="1387" w:type="dxa"/>
                  <w:gridSpan w:val="4"/>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室内边界声级/dB(A)</w:t>
                  </w:r>
                </w:p>
              </w:tc>
              <w:tc>
                <w:tcPr>
                  <w:tcW w:w="325" w:type="dxa"/>
                  <w:vMerge w:val="restart"/>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运行时段</w:t>
                  </w:r>
                </w:p>
              </w:tc>
              <w:tc>
                <w:tcPr>
                  <w:tcW w:w="1388" w:type="dxa"/>
                  <w:gridSpan w:val="4"/>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建筑物插入损失/ dB(A)</w:t>
                  </w:r>
                  <w:bookmarkStart w:id="37" w:name="PT_10"/>
                  <w:bookmarkEnd w:id="37"/>
                </w:p>
              </w:tc>
              <w:tc>
                <w:tcPr>
                  <w:tcW w:w="1675" w:type="dxa"/>
                  <w:gridSpan w:val="5"/>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vMerge w:val="continue"/>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2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声功率级/dB(A)</w:t>
                  </w:r>
                </w:p>
              </w:tc>
              <w:tc>
                <w:tcPr>
                  <w:tcW w:w="4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X</w:t>
                  </w:r>
                </w:p>
              </w:tc>
              <w:tc>
                <w:tcPr>
                  <w:tcW w:w="38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Y</w:t>
                  </w:r>
                </w:p>
              </w:tc>
              <w:tc>
                <w:tcPr>
                  <w:tcW w:w="28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Z</w:t>
                  </w:r>
                </w:p>
              </w:tc>
              <w:tc>
                <w:tcPr>
                  <w:tcW w:w="4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东</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南</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西</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北</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东</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南</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西</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北</w:t>
                  </w:r>
                </w:p>
              </w:tc>
              <w:tc>
                <w:tcPr>
                  <w:tcW w:w="325" w:type="dxa"/>
                  <w:vMerge w:val="continue"/>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东</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南</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西</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北</w:t>
                  </w:r>
                </w:p>
              </w:tc>
              <w:tc>
                <w:tcPr>
                  <w:tcW w:w="40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东</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南</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西</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北</w:t>
                  </w:r>
                </w:p>
              </w:tc>
              <w:tc>
                <w:tcPr>
                  <w:tcW w:w="263"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restart"/>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jc w:val="both"/>
                    <w:textAlignment w:val="bottom"/>
                    <w:rPr>
                      <w:rFonts w:hint="default" w:eastAsia="宋体"/>
                      <w:sz w:val="18"/>
                      <w:szCs w:val="18"/>
                      <w:lang w:val="en-US" w:eastAsia="zh-CN"/>
                    </w:rPr>
                  </w:pPr>
                  <w:r>
                    <w:rPr>
                      <w:rFonts w:hint="eastAsia"/>
                      <w:sz w:val="18"/>
                      <w:szCs w:val="18"/>
                      <w:lang w:val="en-US" w:eastAsia="zh-CN"/>
                    </w:rPr>
                    <w:t>厂房</w:t>
                  </w:r>
                </w:p>
              </w:tc>
              <w:tc>
                <w:tcPr>
                  <w:tcW w:w="362"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破碎机</w:t>
                  </w:r>
                </w:p>
              </w:tc>
              <w:tc>
                <w:tcPr>
                  <w:tcW w:w="2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95</w:t>
                  </w:r>
                </w:p>
              </w:tc>
              <w:tc>
                <w:tcPr>
                  <w:tcW w:w="4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-46.8</w:t>
                  </w:r>
                </w:p>
              </w:tc>
              <w:tc>
                <w:tcPr>
                  <w:tcW w:w="38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-79.5</w:t>
                  </w:r>
                </w:p>
              </w:tc>
              <w:tc>
                <w:tcPr>
                  <w:tcW w:w="28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101.1</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17.5</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34.4</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59.3</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263"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锤片粉碎机</w:t>
                  </w:r>
                </w:p>
              </w:tc>
              <w:tc>
                <w:tcPr>
                  <w:tcW w:w="2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95</w:t>
                  </w:r>
                </w:p>
              </w:tc>
              <w:tc>
                <w:tcPr>
                  <w:tcW w:w="4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-40.6</w:t>
                  </w:r>
                </w:p>
              </w:tc>
              <w:tc>
                <w:tcPr>
                  <w:tcW w:w="38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-39.7</w:t>
                  </w:r>
                </w:p>
              </w:tc>
              <w:tc>
                <w:tcPr>
                  <w:tcW w:w="28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97.6</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57.6</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30.8</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19.3</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263"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除尘风机</w:t>
                  </w:r>
                </w:p>
              </w:tc>
              <w:tc>
                <w:tcPr>
                  <w:tcW w:w="2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90</w:t>
                  </w:r>
                </w:p>
              </w:tc>
              <w:tc>
                <w:tcPr>
                  <w:tcW w:w="4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35.8</w:t>
                  </w:r>
                </w:p>
              </w:tc>
              <w:tc>
                <w:tcPr>
                  <w:tcW w:w="38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-90.3</w:t>
                  </w:r>
                </w:p>
              </w:tc>
              <w:tc>
                <w:tcPr>
                  <w:tcW w:w="28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18.0</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10.6</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48.7</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66.2</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74.1</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74.2</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48.2</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48.1</w:t>
                  </w:r>
                </w:p>
              </w:tc>
              <w:tc>
                <w:tcPr>
                  <w:tcW w:w="263"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空气振动器</w:t>
                  </w:r>
                </w:p>
              </w:tc>
              <w:tc>
                <w:tcPr>
                  <w:tcW w:w="2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80</w:t>
                  </w:r>
                </w:p>
              </w:tc>
              <w:tc>
                <w:tcPr>
                  <w:tcW w:w="4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3.3</w:t>
                  </w:r>
                </w:p>
              </w:tc>
              <w:tc>
                <w:tcPr>
                  <w:tcW w:w="38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23.2</w:t>
                  </w:r>
                </w:p>
              </w:tc>
              <w:tc>
                <w:tcPr>
                  <w:tcW w:w="28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58.0</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122.4</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8.8</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45.6</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64.3</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38.3</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263"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气锤</w:t>
                  </w:r>
                </w:p>
              </w:tc>
              <w:tc>
                <w:tcPr>
                  <w:tcW w:w="2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90</w:t>
                  </w:r>
                </w:p>
              </w:tc>
              <w:tc>
                <w:tcPr>
                  <w:tcW w:w="4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7.7</w:t>
                  </w:r>
                </w:p>
              </w:tc>
              <w:tc>
                <w:tcPr>
                  <w:tcW w:w="38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-37.8</w:t>
                  </w:r>
                </w:p>
              </w:tc>
              <w:tc>
                <w:tcPr>
                  <w:tcW w:w="28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49.5</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61.7</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17.2</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15.1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74.1</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74.1</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74.2</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48.1</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48.2</w:t>
                  </w:r>
                </w:p>
              </w:tc>
              <w:tc>
                <w:tcPr>
                  <w:tcW w:w="263"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无焰卸爆机</w:t>
                  </w:r>
                </w:p>
              </w:tc>
              <w:tc>
                <w:tcPr>
                  <w:tcW w:w="2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85</w:t>
                  </w:r>
                </w:p>
              </w:tc>
              <w:tc>
                <w:tcPr>
                  <w:tcW w:w="4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-1.1</w:t>
                  </w:r>
                </w:p>
              </w:tc>
              <w:tc>
                <w:tcPr>
                  <w:tcW w:w="38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60.9</w:t>
                  </w:r>
                </w:p>
              </w:tc>
              <w:tc>
                <w:tcPr>
                  <w:tcW w:w="28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64.8</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159.8</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1.9</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83.0</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71.8</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45.8</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263"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燃气蒸汽锅炉</w:t>
                  </w:r>
                </w:p>
              </w:tc>
              <w:tc>
                <w:tcPr>
                  <w:tcW w:w="2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80</w:t>
                  </w:r>
                </w:p>
              </w:tc>
              <w:tc>
                <w:tcPr>
                  <w:tcW w:w="4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-5.5</w:t>
                  </w:r>
                </w:p>
              </w:tc>
              <w:tc>
                <w:tcPr>
                  <w:tcW w:w="38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-116.1</w:t>
                  </w:r>
                </w:p>
              </w:tc>
              <w:tc>
                <w:tcPr>
                  <w:tcW w:w="28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57.5</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17.1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9.2</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93.9</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64.2</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38.2</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263"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铲车</w:t>
                  </w:r>
                </w:p>
              </w:tc>
              <w:tc>
                <w:tcPr>
                  <w:tcW w:w="2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85</w:t>
                  </w:r>
                </w:p>
              </w:tc>
              <w:tc>
                <w:tcPr>
                  <w:tcW w:w="4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39.1</w:t>
                  </w:r>
                </w:p>
              </w:tc>
              <w:tc>
                <w:tcPr>
                  <w:tcW w:w="38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17.7</w:t>
                  </w:r>
                </w:p>
              </w:tc>
              <w:tc>
                <w:tcPr>
                  <w:tcW w:w="28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21.9</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118.6</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44.8</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41.7</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263"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叉车</w:t>
                  </w:r>
                </w:p>
              </w:tc>
              <w:tc>
                <w:tcPr>
                  <w:tcW w:w="2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80</w:t>
                  </w:r>
                </w:p>
              </w:tc>
              <w:tc>
                <w:tcPr>
                  <w:tcW w:w="4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-28</w:t>
                  </w:r>
                </w:p>
              </w:tc>
              <w:tc>
                <w:tcPr>
                  <w:tcW w:w="38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-59.2</w:t>
                  </w:r>
                </w:p>
              </w:tc>
              <w:tc>
                <w:tcPr>
                  <w:tcW w:w="28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83.7</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38.7</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17.0</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8"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7"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263" w:type="dxa"/>
                  <w:shd w:val="clear" w:color="auto" w:fill="FFFFFF"/>
                  <w:tcMar>
                    <w:top w:w="0" w:type="dxa"/>
                    <w:left w:w="0" w:type="dxa"/>
                    <w:bottom w:w="0" w:type="dxa"/>
                    <w:right w:w="0" w:type="dxa"/>
                  </w:tcMar>
                  <w:vAlign w:val="center"/>
                </w:tcPr>
                <w:p>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bookmarkEnd w:id="36"/>
          </w:tbl>
          <w:p>
            <w:pPr>
              <w:numPr>
                <w:ilvl w:val="0"/>
                <w:numId w:val="4"/>
              </w:numPr>
              <w:rPr>
                <w:rFonts w:hint="eastAsia"/>
                <w:lang w:val="en-US" w:eastAsia="zh-CN"/>
              </w:rPr>
            </w:pPr>
            <w:r>
              <w:rPr>
                <w:rFonts w:hint="eastAsia"/>
                <w:lang w:val="en-US" w:eastAsia="zh-CN"/>
              </w:rPr>
              <w:t>噪声预测模式</w:t>
            </w:r>
          </w:p>
          <w:p>
            <w:pPr>
              <w:ind w:firstLine="480"/>
              <w:rPr>
                <w:rFonts w:cs="Times New Roman"/>
              </w:rPr>
            </w:pPr>
            <w:r>
              <w:rPr>
                <w:rFonts w:cs="Times New Roman"/>
              </w:rPr>
              <w:t>为判定营运期厂界噪声达标情况，</w:t>
            </w:r>
            <w:r>
              <w:rPr>
                <w:rFonts w:ascii="Times New Roman" w:hAnsi="Times New Roman" w:cs="Times New Roman" w:eastAsiaTheme="minorEastAsia"/>
                <w:color w:val="302116"/>
                <w:sz w:val="24"/>
                <w:szCs w:val="24"/>
                <w:lang w:eastAsia="zh-CN"/>
              </w:rPr>
              <w:t>根据项目建设内容及《环境影响评价技术导则—声环境》（HJ2.4-2021）的要求，项目环评采用的模型为《环境影响评价技术导则 声环境》(HJ2.4.2021)附录A（规范性附录）户外声传播的衰减和附录B（规范性附录）中</w:t>
            </w:r>
            <w:r>
              <w:rPr>
                <w:rFonts w:hint="eastAsia" w:cs="Times New Roman" w:eastAsiaTheme="minorEastAsia"/>
                <w:color w:val="302116"/>
                <w:sz w:val="24"/>
                <w:szCs w:val="24"/>
                <w:lang w:eastAsia="zh-CN"/>
              </w:rPr>
              <w:t>“</w:t>
            </w:r>
            <w:r>
              <w:rPr>
                <w:rFonts w:ascii="Times New Roman" w:hAnsi="Times New Roman" w:cs="Times New Roman" w:eastAsiaTheme="minorEastAsia"/>
                <w:color w:val="302116"/>
                <w:sz w:val="24"/>
                <w:szCs w:val="24"/>
                <w:lang w:eastAsia="zh-CN"/>
              </w:rPr>
              <w:t>B.1工业噪声预测计算模型</w:t>
            </w:r>
            <w:r>
              <w:rPr>
                <w:rFonts w:hint="eastAsia" w:cs="Times New Roman" w:eastAsiaTheme="minorEastAsia"/>
                <w:color w:val="302116"/>
                <w:sz w:val="24"/>
                <w:szCs w:val="24"/>
                <w:lang w:eastAsia="zh-CN"/>
              </w:rPr>
              <w:t>”</w:t>
            </w:r>
            <w:r>
              <w:rPr>
                <w:rFonts w:cs="Times New Roman"/>
              </w:rPr>
              <w:t>。</w:t>
            </w:r>
          </w:p>
          <w:p>
            <w:pPr>
              <w:widowControl/>
              <w:ind w:firstLine="480"/>
              <w:jc w:val="left"/>
              <w:rPr>
                <w:rFonts w:cs="Times New Roman"/>
                <w:bCs/>
              </w:rPr>
            </w:pPr>
            <w:r>
              <w:rPr>
                <w:rFonts w:cs="Times New Roman"/>
                <w:bCs/>
              </w:rPr>
              <w:t>对室外噪声源主要考虑噪声的几何发散衰减及</w:t>
            </w:r>
            <w:bookmarkStart w:id="38" w:name="OLE_LINK4"/>
            <w:r>
              <w:rPr>
                <w:rFonts w:cs="Times New Roman"/>
                <w:bCs/>
              </w:rPr>
              <w:t>环境因</w:t>
            </w:r>
            <w:bookmarkEnd w:id="38"/>
            <w:r>
              <w:rPr>
                <w:rFonts w:cs="Times New Roman"/>
                <w:bCs/>
              </w:rPr>
              <w:t>素衰减：</w:t>
            </w:r>
          </w:p>
          <w:p>
            <w:pPr>
              <w:widowControl/>
              <w:ind w:firstLine="199" w:firstLineChars="83"/>
              <w:jc w:val="center"/>
              <w:rPr>
                <w:rFonts w:cs="Times New Roman"/>
                <w:bCs/>
              </w:rPr>
            </w:pPr>
            <w:r>
              <w:rPr>
                <w:rFonts w:cs="Times New Roman"/>
                <w:bCs/>
              </w:rPr>
              <w:t>L</w:t>
            </w:r>
            <w:r>
              <w:rPr>
                <w:rFonts w:cs="Times New Roman"/>
                <w:bCs/>
                <w:vertAlign w:val="subscript"/>
              </w:rPr>
              <w:t>A</w:t>
            </w:r>
            <w:r>
              <w:rPr>
                <w:rFonts w:cs="Times New Roman"/>
                <w:bCs/>
              </w:rPr>
              <w:t>(r)=LA(r</w:t>
            </w:r>
            <w:r>
              <w:rPr>
                <w:rFonts w:cs="Times New Roman"/>
                <w:bCs/>
                <w:vertAlign w:val="subscript"/>
              </w:rPr>
              <w:t>0</w:t>
            </w:r>
            <w:r>
              <w:rPr>
                <w:rFonts w:cs="Times New Roman"/>
                <w:bCs/>
              </w:rPr>
              <w:t>)-20lg(r/r</w:t>
            </w:r>
            <w:r>
              <w:rPr>
                <w:rFonts w:cs="Times New Roman"/>
                <w:bCs/>
                <w:vertAlign w:val="subscript"/>
              </w:rPr>
              <w:t>0</w:t>
            </w:r>
            <w:r>
              <w:rPr>
                <w:rFonts w:cs="Times New Roman"/>
                <w:bCs/>
              </w:rPr>
              <w:t>)</w:t>
            </w:r>
          </w:p>
          <w:p>
            <w:pPr>
              <w:widowControl/>
              <w:ind w:firstLine="480"/>
              <w:jc w:val="left"/>
              <w:rPr>
                <w:rFonts w:cs="Times New Roman"/>
                <w:bCs/>
              </w:rPr>
            </w:pPr>
            <w:r>
              <w:rPr>
                <w:rFonts w:cs="Times New Roman"/>
                <w:bCs/>
              </w:rPr>
              <w:t>式中：r，r</w:t>
            </w:r>
            <w:r>
              <w:rPr>
                <w:rFonts w:cs="Times New Roman"/>
                <w:bCs/>
                <w:vertAlign w:val="subscript"/>
              </w:rPr>
              <w:t>0</w:t>
            </w:r>
            <w:r>
              <w:rPr>
                <w:rFonts w:cs="Times New Roman"/>
                <w:bCs/>
              </w:rPr>
              <w:t>——</w:t>
            </w:r>
            <w:bookmarkStart w:id="39" w:name="OLE_LINK5"/>
            <w:r>
              <w:rPr>
                <w:rFonts w:cs="Times New Roman"/>
                <w:bCs/>
              </w:rPr>
              <w:t>分别为距声源的距离</w:t>
            </w:r>
            <w:bookmarkEnd w:id="39"/>
            <w:r>
              <w:rPr>
                <w:rFonts w:cs="Times New Roman"/>
                <w:bCs/>
              </w:rPr>
              <w:t>，m；</w:t>
            </w:r>
          </w:p>
          <w:p>
            <w:pPr>
              <w:widowControl/>
              <w:ind w:firstLine="480"/>
              <w:jc w:val="left"/>
              <w:rPr>
                <w:rFonts w:cs="Times New Roman"/>
                <w:bCs/>
              </w:rPr>
            </w:pPr>
            <w:r>
              <w:rPr>
                <w:rFonts w:cs="Times New Roman"/>
                <w:bCs/>
              </w:rPr>
              <w:t>L(r)，LA(r</w:t>
            </w:r>
            <w:r>
              <w:rPr>
                <w:rFonts w:cs="Times New Roman"/>
                <w:bCs/>
                <w:vertAlign w:val="subscript"/>
              </w:rPr>
              <w:t>0</w:t>
            </w:r>
            <w:r>
              <w:rPr>
                <w:rFonts w:cs="Times New Roman"/>
                <w:bCs/>
              </w:rPr>
              <w:t>)——分别为r与r</w:t>
            </w:r>
            <w:r>
              <w:rPr>
                <w:rFonts w:cs="Times New Roman"/>
                <w:bCs/>
                <w:vertAlign w:val="subscript"/>
              </w:rPr>
              <w:t>0</w:t>
            </w:r>
            <w:r>
              <w:rPr>
                <w:rFonts w:cs="Times New Roman"/>
                <w:bCs/>
              </w:rPr>
              <w:t>处的等效声级，dB(A)。</w:t>
            </w:r>
          </w:p>
          <w:p>
            <w:pPr>
              <w:widowControl/>
              <w:ind w:firstLine="480"/>
              <w:jc w:val="left"/>
              <w:rPr>
                <w:rFonts w:cs="Times New Roman"/>
                <w:bCs/>
              </w:rPr>
            </w:pPr>
            <w:r>
              <w:rPr>
                <w:rFonts w:cs="Times New Roman"/>
                <w:bCs/>
              </w:rPr>
              <w:t>对室内噪声源采用室内声源噪声模式并换算成等效的室外声源：</w:t>
            </w:r>
          </w:p>
          <w:p>
            <w:pPr>
              <w:widowControl/>
              <w:ind w:left="420" w:firstLine="480"/>
              <w:jc w:val="both"/>
              <w:rPr>
                <w:rFonts w:cs="Times New Roman"/>
                <w:bCs/>
                <w:szCs w:val="21"/>
              </w:rPr>
            </w:pPr>
            <w:r>
              <w:rPr>
                <w:rFonts w:hint="eastAsia" w:cs="Times New Roman"/>
                <w:szCs w:val="21"/>
                <w:lang w:val="en-US" w:eastAsia="zh-CN"/>
              </w:rPr>
              <w:t xml:space="preserve">                 </w:t>
            </w:r>
            <w:r>
              <w:rPr>
                <w:rFonts w:cs="Times New Roman"/>
                <w:szCs w:val="21"/>
              </w:rPr>
              <w:drawing>
                <wp:inline distT="0" distB="0" distL="0" distR="0">
                  <wp:extent cx="1590675" cy="390525"/>
                  <wp:effectExtent l="0" t="0" r="9525"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90675" cy="390525"/>
                          </a:xfrm>
                          <a:prstGeom prst="rect">
                            <a:avLst/>
                          </a:prstGeom>
                          <a:noFill/>
                          <a:ln>
                            <a:noFill/>
                          </a:ln>
                        </pic:spPr>
                      </pic:pic>
                    </a:graphicData>
                  </a:graphic>
                </wp:inline>
              </w:drawing>
            </w:r>
          </w:p>
          <w:p>
            <w:pPr>
              <w:widowControl/>
              <w:ind w:firstLine="240" w:firstLineChars="100"/>
              <w:jc w:val="center"/>
              <w:rPr>
                <w:rFonts w:cs="Times New Roman"/>
                <w:bCs/>
                <w:szCs w:val="21"/>
              </w:rPr>
            </w:pPr>
            <w:r>
              <w:rPr>
                <w:rFonts w:cs="Times New Roman"/>
                <w:szCs w:val="21"/>
              </w:rPr>
              <w:drawing>
                <wp:inline distT="0" distB="0" distL="0" distR="0">
                  <wp:extent cx="1638300" cy="2286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38300" cy="228600"/>
                          </a:xfrm>
                          <a:prstGeom prst="rect">
                            <a:avLst/>
                          </a:prstGeom>
                          <a:noFill/>
                          <a:ln>
                            <a:noFill/>
                          </a:ln>
                        </pic:spPr>
                      </pic:pic>
                    </a:graphicData>
                  </a:graphic>
                </wp:inline>
              </w:drawing>
            </w:r>
          </w:p>
          <w:p>
            <w:pPr>
              <w:widowControl/>
              <w:ind w:firstLine="480"/>
              <w:jc w:val="left"/>
              <w:rPr>
                <w:rFonts w:cs="Times New Roman"/>
                <w:bCs/>
              </w:rPr>
            </w:pPr>
            <w:r>
              <w:rPr>
                <w:rFonts w:cs="Times New Roman"/>
                <w:bCs/>
              </w:rPr>
              <w:t>式中：Ln——室内靠近围护结构处产生的声压级，dB；</w:t>
            </w:r>
          </w:p>
          <w:p>
            <w:pPr>
              <w:widowControl/>
              <w:ind w:firstLine="1200" w:firstLineChars="500"/>
              <w:jc w:val="left"/>
              <w:rPr>
                <w:rFonts w:cs="Times New Roman"/>
                <w:bCs/>
              </w:rPr>
            </w:pPr>
            <w:r>
              <w:rPr>
                <w:rFonts w:cs="Times New Roman"/>
                <w:bCs/>
              </w:rPr>
              <w:t>L</w:t>
            </w:r>
            <w:r>
              <w:rPr>
                <w:rFonts w:cs="Times New Roman"/>
                <w:bCs/>
                <w:vertAlign w:val="subscript"/>
              </w:rPr>
              <w:t>W</w:t>
            </w:r>
            <w:r>
              <w:rPr>
                <w:rFonts w:cs="Times New Roman"/>
                <w:bCs/>
              </w:rPr>
              <w:t>——室外靠近围护结构处产生的声压级，dB；</w:t>
            </w:r>
          </w:p>
          <w:p>
            <w:pPr>
              <w:widowControl/>
              <w:ind w:firstLine="1200" w:firstLineChars="500"/>
              <w:jc w:val="left"/>
              <w:rPr>
                <w:rFonts w:cs="Times New Roman"/>
                <w:bCs/>
              </w:rPr>
            </w:pPr>
            <w:r>
              <w:rPr>
                <w:rFonts w:cs="Times New Roman"/>
                <w:bCs/>
              </w:rPr>
              <w:t>Le——声源的声压级，dB</w:t>
            </w:r>
          </w:p>
          <w:p>
            <w:pPr>
              <w:widowControl/>
              <w:ind w:firstLine="1200" w:firstLineChars="500"/>
              <w:jc w:val="left"/>
              <w:rPr>
                <w:rFonts w:cs="Times New Roman"/>
                <w:bCs/>
              </w:rPr>
            </w:pPr>
            <w:r>
              <w:rPr>
                <w:rFonts w:cs="Times New Roman"/>
                <w:bCs/>
              </w:rPr>
              <w:t>r——声源与室内靠近围护结构处的距离，m；</w:t>
            </w:r>
          </w:p>
          <w:p>
            <w:pPr>
              <w:widowControl/>
              <w:ind w:firstLine="1200" w:firstLineChars="500"/>
              <w:jc w:val="left"/>
              <w:rPr>
                <w:rFonts w:cs="Times New Roman"/>
                <w:bCs/>
              </w:rPr>
            </w:pPr>
            <w:r>
              <w:rPr>
                <w:rFonts w:cs="Times New Roman"/>
                <w:bCs/>
              </w:rPr>
              <w:t>R——房间常数，m</w:t>
            </w:r>
            <w:r>
              <w:rPr>
                <w:rFonts w:cs="Times New Roman"/>
                <w:bCs/>
                <w:vertAlign w:val="superscript"/>
              </w:rPr>
              <w:t>2</w:t>
            </w:r>
            <w:r>
              <w:rPr>
                <w:rFonts w:cs="Times New Roman"/>
                <w:bCs/>
              </w:rPr>
              <w:t>；</w:t>
            </w:r>
          </w:p>
          <w:p>
            <w:pPr>
              <w:widowControl/>
              <w:ind w:firstLine="1200" w:firstLineChars="500"/>
              <w:jc w:val="left"/>
              <w:rPr>
                <w:rFonts w:cs="Times New Roman"/>
                <w:bCs/>
              </w:rPr>
            </w:pPr>
            <w:r>
              <w:rPr>
                <w:rFonts w:cs="Times New Roman"/>
                <w:bCs/>
              </w:rPr>
              <w:t>Q——方向性因子；</w:t>
            </w:r>
          </w:p>
          <w:p>
            <w:pPr>
              <w:widowControl/>
              <w:ind w:firstLine="1200" w:firstLineChars="500"/>
              <w:jc w:val="left"/>
              <w:rPr>
                <w:rFonts w:cs="Times New Roman"/>
                <w:bCs/>
              </w:rPr>
            </w:pPr>
            <w:r>
              <w:rPr>
                <w:rFonts w:cs="Times New Roman"/>
                <w:bCs/>
              </w:rPr>
              <w:t>TL——围护结构的传输损失，dB；</w:t>
            </w:r>
          </w:p>
          <w:p>
            <w:pPr>
              <w:widowControl/>
              <w:ind w:firstLine="1200" w:firstLineChars="500"/>
              <w:jc w:val="left"/>
              <w:rPr>
                <w:rFonts w:cs="Times New Roman"/>
                <w:snapToGrid w:val="0"/>
                <w:kern w:val="0"/>
              </w:rPr>
            </w:pPr>
            <w:r>
              <w:rPr>
                <w:rFonts w:cs="Times New Roman"/>
                <w:bCs/>
              </w:rPr>
              <w:t>S—</w:t>
            </w:r>
            <w:r>
              <w:rPr>
                <w:rFonts w:cs="Times New Roman"/>
                <w:snapToGrid w:val="0"/>
                <w:kern w:val="0"/>
              </w:rPr>
              <w:t>—透声面积，m</w:t>
            </w:r>
            <w:r>
              <w:rPr>
                <w:rFonts w:cs="Times New Roman"/>
                <w:snapToGrid w:val="0"/>
                <w:kern w:val="0"/>
                <w:vertAlign w:val="superscript"/>
              </w:rPr>
              <w:t>2</w:t>
            </w:r>
          </w:p>
          <w:p>
            <w:pPr>
              <w:ind w:firstLine="480"/>
              <w:rPr>
                <w:rFonts w:cs="Times New Roman"/>
                <w:snapToGrid w:val="0"/>
                <w:kern w:val="0"/>
              </w:rPr>
            </w:pPr>
            <w:r>
              <w:rPr>
                <w:rFonts w:cs="Times New Roman"/>
                <w:snapToGrid w:val="0"/>
                <w:kern w:val="0"/>
              </w:rPr>
              <w:t>对两个以上多个声源同时存在时，其预测点总声压级采用下面公式：</w:t>
            </w:r>
          </w:p>
          <w:p>
            <w:pPr>
              <w:ind w:firstLine="480"/>
              <w:jc w:val="center"/>
              <w:rPr>
                <w:rFonts w:cs="Times New Roman"/>
                <w:snapToGrid w:val="0"/>
                <w:kern w:val="0"/>
              </w:rPr>
            </w:pPr>
            <w:r>
              <w:rPr>
                <w:rFonts w:cs="Times New Roman"/>
                <w:snapToGrid w:val="0"/>
                <w:kern w:val="0"/>
              </w:rPr>
              <w:t>L</w:t>
            </w:r>
            <w:r>
              <w:rPr>
                <w:rFonts w:cs="Times New Roman"/>
                <w:snapToGrid w:val="0"/>
                <w:kern w:val="0"/>
                <w:vertAlign w:val="subscript"/>
              </w:rPr>
              <w:t>eq</w:t>
            </w:r>
            <w:r>
              <w:rPr>
                <w:rFonts w:cs="Times New Roman"/>
                <w:snapToGrid w:val="0"/>
                <w:kern w:val="0"/>
              </w:rPr>
              <w:t>=10lg(100.1Li)</w:t>
            </w:r>
          </w:p>
          <w:p>
            <w:pPr>
              <w:ind w:firstLine="480"/>
              <w:rPr>
                <w:rFonts w:cs="Times New Roman"/>
                <w:snapToGrid w:val="0"/>
                <w:kern w:val="0"/>
              </w:rPr>
            </w:pPr>
            <w:r>
              <w:rPr>
                <w:rFonts w:cs="Times New Roman"/>
                <w:snapToGrid w:val="0"/>
                <w:kern w:val="0"/>
              </w:rPr>
              <w:t>式中：L</w:t>
            </w:r>
            <w:r>
              <w:rPr>
                <w:rFonts w:cs="Times New Roman"/>
                <w:snapToGrid w:val="0"/>
                <w:kern w:val="0"/>
                <w:vertAlign w:val="subscript"/>
              </w:rPr>
              <w:t>eq</w:t>
            </w:r>
            <w:r>
              <w:rPr>
                <w:rFonts w:cs="Times New Roman"/>
                <w:snapToGrid w:val="0"/>
                <w:kern w:val="0"/>
              </w:rPr>
              <w:t>-----预测点的总等效声级，dB(A)；</w:t>
            </w:r>
          </w:p>
          <w:p>
            <w:pPr>
              <w:ind w:firstLine="1200" w:firstLineChars="500"/>
              <w:rPr>
                <w:rFonts w:cs="Times New Roman"/>
                <w:snapToGrid w:val="0"/>
                <w:kern w:val="0"/>
              </w:rPr>
            </w:pPr>
            <w:r>
              <w:rPr>
                <w:rFonts w:cs="Times New Roman"/>
                <w:snapToGrid w:val="0"/>
                <w:kern w:val="0"/>
              </w:rPr>
              <w:t>Li-----第i个声源对预测点的声级影响，dB(A)。</w:t>
            </w:r>
          </w:p>
          <w:p>
            <w:pPr>
              <w:pStyle w:val="26"/>
              <w:numPr>
                <w:ilvl w:val="0"/>
                <w:numId w:val="0"/>
              </w:numPr>
              <w:rPr>
                <w:rFonts w:cs="Times New Roman"/>
                <w:snapToGrid w:val="0"/>
                <w:kern w:val="0"/>
              </w:rPr>
            </w:pPr>
            <w:r>
              <w:rPr>
                <w:rFonts w:cs="Times New Roman"/>
                <w:snapToGrid w:val="0"/>
                <w:kern w:val="0"/>
              </w:rPr>
              <w:t>根据预测模式，分析本项目噪声对项目附近声环境质量的影响程度和范围。</w:t>
            </w:r>
          </w:p>
          <w:p>
            <w:pPr>
              <w:numPr>
                <w:ilvl w:val="0"/>
                <w:numId w:val="4"/>
              </w:numPr>
              <w:ind w:left="0" w:leftChars="0" w:firstLine="480" w:firstLineChars="200"/>
              <w:rPr>
                <w:rFonts w:hint="eastAsia" w:cs="Times New Roman"/>
                <w:snapToGrid w:val="0"/>
                <w:kern w:val="0"/>
                <w:lang w:val="en-US" w:eastAsia="zh-CN"/>
              </w:rPr>
            </w:pPr>
            <w:r>
              <w:rPr>
                <w:rFonts w:hint="eastAsia" w:cs="Times New Roman"/>
                <w:snapToGrid w:val="0"/>
                <w:kern w:val="0"/>
                <w:lang w:val="en-US" w:eastAsia="zh-CN"/>
              </w:rPr>
              <w:t>噪声预测结果</w:t>
            </w:r>
          </w:p>
          <w:p>
            <w:pPr>
              <w:numPr>
                <w:ilvl w:val="0"/>
                <w:numId w:val="0"/>
              </w:numPr>
              <w:ind w:leftChars="200"/>
              <w:rPr>
                <w:rFonts w:hint="eastAsia"/>
                <w:color w:val="000000" w:themeColor="text1"/>
                <w14:textFill>
                  <w14:solidFill>
                    <w14:schemeClr w14:val="tx1"/>
                  </w14:solidFill>
                </w14:textFill>
              </w:rPr>
            </w:pPr>
            <w:r>
              <w:rPr>
                <w:rFonts w:cs="Times New Roman"/>
                <w:snapToGrid w:val="0"/>
                <w:kern w:val="0"/>
              </w:rPr>
              <w:t>本次对项目边界噪声作预测，边界的噪声预测结果见表</w:t>
            </w:r>
            <w:r>
              <w:rPr>
                <w:rFonts w:hint="eastAsia"/>
                <w:color w:val="000000" w:themeColor="text1"/>
                <w14:textFill>
                  <w14:solidFill>
                    <w14:schemeClr w14:val="tx1"/>
                  </w14:solidFill>
                </w14:textFill>
              </w:rPr>
              <w:t>。</w:t>
            </w:r>
          </w:p>
          <w:p>
            <w:pPr>
              <w:pStyle w:val="62"/>
              <w:spacing w:before="163"/>
              <w:rPr>
                <w:rFonts w:hint="eastAsia"/>
                <w:color w:val="000000" w:themeColor="text1"/>
                <w14:textFill>
                  <w14:solidFill>
                    <w14:schemeClr w14:val="tx1"/>
                  </w14:solidFill>
                </w14:textFill>
              </w:rPr>
            </w:pPr>
            <w:r>
              <w:rPr>
                <w:rFonts w:hint="eastAsia" w:ascii="Times New Roman" w:hAnsi="Times New Roman" w:eastAsia="宋体" w:cstheme="minorBidi"/>
                <w:b/>
                <w:color w:val="000000" w:themeColor="text1"/>
                <w:kern w:val="2"/>
                <w:sz w:val="21"/>
                <w:szCs w:val="22"/>
                <w:lang w:val="en-US" w:eastAsia="zh-CN" w:bidi="ar-SA"/>
                <w14:textFill>
                  <w14:solidFill>
                    <w14:schemeClr w14:val="tx1"/>
                  </w14:solidFill>
                </w14:textFill>
              </w:rPr>
              <w:t>表4.2-11</w:t>
            </w:r>
            <w:r>
              <w:rPr>
                <w:rFonts w:ascii="Times New Roman" w:hAnsi="Times New Roman" w:eastAsia="宋体" w:cstheme="minorBidi"/>
                <w:b/>
                <w:color w:val="000000" w:themeColor="text1"/>
                <w:kern w:val="2"/>
                <w:sz w:val="21"/>
                <w:szCs w:val="22"/>
                <w:lang w:val="en-US" w:eastAsia="zh-CN" w:bidi="ar-SA"/>
                <w14:textFill>
                  <w14:solidFill>
                    <w14:schemeClr w14:val="tx1"/>
                  </w14:solidFill>
                </w14:textFill>
              </w:rPr>
              <w:t xml:space="preserve">  </w:t>
            </w:r>
            <w:r>
              <w:rPr>
                <w:rFonts w:hint="eastAsia" w:ascii="Times New Roman" w:hAnsi="Times New Roman" w:eastAsia="宋体" w:cstheme="minorBidi"/>
                <w:b/>
                <w:color w:val="000000" w:themeColor="text1"/>
                <w:kern w:val="2"/>
                <w:sz w:val="21"/>
                <w:szCs w:val="22"/>
                <w:lang w:val="en-US" w:eastAsia="zh-CN" w:bidi="ar-SA"/>
                <w14:textFill>
                  <w14:solidFill>
                    <w14:schemeClr w14:val="tx1"/>
                  </w14:solidFill>
                </w14:textFill>
              </w:rPr>
              <w:t>声环境预测结果与达标分析</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57"/>
              <w:gridCol w:w="757"/>
              <w:gridCol w:w="757"/>
              <w:gridCol w:w="936"/>
              <w:gridCol w:w="1336"/>
              <w:gridCol w:w="1337"/>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165" w:type="dxa"/>
                  <w:vMerge w:val="restart"/>
                  <w:vAlign w:val="center"/>
                </w:tcPr>
                <w:p>
                  <w:pPr>
                    <w:pStyle w:val="70"/>
                    <w:bidi w:val="0"/>
                  </w:pPr>
                  <w:r>
                    <w:t>预测方位</w:t>
                  </w:r>
                </w:p>
              </w:tc>
              <w:tc>
                <w:tcPr>
                  <w:tcW w:w="2271" w:type="dxa"/>
                  <w:gridSpan w:val="3"/>
                  <w:vAlign w:val="center"/>
                </w:tcPr>
                <w:p>
                  <w:pPr>
                    <w:pStyle w:val="70"/>
                    <w:bidi w:val="0"/>
                  </w:pPr>
                  <w:r>
                    <w:rPr>
                      <w:rFonts w:hint="eastAsia"/>
                      <w:lang w:val="en-US" w:eastAsia="zh-CN"/>
                    </w:rPr>
                    <w:t>最大值点</w:t>
                  </w:r>
                  <w:r>
                    <w:t>空间相对位置/m</w:t>
                  </w:r>
                </w:p>
              </w:tc>
              <w:tc>
                <w:tcPr>
                  <w:tcW w:w="936" w:type="dxa"/>
                  <w:vMerge w:val="restart"/>
                  <w:vAlign w:val="center"/>
                </w:tcPr>
                <w:p>
                  <w:pPr>
                    <w:pStyle w:val="70"/>
                    <w:bidi w:val="0"/>
                  </w:pPr>
                  <w:r>
                    <w:t>时段</w:t>
                  </w:r>
                </w:p>
              </w:tc>
              <w:tc>
                <w:tcPr>
                  <w:tcW w:w="1336" w:type="dxa"/>
                  <w:vMerge w:val="restart"/>
                  <w:vAlign w:val="center"/>
                </w:tcPr>
                <w:p>
                  <w:pPr>
                    <w:pStyle w:val="70"/>
                    <w:bidi w:val="0"/>
                  </w:pPr>
                  <w:r>
                    <w:rPr>
                      <w:rFonts w:hint="eastAsia"/>
                    </w:rPr>
                    <w:t>贡献值</w:t>
                  </w:r>
                  <w:r>
                    <w:t>（dB(A)）</w:t>
                  </w:r>
                </w:p>
              </w:tc>
              <w:tc>
                <w:tcPr>
                  <w:tcW w:w="1337" w:type="dxa"/>
                  <w:vMerge w:val="restart"/>
                  <w:vAlign w:val="center"/>
                </w:tcPr>
                <w:p>
                  <w:pPr>
                    <w:pStyle w:val="70"/>
                    <w:bidi w:val="0"/>
                  </w:pPr>
                  <w:r>
                    <w:t>标准限值（dB(A)）</w:t>
                  </w:r>
                </w:p>
              </w:tc>
              <w:tc>
                <w:tcPr>
                  <w:tcW w:w="1120" w:type="dxa"/>
                  <w:vMerge w:val="restart"/>
                  <w:vAlign w:val="center"/>
                </w:tcPr>
                <w:p>
                  <w:pPr>
                    <w:pStyle w:val="70"/>
                    <w:bidi w:val="0"/>
                  </w:pPr>
                  <w: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5" w:type="dxa"/>
                  <w:vMerge w:val="continue"/>
                  <w:shd w:val="clear" w:color="auto" w:fill="FFFFFF"/>
                  <w:vAlign w:val="center"/>
                </w:tcPr>
                <w:p>
                  <w:pPr>
                    <w:pStyle w:val="70"/>
                    <w:bidi w:val="0"/>
                  </w:pPr>
                </w:p>
              </w:tc>
              <w:tc>
                <w:tcPr>
                  <w:tcW w:w="757" w:type="dxa"/>
                  <w:shd w:val="clear" w:color="auto" w:fill="FFFFFF"/>
                  <w:vAlign w:val="center"/>
                </w:tcPr>
                <w:p>
                  <w:pPr>
                    <w:pStyle w:val="70"/>
                    <w:bidi w:val="0"/>
                  </w:pPr>
                  <w:r>
                    <w:t>X</w:t>
                  </w:r>
                </w:p>
              </w:tc>
              <w:tc>
                <w:tcPr>
                  <w:tcW w:w="757" w:type="dxa"/>
                  <w:shd w:val="clear" w:color="auto" w:fill="FFFFFF"/>
                  <w:vAlign w:val="center"/>
                </w:tcPr>
                <w:p>
                  <w:pPr>
                    <w:pStyle w:val="70"/>
                    <w:bidi w:val="0"/>
                  </w:pPr>
                  <w:r>
                    <w:t>Y</w:t>
                  </w:r>
                </w:p>
              </w:tc>
              <w:tc>
                <w:tcPr>
                  <w:tcW w:w="757" w:type="dxa"/>
                  <w:shd w:val="clear" w:color="auto" w:fill="FFFFFF"/>
                  <w:vAlign w:val="center"/>
                </w:tcPr>
                <w:p>
                  <w:pPr>
                    <w:pStyle w:val="70"/>
                    <w:bidi w:val="0"/>
                  </w:pPr>
                  <w:r>
                    <w:t>Z</w:t>
                  </w:r>
                </w:p>
              </w:tc>
              <w:tc>
                <w:tcPr>
                  <w:tcW w:w="936" w:type="dxa"/>
                  <w:vMerge w:val="continue"/>
                  <w:shd w:val="clear" w:color="auto" w:fill="FFFFFF"/>
                  <w:vAlign w:val="center"/>
                </w:tcPr>
                <w:p>
                  <w:pPr>
                    <w:pStyle w:val="70"/>
                    <w:bidi w:val="0"/>
                  </w:pPr>
                </w:p>
              </w:tc>
              <w:tc>
                <w:tcPr>
                  <w:tcW w:w="1336" w:type="dxa"/>
                  <w:vMerge w:val="continue"/>
                  <w:shd w:val="clear" w:color="auto" w:fill="FFFFFF"/>
                  <w:vAlign w:val="center"/>
                </w:tcPr>
                <w:p>
                  <w:pPr>
                    <w:pStyle w:val="70"/>
                    <w:bidi w:val="0"/>
                  </w:pPr>
                </w:p>
              </w:tc>
              <w:tc>
                <w:tcPr>
                  <w:tcW w:w="1337" w:type="dxa"/>
                  <w:vMerge w:val="continue"/>
                  <w:shd w:val="clear" w:color="auto" w:fill="FFFFFF"/>
                  <w:vAlign w:val="center"/>
                </w:tcPr>
                <w:p>
                  <w:pPr>
                    <w:pStyle w:val="70"/>
                    <w:bidi w:val="0"/>
                  </w:pPr>
                </w:p>
              </w:tc>
              <w:tc>
                <w:tcPr>
                  <w:tcW w:w="1120" w:type="dxa"/>
                  <w:vMerge w:val="continue"/>
                  <w:shd w:val="clear" w:color="auto" w:fill="FFFFFF"/>
                  <w:vAlign w:val="center"/>
                </w:tcPr>
                <w:p>
                  <w:pPr>
                    <w:pStyle w:val="7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1165" w:type="dxa"/>
                  <w:vMerge w:val="restart"/>
                  <w:shd w:val="clear" w:color="auto" w:fill="FFFFFF"/>
                  <w:vAlign w:val="center"/>
                </w:tcPr>
                <w:p>
                  <w:pPr>
                    <w:pStyle w:val="70"/>
                    <w:bidi w:val="0"/>
                  </w:pPr>
                  <w:r>
                    <w:t>东侧</w:t>
                  </w:r>
                </w:p>
              </w:tc>
              <w:tc>
                <w:tcPr>
                  <w:tcW w:w="757" w:type="dxa"/>
                  <w:shd w:val="clear" w:color="auto" w:fill="FFFFFF"/>
                  <w:vAlign w:val="center"/>
                </w:tcPr>
                <w:p>
                  <w:pPr>
                    <w:pStyle w:val="70"/>
                    <w:bidi w:val="0"/>
                  </w:pPr>
                  <w:r>
                    <w:t>67.8</w:t>
                  </w:r>
                </w:p>
              </w:tc>
              <w:tc>
                <w:tcPr>
                  <w:tcW w:w="757" w:type="dxa"/>
                  <w:shd w:val="clear" w:color="auto" w:fill="FFFFFF"/>
                  <w:vAlign w:val="center"/>
                </w:tcPr>
                <w:p>
                  <w:pPr>
                    <w:pStyle w:val="70"/>
                    <w:bidi w:val="0"/>
                  </w:pPr>
                  <w:r>
                    <w:t>-76.8</w:t>
                  </w:r>
                </w:p>
              </w:tc>
              <w:tc>
                <w:tcPr>
                  <w:tcW w:w="757" w:type="dxa"/>
                  <w:shd w:val="clear" w:color="auto" w:fill="FFFFFF"/>
                  <w:vAlign w:val="center"/>
                </w:tcPr>
                <w:p>
                  <w:pPr>
                    <w:pStyle w:val="70"/>
                    <w:bidi w:val="0"/>
                  </w:pPr>
                  <w:r>
                    <w:t>1.2</w:t>
                  </w:r>
                </w:p>
              </w:tc>
              <w:tc>
                <w:tcPr>
                  <w:tcW w:w="936" w:type="dxa"/>
                  <w:shd w:val="clear" w:color="auto" w:fill="FFFFFF"/>
                  <w:vAlign w:val="center"/>
                </w:tcPr>
                <w:p>
                  <w:pPr>
                    <w:pStyle w:val="70"/>
                    <w:bidi w:val="0"/>
                  </w:pPr>
                  <w:r>
                    <w:t>昼间</w:t>
                  </w:r>
                </w:p>
              </w:tc>
              <w:tc>
                <w:tcPr>
                  <w:tcW w:w="1336" w:type="dxa"/>
                  <w:shd w:val="clear" w:color="auto" w:fill="FFFFFF"/>
                  <w:vAlign w:val="center"/>
                </w:tcPr>
                <w:p>
                  <w:pPr>
                    <w:pStyle w:val="70"/>
                    <w:bidi w:val="0"/>
                  </w:pPr>
                  <w:r>
                    <w:t>44.2</w:t>
                  </w:r>
                </w:p>
              </w:tc>
              <w:tc>
                <w:tcPr>
                  <w:tcW w:w="1337" w:type="dxa"/>
                  <w:shd w:val="clear" w:color="auto" w:fill="FFFFFF"/>
                  <w:vAlign w:val="center"/>
                </w:tcPr>
                <w:p>
                  <w:pPr>
                    <w:pStyle w:val="70"/>
                    <w:bidi w:val="0"/>
                  </w:pPr>
                  <w:r>
                    <w:t>65</w:t>
                  </w:r>
                </w:p>
              </w:tc>
              <w:tc>
                <w:tcPr>
                  <w:tcW w:w="1120" w:type="dxa"/>
                  <w:shd w:val="clear" w:color="auto" w:fill="FFFFFF"/>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1165" w:type="dxa"/>
                  <w:vMerge w:val="continue"/>
                  <w:shd w:val="clear" w:color="auto" w:fill="FFFFFF"/>
                  <w:vAlign w:val="center"/>
                </w:tcPr>
                <w:p>
                  <w:pPr>
                    <w:pStyle w:val="70"/>
                    <w:bidi w:val="0"/>
                  </w:pPr>
                </w:p>
              </w:tc>
              <w:tc>
                <w:tcPr>
                  <w:tcW w:w="757" w:type="dxa"/>
                  <w:shd w:val="clear" w:color="auto" w:fill="FFFFFF"/>
                  <w:vAlign w:val="center"/>
                </w:tcPr>
                <w:p>
                  <w:pPr>
                    <w:pStyle w:val="70"/>
                    <w:bidi w:val="0"/>
                  </w:pPr>
                  <w:r>
                    <w:t>67.8</w:t>
                  </w:r>
                </w:p>
              </w:tc>
              <w:tc>
                <w:tcPr>
                  <w:tcW w:w="757" w:type="dxa"/>
                  <w:shd w:val="clear" w:color="auto" w:fill="FFFFFF"/>
                  <w:vAlign w:val="center"/>
                </w:tcPr>
                <w:p>
                  <w:pPr>
                    <w:pStyle w:val="70"/>
                    <w:bidi w:val="0"/>
                  </w:pPr>
                  <w:r>
                    <w:t>-76.8</w:t>
                  </w:r>
                </w:p>
              </w:tc>
              <w:tc>
                <w:tcPr>
                  <w:tcW w:w="757" w:type="dxa"/>
                  <w:shd w:val="clear" w:color="auto" w:fill="FFFFFF"/>
                  <w:vAlign w:val="center"/>
                </w:tcPr>
                <w:p>
                  <w:pPr>
                    <w:pStyle w:val="70"/>
                    <w:bidi w:val="0"/>
                  </w:pPr>
                  <w:r>
                    <w:t>1.2</w:t>
                  </w:r>
                </w:p>
              </w:tc>
              <w:tc>
                <w:tcPr>
                  <w:tcW w:w="936" w:type="dxa"/>
                  <w:shd w:val="clear" w:color="auto" w:fill="FFFFFF"/>
                  <w:vAlign w:val="center"/>
                </w:tcPr>
                <w:p>
                  <w:pPr>
                    <w:pStyle w:val="70"/>
                    <w:bidi w:val="0"/>
                  </w:pPr>
                  <w:r>
                    <w:t>夜间</w:t>
                  </w:r>
                </w:p>
              </w:tc>
              <w:tc>
                <w:tcPr>
                  <w:tcW w:w="1336" w:type="dxa"/>
                  <w:shd w:val="clear" w:color="auto" w:fill="FFFFFF"/>
                  <w:vAlign w:val="center"/>
                </w:tcPr>
                <w:p>
                  <w:pPr>
                    <w:pStyle w:val="70"/>
                    <w:bidi w:val="0"/>
                  </w:pPr>
                  <w:r>
                    <w:t>44.2</w:t>
                  </w:r>
                </w:p>
              </w:tc>
              <w:tc>
                <w:tcPr>
                  <w:tcW w:w="1337" w:type="dxa"/>
                  <w:shd w:val="clear" w:color="auto" w:fill="FFFFFF"/>
                  <w:vAlign w:val="center"/>
                </w:tcPr>
                <w:p>
                  <w:pPr>
                    <w:pStyle w:val="70"/>
                    <w:bidi w:val="0"/>
                  </w:pPr>
                  <w:r>
                    <w:t>55</w:t>
                  </w:r>
                </w:p>
              </w:tc>
              <w:tc>
                <w:tcPr>
                  <w:tcW w:w="1120" w:type="dxa"/>
                  <w:shd w:val="clear" w:color="auto" w:fill="FFFFFF"/>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1165" w:type="dxa"/>
                  <w:vMerge w:val="restart"/>
                  <w:shd w:val="clear" w:color="auto" w:fill="FFFFFF"/>
                  <w:vAlign w:val="center"/>
                </w:tcPr>
                <w:p>
                  <w:pPr>
                    <w:pStyle w:val="70"/>
                    <w:bidi w:val="0"/>
                  </w:pPr>
                  <w:r>
                    <w:t>南侧</w:t>
                  </w:r>
                </w:p>
              </w:tc>
              <w:tc>
                <w:tcPr>
                  <w:tcW w:w="757" w:type="dxa"/>
                  <w:shd w:val="clear" w:color="auto" w:fill="FFFFFF"/>
                  <w:vAlign w:val="center"/>
                </w:tcPr>
                <w:p>
                  <w:pPr>
                    <w:pStyle w:val="70"/>
                    <w:bidi w:val="0"/>
                  </w:pPr>
                  <w:r>
                    <w:t>6.8</w:t>
                  </w:r>
                </w:p>
              </w:tc>
              <w:tc>
                <w:tcPr>
                  <w:tcW w:w="757" w:type="dxa"/>
                  <w:shd w:val="clear" w:color="auto" w:fill="FFFFFF"/>
                  <w:vAlign w:val="center"/>
                </w:tcPr>
                <w:p>
                  <w:pPr>
                    <w:pStyle w:val="70"/>
                    <w:bidi w:val="0"/>
                  </w:pPr>
                  <w:r>
                    <w:t>-13.4</w:t>
                  </w:r>
                </w:p>
              </w:tc>
              <w:tc>
                <w:tcPr>
                  <w:tcW w:w="757" w:type="dxa"/>
                  <w:shd w:val="clear" w:color="auto" w:fill="FFFFFF"/>
                  <w:vAlign w:val="center"/>
                </w:tcPr>
                <w:p>
                  <w:pPr>
                    <w:pStyle w:val="70"/>
                    <w:bidi w:val="0"/>
                  </w:pPr>
                  <w:r>
                    <w:t>1.2</w:t>
                  </w:r>
                </w:p>
              </w:tc>
              <w:tc>
                <w:tcPr>
                  <w:tcW w:w="936" w:type="dxa"/>
                  <w:shd w:val="clear" w:color="auto" w:fill="FFFFFF"/>
                  <w:vAlign w:val="center"/>
                </w:tcPr>
                <w:p>
                  <w:pPr>
                    <w:pStyle w:val="70"/>
                    <w:bidi w:val="0"/>
                  </w:pPr>
                  <w:r>
                    <w:t>昼间</w:t>
                  </w:r>
                </w:p>
              </w:tc>
              <w:tc>
                <w:tcPr>
                  <w:tcW w:w="1336" w:type="dxa"/>
                  <w:shd w:val="clear" w:color="auto" w:fill="FFFFFF"/>
                  <w:vAlign w:val="center"/>
                </w:tcPr>
                <w:p>
                  <w:pPr>
                    <w:pStyle w:val="70"/>
                    <w:bidi w:val="0"/>
                  </w:pPr>
                  <w:r>
                    <w:t>47.7</w:t>
                  </w:r>
                </w:p>
              </w:tc>
              <w:tc>
                <w:tcPr>
                  <w:tcW w:w="1337" w:type="dxa"/>
                  <w:shd w:val="clear" w:color="auto" w:fill="FFFFFF"/>
                  <w:vAlign w:val="center"/>
                </w:tcPr>
                <w:p>
                  <w:pPr>
                    <w:pStyle w:val="70"/>
                    <w:bidi w:val="0"/>
                  </w:pPr>
                  <w:r>
                    <w:t>65</w:t>
                  </w:r>
                </w:p>
              </w:tc>
              <w:tc>
                <w:tcPr>
                  <w:tcW w:w="1120" w:type="dxa"/>
                  <w:shd w:val="clear" w:color="auto" w:fill="FFFFFF"/>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1165" w:type="dxa"/>
                  <w:vMerge w:val="continue"/>
                  <w:shd w:val="clear" w:color="auto" w:fill="FFFFFF"/>
                  <w:vAlign w:val="center"/>
                </w:tcPr>
                <w:p>
                  <w:pPr>
                    <w:pStyle w:val="70"/>
                    <w:bidi w:val="0"/>
                  </w:pPr>
                </w:p>
              </w:tc>
              <w:tc>
                <w:tcPr>
                  <w:tcW w:w="757" w:type="dxa"/>
                  <w:shd w:val="clear" w:color="auto" w:fill="FFFFFF"/>
                  <w:vAlign w:val="center"/>
                </w:tcPr>
                <w:p>
                  <w:pPr>
                    <w:pStyle w:val="70"/>
                    <w:bidi w:val="0"/>
                  </w:pPr>
                  <w:r>
                    <w:t>6.8</w:t>
                  </w:r>
                </w:p>
              </w:tc>
              <w:tc>
                <w:tcPr>
                  <w:tcW w:w="757" w:type="dxa"/>
                  <w:shd w:val="clear" w:color="auto" w:fill="FFFFFF"/>
                  <w:vAlign w:val="center"/>
                </w:tcPr>
                <w:p>
                  <w:pPr>
                    <w:pStyle w:val="70"/>
                    <w:bidi w:val="0"/>
                  </w:pPr>
                  <w:r>
                    <w:t>-13.4</w:t>
                  </w:r>
                </w:p>
              </w:tc>
              <w:tc>
                <w:tcPr>
                  <w:tcW w:w="757" w:type="dxa"/>
                  <w:shd w:val="clear" w:color="auto" w:fill="FFFFFF"/>
                  <w:vAlign w:val="center"/>
                </w:tcPr>
                <w:p>
                  <w:pPr>
                    <w:pStyle w:val="70"/>
                    <w:bidi w:val="0"/>
                  </w:pPr>
                  <w:r>
                    <w:t>1.2</w:t>
                  </w:r>
                </w:p>
              </w:tc>
              <w:tc>
                <w:tcPr>
                  <w:tcW w:w="936" w:type="dxa"/>
                  <w:shd w:val="clear" w:color="auto" w:fill="FFFFFF"/>
                  <w:vAlign w:val="center"/>
                </w:tcPr>
                <w:p>
                  <w:pPr>
                    <w:pStyle w:val="70"/>
                    <w:bidi w:val="0"/>
                  </w:pPr>
                  <w:r>
                    <w:t>夜间</w:t>
                  </w:r>
                </w:p>
              </w:tc>
              <w:tc>
                <w:tcPr>
                  <w:tcW w:w="1336" w:type="dxa"/>
                  <w:shd w:val="clear" w:color="auto" w:fill="FFFFFF"/>
                  <w:vAlign w:val="center"/>
                </w:tcPr>
                <w:p>
                  <w:pPr>
                    <w:pStyle w:val="70"/>
                    <w:bidi w:val="0"/>
                  </w:pPr>
                  <w:r>
                    <w:t>47.7</w:t>
                  </w:r>
                </w:p>
              </w:tc>
              <w:tc>
                <w:tcPr>
                  <w:tcW w:w="1337" w:type="dxa"/>
                  <w:shd w:val="clear" w:color="auto" w:fill="FFFFFF"/>
                  <w:vAlign w:val="center"/>
                </w:tcPr>
                <w:p>
                  <w:pPr>
                    <w:pStyle w:val="70"/>
                    <w:bidi w:val="0"/>
                  </w:pPr>
                  <w:r>
                    <w:t>55</w:t>
                  </w:r>
                </w:p>
              </w:tc>
              <w:tc>
                <w:tcPr>
                  <w:tcW w:w="1120" w:type="dxa"/>
                  <w:shd w:val="clear" w:color="auto" w:fill="FFFFFF"/>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1165" w:type="dxa"/>
                  <w:vMerge w:val="restart"/>
                  <w:shd w:val="clear" w:color="auto" w:fill="FFFFFF"/>
                  <w:vAlign w:val="center"/>
                </w:tcPr>
                <w:p>
                  <w:pPr>
                    <w:pStyle w:val="70"/>
                    <w:bidi w:val="0"/>
                  </w:pPr>
                  <w:r>
                    <w:t>西侧</w:t>
                  </w:r>
                </w:p>
              </w:tc>
              <w:tc>
                <w:tcPr>
                  <w:tcW w:w="757" w:type="dxa"/>
                  <w:shd w:val="clear" w:color="auto" w:fill="FFFFFF"/>
                  <w:vAlign w:val="center"/>
                </w:tcPr>
                <w:p>
                  <w:pPr>
                    <w:pStyle w:val="70"/>
                    <w:bidi w:val="0"/>
                  </w:pPr>
                  <w:r>
                    <w:t>-24.2</w:t>
                  </w:r>
                </w:p>
              </w:tc>
              <w:tc>
                <w:tcPr>
                  <w:tcW w:w="757" w:type="dxa"/>
                  <w:shd w:val="clear" w:color="auto" w:fill="FFFFFF"/>
                  <w:vAlign w:val="center"/>
                </w:tcPr>
                <w:p>
                  <w:pPr>
                    <w:pStyle w:val="70"/>
                    <w:bidi w:val="0"/>
                  </w:pPr>
                  <w:r>
                    <w:t>43.7</w:t>
                  </w:r>
                </w:p>
              </w:tc>
              <w:tc>
                <w:tcPr>
                  <w:tcW w:w="757" w:type="dxa"/>
                  <w:shd w:val="clear" w:color="auto" w:fill="FFFFFF"/>
                  <w:vAlign w:val="center"/>
                </w:tcPr>
                <w:p>
                  <w:pPr>
                    <w:pStyle w:val="70"/>
                    <w:bidi w:val="0"/>
                  </w:pPr>
                  <w:r>
                    <w:t>1.2</w:t>
                  </w:r>
                </w:p>
              </w:tc>
              <w:tc>
                <w:tcPr>
                  <w:tcW w:w="936" w:type="dxa"/>
                  <w:shd w:val="clear" w:color="auto" w:fill="FFFFFF"/>
                  <w:vAlign w:val="center"/>
                </w:tcPr>
                <w:p>
                  <w:pPr>
                    <w:pStyle w:val="70"/>
                    <w:bidi w:val="0"/>
                  </w:pPr>
                  <w:r>
                    <w:t>昼间</w:t>
                  </w:r>
                </w:p>
              </w:tc>
              <w:tc>
                <w:tcPr>
                  <w:tcW w:w="1336" w:type="dxa"/>
                  <w:shd w:val="clear" w:color="auto" w:fill="FFFFFF"/>
                  <w:vAlign w:val="center"/>
                </w:tcPr>
                <w:p>
                  <w:pPr>
                    <w:pStyle w:val="70"/>
                    <w:bidi w:val="0"/>
                  </w:pPr>
                  <w:r>
                    <w:t>41.2</w:t>
                  </w:r>
                </w:p>
              </w:tc>
              <w:tc>
                <w:tcPr>
                  <w:tcW w:w="1337" w:type="dxa"/>
                  <w:shd w:val="clear" w:color="auto" w:fill="FFFFFF"/>
                  <w:vAlign w:val="center"/>
                </w:tcPr>
                <w:p>
                  <w:pPr>
                    <w:pStyle w:val="70"/>
                    <w:bidi w:val="0"/>
                  </w:pPr>
                  <w:r>
                    <w:t>65</w:t>
                  </w:r>
                </w:p>
              </w:tc>
              <w:tc>
                <w:tcPr>
                  <w:tcW w:w="1120" w:type="dxa"/>
                  <w:shd w:val="clear" w:color="auto" w:fill="FFFFFF"/>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1165" w:type="dxa"/>
                  <w:vMerge w:val="continue"/>
                  <w:shd w:val="clear" w:color="auto" w:fill="FFFFFF"/>
                  <w:vAlign w:val="center"/>
                </w:tcPr>
                <w:p>
                  <w:pPr>
                    <w:pStyle w:val="70"/>
                    <w:bidi w:val="0"/>
                  </w:pPr>
                </w:p>
              </w:tc>
              <w:tc>
                <w:tcPr>
                  <w:tcW w:w="757" w:type="dxa"/>
                  <w:shd w:val="clear" w:color="auto" w:fill="FFFFFF"/>
                  <w:vAlign w:val="center"/>
                </w:tcPr>
                <w:p>
                  <w:pPr>
                    <w:pStyle w:val="70"/>
                    <w:bidi w:val="0"/>
                  </w:pPr>
                  <w:r>
                    <w:t>-24.2</w:t>
                  </w:r>
                </w:p>
              </w:tc>
              <w:tc>
                <w:tcPr>
                  <w:tcW w:w="757" w:type="dxa"/>
                  <w:shd w:val="clear" w:color="auto" w:fill="FFFFFF"/>
                  <w:vAlign w:val="center"/>
                </w:tcPr>
                <w:p>
                  <w:pPr>
                    <w:pStyle w:val="70"/>
                    <w:bidi w:val="0"/>
                  </w:pPr>
                  <w:r>
                    <w:t>43.7</w:t>
                  </w:r>
                </w:p>
              </w:tc>
              <w:tc>
                <w:tcPr>
                  <w:tcW w:w="757" w:type="dxa"/>
                  <w:shd w:val="clear" w:color="auto" w:fill="FFFFFF"/>
                  <w:vAlign w:val="center"/>
                </w:tcPr>
                <w:p>
                  <w:pPr>
                    <w:pStyle w:val="70"/>
                    <w:bidi w:val="0"/>
                  </w:pPr>
                  <w:r>
                    <w:t>1.2</w:t>
                  </w:r>
                </w:p>
              </w:tc>
              <w:tc>
                <w:tcPr>
                  <w:tcW w:w="936" w:type="dxa"/>
                  <w:shd w:val="clear" w:color="auto" w:fill="FFFFFF"/>
                  <w:vAlign w:val="center"/>
                </w:tcPr>
                <w:p>
                  <w:pPr>
                    <w:pStyle w:val="70"/>
                    <w:bidi w:val="0"/>
                  </w:pPr>
                  <w:r>
                    <w:t>夜间</w:t>
                  </w:r>
                </w:p>
              </w:tc>
              <w:tc>
                <w:tcPr>
                  <w:tcW w:w="1336" w:type="dxa"/>
                  <w:shd w:val="clear" w:color="auto" w:fill="FFFFFF"/>
                  <w:vAlign w:val="center"/>
                </w:tcPr>
                <w:p>
                  <w:pPr>
                    <w:pStyle w:val="70"/>
                    <w:bidi w:val="0"/>
                  </w:pPr>
                  <w:r>
                    <w:t>41.2</w:t>
                  </w:r>
                </w:p>
              </w:tc>
              <w:tc>
                <w:tcPr>
                  <w:tcW w:w="1337" w:type="dxa"/>
                  <w:shd w:val="clear" w:color="auto" w:fill="FFFFFF"/>
                  <w:vAlign w:val="center"/>
                </w:tcPr>
                <w:p>
                  <w:pPr>
                    <w:pStyle w:val="70"/>
                    <w:bidi w:val="0"/>
                  </w:pPr>
                  <w:r>
                    <w:t>55</w:t>
                  </w:r>
                </w:p>
              </w:tc>
              <w:tc>
                <w:tcPr>
                  <w:tcW w:w="1120" w:type="dxa"/>
                  <w:shd w:val="clear" w:color="auto" w:fill="FFFFFF"/>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1165" w:type="dxa"/>
                  <w:vMerge w:val="restart"/>
                  <w:shd w:val="clear" w:color="auto" w:fill="FFFFFF"/>
                  <w:vAlign w:val="center"/>
                </w:tcPr>
                <w:p>
                  <w:pPr>
                    <w:pStyle w:val="70"/>
                    <w:bidi w:val="0"/>
                  </w:pPr>
                  <w:r>
                    <w:t>北侧</w:t>
                  </w:r>
                </w:p>
              </w:tc>
              <w:tc>
                <w:tcPr>
                  <w:tcW w:w="757" w:type="dxa"/>
                  <w:shd w:val="clear" w:color="auto" w:fill="FFFFFF"/>
                  <w:vAlign w:val="center"/>
                </w:tcPr>
                <w:p>
                  <w:pPr>
                    <w:pStyle w:val="70"/>
                    <w:bidi w:val="0"/>
                  </w:pPr>
                  <w:r>
                    <w:t>10.3</w:t>
                  </w:r>
                </w:p>
              </w:tc>
              <w:tc>
                <w:tcPr>
                  <w:tcW w:w="757" w:type="dxa"/>
                  <w:shd w:val="clear" w:color="auto" w:fill="FFFFFF"/>
                  <w:vAlign w:val="center"/>
                </w:tcPr>
                <w:p>
                  <w:pPr>
                    <w:pStyle w:val="70"/>
                    <w:bidi w:val="0"/>
                  </w:pPr>
                  <w:r>
                    <w:t>124.7</w:t>
                  </w:r>
                </w:p>
              </w:tc>
              <w:tc>
                <w:tcPr>
                  <w:tcW w:w="757" w:type="dxa"/>
                  <w:shd w:val="clear" w:color="auto" w:fill="FFFFFF"/>
                  <w:vAlign w:val="center"/>
                </w:tcPr>
                <w:p>
                  <w:pPr>
                    <w:pStyle w:val="70"/>
                    <w:bidi w:val="0"/>
                  </w:pPr>
                  <w:r>
                    <w:t>1.2</w:t>
                  </w:r>
                </w:p>
              </w:tc>
              <w:tc>
                <w:tcPr>
                  <w:tcW w:w="936" w:type="dxa"/>
                  <w:shd w:val="clear" w:color="auto" w:fill="FFFFFF"/>
                  <w:vAlign w:val="center"/>
                </w:tcPr>
                <w:p>
                  <w:pPr>
                    <w:pStyle w:val="70"/>
                    <w:bidi w:val="0"/>
                  </w:pPr>
                  <w:r>
                    <w:t>昼间</w:t>
                  </w:r>
                </w:p>
              </w:tc>
              <w:tc>
                <w:tcPr>
                  <w:tcW w:w="1336" w:type="dxa"/>
                  <w:shd w:val="clear" w:color="auto" w:fill="FFFFFF"/>
                  <w:vAlign w:val="center"/>
                </w:tcPr>
                <w:p>
                  <w:pPr>
                    <w:pStyle w:val="70"/>
                    <w:bidi w:val="0"/>
                  </w:pPr>
                  <w:r>
                    <w:t>34.1</w:t>
                  </w:r>
                </w:p>
              </w:tc>
              <w:tc>
                <w:tcPr>
                  <w:tcW w:w="1337" w:type="dxa"/>
                  <w:shd w:val="clear" w:color="auto" w:fill="FFFFFF"/>
                  <w:vAlign w:val="center"/>
                </w:tcPr>
                <w:p>
                  <w:pPr>
                    <w:pStyle w:val="70"/>
                    <w:bidi w:val="0"/>
                  </w:pPr>
                  <w:r>
                    <w:t>65</w:t>
                  </w:r>
                </w:p>
              </w:tc>
              <w:tc>
                <w:tcPr>
                  <w:tcW w:w="1120" w:type="dxa"/>
                  <w:shd w:val="clear" w:color="auto" w:fill="FFFFFF"/>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7" w:hRule="exact"/>
                <w:jc w:val="center"/>
              </w:trPr>
              <w:tc>
                <w:tcPr>
                  <w:tcW w:w="1165" w:type="dxa"/>
                  <w:vMerge w:val="continue"/>
                  <w:shd w:val="clear" w:color="auto" w:fill="FFFFFF"/>
                  <w:vAlign w:val="center"/>
                </w:tcPr>
                <w:p>
                  <w:pPr>
                    <w:pStyle w:val="70"/>
                    <w:bidi w:val="0"/>
                  </w:pPr>
                </w:p>
              </w:tc>
              <w:tc>
                <w:tcPr>
                  <w:tcW w:w="757" w:type="dxa"/>
                  <w:shd w:val="clear" w:color="auto" w:fill="FFFFFF"/>
                  <w:vAlign w:val="center"/>
                </w:tcPr>
                <w:p>
                  <w:pPr>
                    <w:pStyle w:val="70"/>
                    <w:bidi w:val="0"/>
                  </w:pPr>
                  <w:r>
                    <w:t>10.3</w:t>
                  </w:r>
                </w:p>
              </w:tc>
              <w:tc>
                <w:tcPr>
                  <w:tcW w:w="757" w:type="dxa"/>
                  <w:shd w:val="clear" w:color="auto" w:fill="FFFFFF"/>
                  <w:vAlign w:val="center"/>
                </w:tcPr>
                <w:p>
                  <w:pPr>
                    <w:pStyle w:val="70"/>
                    <w:bidi w:val="0"/>
                  </w:pPr>
                  <w:r>
                    <w:t>124.7</w:t>
                  </w:r>
                </w:p>
              </w:tc>
              <w:tc>
                <w:tcPr>
                  <w:tcW w:w="757" w:type="dxa"/>
                  <w:shd w:val="clear" w:color="auto" w:fill="FFFFFF"/>
                  <w:vAlign w:val="center"/>
                </w:tcPr>
                <w:p>
                  <w:pPr>
                    <w:pStyle w:val="70"/>
                    <w:bidi w:val="0"/>
                  </w:pPr>
                  <w:r>
                    <w:t>1.2</w:t>
                  </w:r>
                </w:p>
              </w:tc>
              <w:tc>
                <w:tcPr>
                  <w:tcW w:w="936" w:type="dxa"/>
                  <w:shd w:val="clear" w:color="auto" w:fill="FFFFFF"/>
                  <w:vAlign w:val="center"/>
                </w:tcPr>
                <w:p>
                  <w:pPr>
                    <w:pStyle w:val="70"/>
                    <w:bidi w:val="0"/>
                  </w:pPr>
                  <w:r>
                    <w:t>夜间</w:t>
                  </w:r>
                </w:p>
              </w:tc>
              <w:tc>
                <w:tcPr>
                  <w:tcW w:w="1336" w:type="dxa"/>
                  <w:shd w:val="clear" w:color="auto" w:fill="FFFFFF"/>
                  <w:vAlign w:val="center"/>
                </w:tcPr>
                <w:p>
                  <w:pPr>
                    <w:pStyle w:val="70"/>
                    <w:bidi w:val="0"/>
                  </w:pPr>
                  <w:r>
                    <w:t>34.1</w:t>
                  </w:r>
                </w:p>
              </w:tc>
              <w:tc>
                <w:tcPr>
                  <w:tcW w:w="1337" w:type="dxa"/>
                  <w:shd w:val="clear" w:color="auto" w:fill="FFFFFF"/>
                  <w:vAlign w:val="center"/>
                </w:tcPr>
                <w:p>
                  <w:pPr>
                    <w:pStyle w:val="70"/>
                    <w:bidi w:val="0"/>
                  </w:pPr>
                  <w:r>
                    <w:t>55</w:t>
                  </w:r>
                </w:p>
              </w:tc>
              <w:tc>
                <w:tcPr>
                  <w:tcW w:w="1120" w:type="dxa"/>
                  <w:shd w:val="clear" w:color="auto" w:fill="FFFFFF"/>
                  <w:vAlign w:val="center"/>
                </w:tcPr>
                <w:p>
                  <w:pPr>
                    <w:pStyle w:val="70"/>
                    <w:bidi w:val="0"/>
                  </w:pPr>
                  <w:r>
                    <w:t>达标</w:t>
                  </w:r>
                </w:p>
              </w:tc>
            </w:tr>
          </w:tbl>
          <w:p>
            <w:pPr>
              <w:ind w:firstLine="480"/>
            </w:pPr>
            <w:r>
              <w:rPr>
                <w:rFonts w:hint="eastAsia"/>
              </w:rPr>
              <w:t>根据上表可知，本项目设备噪声在距离衰减情况下，四周厂界可满足《工业企业厂界环境噪声排放标准》（GB12348-2008）3类昼间标准</w:t>
            </w:r>
            <w:r>
              <w:rPr>
                <w:rFonts w:hint="eastAsia"/>
                <w:lang w:eastAsia="zh-CN"/>
              </w:rPr>
              <w:t>（</w:t>
            </w:r>
            <w:r>
              <w:rPr>
                <w:rFonts w:hint="eastAsia"/>
              </w:rPr>
              <w:t>昼间</w:t>
            </w:r>
            <w:r>
              <w:t>65dB</w:t>
            </w:r>
            <w:r>
              <w:rPr>
                <w:rFonts w:hint="eastAsia"/>
              </w:rPr>
              <w:t>（</w:t>
            </w:r>
            <w:r>
              <w:t>A</w:t>
            </w:r>
            <w:r>
              <w:rPr>
                <w:rFonts w:hint="eastAsia"/>
              </w:rPr>
              <w:t>）、夜间</w:t>
            </w:r>
            <w:r>
              <w:t>55dB</w:t>
            </w:r>
            <w:r>
              <w:rPr>
                <w:rFonts w:hint="eastAsia"/>
              </w:rPr>
              <w:t>（</w:t>
            </w:r>
            <w:r>
              <w:t>A</w:t>
            </w:r>
            <w:r>
              <w:rPr>
                <w:rFonts w:hint="eastAsia"/>
              </w:rPr>
              <w:t>）</w:t>
            </w:r>
            <w:r>
              <w:rPr>
                <w:rFonts w:hint="eastAsia"/>
                <w:lang w:eastAsia="zh-CN"/>
              </w:rPr>
              <w:t>）</w:t>
            </w:r>
            <w:r>
              <w:rPr>
                <w:rFonts w:hint="eastAsia"/>
              </w:rPr>
              <w:t>。本项目产生的噪声经治理后对厂区周边声环境影响较小。为了进一步减少运营期噪声对外环境的干扰，主要噪声防治措施如下：</w:t>
            </w:r>
          </w:p>
          <w:p>
            <w:pPr>
              <w:ind w:firstLine="480"/>
            </w:pPr>
            <w:r>
              <w:rPr>
                <w:rFonts w:hint="eastAsia"/>
              </w:rPr>
              <w:t>①本项目主要噪声设备布置集中，可通过距离消减有效降低厂界的噪声。</w:t>
            </w:r>
          </w:p>
          <w:p>
            <w:pPr>
              <w:ind w:firstLine="480"/>
            </w:pPr>
            <w:r>
              <w:rPr>
                <w:rFonts w:hint="eastAsia"/>
              </w:rPr>
              <w:t>②主要生产设备基础减震，输送机皮带机定期加润滑油。</w:t>
            </w:r>
          </w:p>
          <w:p>
            <w:pPr>
              <w:ind w:firstLine="480"/>
            </w:pPr>
            <w:r>
              <w:rPr>
                <w:rFonts w:hint="eastAsia"/>
              </w:rPr>
              <w:t>③加强文明生产管理，减小原材料装卸作业的撞击声及人为噪声。</w:t>
            </w:r>
          </w:p>
          <w:p>
            <w:pPr>
              <w:ind w:firstLine="480"/>
            </w:pPr>
            <w:r>
              <w:rPr>
                <w:rFonts w:hint="eastAsia"/>
              </w:rPr>
              <w:t>④严格禁止运输车辆超载。</w:t>
            </w:r>
          </w:p>
          <w:p>
            <w:pPr>
              <w:ind w:firstLine="480"/>
            </w:pPr>
            <w:r>
              <w:rPr>
                <w:rFonts w:hint="eastAsia"/>
              </w:rPr>
              <w:t>采取上述措施后，</w:t>
            </w:r>
            <w:r>
              <w:rPr>
                <w:rFonts w:hint="eastAsia"/>
                <w:lang w:eastAsia="zh-CN"/>
              </w:rPr>
              <w:t>本项目</w:t>
            </w:r>
            <w:r>
              <w:rPr>
                <w:rFonts w:hint="eastAsia"/>
              </w:rPr>
              <w:t>的厂界噪声将得到有效控制。</w:t>
            </w:r>
            <w:r>
              <w:rPr>
                <w:rFonts w:hint="eastAsia"/>
                <w:snapToGrid w:val="0"/>
                <w:kern w:val="0"/>
              </w:rPr>
              <w:t>在运营过程中的噪声能满足《工业企业厂界环境噪声排放标准》（GB12348—2008）3类标准。</w:t>
            </w:r>
          </w:p>
          <w:p>
            <w:pPr>
              <w:pStyle w:val="24"/>
              <w:ind w:firstLine="482"/>
            </w:pPr>
            <w:r>
              <w:t>4.2.4固体废弃物环境影响分析</w:t>
            </w:r>
            <w:bookmarkEnd w:id="24"/>
            <w:bookmarkEnd w:id="25"/>
            <w:bookmarkEnd w:id="26"/>
            <w:bookmarkEnd w:id="27"/>
            <w:bookmarkEnd w:id="28"/>
            <w:bookmarkEnd w:id="29"/>
            <w:bookmarkEnd w:id="30"/>
            <w:bookmarkEnd w:id="31"/>
          </w:p>
          <w:bookmarkEnd w:id="32"/>
          <w:bookmarkEnd w:id="33"/>
          <w:bookmarkEnd w:id="34"/>
          <w:bookmarkEnd w:id="35"/>
          <w:p>
            <w:pPr>
              <w:pStyle w:val="24"/>
              <w:ind w:firstLine="482"/>
            </w:pPr>
            <w:r>
              <w:rPr>
                <w:rFonts w:hint="eastAsia"/>
                <w:lang w:val="en-US" w:eastAsia="zh-CN"/>
              </w:rPr>
              <w:t>1、</w:t>
            </w:r>
            <w:r>
              <w:rPr>
                <w:rFonts w:hint="eastAsia"/>
              </w:rPr>
              <w:t>一般</w:t>
            </w:r>
            <w:r>
              <w:rPr>
                <w:rFonts w:hint="eastAsia"/>
                <w:lang w:val="en-US" w:eastAsia="zh-CN"/>
              </w:rPr>
              <w:t>固体废物</w:t>
            </w:r>
          </w:p>
          <w:p>
            <w:pPr>
              <w:numPr>
                <w:ilvl w:val="0"/>
                <w:numId w:val="0"/>
              </w:numPr>
              <w:ind w:firstLine="480" w:firstLineChars="200"/>
              <w:rPr>
                <w:rFonts w:hint="eastAsia"/>
                <w:lang w:val="en-US" w:eastAsia="zh-CN"/>
              </w:rPr>
            </w:pPr>
            <w:r>
              <w:rPr>
                <w:rFonts w:hint="eastAsia"/>
                <w:lang w:val="en-US" w:eastAsia="zh-CN"/>
              </w:rPr>
              <w:t>（1）除尘灰</w:t>
            </w:r>
          </w:p>
          <w:p>
            <w:pPr>
              <w:numPr>
                <w:ilvl w:val="0"/>
                <w:numId w:val="0"/>
              </w:numPr>
              <w:ind w:firstLine="480" w:firstLineChars="200"/>
              <w:rPr>
                <w:rFonts w:hint="default"/>
                <w:lang w:val="en-US" w:eastAsia="zh-CN"/>
              </w:rPr>
            </w:pPr>
            <w:r>
              <w:rPr>
                <w:rFonts w:hint="eastAsia"/>
                <w:lang w:val="en-US" w:eastAsia="zh-CN"/>
              </w:rPr>
              <w:t>生产过程</w:t>
            </w:r>
            <w:r>
              <w:t>产生的颗粒物经过</w:t>
            </w:r>
            <w:r>
              <w:rPr>
                <w:rFonts w:hint="eastAsia"/>
              </w:rPr>
              <w:t>脉冲式布袋除尘器</w:t>
            </w:r>
            <w:r>
              <w:t>收集后</w:t>
            </w:r>
            <w:r>
              <w:rPr>
                <w:rFonts w:hint="eastAsia"/>
                <w:lang w:val="en-US" w:eastAsia="zh-CN"/>
              </w:rPr>
              <w:t>回用于生产线</w:t>
            </w:r>
            <w:r>
              <w:t>，根据破碎筛分环节颗粒物产生量</w:t>
            </w:r>
            <w:r>
              <w:rPr>
                <w:rFonts w:hint="eastAsia"/>
              </w:rPr>
              <w:t>16.40</w:t>
            </w:r>
            <w:r>
              <w:t>t/a，除尘器去除率为99%，则除尘器收集颗粒物量为</w:t>
            </w:r>
            <w:r>
              <w:rPr>
                <w:rFonts w:hint="eastAsia"/>
              </w:rPr>
              <w:t>16.24</w:t>
            </w:r>
            <w:r>
              <w:t>t/a。</w:t>
            </w:r>
          </w:p>
          <w:p>
            <w:pPr>
              <w:ind w:firstLine="480"/>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废旧除尘布袋</w:t>
            </w:r>
          </w:p>
          <w:p>
            <w:pPr>
              <w:ind w:firstLine="480"/>
              <w:rPr>
                <w:rFonts w:hint="default"/>
                <w:lang w:val="en-US" w:eastAsia="zh-CN"/>
              </w:rPr>
            </w:pPr>
            <w:r>
              <w:rPr>
                <w:rFonts w:hint="eastAsia"/>
                <w:lang w:val="en-US" w:eastAsia="zh-CN"/>
              </w:rPr>
              <w:t>生产过程使用布袋除尘器除尘，需要厂家定期更换以保证除尘效率，产生量约1t/a，更换后的废旧布袋由厂家回收处置。</w:t>
            </w:r>
          </w:p>
          <w:p>
            <w:pPr>
              <w:ind w:firstLine="480"/>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离子交换树脂</w:t>
            </w:r>
          </w:p>
          <w:p>
            <w:pPr>
              <w:ind w:firstLine="480"/>
              <w:rPr>
                <w:rFonts w:hint="default" w:eastAsia="宋体"/>
                <w:lang w:val="en-US" w:eastAsia="zh-CN"/>
              </w:rPr>
            </w:pPr>
            <w:r>
              <w:rPr>
                <w:rFonts w:hint="eastAsia"/>
                <w:bCs/>
              </w:rPr>
              <w:t>软水制备采用离子交换树脂</w:t>
            </w:r>
            <w:r>
              <w:rPr>
                <w:rFonts w:hint="eastAsia"/>
                <w:bCs/>
                <w:lang w:eastAsia="zh-CN"/>
              </w:rPr>
              <w:t>，</w:t>
            </w:r>
            <w:r>
              <w:rPr>
                <w:rFonts w:hint="eastAsia"/>
                <w:bCs/>
                <w:lang w:val="en-US" w:eastAsia="zh-CN"/>
              </w:rPr>
              <w:t>需要厂家定期更换，</w:t>
            </w:r>
            <w:r>
              <w:rPr>
                <w:rFonts w:hint="eastAsia"/>
                <w:lang w:val="en-US" w:eastAsia="zh-CN"/>
              </w:rPr>
              <w:t>产生量约0.1t/a，更换后由厂家回收处置。</w:t>
            </w:r>
          </w:p>
          <w:p>
            <w:pPr>
              <w:ind w:firstLine="480"/>
              <w:rPr>
                <w:rFonts w:hint="eastAsia"/>
                <w:lang w:val="en-US" w:eastAsia="zh-CN"/>
              </w:rPr>
            </w:pPr>
            <w:r>
              <w:rPr>
                <w:rFonts w:hint="eastAsia"/>
                <w:lang w:eastAsia="zh-CN"/>
              </w:rPr>
              <w:t>（</w:t>
            </w:r>
            <w:r>
              <w:rPr>
                <w:rFonts w:hint="eastAsia"/>
                <w:lang w:val="en-US" w:eastAsia="zh-CN"/>
              </w:rPr>
              <w:t>4</w:t>
            </w:r>
            <w:r>
              <w:rPr>
                <w:rFonts w:hint="eastAsia"/>
                <w:lang w:eastAsia="zh-CN"/>
              </w:rPr>
              <w:t>）</w:t>
            </w:r>
            <w:r>
              <w:rPr>
                <w:rFonts w:hint="default"/>
                <w:lang w:val="en-US" w:eastAsia="zh-CN"/>
              </w:rPr>
              <w:t>清筛工序</w:t>
            </w:r>
            <w:r>
              <w:rPr>
                <w:rFonts w:hint="eastAsia"/>
                <w:lang w:val="en-US" w:eastAsia="zh-CN"/>
              </w:rPr>
              <w:t>、除铁工序杂质</w:t>
            </w:r>
          </w:p>
          <w:p>
            <w:pPr>
              <w:ind w:firstLine="480"/>
            </w:pPr>
            <w:r>
              <w:rPr>
                <w:rFonts w:hint="default" w:ascii="Times New Roman" w:hAnsi="Times New Roman" w:eastAsia="宋体" w:cs="Times New Roman"/>
                <w:lang w:val="en-US" w:eastAsia="zh-CN"/>
              </w:rPr>
              <w:t>清筛工序</w:t>
            </w:r>
            <w:r>
              <w:rPr>
                <w:rFonts w:hint="eastAsia" w:ascii="Times New Roman" w:hAnsi="Times New Roman" w:eastAsia="宋体" w:cs="Times New Roman"/>
                <w:lang w:val="en-US" w:eastAsia="zh-CN"/>
              </w:rPr>
              <w:t>、除铁工序产生的铁等可回收物品回收至收购站，不可回收物为塑料等普通生活垃圾，与生活垃圾一同</w:t>
            </w:r>
            <w:r>
              <w:rPr>
                <w:rFonts w:ascii="Times New Roman" w:hAnsi="Times New Roman" w:eastAsia="宋体" w:cs="Times New Roman"/>
              </w:rPr>
              <w:t>交由环卫部门统一清运</w:t>
            </w:r>
            <w:r>
              <w:rPr>
                <w:rFonts w:hint="eastAsia" w:cs="Times New Roman"/>
                <w:lang w:eastAsia="zh-CN"/>
              </w:rPr>
              <w:t>，</w:t>
            </w:r>
            <w:r>
              <w:rPr>
                <w:rFonts w:hint="eastAsia" w:cs="Times New Roman"/>
                <w:lang w:val="en-US" w:eastAsia="zh-CN"/>
              </w:rPr>
              <w:t>产生量约为2t/a</w:t>
            </w:r>
            <w:r>
              <w:rPr>
                <w:rFonts w:hint="eastAsia" w:ascii="Times New Roman" w:hAnsi="Times New Roman" w:eastAsia="宋体" w:cs="Times New Roman"/>
                <w:lang w:eastAsia="zh-CN"/>
              </w:rPr>
              <w:t>。</w:t>
            </w:r>
          </w:p>
          <w:p>
            <w:pPr>
              <w:numPr>
                <w:ilvl w:val="0"/>
                <w:numId w:val="0"/>
              </w:numPr>
              <w:ind w:leftChars="200"/>
              <w:rPr>
                <w:rFonts w:hint="eastAsia"/>
                <w:lang w:val="en-US" w:eastAsia="zh-CN"/>
              </w:rPr>
            </w:pPr>
            <w:r>
              <w:rPr>
                <w:rFonts w:hint="eastAsia"/>
                <w:lang w:val="en-US" w:eastAsia="zh-CN"/>
              </w:rPr>
              <w:t>（5）化粪池污泥</w:t>
            </w:r>
          </w:p>
          <w:p>
            <w:pPr>
              <w:numPr>
                <w:ilvl w:val="0"/>
                <w:numId w:val="0"/>
              </w:numPr>
              <w:ind w:firstLine="480" w:firstLineChars="200"/>
              <w:rPr>
                <w:rFonts w:hint="default"/>
                <w:vertAlign w:val="baseline"/>
                <w:lang w:val="en-US" w:eastAsia="zh-CN"/>
              </w:rPr>
            </w:pPr>
            <w:r>
              <w:rPr>
                <w:rFonts w:hint="eastAsia"/>
                <w:lang w:val="en-US" w:eastAsia="zh-CN"/>
              </w:rPr>
              <w:t>化粪池污泥定期由吸污车清掏，拉运至污水处理厂进行脱水处置，干化后的污泥最终进入生活垃圾场填埋处置，按照经验公式，污泥体积占污水总量的1%~3%（具体取决于悬浮物浓度，本项目取2%），本项目污水产生量约为480t/a，则污泥产生量9.6t/a，化粪池容积为18m</w:t>
            </w:r>
            <w:r>
              <w:rPr>
                <w:rFonts w:hint="eastAsia"/>
                <w:vertAlign w:val="superscript"/>
                <w:lang w:val="en-US" w:eastAsia="zh-CN"/>
              </w:rPr>
              <w:t>3</w:t>
            </w:r>
            <w:r>
              <w:rPr>
                <w:rFonts w:hint="eastAsia"/>
                <w:vertAlign w:val="baseline"/>
                <w:lang w:val="en-US" w:eastAsia="zh-CN"/>
              </w:rPr>
              <w:t>，能够每年清掏一次即可满足使用要求。</w:t>
            </w:r>
          </w:p>
          <w:p>
            <w:pPr>
              <w:numPr>
                <w:ilvl w:val="0"/>
                <w:numId w:val="0"/>
              </w:numPr>
              <w:ind w:leftChars="200"/>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6</w:t>
            </w:r>
            <w:r>
              <w:rPr>
                <w:rFonts w:hint="eastAsia" w:ascii="Times New Roman" w:hAnsi="Times New Roman" w:eastAsia="宋体" w:cs="Times New Roman"/>
                <w:lang w:eastAsia="zh-CN"/>
              </w:rPr>
              <w:t>）</w:t>
            </w:r>
            <w:r>
              <w:rPr>
                <w:rFonts w:ascii="Times New Roman" w:hAnsi="Times New Roman" w:eastAsia="宋体" w:cs="Times New Roman"/>
              </w:rPr>
              <w:t>生活</w:t>
            </w:r>
            <w:r>
              <w:rPr>
                <w:rFonts w:hint="eastAsia" w:ascii="Times New Roman" w:hAnsi="Times New Roman" w:eastAsia="宋体" w:cs="Times New Roman"/>
                <w:lang w:val="en-US" w:eastAsia="zh-CN"/>
              </w:rPr>
              <w:t>垃圾</w:t>
            </w:r>
          </w:p>
          <w:p>
            <w:pPr>
              <w:ind w:firstLine="480"/>
              <w:rPr>
                <w:rFonts w:hint="eastAsia"/>
                <w:b/>
                <w:szCs w:val="24"/>
                <w:lang w:val="en-US" w:eastAsia="zh-CN"/>
              </w:rPr>
            </w:pPr>
            <w:r>
              <w:rPr>
                <w:szCs w:val="24"/>
              </w:rPr>
              <w:t>项目劳动定员</w:t>
            </w:r>
            <w:r>
              <w:rPr>
                <w:rFonts w:hint="eastAsia"/>
                <w:szCs w:val="24"/>
              </w:rPr>
              <w:t>100</w:t>
            </w:r>
            <w:r>
              <w:rPr>
                <w:szCs w:val="24"/>
              </w:rPr>
              <w:t>人，按每人每天产生生活垃圾0.5kg计算，项目年生产</w:t>
            </w:r>
            <w:r>
              <w:rPr>
                <w:rFonts w:hint="eastAsia"/>
                <w:szCs w:val="24"/>
              </w:rPr>
              <w:t>300</w:t>
            </w:r>
            <w:r>
              <w:rPr>
                <w:szCs w:val="24"/>
              </w:rPr>
              <w:t>天，则年产生量为</w:t>
            </w:r>
            <w:r>
              <w:rPr>
                <w:rFonts w:hint="eastAsia"/>
                <w:szCs w:val="24"/>
              </w:rPr>
              <w:t>18.25</w:t>
            </w:r>
            <w:r>
              <w:rPr>
                <w:szCs w:val="24"/>
              </w:rPr>
              <w:t>t/a。生活垃圾收集后</w:t>
            </w:r>
            <w:r>
              <w:t>交由环卫部门统一清运</w:t>
            </w:r>
            <w:r>
              <w:rPr>
                <w:szCs w:val="24"/>
              </w:rPr>
              <w:t>。</w:t>
            </w:r>
          </w:p>
          <w:p>
            <w:pPr>
              <w:ind w:firstLine="480"/>
              <w:rPr>
                <w:rFonts w:hint="eastAsia"/>
                <w:lang w:val="en-US" w:eastAsia="zh-CN"/>
              </w:rPr>
            </w:pPr>
            <w:r>
              <w:rPr>
                <w:rFonts w:hint="eastAsia"/>
                <w:lang w:val="en-US" w:eastAsia="zh-CN"/>
              </w:rPr>
              <w:t>2、危险废物</w:t>
            </w:r>
          </w:p>
          <w:p>
            <w:pPr>
              <w:ind w:firstLine="480"/>
              <w:rPr>
                <w:rFonts w:hint="default" w:eastAsia="宋体"/>
                <w:lang w:val="en-US" w:eastAsia="zh-CN"/>
              </w:rPr>
            </w:pPr>
            <w:r>
              <w:rPr>
                <w:rFonts w:hint="eastAsia"/>
              </w:rPr>
              <w:t>设备维护保养过程产生的</w:t>
            </w:r>
            <w:r>
              <w:rPr>
                <w:rFonts w:hint="eastAsia"/>
                <w:lang w:val="en-US" w:eastAsia="zh-CN"/>
              </w:rPr>
              <w:t>废润滑油产生量合计</w:t>
            </w:r>
            <w:r>
              <w:rPr>
                <w:rFonts w:hint="eastAsia"/>
              </w:rPr>
              <w:t>0.1t/a</w:t>
            </w:r>
            <w:r>
              <w:rPr>
                <w:rFonts w:hint="eastAsia"/>
                <w:lang w:eastAsia="zh-CN"/>
              </w:rPr>
              <w:t>，</w:t>
            </w:r>
            <w:r>
              <w:t>临时储存在危险废物</w:t>
            </w:r>
            <w:r>
              <w:rPr>
                <w:rFonts w:hint="eastAsia"/>
                <w:lang w:val="en-US" w:eastAsia="zh-CN"/>
              </w:rPr>
              <w:t>贮存库</w:t>
            </w:r>
            <w:r>
              <w:t>内，委托有资质单位定期回收</w:t>
            </w:r>
            <w:r>
              <w:rPr>
                <w:rFonts w:hint="eastAsia"/>
              </w:rPr>
              <w:t>处置</w:t>
            </w:r>
            <w:r>
              <w:rPr>
                <w:rFonts w:hint="eastAsia"/>
                <w:lang w:eastAsia="zh-CN"/>
              </w:rPr>
              <w:t>。</w:t>
            </w:r>
          </w:p>
          <w:p>
            <w:pPr>
              <w:pStyle w:val="65"/>
              <w:rPr>
                <w:color w:val="auto"/>
                <w:highlight w:val="none"/>
              </w:rPr>
            </w:pPr>
            <w:r>
              <w:rPr>
                <w:color w:val="auto"/>
                <w:highlight w:val="none"/>
              </w:rPr>
              <w:t>表4</w:t>
            </w:r>
            <w:r>
              <w:rPr>
                <w:rFonts w:hint="eastAsia"/>
                <w:color w:val="auto"/>
                <w:highlight w:val="none"/>
              </w:rPr>
              <w:t>.2</w:t>
            </w:r>
            <w:r>
              <w:rPr>
                <w:color w:val="auto"/>
                <w:highlight w:val="none"/>
              </w:rPr>
              <w:t>-</w:t>
            </w:r>
            <w:r>
              <w:rPr>
                <w:rFonts w:hint="eastAsia"/>
                <w:color w:val="auto"/>
                <w:highlight w:val="none"/>
              </w:rPr>
              <w:t>11</w:t>
            </w:r>
            <w:r>
              <w:rPr>
                <w:color w:val="auto"/>
                <w:highlight w:val="none"/>
              </w:rPr>
              <w:t xml:space="preserve">   项目固体废物产生及排放情况表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05"/>
              <w:gridCol w:w="795"/>
              <w:gridCol w:w="825"/>
              <w:gridCol w:w="870"/>
              <w:gridCol w:w="615"/>
              <w:gridCol w:w="600"/>
              <w:gridCol w:w="615"/>
              <w:gridCol w:w="69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70"/>
                  </w:pPr>
                  <w:r>
                    <w:t>产生环节</w:t>
                  </w:r>
                </w:p>
              </w:tc>
              <w:tc>
                <w:tcPr>
                  <w:tcW w:w="705" w:type="dxa"/>
                  <w:tcBorders>
                    <w:top w:val="single" w:color="auto" w:sz="4" w:space="0"/>
                    <w:left w:val="single" w:color="auto" w:sz="4" w:space="0"/>
                    <w:bottom w:val="single" w:color="auto" w:sz="4" w:space="0"/>
                    <w:right w:val="single" w:color="auto" w:sz="4" w:space="0"/>
                  </w:tcBorders>
                  <w:vAlign w:val="center"/>
                </w:tcPr>
                <w:p>
                  <w:pPr>
                    <w:pStyle w:val="70"/>
                  </w:pPr>
                  <w:r>
                    <w:t>名称</w:t>
                  </w:r>
                </w:p>
              </w:tc>
              <w:tc>
                <w:tcPr>
                  <w:tcW w:w="795" w:type="dxa"/>
                  <w:tcBorders>
                    <w:top w:val="single" w:color="auto" w:sz="4" w:space="0"/>
                    <w:left w:val="single" w:color="auto" w:sz="4" w:space="0"/>
                    <w:bottom w:val="single" w:color="auto" w:sz="4" w:space="0"/>
                    <w:right w:val="single" w:color="auto" w:sz="4" w:space="0"/>
                  </w:tcBorders>
                  <w:vAlign w:val="center"/>
                </w:tcPr>
                <w:p>
                  <w:pPr>
                    <w:pStyle w:val="70"/>
                  </w:pPr>
                  <w:r>
                    <w:t>属性</w:t>
                  </w:r>
                </w:p>
              </w:tc>
              <w:tc>
                <w:tcPr>
                  <w:tcW w:w="825" w:type="dxa"/>
                  <w:tcBorders>
                    <w:top w:val="single" w:color="auto" w:sz="4" w:space="0"/>
                    <w:left w:val="single" w:color="auto" w:sz="4" w:space="0"/>
                    <w:bottom w:val="single" w:color="auto" w:sz="4" w:space="0"/>
                    <w:right w:val="single" w:color="auto" w:sz="4" w:space="0"/>
                  </w:tcBorders>
                  <w:vAlign w:val="center"/>
                </w:tcPr>
                <w:p>
                  <w:pPr>
                    <w:pStyle w:val="70"/>
                  </w:pPr>
                  <w:r>
                    <w:t>有毒有害</w:t>
                  </w:r>
                  <w:r>
                    <w:rPr>
                      <w:rFonts w:hint="eastAsia"/>
                      <w:lang w:val="en-US" w:eastAsia="zh-CN"/>
                    </w:rPr>
                    <w:t>物质</w:t>
                  </w:r>
                  <w:r>
                    <w:t>名称</w:t>
                  </w:r>
                </w:p>
              </w:tc>
              <w:tc>
                <w:tcPr>
                  <w:tcW w:w="870" w:type="dxa"/>
                  <w:tcBorders>
                    <w:top w:val="single" w:color="auto" w:sz="4" w:space="0"/>
                    <w:left w:val="single" w:color="auto" w:sz="4" w:space="0"/>
                    <w:bottom w:val="single" w:color="auto" w:sz="4" w:space="0"/>
                    <w:right w:val="single" w:color="auto" w:sz="4" w:space="0"/>
                  </w:tcBorders>
                  <w:vAlign w:val="center"/>
                </w:tcPr>
                <w:p>
                  <w:pPr>
                    <w:pStyle w:val="70"/>
                  </w:pPr>
                  <w:r>
                    <w:t>固体废物及危险废物编码</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pPr>
                  <w:r>
                    <w:t>物理形状</w:t>
                  </w:r>
                </w:p>
              </w:tc>
              <w:tc>
                <w:tcPr>
                  <w:tcW w:w="600" w:type="dxa"/>
                  <w:tcBorders>
                    <w:top w:val="single" w:color="auto" w:sz="4" w:space="0"/>
                    <w:left w:val="single" w:color="auto" w:sz="4" w:space="0"/>
                    <w:bottom w:val="single" w:color="auto" w:sz="4" w:space="0"/>
                    <w:right w:val="single" w:color="auto" w:sz="4" w:space="0"/>
                  </w:tcBorders>
                  <w:vAlign w:val="center"/>
                </w:tcPr>
                <w:p>
                  <w:pPr>
                    <w:pStyle w:val="70"/>
                  </w:pPr>
                  <w:r>
                    <w:t>环境危险特性</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lang w:eastAsia="zh-CN"/>
                    </w:rPr>
                  </w:pPr>
                  <w:r>
                    <w:t>产生量</w:t>
                  </w:r>
                  <w:r>
                    <w:rPr>
                      <w:rFonts w:hint="eastAsia"/>
                      <w:lang w:eastAsia="zh-CN"/>
                    </w:rPr>
                    <w:t>（</w:t>
                  </w:r>
                  <w:r>
                    <w:t>t/a</w:t>
                  </w:r>
                  <w:r>
                    <w:rPr>
                      <w:rFonts w:hint="eastAsia"/>
                      <w:lang w:eastAsia="zh-CN"/>
                    </w:rPr>
                    <w:t>）</w:t>
                  </w:r>
                </w:p>
              </w:tc>
              <w:tc>
                <w:tcPr>
                  <w:tcW w:w="690" w:type="dxa"/>
                  <w:tcBorders>
                    <w:top w:val="single" w:color="auto" w:sz="4" w:space="0"/>
                    <w:left w:val="single" w:color="auto" w:sz="4" w:space="0"/>
                    <w:bottom w:val="single" w:color="auto" w:sz="4" w:space="0"/>
                    <w:right w:val="single" w:color="auto" w:sz="4" w:space="0"/>
                  </w:tcBorders>
                  <w:vAlign w:val="center"/>
                </w:tcPr>
                <w:p>
                  <w:pPr>
                    <w:pStyle w:val="70"/>
                  </w:pPr>
                  <w:r>
                    <w:t>贮存方式</w:t>
                  </w:r>
                </w:p>
              </w:tc>
              <w:tc>
                <w:tcPr>
                  <w:tcW w:w="1810" w:type="dxa"/>
                  <w:tcBorders>
                    <w:top w:val="single" w:color="auto" w:sz="4" w:space="0"/>
                    <w:left w:val="single" w:color="auto" w:sz="4" w:space="0"/>
                    <w:bottom w:val="single" w:color="auto" w:sz="4" w:space="0"/>
                    <w:right w:val="single" w:color="auto" w:sz="4" w:space="0"/>
                  </w:tcBorders>
                  <w:vAlign w:val="center"/>
                </w:tcPr>
                <w:p>
                  <w:pPr>
                    <w:pStyle w:val="70"/>
                  </w:pPr>
                  <w:r>
                    <w:t>利用处置方式和去向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0" w:type="dxa"/>
                  <w:vMerge w:val="restart"/>
                  <w:tcBorders>
                    <w:top w:val="single" w:color="auto" w:sz="4" w:space="0"/>
                    <w:left w:val="single" w:color="auto" w:sz="4" w:space="0"/>
                    <w:right w:val="single" w:color="auto" w:sz="4" w:space="0"/>
                  </w:tcBorders>
                  <w:vAlign w:val="center"/>
                </w:tcPr>
                <w:p>
                  <w:pPr>
                    <w:pStyle w:val="70"/>
                  </w:pPr>
                  <w:r>
                    <w:t>除尘系统</w:t>
                  </w:r>
                </w:p>
              </w:tc>
              <w:tc>
                <w:tcPr>
                  <w:tcW w:w="705" w:type="dxa"/>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lang w:eastAsia="zh-CN"/>
                    </w:rPr>
                  </w:pPr>
                  <w:r>
                    <w:rPr>
                      <w:rFonts w:hint="eastAsia"/>
                      <w:lang w:val="en-US" w:eastAsia="zh-CN"/>
                    </w:rPr>
                    <w:t>除尘灰</w:t>
                  </w:r>
                </w:p>
              </w:tc>
              <w:tc>
                <w:tcPr>
                  <w:tcW w:w="795" w:type="dxa"/>
                  <w:tcBorders>
                    <w:top w:val="single" w:color="auto" w:sz="4" w:space="0"/>
                    <w:left w:val="single" w:color="auto" w:sz="4" w:space="0"/>
                    <w:bottom w:val="single" w:color="auto" w:sz="4" w:space="0"/>
                    <w:right w:val="single" w:color="auto" w:sz="4" w:space="0"/>
                  </w:tcBorders>
                  <w:vAlign w:val="center"/>
                </w:tcPr>
                <w:p>
                  <w:pPr>
                    <w:pStyle w:val="70"/>
                  </w:pPr>
                  <w:r>
                    <w:t>一般</w:t>
                  </w:r>
                  <w:r>
                    <w:rPr>
                      <w:rFonts w:hint="eastAsia"/>
                      <w:lang w:val="en-US" w:eastAsia="zh-CN"/>
                    </w:rPr>
                    <w:t>固体</w:t>
                  </w:r>
                  <w:r>
                    <w:t>废物</w:t>
                  </w:r>
                </w:p>
              </w:tc>
              <w:tc>
                <w:tcPr>
                  <w:tcW w:w="825" w:type="dxa"/>
                  <w:tcBorders>
                    <w:top w:val="single" w:color="auto" w:sz="4" w:space="0"/>
                    <w:left w:val="single" w:color="auto" w:sz="4" w:space="0"/>
                    <w:bottom w:val="single" w:color="auto" w:sz="4" w:space="0"/>
                    <w:right w:val="single" w:color="auto" w:sz="4" w:space="0"/>
                  </w:tcBorders>
                  <w:vAlign w:val="center"/>
                </w:tcPr>
                <w:p>
                  <w:pPr>
                    <w:pStyle w:val="70"/>
                  </w:pPr>
                  <w:r>
                    <w:t>无</w:t>
                  </w:r>
                </w:p>
              </w:tc>
              <w:tc>
                <w:tcPr>
                  <w:tcW w:w="870" w:type="dxa"/>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lang w:val="en-US" w:eastAsia="zh-CN"/>
                    </w:rPr>
                  </w:pPr>
                  <w:r>
                    <w:rPr>
                      <w:rFonts w:hint="eastAsia"/>
                    </w:rPr>
                    <w:t>010-099-S8</w:t>
                  </w:r>
                  <w:r>
                    <w:rPr>
                      <w:rFonts w:hint="eastAsia"/>
                      <w:lang w:val="en-US" w:eastAsia="zh-CN"/>
                    </w:rPr>
                    <w:t>0</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pPr>
                  <w:r>
                    <w:t>固态</w:t>
                  </w:r>
                </w:p>
              </w:tc>
              <w:tc>
                <w:tcPr>
                  <w:tcW w:w="600" w:type="dxa"/>
                  <w:tcBorders>
                    <w:top w:val="single" w:color="auto" w:sz="4" w:space="0"/>
                    <w:left w:val="single" w:color="auto" w:sz="4" w:space="0"/>
                    <w:bottom w:val="single" w:color="auto" w:sz="4" w:space="0"/>
                    <w:right w:val="single" w:color="auto" w:sz="4" w:space="0"/>
                  </w:tcBorders>
                  <w:vAlign w:val="center"/>
                </w:tcPr>
                <w:p>
                  <w:pPr>
                    <w:pStyle w:val="70"/>
                  </w:pPr>
                  <w:r>
                    <w:t>无</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rPr>
                      <w:rFonts w:hint="default" w:eastAsia="宋体"/>
                      <w:lang w:val="en-US" w:eastAsia="zh-CN"/>
                    </w:rPr>
                  </w:pPr>
                  <w:r>
                    <w:rPr>
                      <w:rFonts w:hint="eastAsia"/>
                      <w:lang w:val="en-US" w:eastAsia="zh-CN"/>
                    </w:rPr>
                    <w:t>16.24</w:t>
                  </w:r>
                </w:p>
              </w:tc>
              <w:tc>
                <w:tcPr>
                  <w:tcW w:w="690" w:type="dxa"/>
                  <w:tcBorders>
                    <w:top w:val="single" w:color="auto" w:sz="4" w:space="0"/>
                    <w:left w:val="single" w:color="auto" w:sz="4" w:space="0"/>
                    <w:bottom w:val="single" w:color="auto" w:sz="4" w:space="0"/>
                    <w:right w:val="single" w:color="auto" w:sz="4" w:space="0"/>
                  </w:tcBorders>
                  <w:vAlign w:val="center"/>
                </w:tcPr>
                <w:p>
                  <w:pPr>
                    <w:pStyle w:val="70"/>
                  </w:pPr>
                  <w:r>
                    <w:t>集中收集</w:t>
                  </w:r>
                </w:p>
              </w:tc>
              <w:tc>
                <w:tcPr>
                  <w:tcW w:w="1810" w:type="dxa"/>
                  <w:tcBorders>
                    <w:top w:val="single" w:color="auto" w:sz="4" w:space="0"/>
                    <w:left w:val="single" w:color="auto" w:sz="4" w:space="0"/>
                    <w:bottom w:val="single" w:color="auto" w:sz="4" w:space="0"/>
                    <w:right w:val="single" w:color="auto" w:sz="4" w:space="0"/>
                  </w:tcBorders>
                  <w:vAlign w:val="center"/>
                </w:tcPr>
                <w:p>
                  <w:pPr>
                    <w:pStyle w:val="70"/>
                    <w:rPr>
                      <w:rFonts w:hint="default" w:eastAsia="宋体"/>
                      <w:lang w:val="en-US" w:eastAsia="zh-CN"/>
                    </w:rPr>
                  </w:pPr>
                  <w:r>
                    <w:rPr>
                      <w:rFonts w:hint="eastAsia"/>
                      <w:lang w:val="en-US" w:eastAsia="zh-CN"/>
                    </w:rPr>
                    <w:t>回用于生产线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70"/>
                  </w:pPr>
                </w:p>
              </w:tc>
              <w:tc>
                <w:tcPr>
                  <w:tcW w:w="705" w:type="dxa"/>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lang w:eastAsia="zh-CN"/>
                    </w:rPr>
                  </w:pPr>
                  <w:r>
                    <w:t>废</w:t>
                  </w:r>
                  <w:r>
                    <w:rPr>
                      <w:rFonts w:hint="eastAsia"/>
                      <w:lang w:val="en-US" w:eastAsia="zh-CN"/>
                    </w:rPr>
                    <w:t>旧除尘布袋</w:t>
                  </w:r>
                </w:p>
              </w:tc>
              <w:tc>
                <w:tcPr>
                  <w:tcW w:w="795" w:type="dxa"/>
                  <w:tcBorders>
                    <w:top w:val="single" w:color="auto" w:sz="4" w:space="0"/>
                    <w:left w:val="single" w:color="auto" w:sz="4" w:space="0"/>
                    <w:bottom w:val="single" w:color="auto" w:sz="4" w:space="0"/>
                    <w:right w:val="single" w:color="auto" w:sz="4" w:space="0"/>
                  </w:tcBorders>
                  <w:vAlign w:val="center"/>
                </w:tcPr>
                <w:p>
                  <w:pPr>
                    <w:pStyle w:val="70"/>
                  </w:pPr>
                  <w:r>
                    <w:t>一般</w:t>
                  </w:r>
                  <w:r>
                    <w:rPr>
                      <w:rFonts w:hint="eastAsia"/>
                      <w:lang w:val="en-US" w:eastAsia="zh-CN"/>
                    </w:rPr>
                    <w:t>固体</w:t>
                  </w:r>
                  <w:r>
                    <w:t>废物</w:t>
                  </w:r>
                </w:p>
              </w:tc>
              <w:tc>
                <w:tcPr>
                  <w:tcW w:w="825" w:type="dxa"/>
                  <w:tcBorders>
                    <w:top w:val="single" w:color="auto" w:sz="4" w:space="0"/>
                    <w:left w:val="single" w:color="auto" w:sz="4" w:space="0"/>
                    <w:bottom w:val="single" w:color="auto" w:sz="4" w:space="0"/>
                    <w:right w:val="single" w:color="auto" w:sz="4" w:space="0"/>
                  </w:tcBorders>
                  <w:vAlign w:val="center"/>
                </w:tcPr>
                <w:p>
                  <w:pPr>
                    <w:pStyle w:val="70"/>
                  </w:pPr>
                  <w:r>
                    <w:t>无</w:t>
                  </w:r>
                </w:p>
              </w:tc>
              <w:tc>
                <w:tcPr>
                  <w:tcW w:w="870" w:type="dxa"/>
                  <w:tcBorders>
                    <w:top w:val="single" w:color="auto" w:sz="4" w:space="0"/>
                    <w:left w:val="single" w:color="auto" w:sz="4" w:space="0"/>
                    <w:bottom w:val="single" w:color="auto" w:sz="4" w:space="0"/>
                    <w:right w:val="single" w:color="auto" w:sz="4" w:space="0"/>
                  </w:tcBorders>
                  <w:vAlign w:val="center"/>
                </w:tcPr>
                <w:p>
                  <w:pPr>
                    <w:pStyle w:val="70"/>
                    <w:rPr>
                      <w:rFonts w:hint="default" w:eastAsia="宋体"/>
                      <w:lang w:val="en-US" w:eastAsia="zh-CN"/>
                    </w:rPr>
                  </w:pPr>
                  <w:r>
                    <w:rPr>
                      <w:rFonts w:hint="eastAsia"/>
                      <w:lang w:val="en-US" w:eastAsia="zh-CN"/>
                    </w:rPr>
                    <w:t>900</w:t>
                  </w:r>
                  <w:r>
                    <w:rPr>
                      <w:rFonts w:hint="eastAsia"/>
                    </w:rPr>
                    <w:t>-00</w:t>
                  </w:r>
                  <w:r>
                    <w:rPr>
                      <w:rFonts w:hint="eastAsia"/>
                      <w:lang w:val="en-US" w:eastAsia="zh-CN"/>
                    </w:rPr>
                    <w:t>9</w:t>
                  </w:r>
                  <w:r>
                    <w:rPr>
                      <w:rFonts w:hint="eastAsia"/>
                    </w:rPr>
                    <w:t>-S</w:t>
                  </w:r>
                  <w:r>
                    <w:rPr>
                      <w:rFonts w:hint="eastAsia"/>
                      <w:lang w:val="en-US" w:eastAsia="zh-CN"/>
                    </w:rPr>
                    <w:t>59</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pPr>
                  <w:r>
                    <w:t>固态</w:t>
                  </w:r>
                </w:p>
              </w:tc>
              <w:tc>
                <w:tcPr>
                  <w:tcW w:w="600" w:type="dxa"/>
                  <w:tcBorders>
                    <w:top w:val="single" w:color="auto" w:sz="4" w:space="0"/>
                    <w:left w:val="single" w:color="auto" w:sz="4" w:space="0"/>
                    <w:bottom w:val="single" w:color="auto" w:sz="4" w:space="0"/>
                    <w:right w:val="single" w:color="auto" w:sz="4" w:space="0"/>
                  </w:tcBorders>
                  <w:vAlign w:val="center"/>
                </w:tcPr>
                <w:p>
                  <w:pPr>
                    <w:pStyle w:val="70"/>
                  </w:pPr>
                  <w:r>
                    <w:t>无</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lang w:eastAsia="zh-CN"/>
                    </w:rPr>
                  </w:pPr>
                  <w:r>
                    <w:rPr>
                      <w:rFonts w:hint="eastAsia"/>
                      <w:lang w:val="en-US" w:eastAsia="zh-CN"/>
                    </w:rPr>
                    <w:t>1</w:t>
                  </w:r>
                </w:p>
              </w:tc>
              <w:tc>
                <w:tcPr>
                  <w:tcW w:w="690" w:type="dxa"/>
                  <w:tcBorders>
                    <w:top w:val="single" w:color="auto" w:sz="4" w:space="0"/>
                    <w:left w:val="single" w:color="auto" w:sz="4" w:space="0"/>
                    <w:bottom w:val="single" w:color="auto" w:sz="4" w:space="0"/>
                    <w:right w:val="single" w:color="auto" w:sz="4" w:space="0"/>
                  </w:tcBorders>
                  <w:vAlign w:val="center"/>
                </w:tcPr>
                <w:p>
                  <w:pPr>
                    <w:pStyle w:val="70"/>
                  </w:pPr>
                  <w:r>
                    <w:t>集中收集</w:t>
                  </w:r>
                </w:p>
              </w:tc>
              <w:tc>
                <w:tcPr>
                  <w:tcW w:w="1810" w:type="dxa"/>
                  <w:tcBorders>
                    <w:top w:val="single" w:color="auto" w:sz="4" w:space="0"/>
                    <w:left w:val="single" w:color="auto" w:sz="4" w:space="0"/>
                    <w:bottom w:val="single" w:color="auto" w:sz="4" w:space="0"/>
                    <w:right w:val="single" w:color="auto" w:sz="4" w:space="0"/>
                  </w:tcBorders>
                  <w:vAlign w:val="center"/>
                </w:tcPr>
                <w:p>
                  <w:pPr>
                    <w:pStyle w:val="70"/>
                  </w:pPr>
                  <w: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0" w:type="dxa"/>
                  <w:tcBorders>
                    <w:left w:val="single" w:color="auto" w:sz="4" w:space="0"/>
                    <w:bottom w:val="single" w:color="auto" w:sz="4" w:space="0"/>
                    <w:right w:val="single" w:color="auto" w:sz="4" w:space="0"/>
                  </w:tcBorders>
                  <w:vAlign w:val="center"/>
                </w:tcPr>
                <w:p>
                  <w:pPr>
                    <w:pStyle w:val="70"/>
                  </w:pPr>
                  <w:r>
                    <w:t>锅炉</w:t>
                  </w:r>
                </w:p>
              </w:tc>
              <w:tc>
                <w:tcPr>
                  <w:tcW w:w="705" w:type="dxa"/>
                  <w:tcBorders>
                    <w:top w:val="single" w:color="auto" w:sz="4" w:space="0"/>
                    <w:left w:val="single" w:color="auto" w:sz="4" w:space="0"/>
                    <w:bottom w:val="single" w:color="auto" w:sz="4" w:space="0"/>
                    <w:right w:val="single" w:color="auto" w:sz="4" w:space="0"/>
                  </w:tcBorders>
                  <w:vAlign w:val="center"/>
                </w:tcPr>
                <w:p>
                  <w:pPr>
                    <w:pStyle w:val="70"/>
                  </w:pPr>
                  <w:r>
                    <w:t>离子交换树脂</w:t>
                  </w:r>
                </w:p>
              </w:tc>
              <w:tc>
                <w:tcPr>
                  <w:tcW w:w="795" w:type="dxa"/>
                  <w:tcBorders>
                    <w:top w:val="single" w:color="auto" w:sz="4" w:space="0"/>
                    <w:left w:val="single" w:color="auto" w:sz="4" w:space="0"/>
                    <w:bottom w:val="single" w:color="auto" w:sz="4" w:space="0"/>
                    <w:right w:val="single" w:color="auto" w:sz="4" w:space="0"/>
                  </w:tcBorders>
                  <w:vAlign w:val="center"/>
                </w:tcPr>
                <w:p>
                  <w:pPr>
                    <w:pStyle w:val="70"/>
                  </w:pPr>
                  <w:r>
                    <w:t>一般</w:t>
                  </w:r>
                  <w:r>
                    <w:rPr>
                      <w:rFonts w:hint="eastAsia"/>
                      <w:lang w:val="en-US" w:eastAsia="zh-CN"/>
                    </w:rPr>
                    <w:t>固体</w:t>
                  </w:r>
                  <w:r>
                    <w:t>废物</w:t>
                  </w:r>
                </w:p>
              </w:tc>
              <w:tc>
                <w:tcPr>
                  <w:tcW w:w="825" w:type="dxa"/>
                  <w:tcBorders>
                    <w:top w:val="single" w:color="auto" w:sz="4" w:space="0"/>
                    <w:left w:val="single" w:color="auto" w:sz="4" w:space="0"/>
                    <w:bottom w:val="single" w:color="auto" w:sz="4" w:space="0"/>
                    <w:right w:val="single" w:color="auto" w:sz="4" w:space="0"/>
                  </w:tcBorders>
                  <w:vAlign w:val="center"/>
                </w:tcPr>
                <w:p>
                  <w:pPr>
                    <w:pStyle w:val="70"/>
                  </w:pPr>
                  <w:r>
                    <w:t>无</w:t>
                  </w:r>
                </w:p>
              </w:tc>
              <w:tc>
                <w:tcPr>
                  <w:tcW w:w="870" w:type="dxa"/>
                  <w:tcBorders>
                    <w:top w:val="single" w:color="auto" w:sz="4" w:space="0"/>
                    <w:left w:val="single" w:color="auto" w:sz="4" w:space="0"/>
                    <w:bottom w:val="single" w:color="auto" w:sz="4" w:space="0"/>
                    <w:right w:val="single" w:color="auto" w:sz="4" w:space="0"/>
                  </w:tcBorders>
                  <w:vAlign w:val="center"/>
                </w:tcPr>
                <w:p>
                  <w:pPr>
                    <w:pStyle w:val="70"/>
                  </w:pPr>
                  <w:r>
                    <w:rPr>
                      <w:rFonts w:hint="eastAsia"/>
                      <w:lang w:val="en-US" w:eastAsia="zh-CN"/>
                    </w:rPr>
                    <w:t>900</w:t>
                  </w:r>
                  <w:r>
                    <w:rPr>
                      <w:rFonts w:hint="eastAsia"/>
                    </w:rPr>
                    <w:t>-00</w:t>
                  </w:r>
                  <w:r>
                    <w:rPr>
                      <w:rFonts w:hint="eastAsia"/>
                      <w:lang w:val="en-US" w:eastAsia="zh-CN"/>
                    </w:rPr>
                    <w:t>9</w:t>
                  </w:r>
                  <w:r>
                    <w:rPr>
                      <w:rFonts w:hint="eastAsia"/>
                    </w:rPr>
                    <w:t>-S</w:t>
                  </w:r>
                  <w:r>
                    <w:rPr>
                      <w:rFonts w:hint="eastAsia"/>
                      <w:lang w:val="en-US" w:eastAsia="zh-CN"/>
                    </w:rPr>
                    <w:t>59</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pPr>
                  <w:r>
                    <w:t>固态</w:t>
                  </w:r>
                </w:p>
              </w:tc>
              <w:tc>
                <w:tcPr>
                  <w:tcW w:w="600" w:type="dxa"/>
                  <w:tcBorders>
                    <w:top w:val="single" w:color="auto" w:sz="4" w:space="0"/>
                    <w:left w:val="single" w:color="auto" w:sz="4" w:space="0"/>
                    <w:bottom w:val="single" w:color="auto" w:sz="4" w:space="0"/>
                    <w:right w:val="single" w:color="auto" w:sz="4" w:space="0"/>
                  </w:tcBorders>
                  <w:vAlign w:val="center"/>
                </w:tcPr>
                <w:p>
                  <w:pPr>
                    <w:pStyle w:val="70"/>
                  </w:pPr>
                  <w:r>
                    <w:t>无</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lang w:eastAsia="zh-CN"/>
                    </w:rPr>
                  </w:pPr>
                  <w:r>
                    <w:rPr>
                      <w:rFonts w:hint="eastAsia"/>
                    </w:rPr>
                    <w:t>0.</w:t>
                  </w:r>
                  <w:r>
                    <w:rPr>
                      <w:rFonts w:hint="eastAsia"/>
                      <w:lang w:val="en-US" w:eastAsia="zh-CN"/>
                    </w:rPr>
                    <w:t>1</w:t>
                  </w:r>
                </w:p>
              </w:tc>
              <w:tc>
                <w:tcPr>
                  <w:tcW w:w="690" w:type="dxa"/>
                  <w:tcBorders>
                    <w:top w:val="single" w:color="auto" w:sz="4" w:space="0"/>
                    <w:left w:val="single" w:color="auto" w:sz="4" w:space="0"/>
                    <w:bottom w:val="single" w:color="auto" w:sz="4" w:space="0"/>
                    <w:right w:val="single" w:color="auto" w:sz="4" w:space="0"/>
                  </w:tcBorders>
                  <w:vAlign w:val="center"/>
                </w:tcPr>
                <w:p>
                  <w:pPr>
                    <w:pStyle w:val="70"/>
                  </w:pPr>
                  <w:r>
                    <w:t>集中收集</w:t>
                  </w:r>
                </w:p>
              </w:tc>
              <w:tc>
                <w:tcPr>
                  <w:tcW w:w="1810" w:type="dxa"/>
                  <w:tcBorders>
                    <w:top w:val="single" w:color="auto" w:sz="4" w:space="0"/>
                    <w:left w:val="single" w:color="auto" w:sz="4" w:space="0"/>
                    <w:bottom w:val="single" w:color="auto" w:sz="4" w:space="0"/>
                    <w:right w:val="single" w:color="auto" w:sz="4" w:space="0"/>
                  </w:tcBorders>
                  <w:vAlign w:val="center"/>
                </w:tcPr>
                <w:p>
                  <w:pPr>
                    <w:pStyle w:val="70"/>
                  </w:pPr>
                  <w: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0" w:type="dxa"/>
                  <w:tcBorders>
                    <w:left w:val="single" w:color="auto" w:sz="4" w:space="0"/>
                    <w:bottom w:val="single" w:color="auto" w:sz="4" w:space="0"/>
                    <w:right w:val="single" w:color="auto" w:sz="4" w:space="0"/>
                  </w:tcBorders>
                  <w:vAlign w:val="center"/>
                </w:tcPr>
                <w:p>
                  <w:pPr>
                    <w:pStyle w:val="70"/>
                  </w:pPr>
                  <w:r>
                    <w:rPr>
                      <w:rFonts w:hint="default" w:ascii="Times New Roman" w:hAnsi="Times New Roman" w:eastAsia="宋体" w:cs="Times New Roman"/>
                      <w:sz w:val="21"/>
                      <w:szCs w:val="21"/>
                      <w:lang w:val="en-US" w:eastAsia="zh-CN"/>
                    </w:rPr>
                    <w:t>清筛工序</w:t>
                  </w:r>
                  <w:r>
                    <w:rPr>
                      <w:rFonts w:hint="eastAsia" w:ascii="Times New Roman" w:hAnsi="Times New Roman" w:eastAsia="宋体" w:cs="Times New Roman"/>
                      <w:sz w:val="21"/>
                      <w:szCs w:val="21"/>
                      <w:lang w:val="en-US" w:eastAsia="zh-CN"/>
                    </w:rPr>
                    <w:t>、除铁工序</w:t>
                  </w:r>
                </w:p>
              </w:tc>
              <w:tc>
                <w:tcPr>
                  <w:tcW w:w="705" w:type="dxa"/>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lang w:val="en-US" w:eastAsia="zh-CN"/>
                    </w:rPr>
                  </w:pPr>
                  <w:r>
                    <w:rPr>
                      <w:rFonts w:hint="eastAsia"/>
                      <w:lang w:val="en-US" w:eastAsia="zh-CN"/>
                    </w:rPr>
                    <w:t>杂质</w:t>
                  </w:r>
                </w:p>
              </w:tc>
              <w:tc>
                <w:tcPr>
                  <w:tcW w:w="795" w:type="dxa"/>
                  <w:tcBorders>
                    <w:top w:val="single" w:color="auto" w:sz="4" w:space="0"/>
                    <w:left w:val="single" w:color="auto" w:sz="4" w:space="0"/>
                    <w:bottom w:val="single" w:color="auto" w:sz="4" w:space="0"/>
                    <w:right w:val="single" w:color="auto" w:sz="4" w:space="0"/>
                  </w:tcBorders>
                  <w:vAlign w:val="center"/>
                </w:tcPr>
                <w:p>
                  <w:pPr>
                    <w:pStyle w:val="70"/>
                  </w:pPr>
                  <w:r>
                    <w:t>一般</w:t>
                  </w:r>
                  <w:r>
                    <w:rPr>
                      <w:rFonts w:hint="eastAsia"/>
                      <w:lang w:val="en-US" w:eastAsia="zh-CN"/>
                    </w:rPr>
                    <w:t>固体</w:t>
                  </w:r>
                  <w:r>
                    <w:t>废物</w:t>
                  </w:r>
                </w:p>
              </w:tc>
              <w:tc>
                <w:tcPr>
                  <w:tcW w:w="825" w:type="dxa"/>
                  <w:tcBorders>
                    <w:top w:val="single" w:color="auto" w:sz="4" w:space="0"/>
                    <w:left w:val="single" w:color="auto" w:sz="4" w:space="0"/>
                    <w:bottom w:val="single" w:color="auto" w:sz="4" w:space="0"/>
                    <w:right w:val="single" w:color="auto" w:sz="4" w:space="0"/>
                  </w:tcBorders>
                  <w:vAlign w:val="center"/>
                </w:tcPr>
                <w:p>
                  <w:pPr>
                    <w:pStyle w:val="70"/>
                    <w:ind w:firstLine="0" w:firstLineChars="0"/>
                  </w:pPr>
                  <w:r>
                    <w:t>无</w:t>
                  </w:r>
                </w:p>
              </w:tc>
              <w:tc>
                <w:tcPr>
                  <w:tcW w:w="870" w:type="dxa"/>
                  <w:tcBorders>
                    <w:top w:val="single" w:color="auto" w:sz="4" w:space="0"/>
                    <w:left w:val="single" w:color="auto" w:sz="4" w:space="0"/>
                    <w:bottom w:val="single" w:color="auto" w:sz="4" w:space="0"/>
                    <w:right w:val="single" w:color="auto" w:sz="4" w:space="0"/>
                  </w:tcBorders>
                  <w:vAlign w:val="center"/>
                </w:tcPr>
                <w:p>
                  <w:pPr>
                    <w:pStyle w:val="70"/>
                    <w:rPr>
                      <w:rFonts w:hint="default" w:eastAsia="宋体"/>
                      <w:lang w:val="en-US" w:eastAsia="zh-CN"/>
                    </w:rPr>
                  </w:pPr>
                  <w:r>
                    <w:rPr>
                      <w:rFonts w:hint="eastAsia"/>
                      <w:lang w:val="en-US" w:eastAsia="zh-CN"/>
                    </w:rPr>
                    <w:t>900-099-S59</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pPr>
                  <w:r>
                    <w:t>固态</w:t>
                  </w:r>
                </w:p>
              </w:tc>
              <w:tc>
                <w:tcPr>
                  <w:tcW w:w="600" w:type="dxa"/>
                  <w:tcBorders>
                    <w:top w:val="single" w:color="auto" w:sz="4" w:space="0"/>
                    <w:left w:val="single" w:color="auto" w:sz="4" w:space="0"/>
                    <w:bottom w:val="single" w:color="auto" w:sz="4" w:space="0"/>
                    <w:right w:val="single" w:color="auto" w:sz="4" w:space="0"/>
                  </w:tcBorders>
                  <w:vAlign w:val="center"/>
                </w:tcPr>
                <w:p>
                  <w:pPr>
                    <w:pStyle w:val="70"/>
                    <w:ind w:firstLine="0" w:firstLineChars="0"/>
                  </w:pPr>
                  <w:r>
                    <w:t>无</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rPr>
                      <w:rFonts w:hint="eastAsia" w:eastAsia="宋体"/>
                      <w:lang w:val="en-US" w:eastAsia="zh-CN"/>
                    </w:rPr>
                  </w:pPr>
                  <w:r>
                    <w:rPr>
                      <w:rFonts w:hint="eastAsia"/>
                      <w:lang w:val="en-US" w:eastAsia="zh-CN"/>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70"/>
                  </w:pPr>
                  <w:r>
                    <w:t>集中收集</w:t>
                  </w:r>
                </w:p>
              </w:tc>
              <w:tc>
                <w:tcPr>
                  <w:tcW w:w="1810" w:type="dxa"/>
                  <w:tcBorders>
                    <w:top w:val="single" w:color="auto" w:sz="4" w:space="0"/>
                    <w:left w:val="single" w:color="auto" w:sz="4" w:space="0"/>
                    <w:bottom w:val="single" w:color="auto" w:sz="4" w:space="0"/>
                    <w:right w:val="single" w:color="auto" w:sz="4" w:space="0"/>
                  </w:tcBorders>
                  <w:vAlign w:val="center"/>
                </w:tcPr>
                <w:p>
                  <w:pPr>
                    <w:pStyle w:val="70"/>
                  </w:pPr>
                  <w:r>
                    <w:rPr>
                      <w:rFonts w:hint="eastAsia" w:ascii="Times New Roman" w:hAnsi="Times New Roman" w:eastAsia="宋体" w:cs="Times New Roman"/>
                      <w:lang w:val="en-US" w:eastAsia="zh-CN"/>
                    </w:rPr>
                    <w:t>铁等可回收物品回收至收购站，不可回收物为塑料等普通生活垃圾，与生活垃圾一同</w:t>
                  </w:r>
                  <w:r>
                    <w:rPr>
                      <w:rFonts w:ascii="Times New Roman" w:hAnsi="Times New Roman" w:eastAsia="宋体" w:cs="Times New Roman"/>
                    </w:rPr>
                    <w:t>交由环卫部门统一清运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0" w:type="dxa"/>
                  <w:tcBorders>
                    <w:left w:val="single" w:color="auto" w:sz="4" w:space="0"/>
                    <w:bottom w:val="single" w:color="auto" w:sz="4" w:space="0"/>
                    <w:right w:val="single" w:color="auto" w:sz="4" w:space="0"/>
                  </w:tcBorders>
                  <w:vAlign w:val="center"/>
                </w:tcPr>
                <w:p>
                  <w:pPr>
                    <w:pStyle w:val="70"/>
                    <w:rPr>
                      <w:rFonts w:hint="default" w:ascii="Times New Roman" w:hAnsi="Times New Roman" w:eastAsia="宋体" w:cs="Times New Roman"/>
                      <w:sz w:val="21"/>
                      <w:szCs w:val="21"/>
                      <w:lang w:val="en-US" w:eastAsia="zh-CN"/>
                    </w:rPr>
                  </w:pPr>
                  <w:r>
                    <w:rPr>
                      <w:rFonts w:hint="eastAsia" w:cs="Times New Roman"/>
                      <w:sz w:val="21"/>
                      <w:szCs w:val="21"/>
                      <w:lang w:val="en-US" w:eastAsia="zh-CN"/>
                    </w:rPr>
                    <w:t>化粪池</w:t>
                  </w:r>
                </w:p>
              </w:tc>
              <w:tc>
                <w:tcPr>
                  <w:tcW w:w="705" w:type="dxa"/>
                  <w:tcBorders>
                    <w:top w:val="single" w:color="auto" w:sz="4" w:space="0"/>
                    <w:left w:val="single" w:color="auto" w:sz="4" w:space="0"/>
                    <w:bottom w:val="single" w:color="auto" w:sz="4" w:space="0"/>
                    <w:right w:val="single" w:color="auto" w:sz="4" w:space="0"/>
                  </w:tcBorders>
                  <w:vAlign w:val="center"/>
                </w:tcPr>
                <w:p>
                  <w:pPr>
                    <w:pStyle w:val="70"/>
                    <w:rPr>
                      <w:rFonts w:hint="default"/>
                      <w:lang w:val="en-US" w:eastAsia="zh-CN"/>
                    </w:rPr>
                  </w:pPr>
                  <w:r>
                    <w:rPr>
                      <w:rFonts w:hint="eastAsia"/>
                      <w:lang w:val="en-US" w:eastAsia="zh-CN"/>
                    </w:rPr>
                    <w:t>污泥</w:t>
                  </w:r>
                </w:p>
              </w:tc>
              <w:tc>
                <w:tcPr>
                  <w:tcW w:w="795" w:type="dxa"/>
                  <w:tcBorders>
                    <w:top w:val="single" w:color="auto" w:sz="4" w:space="0"/>
                    <w:left w:val="single" w:color="auto" w:sz="4" w:space="0"/>
                    <w:bottom w:val="single" w:color="auto" w:sz="4" w:space="0"/>
                    <w:right w:val="single" w:color="auto" w:sz="4" w:space="0"/>
                  </w:tcBorders>
                  <w:vAlign w:val="center"/>
                </w:tcPr>
                <w:p>
                  <w:pPr>
                    <w:pStyle w:val="70"/>
                  </w:pPr>
                  <w:r>
                    <w:t>一般</w:t>
                  </w:r>
                  <w:r>
                    <w:rPr>
                      <w:rFonts w:hint="eastAsia"/>
                      <w:lang w:val="en-US" w:eastAsia="zh-CN"/>
                    </w:rPr>
                    <w:t>固体</w:t>
                  </w:r>
                  <w:r>
                    <w:t>废物</w:t>
                  </w:r>
                </w:p>
              </w:tc>
              <w:tc>
                <w:tcPr>
                  <w:tcW w:w="825" w:type="dxa"/>
                  <w:tcBorders>
                    <w:top w:val="single" w:color="auto" w:sz="4" w:space="0"/>
                    <w:left w:val="single" w:color="auto" w:sz="4" w:space="0"/>
                    <w:bottom w:val="single" w:color="auto" w:sz="4" w:space="0"/>
                    <w:right w:val="single" w:color="auto" w:sz="4" w:space="0"/>
                  </w:tcBorders>
                  <w:vAlign w:val="center"/>
                </w:tcPr>
                <w:p>
                  <w:pPr>
                    <w:pStyle w:val="70"/>
                    <w:ind w:firstLine="0" w:firstLineChars="0"/>
                  </w:pPr>
                  <w:r>
                    <w:t>无</w:t>
                  </w:r>
                </w:p>
              </w:tc>
              <w:tc>
                <w:tcPr>
                  <w:tcW w:w="870" w:type="dxa"/>
                  <w:tcBorders>
                    <w:top w:val="single" w:color="auto" w:sz="4" w:space="0"/>
                    <w:left w:val="single" w:color="auto" w:sz="4" w:space="0"/>
                    <w:bottom w:val="single" w:color="auto" w:sz="4" w:space="0"/>
                    <w:right w:val="single" w:color="auto" w:sz="4" w:space="0"/>
                  </w:tcBorders>
                  <w:vAlign w:val="center"/>
                </w:tcPr>
                <w:p>
                  <w:pPr>
                    <w:pStyle w:val="70"/>
                    <w:rPr>
                      <w:rFonts w:hint="default" w:eastAsia="宋体"/>
                      <w:lang w:val="en-US" w:eastAsia="zh-CN"/>
                    </w:rPr>
                  </w:pPr>
                  <w:r>
                    <w:rPr>
                      <w:rFonts w:hint="eastAsia"/>
                      <w:lang w:val="en-US" w:eastAsia="zh-CN"/>
                    </w:rPr>
                    <w:t>900-099-S64</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pPr>
                  <w:r>
                    <w:t>固态</w:t>
                  </w:r>
                </w:p>
              </w:tc>
              <w:tc>
                <w:tcPr>
                  <w:tcW w:w="600" w:type="dxa"/>
                  <w:tcBorders>
                    <w:top w:val="single" w:color="auto" w:sz="4" w:space="0"/>
                    <w:left w:val="single" w:color="auto" w:sz="4" w:space="0"/>
                    <w:bottom w:val="single" w:color="auto" w:sz="4" w:space="0"/>
                    <w:right w:val="single" w:color="auto" w:sz="4" w:space="0"/>
                  </w:tcBorders>
                  <w:vAlign w:val="center"/>
                </w:tcPr>
                <w:p>
                  <w:pPr>
                    <w:pStyle w:val="70"/>
                    <w:ind w:firstLine="0" w:firstLineChars="0"/>
                  </w:pPr>
                  <w:r>
                    <w:t>无</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rPr>
                      <w:rFonts w:hint="default" w:eastAsia="宋体"/>
                      <w:lang w:val="en-US" w:eastAsia="zh-CN"/>
                    </w:rPr>
                  </w:pPr>
                  <w:r>
                    <w:rPr>
                      <w:rFonts w:hint="eastAsia"/>
                      <w:lang w:val="en-US" w:eastAsia="zh-CN"/>
                    </w:rPr>
                    <w:t>9.6</w:t>
                  </w:r>
                </w:p>
              </w:tc>
              <w:tc>
                <w:tcPr>
                  <w:tcW w:w="690" w:type="dxa"/>
                  <w:tcBorders>
                    <w:top w:val="single" w:color="auto" w:sz="4" w:space="0"/>
                    <w:left w:val="single" w:color="auto" w:sz="4" w:space="0"/>
                    <w:bottom w:val="single" w:color="auto" w:sz="4" w:space="0"/>
                    <w:right w:val="single" w:color="auto" w:sz="4" w:space="0"/>
                  </w:tcBorders>
                  <w:vAlign w:val="center"/>
                </w:tcPr>
                <w:p>
                  <w:pPr>
                    <w:pStyle w:val="70"/>
                  </w:pPr>
                  <w:r>
                    <w:t>集中收集</w:t>
                  </w:r>
                </w:p>
              </w:tc>
              <w:tc>
                <w:tcPr>
                  <w:tcW w:w="1810" w:type="dxa"/>
                  <w:tcBorders>
                    <w:top w:val="single" w:color="auto" w:sz="4" w:space="0"/>
                    <w:left w:val="single" w:color="auto" w:sz="4" w:space="0"/>
                    <w:bottom w:val="single" w:color="auto" w:sz="4" w:space="0"/>
                    <w:right w:val="single" w:color="auto" w:sz="4" w:space="0"/>
                  </w:tcBorders>
                  <w:vAlign w:val="center"/>
                </w:tcPr>
                <w:p>
                  <w:pPr>
                    <w:pStyle w:val="70"/>
                  </w:pPr>
                  <w:r>
                    <w:rPr>
                      <w:rFonts w:hint="eastAsia"/>
                      <w:lang w:val="en-US" w:eastAsia="zh-CN"/>
                    </w:rPr>
                    <w:t>定期由吸污车清掏，拉运至污水处理厂进行脱水处置，干化后的污泥最终进入生活垃圾场填埋处置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0" w:type="dxa"/>
                  <w:tcBorders>
                    <w:left w:val="single" w:color="auto" w:sz="4" w:space="0"/>
                    <w:bottom w:val="single" w:color="auto" w:sz="4" w:space="0"/>
                    <w:right w:val="single" w:color="auto" w:sz="4" w:space="0"/>
                  </w:tcBorders>
                  <w:vAlign w:val="center"/>
                </w:tcPr>
                <w:p>
                  <w:pPr>
                    <w:pStyle w:val="70"/>
                    <w:rPr>
                      <w:rFonts w:hint="default" w:cs="Times New Roman"/>
                      <w:sz w:val="21"/>
                      <w:szCs w:val="21"/>
                      <w:lang w:val="en-US" w:eastAsia="zh-CN"/>
                    </w:rPr>
                  </w:pPr>
                  <w:r>
                    <w:rPr>
                      <w:rFonts w:hint="eastAsia" w:cs="Times New Roman"/>
                      <w:sz w:val="21"/>
                      <w:szCs w:val="21"/>
                      <w:lang w:val="en-US" w:eastAsia="zh-CN"/>
                    </w:rPr>
                    <w:t>生活区</w:t>
                  </w:r>
                </w:p>
              </w:tc>
              <w:tc>
                <w:tcPr>
                  <w:tcW w:w="705" w:type="dxa"/>
                  <w:tcBorders>
                    <w:top w:val="single" w:color="auto" w:sz="4" w:space="0"/>
                    <w:left w:val="single" w:color="auto" w:sz="4" w:space="0"/>
                    <w:bottom w:val="single" w:color="auto" w:sz="4" w:space="0"/>
                    <w:right w:val="single" w:color="auto" w:sz="4" w:space="0"/>
                  </w:tcBorders>
                  <w:vAlign w:val="center"/>
                </w:tcPr>
                <w:p>
                  <w:pPr>
                    <w:pStyle w:val="70"/>
                    <w:rPr>
                      <w:rFonts w:hint="default"/>
                      <w:lang w:val="en-US" w:eastAsia="zh-CN"/>
                    </w:rPr>
                  </w:pPr>
                  <w:r>
                    <w:rPr>
                      <w:rFonts w:hint="eastAsia"/>
                      <w:lang w:val="en-US" w:eastAsia="zh-CN"/>
                    </w:rPr>
                    <w:t>生活垃圾</w:t>
                  </w:r>
                </w:p>
              </w:tc>
              <w:tc>
                <w:tcPr>
                  <w:tcW w:w="795" w:type="dxa"/>
                  <w:tcBorders>
                    <w:top w:val="single" w:color="auto" w:sz="4" w:space="0"/>
                    <w:left w:val="single" w:color="auto" w:sz="4" w:space="0"/>
                    <w:bottom w:val="single" w:color="auto" w:sz="4" w:space="0"/>
                    <w:right w:val="single" w:color="auto" w:sz="4" w:space="0"/>
                  </w:tcBorders>
                  <w:vAlign w:val="center"/>
                </w:tcPr>
                <w:p>
                  <w:pPr>
                    <w:pStyle w:val="70"/>
                  </w:pPr>
                  <w:r>
                    <w:t>一般</w:t>
                  </w:r>
                  <w:r>
                    <w:rPr>
                      <w:rFonts w:hint="eastAsia"/>
                      <w:lang w:val="en-US" w:eastAsia="zh-CN"/>
                    </w:rPr>
                    <w:t>固体</w:t>
                  </w:r>
                  <w:r>
                    <w:t>废物</w:t>
                  </w:r>
                </w:p>
              </w:tc>
              <w:tc>
                <w:tcPr>
                  <w:tcW w:w="825" w:type="dxa"/>
                  <w:tcBorders>
                    <w:top w:val="single" w:color="auto" w:sz="4" w:space="0"/>
                    <w:left w:val="single" w:color="auto" w:sz="4" w:space="0"/>
                    <w:bottom w:val="single" w:color="auto" w:sz="4" w:space="0"/>
                    <w:right w:val="single" w:color="auto" w:sz="4" w:space="0"/>
                  </w:tcBorders>
                  <w:vAlign w:val="center"/>
                </w:tcPr>
                <w:p>
                  <w:pPr>
                    <w:pStyle w:val="70"/>
                    <w:ind w:firstLine="0" w:firstLineChars="0"/>
                  </w:pPr>
                  <w:r>
                    <w:t>无</w:t>
                  </w:r>
                </w:p>
              </w:tc>
              <w:tc>
                <w:tcPr>
                  <w:tcW w:w="870" w:type="dxa"/>
                  <w:tcBorders>
                    <w:top w:val="single" w:color="auto" w:sz="4" w:space="0"/>
                    <w:left w:val="single" w:color="auto" w:sz="4" w:space="0"/>
                    <w:bottom w:val="single" w:color="auto" w:sz="4" w:space="0"/>
                    <w:right w:val="single" w:color="auto" w:sz="4" w:space="0"/>
                  </w:tcBorders>
                  <w:vAlign w:val="center"/>
                </w:tcPr>
                <w:p>
                  <w:pPr>
                    <w:pStyle w:val="70"/>
                    <w:rPr>
                      <w:rFonts w:hint="default" w:eastAsia="宋体"/>
                      <w:lang w:val="en-US" w:eastAsia="zh-CN"/>
                    </w:rPr>
                  </w:pPr>
                  <w:r>
                    <w:rPr>
                      <w:rFonts w:hint="eastAsia"/>
                      <w:lang w:val="en-US" w:eastAsia="zh-CN"/>
                    </w:rPr>
                    <w:t>900-001-S60</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pPr>
                  <w:r>
                    <w:t>固态</w:t>
                  </w:r>
                </w:p>
              </w:tc>
              <w:tc>
                <w:tcPr>
                  <w:tcW w:w="600" w:type="dxa"/>
                  <w:tcBorders>
                    <w:top w:val="single" w:color="auto" w:sz="4" w:space="0"/>
                    <w:left w:val="single" w:color="auto" w:sz="4" w:space="0"/>
                    <w:bottom w:val="single" w:color="auto" w:sz="4" w:space="0"/>
                    <w:right w:val="single" w:color="auto" w:sz="4" w:space="0"/>
                  </w:tcBorders>
                  <w:vAlign w:val="center"/>
                </w:tcPr>
                <w:p>
                  <w:pPr>
                    <w:pStyle w:val="70"/>
                    <w:ind w:firstLine="0" w:firstLineChars="0"/>
                  </w:pPr>
                  <w:r>
                    <w:t>无</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rPr>
                      <w:rFonts w:hint="default" w:eastAsia="宋体"/>
                      <w:lang w:val="en-US" w:eastAsia="zh-CN"/>
                    </w:rPr>
                  </w:pPr>
                  <w:r>
                    <w:rPr>
                      <w:rFonts w:hint="eastAsia"/>
                      <w:lang w:val="en-US" w:eastAsia="zh-CN"/>
                    </w:rPr>
                    <w:t>18.25</w:t>
                  </w:r>
                </w:p>
              </w:tc>
              <w:tc>
                <w:tcPr>
                  <w:tcW w:w="690" w:type="dxa"/>
                  <w:tcBorders>
                    <w:top w:val="single" w:color="auto" w:sz="4" w:space="0"/>
                    <w:left w:val="single" w:color="auto" w:sz="4" w:space="0"/>
                    <w:bottom w:val="single" w:color="auto" w:sz="4" w:space="0"/>
                    <w:right w:val="single" w:color="auto" w:sz="4" w:space="0"/>
                  </w:tcBorders>
                  <w:vAlign w:val="center"/>
                </w:tcPr>
                <w:p>
                  <w:pPr>
                    <w:pStyle w:val="70"/>
                  </w:pPr>
                  <w:r>
                    <w:t>集中收集</w:t>
                  </w:r>
                </w:p>
              </w:tc>
              <w:tc>
                <w:tcPr>
                  <w:tcW w:w="1810" w:type="dxa"/>
                  <w:tcBorders>
                    <w:top w:val="single" w:color="auto" w:sz="4" w:space="0"/>
                    <w:left w:val="single" w:color="auto" w:sz="4" w:space="0"/>
                    <w:bottom w:val="single" w:color="auto" w:sz="4" w:space="0"/>
                    <w:right w:val="single" w:color="auto" w:sz="4" w:space="0"/>
                  </w:tcBorders>
                  <w:vAlign w:val="center"/>
                </w:tcPr>
                <w:p>
                  <w:pPr>
                    <w:pStyle w:val="70"/>
                  </w:pPr>
                  <w:r>
                    <w:t>交由环卫部门统一清运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690" w:type="dxa"/>
                  <w:tcBorders>
                    <w:left w:val="single" w:color="auto" w:sz="4" w:space="0"/>
                    <w:bottom w:val="single" w:color="auto" w:sz="4" w:space="0"/>
                    <w:right w:val="single" w:color="auto" w:sz="4" w:space="0"/>
                  </w:tcBorders>
                  <w:vAlign w:val="center"/>
                </w:tcPr>
                <w:p>
                  <w:pPr>
                    <w:pStyle w:val="70"/>
                  </w:pPr>
                  <w:r>
                    <w:t>机械</w:t>
                  </w:r>
                  <w:r>
                    <w:rPr>
                      <w:rFonts w:hint="eastAsia"/>
                      <w:lang w:val="en-US" w:eastAsia="zh-CN"/>
                    </w:rPr>
                    <w:t>设备</w:t>
                  </w:r>
                </w:p>
              </w:tc>
              <w:tc>
                <w:tcPr>
                  <w:tcW w:w="705" w:type="dxa"/>
                  <w:tcBorders>
                    <w:top w:val="single" w:color="auto" w:sz="4" w:space="0"/>
                    <w:left w:val="single" w:color="auto" w:sz="4" w:space="0"/>
                    <w:bottom w:val="single" w:color="auto" w:sz="4" w:space="0"/>
                    <w:right w:val="single" w:color="auto" w:sz="4" w:space="0"/>
                  </w:tcBorders>
                  <w:vAlign w:val="center"/>
                </w:tcPr>
                <w:p>
                  <w:pPr>
                    <w:pStyle w:val="70"/>
                  </w:pPr>
                  <w:r>
                    <w:rPr>
                      <w:rFonts w:hint="eastAsia"/>
                      <w:lang w:val="en-US" w:eastAsia="zh-CN"/>
                    </w:rPr>
                    <w:t>废</w:t>
                  </w:r>
                  <w:r>
                    <w:t>润滑油</w:t>
                  </w:r>
                </w:p>
              </w:tc>
              <w:tc>
                <w:tcPr>
                  <w:tcW w:w="795" w:type="dxa"/>
                  <w:tcBorders>
                    <w:left w:val="single" w:color="auto" w:sz="4" w:space="0"/>
                    <w:bottom w:val="single" w:color="auto" w:sz="4" w:space="0"/>
                    <w:right w:val="single" w:color="auto" w:sz="4" w:space="0"/>
                  </w:tcBorders>
                  <w:vAlign w:val="center"/>
                </w:tcPr>
                <w:p>
                  <w:pPr>
                    <w:pStyle w:val="70"/>
                  </w:pPr>
                  <w:r>
                    <w:t>危险废物</w:t>
                  </w:r>
                </w:p>
              </w:tc>
              <w:tc>
                <w:tcPr>
                  <w:tcW w:w="825" w:type="dxa"/>
                  <w:tcBorders>
                    <w:left w:val="single" w:color="auto" w:sz="4" w:space="0"/>
                    <w:bottom w:val="single" w:color="auto" w:sz="4" w:space="0"/>
                    <w:right w:val="single" w:color="auto" w:sz="4" w:space="0"/>
                  </w:tcBorders>
                  <w:vAlign w:val="center"/>
                </w:tcPr>
                <w:p>
                  <w:pPr>
                    <w:pStyle w:val="70"/>
                  </w:pPr>
                  <w:r>
                    <w:t>HW08废矿物油与含矿物油废物</w:t>
                  </w:r>
                </w:p>
              </w:tc>
              <w:tc>
                <w:tcPr>
                  <w:tcW w:w="870" w:type="dxa"/>
                  <w:tcBorders>
                    <w:top w:val="single" w:color="auto" w:sz="4" w:space="0"/>
                    <w:left w:val="single" w:color="auto" w:sz="4" w:space="0"/>
                    <w:bottom w:val="single" w:color="auto" w:sz="4" w:space="0"/>
                    <w:right w:val="single" w:color="auto" w:sz="4" w:space="0"/>
                  </w:tcBorders>
                  <w:vAlign w:val="center"/>
                </w:tcPr>
                <w:p>
                  <w:pPr>
                    <w:pStyle w:val="70"/>
                  </w:pPr>
                  <w:r>
                    <w:t>900-</w:t>
                  </w:r>
                  <w:r>
                    <w:rPr>
                      <w:rFonts w:hint="eastAsia"/>
                      <w:lang w:val="en-US" w:eastAsia="zh-CN"/>
                    </w:rPr>
                    <w:t>214-</w:t>
                  </w:r>
                  <w:r>
                    <w:t>08</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pPr>
                  <w:r>
                    <w:t>液态</w:t>
                  </w:r>
                </w:p>
              </w:tc>
              <w:tc>
                <w:tcPr>
                  <w:tcW w:w="600" w:type="dxa"/>
                  <w:tcBorders>
                    <w:top w:val="single" w:color="auto" w:sz="4" w:space="0"/>
                    <w:left w:val="single" w:color="auto" w:sz="4" w:space="0"/>
                    <w:bottom w:val="single" w:color="auto" w:sz="4" w:space="0"/>
                    <w:right w:val="single" w:color="auto" w:sz="4" w:space="0"/>
                  </w:tcBorders>
                  <w:vAlign w:val="center"/>
                </w:tcPr>
                <w:p>
                  <w:pPr>
                    <w:pStyle w:val="70"/>
                  </w:pPr>
                  <w:r>
                    <w:t>T</w:t>
                  </w:r>
                  <w:r>
                    <w:rPr>
                      <w:rFonts w:hint="eastAsia"/>
                      <w:lang w:eastAsia="zh-CN"/>
                    </w:rPr>
                    <w:t>，</w:t>
                  </w:r>
                  <w:r>
                    <w:t>I</w:t>
                  </w:r>
                </w:p>
              </w:tc>
              <w:tc>
                <w:tcPr>
                  <w:tcW w:w="615" w:type="dxa"/>
                  <w:tcBorders>
                    <w:top w:val="single" w:color="auto" w:sz="4" w:space="0"/>
                    <w:left w:val="single" w:color="auto" w:sz="4" w:space="0"/>
                    <w:bottom w:val="single" w:color="auto" w:sz="4" w:space="0"/>
                    <w:right w:val="single" w:color="auto" w:sz="4" w:space="0"/>
                  </w:tcBorders>
                  <w:vAlign w:val="center"/>
                </w:tcPr>
                <w:p>
                  <w:pPr>
                    <w:pStyle w:val="70"/>
                    <w:rPr>
                      <w:rFonts w:hint="default" w:eastAsia="宋体"/>
                      <w:lang w:val="en-US" w:eastAsia="zh-CN"/>
                    </w:rPr>
                  </w:pPr>
                  <w:r>
                    <w:rPr>
                      <w:rFonts w:hint="eastAsia"/>
                      <w:lang w:val="en-US" w:eastAsia="zh-CN"/>
                    </w:rPr>
                    <w:t>0.1</w:t>
                  </w:r>
                </w:p>
              </w:tc>
              <w:tc>
                <w:tcPr>
                  <w:tcW w:w="690" w:type="dxa"/>
                  <w:tcBorders>
                    <w:left w:val="single" w:color="auto" w:sz="4" w:space="0"/>
                    <w:right w:val="single" w:color="auto" w:sz="4" w:space="0"/>
                  </w:tcBorders>
                  <w:vAlign w:val="center"/>
                </w:tcPr>
                <w:p>
                  <w:pPr>
                    <w:pStyle w:val="70"/>
                    <w:ind w:firstLine="0" w:firstLineChars="0"/>
                  </w:pPr>
                  <w:r>
                    <w:t>危险废物</w:t>
                  </w:r>
                  <w:r>
                    <w:rPr>
                      <w:rFonts w:hint="eastAsia"/>
                      <w:lang w:val="en-US" w:eastAsia="zh-CN"/>
                    </w:rPr>
                    <w:t>贮存库</w:t>
                  </w:r>
                </w:p>
              </w:tc>
              <w:tc>
                <w:tcPr>
                  <w:tcW w:w="1810" w:type="dxa"/>
                  <w:tcBorders>
                    <w:left w:val="single" w:color="auto" w:sz="4" w:space="0"/>
                    <w:right w:val="single" w:color="auto" w:sz="4" w:space="0"/>
                  </w:tcBorders>
                  <w:vAlign w:val="center"/>
                </w:tcPr>
                <w:p>
                  <w:pPr>
                    <w:pStyle w:val="70"/>
                    <w:ind w:firstLine="0" w:firstLineChars="0"/>
                  </w:pPr>
                  <w:r>
                    <w:t>委托有资质的单位回收</w:t>
                  </w:r>
                </w:p>
              </w:tc>
            </w:tr>
          </w:tbl>
          <w:p>
            <w:pPr>
              <w:pStyle w:val="24"/>
              <w:ind w:firstLine="482"/>
            </w:pPr>
            <w:r>
              <w:t>4.3地下水、土壤环境影响分析</w:t>
            </w:r>
          </w:p>
          <w:p>
            <w:pPr>
              <w:pStyle w:val="24"/>
              <w:ind w:firstLine="482"/>
            </w:pPr>
            <w:r>
              <w:t>4.3.1污染源及污染途径</w:t>
            </w:r>
          </w:p>
          <w:p>
            <w:pPr>
              <w:ind w:firstLine="480"/>
              <w:rPr>
                <w:szCs w:val="24"/>
              </w:rPr>
            </w:pPr>
            <w:r>
              <w:rPr>
                <w:szCs w:val="24"/>
              </w:rPr>
              <w:t>正常情况下由于本项目营运期采取了严格的防渗漏措施，污染物不会发生渗漏对地下水和土壤造成影响；非正常情况下本项目</w:t>
            </w:r>
            <w:r>
              <w:t>危险废物</w:t>
            </w:r>
            <w:r>
              <w:rPr>
                <w:rFonts w:hint="eastAsia"/>
                <w:lang w:val="en-US" w:eastAsia="zh-CN"/>
              </w:rPr>
              <w:t>贮存库</w:t>
            </w:r>
            <w:r>
              <w:rPr>
                <w:szCs w:val="24"/>
              </w:rPr>
              <w:t>暂存的液态危险废物（</w:t>
            </w:r>
            <w:r>
              <w:rPr>
                <w:rFonts w:hint="eastAsia"/>
                <w:szCs w:val="24"/>
                <w:lang w:val="en-US" w:eastAsia="zh-CN"/>
              </w:rPr>
              <w:t>废润滑油</w:t>
            </w:r>
            <w:r>
              <w:rPr>
                <w:szCs w:val="24"/>
              </w:rPr>
              <w:t>）</w:t>
            </w:r>
            <w:r>
              <w:rPr>
                <w:rFonts w:hint="eastAsia"/>
                <w:szCs w:val="24"/>
                <w:lang w:eastAsia="zh-CN"/>
              </w:rPr>
              <w:t>、</w:t>
            </w:r>
            <w:r>
              <w:rPr>
                <w:rFonts w:hint="eastAsia"/>
                <w:szCs w:val="24"/>
                <w:lang w:val="en-US" w:eastAsia="zh-CN"/>
              </w:rPr>
              <w:t>油罐、化粪池</w:t>
            </w:r>
            <w:r>
              <w:rPr>
                <w:szCs w:val="24"/>
              </w:rPr>
              <w:t>若发生泄漏，污染物可能因泄漏垂直渗透进入地下水和土壤，对地下水环境和土壤环境造成影响。因此，本项目建设单位必须做好防渗漏措施，杜绝非正常情况的发生。</w:t>
            </w:r>
          </w:p>
          <w:p>
            <w:pPr>
              <w:pStyle w:val="24"/>
              <w:ind w:firstLine="482"/>
            </w:pPr>
            <w:r>
              <w:t>4.3.2污染防控措施</w:t>
            </w:r>
          </w:p>
          <w:p>
            <w:pPr>
              <w:ind w:firstLine="480"/>
            </w:pPr>
            <w:r>
              <w:t>本项目地下水、土壤污染防控措施应在做好防止和减少</w:t>
            </w:r>
            <w:r>
              <w:rPr>
                <w:rFonts w:hint="eastAsia"/>
                <w:lang w:eastAsia="zh-CN"/>
              </w:rPr>
              <w:t>“</w:t>
            </w:r>
            <w:r>
              <w:t>跑、冒、滴、漏</w:t>
            </w:r>
            <w:r>
              <w:rPr>
                <w:rFonts w:hint="eastAsia"/>
                <w:lang w:eastAsia="zh-CN"/>
              </w:rPr>
              <w:t>”</w:t>
            </w:r>
            <w:r>
              <w:t>等源头控制措施的基础上，对项目区域进行分区防渗处理。</w:t>
            </w:r>
          </w:p>
          <w:p>
            <w:pPr>
              <w:ind w:firstLine="480"/>
            </w:pPr>
            <w:r>
              <w:t>（1）源头控制措施</w:t>
            </w:r>
          </w:p>
          <w:p>
            <w:pPr>
              <w:ind w:firstLine="480"/>
            </w:pPr>
            <w:r>
              <w:t>①积极推行实施清洁生产，实现各类废物循环利用，减少污染物的排放量；</w:t>
            </w:r>
          </w:p>
          <w:p>
            <w:pPr>
              <w:ind w:firstLine="480"/>
            </w:pPr>
            <w:r>
              <w:t>②应根据国家现行相关规范加强环境管理，采取防止和降低污染物跑、冒、滴、漏的措施。正常运营过程中应加强巡检及时处理污染物跑、冒、滴、漏，同时应加强对防渗工程的检查，若发现防渗密封材料老化或损坏，应及时维修更换；</w:t>
            </w:r>
          </w:p>
          <w:p>
            <w:pPr>
              <w:ind w:firstLine="480"/>
            </w:pPr>
            <w:r>
              <w:t>③对工艺、管道、设备、污水储存及处理构筑物采取控制措施，防止污染物的跑、冒、滴、漏，将污染物泄漏的环境风险事故降到最低限度。</w:t>
            </w:r>
          </w:p>
          <w:p>
            <w:pPr>
              <w:ind w:firstLine="480"/>
            </w:pPr>
            <w:r>
              <w:t>（2）分区防渗处理</w:t>
            </w:r>
          </w:p>
          <w:p>
            <w:pPr>
              <w:ind w:firstLine="480"/>
            </w:pPr>
            <w:r>
              <w:t>将本项目区域按物料或者污染物泄漏的途径和生产功能单元所处的位置划分为重点防渗区、一般防渗区和简单防渗区。</w:t>
            </w:r>
          </w:p>
          <w:p>
            <w:pPr>
              <w:ind w:firstLine="480"/>
              <w:rPr>
                <w:rFonts w:hint="default" w:eastAsia="宋体"/>
                <w:lang w:val="en-US" w:eastAsia="zh-CN"/>
              </w:rPr>
            </w:pPr>
            <w:r>
              <w:t>①重点防渗区：危险废物</w:t>
            </w:r>
            <w:r>
              <w:rPr>
                <w:rFonts w:hint="eastAsia"/>
                <w:lang w:val="en-US" w:eastAsia="zh-CN"/>
              </w:rPr>
              <w:t>贮存库</w:t>
            </w:r>
            <w:r>
              <w:t>、化粪池</w:t>
            </w:r>
            <w:r>
              <w:rPr>
                <w:rFonts w:hint="eastAsia"/>
                <w:lang w:eastAsia="zh-CN"/>
              </w:rPr>
              <w:t>、</w:t>
            </w:r>
            <w:r>
              <w:rPr>
                <w:rFonts w:hint="eastAsia"/>
                <w:lang w:val="en-US" w:eastAsia="zh-CN"/>
              </w:rPr>
              <w:t>油罐区</w:t>
            </w:r>
          </w:p>
          <w:p>
            <w:pPr>
              <w:ind w:firstLine="480"/>
            </w:pPr>
            <w:r>
              <w:t>危险废物</w:t>
            </w:r>
            <w:r>
              <w:rPr>
                <w:rFonts w:hint="eastAsia"/>
                <w:lang w:val="en-US" w:eastAsia="zh-CN"/>
              </w:rPr>
              <w:t>贮存库</w:t>
            </w:r>
            <w:r>
              <w:t>防渗要求：危险废物</w:t>
            </w:r>
            <w:r>
              <w:rPr>
                <w:rFonts w:hint="eastAsia"/>
                <w:lang w:val="en-US" w:eastAsia="zh-CN"/>
              </w:rPr>
              <w:t>贮存库</w:t>
            </w:r>
            <w:r>
              <w:t>应严格按照《危险废物贮存污染控制标准》（GB18597-2023）要求进行重点防渗，防渗层为至少1m厚粘土层（渗透系数≤10</w:t>
            </w:r>
            <w:r>
              <w:rPr>
                <w:vertAlign w:val="superscript"/>
              </w:rPr>
              <w:t>-7</w:t>
            </w:r>
            <w:r>
              <w:t>cm/s），或2mm厚HDPE，或至少2mm厚的其它人工材料，渗透系数K≤10</w:t>
            </w:r>
            <w:r>
              <w:rPr>
                <w:vertAlign w:val="superscript"/>
              </w:rPr>
              <w:t>-10</w:t>
            </w:r>
            <w:r>
              <w:t>cm/s。</w:t>
            </w:r>
          </w:p>
          <w:p>
            <w:pPr>
              <w:ind w:firstLine="480"/>
            </w:pPr>
            <w:r>
              <w:t>化粪池防渗要求：使用混凝土和防腐材料做防渗处理，外观色泽均匀，表面光滑，无裂纹、孔洞，表面加强筋完整，边缘整齐，使用前做荷载试验，检查密封性能和强度。</w:t>
            </w:r>
          </w:p>
          <w:p>
            <w:pPr>
              <w:ind w:firstLine="480"/>
              <w:rPr>
                <w:rFonts w:hint="eastAsia" w:eastAsia="宋体"/>
                <w:lang w:eastAsia="zh-CN"/>
              </w:rPr>
            </w:pPr>
            <w:r>
              <w:rPr>
                <w:rFonts w:hint="eastAsia"/>
                <w:lang w:val="en-US" w:eastAsia="zh-CN"/>
              </w:rPr>
              <w:t>油罐区：</w:t>
            </w:r>
            <w:r>
              <w:t>防渗层为至少1m厚粘土层（渗透系数≤10</w:t>
            </w:r>
            <w:r>
              <w:rPr>
                <w:vertAlign w:val="superscript"/>
              </w:rPr>
              <w:t>-7</w:t>
            </w:r>
            <w:r>
              <w:t>cm/s），或2mm厚HDPE，或至少2mm厚的其它人工材料，渗透系数K≤10</w:t>
            </w:r>
            <w:r>
              <w:rPr>
                <w:vertAlign w:val="superscript"/>
              </w:rPr>
              <w:t>-10</w:t>
            </w:r>
            <w:r>
              <w:t>cm/s</w:t>
            </w:r>
            <w:r>
              <w:rPr>
                <w:rFonts w:hint="eastAsia"/>
                <w:lang w:eastAsia="zh-CN"/>
              </w:rPr>
              <w:t>。</w:t>
            </w:r>
          </w:p>
          <w:p>
            <w:pPr>
              <w:ind w:firstLine="480"/>
            </w:pPr>
            <w:r>
              <w:t>②一般防渗区：</w:t>
            </w:r>
            <w:r>
              <w:rPr>
                <w:rFonts w:hint="eastAsia"/>
              </w:rPr>
              <w:t>主厂房</w:t>
            </w:r>
            <w:r>
              <w:t>、</w:t>
            </w:r>
            <w:r>
              <w:rPr>
                <w:rFonts w:hint="eastAsia"/>
              </w:rPr>
              <w:t>锅炉房、</w:t>
            </w:r>
            <w:r>
              <w:t>储存车间一般防渗区防渗要求：等效黏土防渗层Mb≥1.5m，渗透系数K≤1×10</w:t>
            </w:r>
            <w:r>
              <w:rPr>
                <w:vertAlign w:val="superscript"/>
              </w:rPr>
              <w:t>-7</w:t>
            </w:r>
            <w:r>
              <w:t>cm/s；或参照GB16889执行。</w:t>
            </w:r>
          </w:p>
          <w:p>
            <w:pPr>
              <w:ind w:firstLine="480"/>
            </w:pPr>
            <w:r>
              <w:t>③简单防渗区：运输道路</w:t>
            </w:r>
          </w:p>
          <w:p>
            <w:pPr>
              <w:ind w:firstLine="480"/>
              <w:rPr>
                <w:szCs w:val="24"/>
              </w:rPr>
            </w:pPr>
            <w:r>
              <w:rPr>
                <w:szCs w:val="24"/>
              </w:rPr>
              <w:t>简单防渗区防渗要求：一般地面硬化。</w:t>
            </w:r>
          </w:p>
          <w:p>
            <w:pPr>
              <w:pStyle w:val="65"/>
            </w:pPr>
            <w:r>
              <w:t>表</w:t>
            </w:r>
            <w:r>
              <w:rPr>
                <w:rFonts w:hint="eastAsia"/>
              </w:rPr>
              <w:t xml:space="preserve">4.3-1 </w:t>
            </w:r>
            <w:r>
              <w:t xml:space="preserve">  本项目地下水分区防渗情况一览表</w:t>
            </w:r>
          </w:p>
          <w:tbl>
            <w:tblPr>
              <w:tblStyle w:val="27"/>
              <w:tblW w:w="8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349"/>
              <w:gridCol w:w="2956"/>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5" w:type="dxa"/>
                  <w:vAlign w:val="center"/>
                </w:tcPr>
                <w:p>
                  <w:pPr>
                    <w:pStyle w:val="70"/>
                  </w:pPr>
                  <w:r>
                    <w:t>防渗分区</w:t>
                  </w:r>
                </w:p>
              </w:tc>
              <w:tc>
                <w:tcPr>
                  <w:tcW w:w="1349" w:type="dxa"/>
                  <w:vAlign w:val="center"/>
                </w:tcPr>
                <w:p>
                  <w:pPr>
                    <w:pStyle w:val="70"/>
                  </w:pPr>
                  <w:r>
                    <w:t>防渗区域</w:t>
                  </w:r>
                </w:p>
              </w:tc>
              <w:tc>
                <w:tcPr>
                  <w:tcW w:w="2956" w:type="dxa"/>
                  <w:vAlign w:val="center"/>
                </w:tcPr>
                <w:p>
                  <w:pPr>
                    <w:pStyle w:val="70"/>
                  </w:pPr>
                  <w:r>
                    <w:t>防渗要求</w:t>
                  </w:r>
                </w:p>
              </w:tc>
              <w:tc>
                <w:tcPr>
                  <w:tcW w:w="2656" w:type="dxa"/>
                  <w:vAlign w:val="center"/>
                </w:tcPr>
                <w:p>
                  <w:pPr>
                    <w:pStyle w:val="70"/>
                  </w:pPr>
                  <w:r>
                    <w:t>防渗措施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5" w:type="dxa"/>
                  <w:vMerge w:val="restart"/>
                  <w:vAlign w:val="center"/>
                </w:tcPr>
                <w:p>
                  <w:pPr>
                    <w:pStyle w:val="70"/>
                  </w:pPr>
                  <w:r>
                    <w:t>重点防渗区</w:t>
                  </w:r>
                </w:p>
              </w:tc>
              <w:tc>
                <w:tcPr>
                  <w:tcW w:w="1349" w:type="dxa"/>
                  <w:vAlign w:val="center"/>
                </w:tcPr>
                <w:p>
                  <w:pPr>
                    <w:pStyle w:val="70"/>
                  </w:pPr>
                  <w:r>
                    <w:t>危险废物</w:t>
                  </w:r>
                  <w:r>
                    <w:rPr>
                      <w:rFonts w:hint="eastAsia"/>
                      <w:lang w:val="en-US" w:eastAsia="zh-CN"/>
                    </w:rPr>
                    <w:t>贮存库</w:t>
                  </w:r>
                </w:p>
              </w:tc>
              <w:tc>
                <w:tcPr>
                  <w:tcW w:w="2956" w:type="dxa"/>
                  <w:vAlign w:val="center"/>
                </w:tcPr>
                <w:p>
                  <w:pPr>
                    <w:pStyle w:val="70"/>
                  </w:pPr>
                  <w:r>
                    <w:t>防渗层为至少1m厚粘土层（渗透系数≤10</w:t>
                  </w:r>
                  <w:r>
                    <w:rPr>
                      <w:vertAlign w:val="superscript"/>
                    </w:rPr>
                    <w:t>-7</w:t>
                  </w:r>
                  <w:r>
                    <w:t>cm/s），或2mm厚HDPE，或至少2mm厚的其它人工材料，渗透系数K≤10</w:t>
                  </w:r>
                  <w:r>
                    <w:rPr>
                      <w:vertAlign w:val="superscript"/>
                    </w:rPr>
                    <w:t>-10</w:t>
                  </w:r>
                  <w:r>
                    <w:t>cm/s</w:t>
                  </w:r>
                </w:p>
              </w:tc>
              <w:tc>
                <w:tcPr>
                  <w:tcW w:w="2656" w:type="dxa"/>
                  <w:vAlign w:val="center"/>
                </w:tcPr>
                <w:p>
                  <w:pPr>
                    <w:pStyle w:val="70"/>
                  </w:pPr>
                  <w:r>
                    <w:t>采用防渗混凝土硬化+2mm厚HDPE防渗，满足渗透系数K≤1×10</w:t>
                  </w:r>
                  <w:r>
                    <w:rPr>
                      <w:vertAlign w:val="superscript"/>
                    </w:rPr>
                    <w:t>-10</w:t>
                  </w:r>
                  <w: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5" w:type="dxa"/>
                  <w:vMerge w:val="continue"/>
                  <w:vAlign w:val="center"/>
                </w:tcPr>
                <w:p>
                  <w:pPr>
                    <w:pStyle w:val="70"/>
                  </w:pPr>
                </w:p>
              </w:tc>
              <w:tc>
                <w:tcPr>
                  <w:tcW w:w="1349" w:type="dxa"/>
                  <w:vAlign w:val="center"/>
                </w:tcPr>
                <w:p>
                  <w:pPr>
                    <w:pStyle w:val="70"/>
                  </w:pPr>
                  <w:r>
                    <w:t>化粪池</w:t>
                  </w:r>
                </w:p>
              </w:tc>
              <w:tc>
                <w:tcPr>
                  <w:tcW w:w="2956" w:type="dxa"/>
                  <w:vAlign w:val="center"/>
                </w:tcPr>
                <w:p>
                  <w:pPr>
                    <w:pStyle w:val="70"/>
                  </w:pPr>
                  <w:r>
                    <w:t>/</w:t>
                  </w:r>
                </w:p>
              </w:tc>
              <w:tc>
                <w:tcPr>
                  <w:tcW w:w="2656" w:type="dxa"/>
                  <w:vAlign w:val="center"/>
                </w:tcPr>
                <w:p>
                  <w:pPr>
                    <w:pStyle w:val="70"/>
                  </w:pPr>
                  <w:r>
                    <w:t>使用混凝土和防腐材料做防渗处理，使用前做荷载试验，检查密封性能和强度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5" w:type="dxa"/>
                  <w:vMerge w:val="continue"/>
                  <w:vAlign w:val="center"/>
                </w:tcPr>
                <w:p>
                  <w:pPr>
                    <w:pStyle w:val="70"/>
                  </w:pPr>
                </w:p>
              </w:tc>
              <w:tc>
                <w:tcPr>
                  <w:tcW w:w="1349" w:type="dxa"/>
                  <w:vAlign w:val="center"/>
                </w:tcPr>
                <w:p>
                  <w:pPr>
                    <w:pStyle w:val="70"/>
                  </w:pPr>
                  <w:r>
                    <w:rPr>
                      <w:rFonts w:hint="eastAsia"/>
                      <w:lang w:val="en-US" w:eastAsia="zh-CN"/>
                    </w:rPr>
                    <w:t>油罐区</w:t>
                  </w:r>
                </w:p>
              </w:tc>
              <w:tc>
                <w:tcPr>
                  <w:tcW w:w="2956" w:type="dxa"/>
                  <w:vAlign w:val="center"/>
                </w:tcPr>
                <w:p>
                  <w:pPr>
                    <w:pStyle w:val="70"/>
                  </w:pPr>
                  <w:r>
                    <w:t>防渗层为至少1m厚粘土层（渗透系数≤10</w:t>
                  </w:r>
                  <w:r>
                    <w:rPr>
                      <w:vertAlign w:val="superscript"/>
                    </w:rPr>
                    <w:t>-7</w:t>
                  </w:r>
                  <w:r>
                    <w:t>cm/s），或2mm厚HDPE，或至少2mm厚的其它人工材料，渗透系数K≤10</w:t>
                  </w:r>
                  <w:r>
                    <w:rPr>
                      <w:vertAlign w:val="superscript"/>
                    </w:rPr>
                    <w:t>-10</w:t>
                  </w:r>
                  <w:r>
                    <w:t>cm/s</w:t>
                  </w:r>
                </w:p>
              </w:tc>
              <w:tc>
                <w:tcPr>
                  <w:tcW w:w="2656" w:type="dxa"/>
                  <w:vAlign w:val="center"/>
                </w:tcPr>
                <w:p>
                  <w:pPr>
                    <w:pStyle w:val="70"/>
                  </w:pPr>
                  <w:r>
                    <w:t>采用防渗混凝土硬化+2mm厚HDPE防渗，满足渗透系数K≤1×10</w:t>
                  </w:r>
                  <w:r>
                    <w:rPr>
                      <w:vertAlign w:val="superscript"/>
                    </w:rPr>
                    <w:t>-10</w:t>
                  </w:r>
                  <w: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5" w:type="dxa"/>
                  <w:vAlign w:val="center"/>
                </w:tcPr>
                <w:p>
                  <w:pPr>
                    <w:pStyle w:val="70"/>
                  </w:pPr>
                  <w:r>
                    <w:t>一般防渗区</w:t>
                  </w:r>
                </w:p>
              </w:tc>
              <w:tc>
                <w:tcPr>
                  <w:tcW w:w="1349" w:type="dxa"/>
                  <w:vAlign w:val="center"/>
                </w:tcPr>
                <w:p>
                  <w:pPr>
                    <w:pStyle w:val="70"/>
                  </w:pPr>
                  <w:r>
                    <w:rPr>
                      <w:rFonts w:hint="eastAsia"/>
                    </w:rPr>
                    <w:t>主厂房</w:t>
                  </w:r>
                  <w:r>
                    <w:t>、</w:t>
                  </w:r>
                  <w:r>
                    <w:rPr>
                      <w:rFonts w:hint="eastAsia"/>
                    </w:rPr>
                    <w:t>锅炉房、</w:t>
                  </w:r>
                  <w:r>
                    <w:rPr>
                      <w:rFonts w:hint="eastAsia"/>
                      <w:lang w:val="en-US" w:eastAsia="zh-CN"/>
                    </w:rPr>
                    <w:t>一般固体废物</w:t>
                  </w:r>
                  <w:r>
                    <w:t>储存车间</w:t>
                  </w:r>
                </w:p>
              </w:tc>
              <w:tc>
                <w:tcPr>
                  <w:tcW w:w="2956" w:type="dxa"/>
                  <w:vAlign w:val="center"/>
                </w:tcPr>
                <w:p>
                  <w:pPr>
                    <w:pStyle w:val="70"/>
                  </w:pPr>
                  <w:r>
                    <w:t>等效黏土防渗层Mb≥1.5m，渗透系数K≤1×10</w:t>
                  </w:r>
                  <w:r>
                    <w:rPr>
                      <w:vertAlign w:val="superscript"/>
                    </w:rPr>
                    <w:t>-7</w:t>
                  </w:r>
                  <w:r>
                    <w:t>cm/s；或参照GB16889执行</w:t>
                  </w:r>
                </w:p>
              </w:tc>
              <w:tc>
                <w:tcPr>
                  <w:tcW w:w="2656" w:type="dxa"/>
                  <w:vAlign w:val="center"/>
                </w:tcPr>
                <w:p>
                  <w:pPr>
                    <w:pStyle w:val="70"/>
                  </w:pPr>
                  <w:r>
                    <w:t>采用防渗混凝土硬化，满足等效黏土防渗层Mb≥1.5m，渗透系数K≤1×10</w:t>
                  </w:r>
                  <w:r>
                    <w:rPr>
                      <w:vertAlign w:val="superscript"/>
                    </w:rPr>
                    <w:t>-7</w:t>
                  </w:r>
                  <w: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5" w:type="dxa"/>
                  <w:vAlign w:val="center"/>
                </w:tcPr>
                <w:p>
                  <w:pPr>
                    <w:pStyle w:val="70"/>
                  </w:pPr>
                  <w:r>
                    <w:t>简单防渗区</w:t>
                  </w:r>
                </w:p>
              </w:tc>
              <w:tc>
                <w:tcPr>
                  <w:tcW w:w="1349" w:type="dxa"/>
                  <w:vAlign w:val="center"/>
                </w:tcPr>
                <w:p>
                  <w:pPr>
                    <w:pStyle w:val="70"/>
                  </w:pPr>
                  <w:r>
                    <w:t>道路</w:t>
                  </w:r>
                </w:p>
              </w:tc>
              <w:tc>
                <w:tcPr>
                  <w:tcW w:w="2956" w:type="dxa"/>
                  <w:vAlign w:val="center"/>
                </w:tcPr>
                <w:p>
                  <w:pPr>
                    <w:pStyle w:val="70"/>
                  </w:pPr>
                  <w:r>
                    <w:t>一般地面硬化</w:t>
                  </w:r>
                </w:p>
              </w:tc>
              <w:tc>
                <w:tcPr>
                  <w:tcW w:w="2656" w:type="dxa"/>
                  <w:vAlign w:val="center"/>
                </w:tcPr>
                <w:p>
                  <w:pPr>
                    <w:pStyle w:val="70"/>
                  </w:pPr>
                  <w:r>
                    <w:t>采用砾石铺设铺镇，满足一般地面硬化</w:t>
                  </w:r>
                </w:p>
              </w:tc>
            </w:tr>
          </w:tbl>
          <w:p>
            <w:pPr>
              <w:ind w:firstLine="480"/>
            </w:pPr>
            <w:r>
              <w:t>由上述措施可知，本项目针对可能造成地下水和土壤污染影响的各途径均进行有效预防，在确保各项防控措施得以落实，并加强环境管理的前提下，可有效杜绝地下水和土壤污染。</w:t>
            </w:r>
          </w:p>
          <w:p>
            <w:pPr>
              <w:ind w:firstLine="480"/>
            </w:pPr>
            <w:r>
              <w:t>综上所述，本项目在采取上述防控措施后，可有效防止地下水和土壤的污染。</w:t>
            </w:r>
          </w:p>
          <w:p>
            <w:pPr>
              <w:pStyle w:val="24"/>
              <w:ind w:firstLine="482"/>
            </w:pPr>
            <w:r>
              <w:t>4.4环境监测</w:t>
            </w:r>
          </w:p>
          <w:p>
            <w:pPr>
              <w:ind w:firstLine="480"/>
            </w:pPr>
            <w:r>
              <w:t>根据建设单位的实际情况，其监测工作可委托具有资质的</w:t>
            </w:r>
            <w:r>
              <w:rPr>
                <w:rFonts w:hint="eastAsia"/>
              </w:rPr>
              <w:t>环境检测公司</w:t>
            </w:r>
            <w:r>
              <w:t>承担。监测依据《</w:t>
            </w:r>
            <w:r>
              <w:rPr>
                <w:rFonts w:hint="eastAsia"/>
              </w:rPr>
              <w:t>排污单位</w:t>
            </w:r>
            <w:r>
              <w:t>自行</w:t>
            </w:r>
            <w:r>
              <w:rPr>
                <w:rFonts w:hint="eastAsia"/>
              </w:rPr>
              <w:t>监测</w:t>
            </w:r>
            <w:r>
              <w:t>技术指南</w:t>
            </w:r>
            <w:r>
              <w:rPr>
                <w:rFonts w:hint="eastAsia"/>
              </w:rPr>
              <w:t xml:space="preserve"> 总则</w:t>
            </w:r>
            <w:r>
              <w:t>》</w:t>
            </w:r>
            <w:r>
              <w:rPr>
                <w:rFonts w:hint="eastAsia"/>
              </w:rPr>
              <w:t>（HJ819-2017）、《排污</w:t>
            </w:r>
            <w:r>
              <w:t>许可</w:t>
            </w:r>
            <w:r>
              <w:rPr>
                <w:rFonts w:hint="eastAsia"/>
              </w:rPr>
              <w:t>证申请与核发</w:t>
            </w:r>
            <w:r>
              <w:t>技术规范</w:t>
            </w:r>
            <w:r>
              <w:rPr>
                <w:rFonts w:hint="eastAsia"/>
              </w:rPr>
              <w:t xml:space="preserve"> 总则》（HJ942-2018）、《排污单位自行监测技术指南 农副食品加工业》（H</w:t>
            </w:r>
            <w:r>
              <w:t>J986-2018</w:t>
            </w:r>
            <w:r>
              <w:rPr>
                <w:rFonts w:hint="eastAsia"/>
              </w:rPr>
              <w:t>）、《排污单位自行监测技术指南 火力发电及锅炉》（HJ820-2017）。项目建成运行后，废气污染源监测计划汇总见表4-11。</w:t>
            </w:r>
          </w:p>
          <w:p>
            <w:pPr>
              <w:pStyle w:val="65"/>
            </w:pPr>
            <w:r>
              <w:t>表4</w:t>
            </w:r>
            <w:r>
              <w:rPr>
                <w:rFonts w:hint="eastAsia"/>
              </w:rPr>
              <w:t>.4</w:t>
            </w:r>
            <w:r>
              <w:t>-</w:t>
            </w:r>
            <w:r>
              <w:rPr>
                <w:rFonts w:hint="eastAsia"/>
              </w:rPr>
              <w:t xml:space="preserve">1  </w:t>
            </w:r>
            <w:r>
              <w:t xml:space="preserve"> 运营期环境监测一览表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93"/>
              <w:gridCol w:w="1350"/>
              <w:gridCol w:w="1950"/>
              <w:gridCol w:w="1175"/>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pPr>
                    <w:pStyle w:val="70"/>
                  </w:pPr>
                  <w:r>
                    <w:t>内容</w:t>
                  </w:r>
                </w:p>
              </w:tc>
              <w:tc>
                <w:tcPr>
                  <w:tcW w:w="1693" w:type="dxa"/>
                  <w:vAlign w:val="center"/>
                </w:tcPr>
                <w:p>
                  <w:pPr>
                    <w:pStyle w:val="70"/>
                  </w:pPr>
                  <w:r>
                    <w:t>污染源</w:t>
                  </w:r>
                </w:p>
              </w:tc>
              <w:tc>
                <w:tcPr>
                  <w:tcW w:w="1350" w:type="dxa"/>
                  <w:vAlign w:val="center"/>
                </w:tcPr>
                <w:p>
                  <w:pPr>
                    <w:pStyle w:val="70"/>
                  </w:pPr>
                  <w:r>
                    <w:t>监测项目</w:t>
                  </w:r>
                </w:p>
              </w:tc>
              <w:tc>
                <w:tcPr>
                  <w:tcW w:w="1950" w:type="dxa"/>
                  <w:vAlign w:val="center"/>
                </w:tcPr>
                <w:p>
                  <w:pPr>
                    <w:pStyle w:val="70"/>
                  </w:pPr>
                  <w:r>
                    <w:t>监测点位</w:t>
                  </w:r>
                </w:p>
              </w:tc>
              <w:tc>
                <w:tcPr>
                  <w:tcW w:w="1175" w:type="dxa"/>
                  <w:vAlign w:val="center"/>
                </w:tcPr>
                <w:p>
                  <w:pPr>
                    <w:pStyle w:val="70"/>
                  </w:pPr>
                  <w:r>
                    <w:t>检测频率</w:t>
                  </w:r>
                </w:p>
              </w:tc>
              <w:tc>
                <w:tcPr>
                  <w:tcW w:w="1396" w:type="dxa"/>
                  <w:vAlign w:val="center"/>
                </w:tcPr>
                <w:p>
                  <w:pPr>
                    <w:pStyle w:val="7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9" w:type="dxa"/>
                  <w:vMerge w:val="restart"/>
                  <w:vAlign w:val="center"/>
                </w:tcPr>
                <w:p>
                  <w:pPr>
                    <w:pStyle w:val="70"/>
                  </w:pPr>
                  <w:r>
                    <w:t>废气</w:t>
                  </w:r>
                </w:p>
              </w:tc>
              <w:tc>
                <w:tcPr>
                  <w:tcW w:w="1693" w:type="dxa"/>
                  <w:vMerge w:val="restart"/>
                  <w:vAlign w:val="center"/>
                </w:tcPr>
                <w:p>
                  <w:pPr>
                    <w:pStyle w:val="70"/>
                    <w:rPr>
                      <w:rFonts w:hint="eastAsia" w:eastAsia="宋体"/>
                      <w:lang w:eastAsia="zh-CN"/>
                    </w:rPr>
                  </w:pPr>
                  <w:r>
                    <w:rPr>
                      <w:rFonts w:hint="eastAsia"/>
                    </w:rPr>
                    <w:t>燃气锅炉</w:t>
                  </w:r>
                  <w:r>
                    <w:rPr>
                      <w:rFonts w:hint="eastAsia"/>
                      <w:lang w:eastAsia="zh-CN"/>
                    </w:rPr>
                    <w:t>（</w:t>
                  </w:r>
                  <w:r>
                    <w:t>DA001</w:t>
                  </w:r>
                  <w:r>
                    <w:rPr>
                      <w:rFonts w:hint="eastAsia"/>
                      <w:lang w:eastAsia="zh-CN"/>
                    </w:rPr>
                    <w:t>）</w:t>
                  </w:r>
                </w:p>
              </w:tc>
              <w:tc>
                <w:tcPr>
                  <w:tcW w:w="1350" w:type="dxa"/>
                  <w:vAlign w:val="center"/>
                </w:tcPr>
                <w:p>
                  <w:pPr>
                    <w:pStyle w:val="70"/>
                  </w:pPr>
                  <w:r>
                    <w:t>颗粒物、SO</w:t>
                  </w:r>
                  <w:r>
                    <w:rPr>
                      <w:vertAlign w:val="subscript"/>
                    </w:rPr>
                    <w:t>2</w:t>
                  </w:r>
                  <w:r>
                    <w:t>、林格曼黑度</w:t>
                  </w:r>
                </w:p>
              </w:tc>
              <w:tc>
                <w:tcPr>
                  <w:tcW w:w="1950" w:type="dxa"/>
                  <w:vMerge w:val="restart"/>
                  <w:vAlign w:val="center"/>
                </w:tcPr>
                <w:p>
                  <w:pPr>
                    <w:pStyle w:val="70"/>
                  </w:pPr>
                  <w:r>
                    <w:t>排气筒总排口（</w:t>
                  </w:r>
                  <w:r>
                    <w:rPr>
                      <w:rFonts w:hint="eastAsia"/>
                      <w:lang w:val="en-US" w:eastAsia="zh-CN"/>
                    </w:rPr>
                    <w:t>12</w:t>
                  </w:r>
                  <w:r>
                    <w:t>m）</w:t>
                  </w:r>
                </w:p>
              </w:tc>
              <w:tc>
                <w:tcPr>
                  <w:tcW w:w="1175" w:type="dxa"/>
                  <w:vAlign w:val="center"/>
                </w:tcPr>
                <w:p>
                  <w:pPr>
                    <w:pStyle w:val="70"/>
                  </w:pPr>
                  <w:r>
                    <w:t>1次/年</w:t>
                  </w:r>
                </w:p>
              </w:tc>
              <w:tc>
                <w:tcPr>
                  <w:tcW w:w="1396" w:type="dxa"/>
                  <w:vMerge w:val="restart"/>
                  <w:vAlign w:val="center"/>
                </w:tcPr>
                <w:p>
                  <w:pPr>
                    <w:pStyle w:val="70"/>
                  </w:pPr>
                  <w:r>
                    <w:t>排气筒预留监测孔，并设置相应的监测平台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09" w:type="dxa"/>
                  <w:vMerge w:val="continue"/>
                  <w:vAlign w:val="center"/>
                </w:tcPr>
                <w:p>
                  <w:pPr>
                    <w:pStyle w:val="70"/>
                  </w:pPr>
                </w:p>
              </w:tc>
              <w:tc>
                <w:tcPr>
                  <w:tcW w:w="1693" w:type="dxa"/>
                  <w:vMerge w:val="continue"/>
                  <w:vAlign w:val="center"/>
                </w:tcPr>
                <w:p>
                  <w:pPr>
                    <w:pStyle w:val="70"/>
                  </w:pPr>
                </w:p>
              </w:tc>
              <w:tc>
                <w:tcPr>
                  <w:tcW w:w="1350" w:type="dxa"/>
                  <w:vAlign w:val="center"/>
                </w:tcPr>
                <w:p>
                  <w:pPr>
                    <w:pStyle w:val="70"/>
                  </w:pPr>
                  <w:r>
                    <w:t>NO</w:t>
                  </w:r>
                  <w:r>
                    <w:rPr>
                      <w:vertAlign w:val="subscript"/>
                    </w:rPr>
                    <w:t>X</w:t>
                  </w:r>
                </w:p>
              </w:tc>
              <w:tc>
                <w:tcPr>
                  <w:tcW w:w="1950" w:type="dxa"/>
                  <w:vMerge w:val="continue"/>
                  <w:vAlign w:val="center"/>
                </w:tcPr>
                <w:p>
                  <w:pPr>
                    <w:pStyle w:val="70"/>
                  </w:pPr>
                </w:p>
              </w:tc>
              <w:tc>
                <w:tcPr>
                  <w:tcW w:w="1175" w:type="dxa"/>
                  <w:vAlign w:val="center"/>
                </w:tcPr>
                <w:p>
                  <w:pPr>
                    <w:pStyle w:val="70"/>
                  </w:pPr>
                  <w:r>
                    <w:t>1次/月</w:t>
                  </w:r>
                </w:p>
              </w:tc>
              <w:tc>
                <w:tcPr>
                  <w:tcW w:w="1396"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vAlign w:val="center"/>
                </w:tcPr>
                <w:p>
                  <w:pPr>
                    <w:pStyle w:val="70"/>
                  </w:pPr>
                </w:p>
              </w:tc>
              <w:tc>
                <w:tcPr>
                  <w:tcW w:w="1693" w:type="dxa"/>
                  <w:vAlign w:val="center"/>
                </w:tcPr>
                <w:p>
                  <w:pPr>
                    <w:pStyle w:val="70"/>
                    <w:rPr>
                      <w:rFonts w:hint="eastAsia" w:eastAsia="宋体"/>
                      <w:lang w:eastAsia="zh-CN"/>
                    </w:rPr>
                  </w:pPr>
                  <w:r>
                    <w:rPr>
                      <w:rFonts w:hint="eastAsia"/>
                    </w:rPr>
                    <w:t>卸料工序</w:t>
                  </w:r>
                  <w:r>
                    <w:rPr>
                      <w:rFonts w:hint="eastAsia"/>
                      <w:lang w:eastAsia="zh-CN"/>
                    </w:rPr>
                    <w:t>（</w:t>
                  </w:r>
                  <w:r>
                    <w:t>DA00</w:t>
                  </w:r>
                  <w:r>
                    <w:rPr>
                      <w:rFonts w:hint="eastAsia"/>
                    </w:rPr>
                    <w:t>2</w:t>
                  </w:r>
                  <w:r>
                    <w:rPr>
                      <w:rFonts w:hint="eastAsia"/>
                      <w:lang w:eastAsia="zh-CN"/>
                    </w:rPr>
                    <w:t>）</w:t>
                  </w:r>
                </w:p>
              </w:tc>
              <w:tc>
                <w:tcPr>
                  <w:tcW w:w="1350" w:type="dxa"/>
                  <w:vAlign w:val="center"/>
                </w:tcPr>
                <w:p>
                  <w:pPr>
                    <w:pStyle w:val="70"/>
                  </w:pPr>
                  <w:r>
                    <w:t>颗粒物</w:t>
                  </w:r>
                </w:p>
              </w:tc>
              <w:tc>
                <w:tcPr>
                  <w:tcW w:w="1950" w:type="dxa"/>
                  <w:vAlign w:val="center"/>
                </w:tcPr>
                <w:p>
                  <w:pPr>
                    <w:pStyle w:val="70"/>
                  </w:pPr>
                  <w:r>
                    <w:t>排气筒总排口（15m）</w:t>
                  </w:r>
                </w:p>
              </w:tc>
              <w:tc>
                <w:tcPr>
                  <w:tcW w:w="1175" w:type="dxa"/>
                  <w:vAlign w:val="center"/>
                </w:tcPr>
                <w:p>
                  <w:pPr>
                    <w:pStyle w:val="70"/>
                  </w:pPr>
                  <w:r>
                    <w:t>1次/半年</w:t>
                  </w:r>
                </w:p>
              </w:tc>
              <w:tc>
                <w:tcPr>
                  <w:tcW w:w="1396"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vAlign w:val="center"/>
                </w:tcPr>
                <w:p>
                  <w:pPr>
                    <w:pStyle w:val="70"/>
                  </w:pPr>
                </w:p>
              </w:tc>
              <w:tc>
                <w:tcPr>
                  <w:tcW w:w="1693" w:type="dxa"/>
                  <w:vAlign w:val="center"/>
                </w:tcPr>
                <w:p>
                  <w:pPr>
                    <w:pStyle w:val="70"/>
                    <w:rPr>
                      <w:rFonts w:hint="eastAsia" w:eastAsia="宋体"/>
                      <w:lang w:eastAsia="zh-CN"/>
                    </w:rPr>
                  </w:pPr>
                  <w:r>
                    <w:rPr>
                      <w:rFonts w:hint="eastAsia"/>
                    </w:rPr>
                    <w:t>投料工序</w:t>
                  </w:r>
                  <w:r>
                    <w:rPr>
                      <w:rFonts w:hint="eastAsia"/>
                      <w:lang w:eastAsia="zh-CN"/>
                    </w:rPr>
                    <w:t>（</w:t>
                  </w:r>
                  <w:r>
                    <w:t>DA00</w:t>
                  </w:r>
                  <w:r>
                    <w:rPr>
                      <w:rFonts w:hint="eastAsia"/>
                    </w:rPr>
                    <w:t>3</w:t>
                  </w:r>
                  <w:r>
                    <w:rPr>
                      <w:rFonts w:hint="eastAsia"/>
                      <w:lang w:eastAsia="zh-CN"/>
                    </w:rPr>
                    <w:t>）</w:t>
                  </w:r>
                </w:p>
              </w:tc>
              <w:tc>
                <w:tcPr>
                  <w:tcW w:w="1350" w:type="dxa"/>
                  <w:vAlign w:val="center"/>
                </w:tcPr>
                <w:p>
                  <w:pPr>
                    <w:pStyle w:val="70"/>
                  </w:pPr>
                  <w:r>
                    <w:t>颗粒物</w:t>
                  </w:r>
                </w:p>
              </w:tc>
              <w:tc>
                <w:tcPr>
                  <w:tcW w:w="1950" w:type="dxa"/>
                  <w:vAlign w:val="center"/>
                </w:tcPr>
                <w:p>
                  <w:pPr>
                    <w:pStyle w:val="70"/>
                  </w:pPr>
                  <w:r>
                    <w:t>排气筒总排口（15m）</w:t>
                  </w:r>
                </w:p>
              </w:tc>
              <w:tc>
                <w:tcPr>
                  <w:tcW w:w="1175" w:type="dxa"/>
                  <w:vAlign w:val="center"/>
                </w:tcPr>
                <w:p>
                  <w:pPr>
                    <w:pStyle w:val="70"/>
                  </w:pPr>
                  <w:r>
                    <w:t>1次/半年</w:t>
                  </w:r>
                </w:p>
              </w:tc>
              <w:tc>
                <w:tcPr>
                  <w:tcW w:w="1396"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vAlign w:val="center"/>
                </w:tcPr>
                <w:p>
                  <w:pPr>
                    <w:pStyle w:val="70"/>
                  </w:pPr>
                </w:p>
              </w:tc>
              <w:tc>
                <w:tcPr>
                  <w:tcW w:w="1693" w:type="dxa"/>
                  <w:vAlign w:val="center"/>
                </w:tcPr>
                <w:p>
                  <w:pPr>
                    <w:pStyle w:val="70"/>
                    <w:rPr>
                      <w:rFonts w:hint="eastAsia" w:eastAsia="宋体"/>
                      <w:lang w:eastAsia="zh-CN"/>
                    </w:rPr>
                  </w:pPr>
                  <w:r>
                    <w:rPr>
                      <w:rFonts w:hint="eastAsia"/>
                    </w:rPr>
                    <w:t>粉碎工序</w:t>
                  </w:r>
                  <w:r>
                    <w:rPr>
                      <w:rFonts w:hint="eastAsia"/>
                      <w:lang w:eastAsia="zh-CN"/>
                    </w:rPr>
                    <w:t>（</w:t>
                  </w:r>
                  <w:r>
                    <w:t>DA00</w:t>
                  </w:r>
                  <w:r>
                    <w:rPr>
                      <w:rFonts w:hint="eastAsia"/>
                    </w:rPr>
                    <w:t>4</w:t>
                  </w:r>
                  <w:r>
                    <w:rPr>
                      <w:rFonts w:hint="eastAsia"/>
                      <w:lang w:eastAsia="zh-CN"/>
                    </w:rPr>
                    <w:t>）</w:t>
                  </w:r>
                </w:p>
              </w:tc>
              <w:tc>
                <w:tcPr>
                  <w:tcW w:w="1350" w:type="dxa"/>
                  <w:vAlign w:val="center"/>
                </w:tcPr>
                <w:p>
                  <w:pPr>
                    <w:pStyle w:val="70"/>
                  </w:pPr>
                  <w:r>
                    <w:t>颗粒物</w:t>
                  </w:r>
                </w:p>
              </w:tc>
              <w:tc>
                <w:tcPr>
                  <w:tcW w:w="1950" w:type="dxa"/>
                  <w:vAlign w:val="center"/>
                </w:tcPr>
                <w:p>
                  <w:pPr>
                    <w:pStyle w:val="70"/>
                  </w:pPr>
                  <w:r>
                    <w:t>排气筒总排口（15m）</w:t>
                  </w:r>
                </w:p>
              </w:tc>
              <w:tc>
                <w:tcPr>
                  <w:tcW w:w="1175" w:type="dxa"/>
                  <w:vAlign w:val="center"/>
                </w:tcPr>
                <w:p>
                  <w:pPr>
                    <w:pStyle w:val="70"/>
                  </w:pPr>
                  <w:r>
                    <w:t>1次/半年</w:t>
                  </w:r>
                </w:p>
              </w:tc>
              <w:tc>
                <w:tcPr>
                  <w:tcW w:w="1396"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vAlign w:val="center"/>
                </w:tcPr>
                <w:p>
                  <w:pPr>
                    <w:pStyle w:val="70"/>
                  </w:pPr>
                </w:p>
              </w:tc>
              <w:tc>
                <w:tcPr>
                  <w:tcW w:w="1693" w:type="dxa"/>
                  <w:vAlign w:val="center"/>
                </w:tcPr>
                <w:p>
                  <w:pPr>
                    <w:pStyle w:val="70"/>
                    <w:rPr>
                      <w:rFonts w:hint="eastAsia" w:eastAsia="宋体"/>
                      <w:lang w:eastAsia="zh-CN"/>
                    </w:rPr>
                  </w:pPr>
                  <w:r>
                    <w:rPr>
                      <w:rFonts w:hint="eastAsia"/>
                    </w:rPr>
                    <w:t>配料混合工序</w:t>
                  </w:r>
                  <w:r>
                    <w:rPr>
                      <w:rFonts w:hint="eastAsia"/>
                      <w:lang w:eastAsia="zh-CN"/>
                    </w:rPr>
                    <w:t>（</w:t>
                  </w:r>
                  <w:r>
                    <w:t>DA00</w:t>
                  </w:r>
                  <w:r>
                    <w:rPr>
                      <w:rFonts w:hint="eastAsia"/>
                    </w:rPr>
                    <w:t>5</w:t>
                  </w:r>
                  <w:r>
                    <w:rPr>
                      <w:rFonts w:hint="eastAsia"/>
                      <w:lang w:eastAsia="zh-CN"/>
                    </w:rPr>
                    <w:t>）</w:t>
                  </w:r>
                </w:p>
              </w:tc>
              <w:tc>
                <w:tcPr>
                  <w:tcW w:w="1350" w:type="dxa"/>
                  <w:vAlign w:val="center"/>
                </w:tcPr>
                <w:p>
                  <w:pPr>
                    <w:pStyle w:val="70"/>
                  </w:pPr>
                  <w:r>
                    <w:t>颗粒物</w:t>
                  </w:r>
                </w:p>
              </w:tc>
              <w:tc>
                <w:tcPr>
                  <w:tcW w:w="1950" w:type="dxa"/>
                  <w:vAlign w:val="center"/>
                </w:tcPr>
                <w:p>
                  <w:pPr>
                    <w:pStyle w:val="70"/>
                  </w:pPr>
                  <w:r>
                    <w:t>排气筒总排口（15m）</w:t>
                  </w:r>
                </w:p>
              </w:tc>
              <w:tc>
                <w:tcPr>
                  <w:tcW w:w="1175" w:type="dxa"/>
                  <w:vAlign w:val="center"/>
                </w:tcPr>
                <w:p>
                  <w:pPr>
                    <w:pStyle w:val="70"/>
                  </w:pPr>
                  <w:r>
                    <w:t>1次/半年</w:t>
                  </w:r>
                </w:p>
              </w:tc>
              <w:tc>
                <w:tcPr>
                  <w:tcW w:w="1396"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vAlign w:val="center"/>
                </w:tcPr>
                <w:p>
                  <w:pPr>
                    <w:pStyle w:val="70"/>
                  </w:pPr>
                </w:p>
              </w:tc>
              <w:tc>
                <w:tcPr>
                  <w:tcW w:w="1693" w:type="dxa"/>
                  <w:vAlign w:val="center"/>
                </w:tcPr>
                <w:p>
                  <w:pPr>
                    <w:pStyle w:val="70"/>
                    <w:rPr>
                      <w:rFonts w:hint="eastAsia" w:eastAsia="宋体"/>
                      <w:lang w:eastAsia="zh-CN"/>
                    </w:rPr>
                  </w:pPr>
                  <w:r>
                    <w:rPr>
                      <w:rFonts w:hint="eastAsia"/>
                    </w:rPr>
                    <w:t>制粒冷却工序</w:t>
                  </w:r>
                  <w:r>
                    <w:rPr>
                      <w:rFonts w:hint="eastAsia"/>
                      <w:lang w:eastAsia="zh-CN"/>
                    </w:rPr>
                    <w:t>（</w:t>
                  </w:r>
                  <w:r>
                    <w:t>DA00</w:t>
                  </w:r>
                  <w:r>
                    <w:rPr>
                      <w:rFonts w:hint="eastAsia"/>
                    </w:rPr>
                    <w:t>6</w:t>
                  </w:r>
                  <w:r>
                    <w:rPr>
                      <w:rFonts w:hint="eastAsia"/>
                      <w:lang w:eastAsia="zh-CN"/>
                    </w:rPr>
                    <w:t>）</w:t>
                  </w:r>
                </w:p>
              </w:tc>
              <w:tc>
                <w:tcPr>
                  <w:tcW w:w="1350" w:type="dxa"/>
                  <w:vAlign w:val="center"/>
                </w:tcPr>
                <w:p>
                  <w:pPr>
                    <w:pStyle w:val="70"/>
                  </w:pPr>
                  <w:r>
                    <w:t>颗粒物</w:t>
                  </w:r>
                </w:p>
              </w:tc>
              <w:tc>
                <w:tcPr>
                  <w:tcW w:w="1950" w:type="dxa"/>
                  <w:vAlign w:val="center"/>
                </w:tcPr>
                <w:p>
                  <w:pPr>
                    <w:pStyle w:val="70"/>
                  </w:pPr>
                  <w:r>
                    <w:t>排气筒总排口（15m）</w:t>
                  </w:r>
                </w:p>
              </w:tc>
              <w:tc>
                <w:tcPr>
                  <w:tcW w:w="1175" w:type="dxa"/>
                  <w:vAlign w:val="center"/>
                </w:tcPr>
                <w:p>
                  <w:pPr>
                    <w:pStyle w:val="70"/>
                  </w:pPr>
                  <w:r>
                    <w:t>1次/半年</w:t>
                  </w:r>
                </w:p>
              </w:tc>
              <w:tc>
                <w:tcPr>
                  <w:tcW w:w="1396"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9" w:type="dxa"/>
                  <w:vMerge w:val="continue"/>
                  <w:vAlign w:val="center"/>
                </w:tcPr>
                <w:p>
                  <w:pPr>
                    <w:pStyle w:val="70"/>
                  </w:pPr>
                </w:p>
              </w:tc>
              <w:tc>
                <w:tcPr>
                  <w:tcW w:w="1693" w:type="dxa"/>
                  <w:vAlign w:val="center"/>
                </w:tcPr>
                <w:p>
                  <w:pPr>
                    <w:pStyle w:val="70"/>
                    <w:rPr>
                      <w:rFonts w:hint="eastAsia" w:eastAsia="宋体"/>
                      <w:lang w:eastAsia="zh-CN"/>
                    </w:rPr>
                  </w:pPr>
                  <w:r>
                    <w:rPr>
                      <w:rFonts w:hint="eastAsia"/>
                    </w:rPr>
                    <w:t>包装工序</w:t>
                  </w:r>
                  <w:r>
                    <w:rPr>
                      <w:rFonts w:hint="eastAsia"/>
                      <w:lang w:eastAsia="zh-CN"/>
                    </w:rPr>
                    <w:t>（</w:t>
                  </w:r>
                  <w:r>
                    <w:t>DA00</w:t>
                  </w:r>
                  <w:r>
                    <w:rPr>
                      <w:rFonts w:hint="eastAsia"/>
                    </w:rPr>
                    <w:t>7</w:t>
                  </w:r>
                  <w:r>
                    <w:rPr>
                      <w:rFonts w:hint="eastAsia"/>
                      <w:lang w:eastAsia="zh-CN"/>
                    </w:rPr>
                    <w:t>）</w:t>
                  </w:r>
                </w:p>
              </w:tc>
              <w:tc>
                <w:tcPr>
                  <w:tcW w:w="1350" w:type="dxa"/>
                  <w:vAlign w:val="center"/>
                </w:tcPr>
                <w:p>
                  <w:pPr>
                    <w:pStyle w:val="70"/>
                  </w:pPr>
                  <w:r>
                    <w:t>颗粒物</w:t>
                  </w:r>
                </w:p>
              </w:tc>
              <w:tc>
                <w:tcPr>
                  <w:tcW w:w="1950" w:type="dxa"/>
                  <w:vAlign w:val="center"/>
                </w:tcPr>
                <w:p>
                  <w:pPr>
                    <w:pStyle w:val="70"/>
                  </w:pPr>
                  <w:r>
                    <w:t>排气筒总排口（15m）</w:t>
                  </w:r>
                </w:p>
              </w:tc>
              <w:tc>
                <w:tcPr>
                  <w:tcW w:w="1175" w:type="dxa"/>
                  <w:vAlign w:val="center"/>
                </w:tcPr>
                <w:p>
                  <w:pPr>
                    <w:pStyle w:val="70"/>
                  </w:pPr>
                  <w:r>
                    <w:t>1次/半年</w:t>
                  </w:r>
                </w:p>
              </w:tc>
              <w:tc>
                <w:tcPr>
                  <w:tcW w:w="1396" w:type="dxa"/>
                  <w:vMerge w:val="continue"/>
                  <w:vAlign w:val="center"/>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vAlign w:val="center"/>
                </w:tcPr>
                <w:p>
                  <w:pPr>
                    <w:pStyle w:val="70"/>
                  </w:pPr>
                </w:p>
              </w:tc>
              <w:tc>
                <w:tcPr>
                  <w:tcW w:w="1693" w:type="dxa"/>
                  <w:vAlign w:val="center"/>
                </w:tcPr>
                <w:p>
                  <w:pPr>
                    <w:pStyle w:val="70"/>
                  </w:pPr>
                  <w:r>
                    <w:t>无组织</w:t>
                  </w:r>
                </w:p>
              </w:tc>
              <w:tc>
                <w:tcPr>
                  <w:tcW w:w="1350" w:type="dxa"/>
                  <w:vAlign w:val="center"/>
                </w:tcPr>
                <w:p>
                  <w:pPr>
                    <w:pStyle w:val="70"/>
                  </w:pPr>
                  <w:r>
                    <w:t>颗粒物、臭气浓度</w:t>
                  </w:r>
                </w:p>
              </w:tc>
              <w:tc>
                <w:tcPr>
                  <w:tcW w:w="1950" w:type="dxa"/>
                  <w:vAlign w:val="center"/>
                </w:tcPr>
                <w:p>
                  <w:pPr>
                    <w:pStyle w:val="70"/>
                  </w:pPr>
                  <w:r>
                    <w:t>厂区上风向无组织参照点，下风向设置2-3个监控点</w:t>
                  </w:r>
                </w:p>
              </w:tc>
              <w:tc>
                <w:tcPr>
                  <w:tcW w:w="1175" w:type="dxa"/>
                  <w:vAlign w:val="center"/>
                </w:tcPr>
                <w:p>
                  <w:pPr>
                    <w:pStyle w:val="70"/>
                  </w:pPr>
                  <w:r>
                    <w:t>1次/年</w:t>
                  </w:r>
                </w:p>
              </w:tc>
              <w:tc>
                <w:tcPr>
                  <w:tcW w:w="1396" w:type="dxa"/>
                  <w:vAlign w:val="center"/>
                </w:tcPr>
                <w:p>
                  <w:pPr>
                    <w:pStyle w:val="7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pPr>
                    <w:pStyle w:val="70"/>
                  </w:pPr>
                  <w:r>
                    <w:t>噪声</w:t>
                  </w:r>
                </w:p>
              </w:tc>
              <w:tc>
                <w:tcPr>
                  <w:tcW w:w="1693" w:type="dxa"/>
                  <w:vAlign w:val="center"/>
                </w:tcPr>
                <w:p>
                  <w:pPr>
                    <w:pStyle w:val="70"/>
                  </w:pPr>
                  <w:r>
                    <w:t>厂界噪声</w:t>
                  </w:r>
                </w:p>
              </w:tc>
              <w:tc>
                <w:tcPr>
                  <w:tcW w:w="1350" w:type="dxa"/>
                  <w:vAlign w:val="center"/>
                </w:tcPr>
                <w:p>
                  <w:pPr>
                    <w:pStyle w:val="70"/>
                  </w:pPr>
                  <w:r>
                    <w:t>等效连续A声级</w:t>
                  </w:r>
                </w:p>
              </w:tc>
              <w:tc>
                <w:tcPr>
                  <w:tcW w:w="1950" w:type="dxa"/>
                  <w:vAlign w:val="center"/>
                </w:tcPr>
                <w:p>
                  <w:pPr>
                    <w:pStyle w:val="70"/>
                  </w:pPr>
                  <w:r>
                    <w:t>厂界东、南、西、北侧</w:t>
                  </w:r>
                </w:p>
              </w:tc>
              <w:tc>
                <w:tcPr>
                  <w:tcW w:w="1175" w:type="dxa"/>
                  <w:vAlign w:val="center"/>
                </w:tcPr>
                <w:p>
                  <w:pPr>
                    <w:pStyle w:val="70"/>
                  </w:pPr>
                  <w:r>
                    <w:t>1次/季度</w:t>
                  </w:r>
                </w:p>
              </w:tc>
              <w:tc>
                <w:tcPr>
                  <w:tcW w:w="1396" w:type="dxa"/>
                  <w:vAlign w:val="center"/>
                </w:tcPr>
                <w:p>
                  <w:pPr>
                    <w:pStyle w:val="70"/>
                  </w:pPr>
                  <w:r>
                    <w:t>/</w:t>
                  </w:r>
                </w:p>
              </w:tc>
            </w:tr>
          </w:tbl>
          <w:p>
            <w:pPr>
              <w:pStyle w:val="24"/>
              <w:ind w:firstLine="482"/>
            </w:pPr>
            <w:r>
              <w:t>4.5环境风险评价</w:t>
            </w:r>
          </w:p>
          <w:p>
            <w:pPr>
              <w:ind w:firstLine="480"/>
            </w:pPr>
            <w:r>
              <w:t>环境风险评价以突发性事故导致的危险物质环境急性损害防控为目标，对建设项目的环境风险进行分析、预测和评估，提出环境风险预防、控制、减缓措施，明确环境风险监控及应急建议要求，为建设项目环境风险防控提供科学依据。通过对项目在生产过程中使用的物质、各工艺系统的危险性进行识别，分析周边环境的敏感性，对项目的风险潜势进行初判，确定评价等级。</w:t>
            </w:r>
          </w:p>
          <w:p>
            <w:pPr>
              <w:pStyle w:val="24"/>
              <w:ind w:firstLine="482"/>
            </w:pPr>
            <w:r>
              <w:t>4.5.1风险调查</w:t>
            </w:r>
          </w:p>
          <w:p>
            <w:pPr>
              <w:ind w:firstLine="480"/>
            </w:pPr>
            <w:r>
              <w:t>（1）建设项目风险源调查</w:t>
            </w:r>
          </w:p>
          <w:p>
            <w:pPr>
              <w:ind w:firstLine="480"/>
            </w:pPr>
            <w:r>
              <w:t>本项目主要风险物质为</w:t>
            </w:r>
            <w:r>
              <w:rPr>
                <w:rFonts w:hint="eastAsia"/>
                <w:lang w:val="en-US" w:eastAsia="zh-CN"/>
              </w:rPr>
              <w:t>颗粒物、</w:t>
            </w:r>
            <w:r>
              <w:t>废</w:t>
            </w:r>
            <w:r>
              <w:rPr>
                <w:rFonts w:hint="eastAsia"/>
                <w:lang w:val="en-US" w:eastAsia="zh-CN"/>
              </w:rPr>
              <w:t>润滑油</w:t>
            </w:r>
            <w:r>
              <w:t>，风险情景为除尘器故障导致颗粒物超标排放、废</w:t>
            </w:r>
            <w:r>
              <w:rPr>
                <w:rFonts w:hint="eastAsia"/>
                <w:lang w:val="en-US" w:eastAsia="zh-CN"/>
              </w:rPr>
              <w:t>润滑油泄露</w:t>
            </w:r>
            <w:r>
              <w:t>。</w:t>
            </w:r>
          </w:p>
          <w:p>
            <w:pPr>
              <w:ind w:firstLine="480"/>
            </w:pPr>
            <w:r>
              <w:t>（2）环境敏感目标调查</w:t>
            </w:r>
          </w:p>
          <w:p>
            <w:pPr>
              <w:ind w:firstLine="480"/>
            </w:pPr>
            <w:r>
              <w:t>本项目环境风险评价范围内无自然保护区、风景名胜区、水源地等环境风险敏感目标。</w:t>
            </w:r>
          </w:p>
          <w:p>
            <w:pPr>
              <w:ind w:firstLine="480"/>
            </w:pPr>
            <w:r>
              <w:t>（</w:t>
            </w:r>
            <w:r>
              <w:rPr>
                <w:rFonts w:hint="eastAsia"/>
              </w:rPr>
              <w:t>3</w:t>
            </w:r>
            <w:r>
              <w:t>）环境风险识别</w:t>
            </w:r>
          </w:p>
          <w:p>
            <w:pPr>
              <w:ind w:firstLine="480"/>
            </w:pPr>
            <w:r>
              <w:t>项目的风险识别主要从生产设施风险识别和生产过程所涉及的物质风险识别两方面着手。其中生产设施风险识别包括主要生产装置、贮运系统、公用工程系统、工程环保设施及辅助生产设施等；物质风险性识别包括生产中涉及的原辅材料、中间产品以及生产过程中排放的</w:t>
            </w:r>
            <w:r>
              <w:rPr>
                <w:rFonts w:hint="eastAsia"/>
                <w:lang w:eastAsia="zh-CN"/>
              </w:rPr>
              <w:t>“</w:t>
            </w:r>
            <w:r>
              <w:t>三废</w:t>
            </w:r>
            <w:r>
              <w:rPr>
                <w:rFonts w:hint="eastAsia"/>
                <w:lang w:eastAsia="zh-CN"/>
              </w:rPr>
              <w:t>”</w:t>
            </w:r>
            <w:r>
              <w:t>污染物等。</w:t>
            </w:r>
          </w:p>
          <w:p>
            <w:pPr>
              <w:ind w:firstLine="480"/>
            </w:pPr>
            <w:r>
              <w:t>①风险物质识别</w:t>
            </w:r>
          </w:p>
          <w:p>
            <w:pPr>
              <w:ind w:firstLine="480"/>
            </w:pPr>
            <w:r>
              <w:t>根据对项目的原辅材料、中间产物和产品等进行分析，项目涉及的风险物质主要为废</w:t>
            </w:r>
            <w:r>
              <w:rPr>
                <w:rFonts w:hint="eastAsia"/>
                <w:lang w:val="en-US" w:eastAsia="zh-CN"/>
              </w:rPr>
              <w:t>润滑油</w:t>
            </w:r>
            <w:r>
              <w:t>。</w:t>
            </w:r>
          </w:p>
          <w:p>
            <w:pPr>
              <w:ind w:firstLine="480"/>
            </w:pPr>
            <w:r>
              <w:t>②生产系统危险性识别</w:t>
            </w:r>
          </w:p>
          <w:p>
            <w:pPr>
              <w:ind w:firstLine="480"/>
            </w:pPr>
            <w:r>
              <w:t>项目生产系统危险因素见表</w:t>
            </w:r>
            <w:r>
              <w:rPr>
                <w:rFonts w:hint="eastAsia"/>
              </w:rPr>
              <w:t>4.5-1</w:t>
            </w:r>
            <w:r>
              <w:t>。</w:t>
            </w:r>
          </w:p>
          <w:p>
            <w:pPr>
              <w:pStyle w:val="65"/>
            </w:pPr>
            <w:r>
              <w:t>表4</w:t>
            </w:r>
            <w:r>
              <w:rPr>
                <w:rFonts w:hint="eastAsia"/>
              </w:rPr>
              <w:t>.5</w:t>
            </w:r>
            <w:r>
              <w:t>-1   项目生产过程危害因素分析汇总一览表</w:t>
            </w:r>
          </w:p>
          <w:tbl>
            <w:tblPr>
              <w:tblStyle w:val="27"/>
              <w:tblW w:w="5000" w:type="pct"/>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7"/>
              <w:gridCol w:w="1306"/>
              <w:gridCol w:w="1115"/>
              <w:gridCol w:w="1205"/>
              <w:gridCol w:w="1213"/>
              <w:gridCol w:w="27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 w:hRule="atLeast"/>
              </w:trPr>
              <w:tc>
                <w:tcPr>
                  <w:tcW w:w="410" w:type="pct"/>
                  <w:tcBorders>
                    <w:tl2br w:val="nil"/>
                    <w:tr2bl w:val="nil"/>
                  </w:tcBorders>
                  <w:vAlign w:val="center"/>
                </w:tcPr>
                <w:p>
                  <w:pPr>
                    <w:pStyle w:val="70"/>
                    <w:rPr>
                      <w:b/>
                      <w:bCs w:val="0"/>
                      <w:color w:val="auto"/>
                    </w:rPr>
                  </w:pPr>
                  <w:r>
                    <w:rPr>
                      <w:b/>
                      <w:bCs w:val="0"/>
                      <w:color w:val="auto"/>
                    </w:rPr>
                    <w:t>序号</w:t>
                  </w:r>
                </w:p>
              </w:tc>
              <w:tc>
                <w:tcPr>
                  <w:tcW w:w="790" w:type="pct"/>
                  <w:tcBorders>
                    <w:tl2br w:val="nil"/>
                    <w:tr2bl w:val="nil"/>
                  </w:tcBorders>
                  <w:vAlign w:val="center"/>
                </w:tcPr>
                <w:p>
                  <w:pPr>
                    <w:pStyle w:val="70"/>
                    <w:rPr>
                      <w:b/>
                      <w:bCs w:val="0"/>
                      <w:color w:val="auto"/>
                    </w:rPr>
                  </w:pPr>
                  <w:r>
                    <w:rPr>
                      <w:b/>
                      <w:bCs w:val="0"/>
                      <w:color w:val="auto"/>
                    </w:rPr>
                    <w:t>装置名称</w:t>
                  </w:r>
                </w:p>
              </w:tc>
              <w:tc>
                <w:tcPr>
                  <w:tcW w:w="674" w:type="pct"/>
                  <w:tcBorders>
                    <w:tl2br w:val="nil"/>
                    <w:tr2bl w:val="nil"/>
                  </w:tcBorders>
                  <w:vAlign w:val="center"/>
                </w:tcPr>
                <w:p>
                  <w:pPr>
                    <w:pStyle w:val="70"/>
                    <w:rPr>
                      <w:b/>
                      <w:bCs w:val="0"/>
                      <w:color w:val="auto"/>
                    </w:rPr>
                  </w:pPr>
                  <w:r>
                    <w:rPr>
                      <w:b/>
                      <w:bCs w:val="0"/>
                      <w:color w:val="auto"/>
                    </w:rPr>
                    <w:t>作业特点</w:t>
                  </w:r>
                </w:p>
              </w:tc>
              <w:tc>
                <w:tcPr>
                  <w:tcW w:w="728" w:type="pct"/>
                  <w:tcBorders>
                    <w:tl2br w:val="nil"/>
                    <w:tr2bl w:val="nil"/>
                  </w:tcBorders>
                  <w:vAlign w:val="center"/>
                </w:tcPr>
                <w:p>
                  <w:pPr>
                    <w:pStyle w:val="70"/>
                    <w:rPr>
                      <w:b/>
                      <w:bCs w:val="0"/>
                      <w:color w:val="auto"/>
                    </w:rPr>
                  </w:pPr>
                  <w:r>
                    <w:rPr>
                      <w:b/>
                      <w:bCs w:val="0"/>
                      <w:color w:val="auto"/>
                    </w:rPr>
                    <w:t>物料名称</w:t>
                  </w:r>
                </w:p>
              </w:tc>
              <w:tc>
                <w:tcPr>
                  <w:tcW w:w="733" w:type="pct"/>
                  <w:tcBorders>
                    <w:tl2br w:val="nil"/>
                    <w:tr2bl w:val="nil"/>
                  </w:tcBorders>
                  <w:vAlign w:val="center"/>
                </w:tcPr>
                <w:p>
                  <w:pPr>
                    <w:pStyle w:val="70"/>
                    <w:rPr>
                      <w:b/>
                      <w:bCs w:val="0"/>
                      <w:color w:val="auto"/>
                    </w:rPr>
                  </w:pPr>
                  <w:r>
                    <w:rPr>
                      <w:b/>
                      <w:bCs w:val="0"/>
                      <w:color w:val="auto"/>
                    </w:rPr>
                    <w:t>危险因素</w:t>
                  </w:r>
                </w:p>
              </w:tc>
              <w:tc>
                <w:tcPr>
                  <w:tcW w:w="1661" w:type="pct"/>
                  <w:tcBorders>
                    <w:tl2br w:val="nil"/>
                    <w:tr2bl w:val="nil"/>
                  </w:tcBorders>
                  <w:vAlign w:val="center"/>
                </w:tcPr>
                <w:p>
                  <w:pPr>
                    <w:pStyle w:val="70"/>
                    <w:rPr>
                      <w:b/>
                      <w:bCs w:val="0"/>
                      <w:color w:val="auto"/>
                    </w:rPr>
                  </w:pPr>
                  <w:r>
                    <w:rPr>
                      <w:b/>
                      <w:bCs w:val="0"/>
                      <w:color w:val="auto"/>
                    </w:rPr>
                    <w:t>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10" w:type="pct"/>
                  <w:tcBorders>
                    <w:tl2br w:val="nil"/>
                    <w:tr2bl w:val="nil"/>
                  </w:tcBorders>
                  <w:vAlign w:val="center"/>
                </w:tcPr>
                <w:p>
                  <w:pPr>
                    <w:pStyle w:val="70"/>
                  </w:pPr>
                  <w:r>
                    <w:t>1</w:t>
                  </w:r>
                </w:p>
              </w:tc>
              <w:tc>
                <w:tcPr>
                  <w:tcW w:w="790" w:type="pct"/>
                  <w:tcBorders>
                    <w:tl2br w:val="nil"/>
                    <w:tr2bl w:val="nil"/>
                  </w:tcBorders>
                  <w:vAlign w:val="center"/>
                </w:tcPr>
                <w:p>
                  <w:pPr>
                    <w:pStyle w:val="70"/>
                  </w:pPr>
                  <w:r>
                    <w:t>危险废物</w:t>
                  </w:r>
                  <w:r>
                    <w:rPr>
                      <w:rFonts w:hint="eastAsia"/>
                      <w:lang w:val="en-US" w:eastAsia="zh-CN"/>
                    </w:rPr>
                    <w:t>贮存库</w:t>
                  </w:r>
                </w:p>
              </w:tc>
              <w:tc>
                <w:tcPr>
                  <w:tcW w:w="674" w:type="pct"/>
                  <w:tcBorders>
                    <w:tl2br w:val="nil"/>
                    <w:tr2bl w:val="nil"/>
                  </w:tcBorders>
                  <w:vAlign w:val="center"/>
                </w:tcPr>
                <w:p>
                  <w:pPr>
                    <w:pStyle w:val="70"/>
                    <w:rPr>
                      <w:rFonts w:hint="eastAsia" w:eastAsia="宋体"/>
                      <w:lang w:eastAsia="zh-CN"/>
                    </w:rPr>
                  </w:pPr>
                  <w:r>
                    <w:rPr>
                      <w:rFonts w:hint="eastAsia"/>
                      <w:lang w:eastAsia="zh-CN"/>
                    </w:rPr>
                    <w:t>泄漏</w:t>
                  </w:r>
                </w:p>
              </w:tc>
              <w:tc>
                <w:tcPr>
                  <w:tcW w:w="728" w:type="pct"/>
                  <w:tcBorders>
                    <w:tl2br w:val="nil"/>
                    <w:tr2bl w:val="nil"/>
                  </w:tcBorders>
                  <w:vAlign w:val="center"/>
                </w:tcPr>
                <w:p>
                  <w:pPr>
                    <w:pStyle w:val="70"/>
                  </w:pPr>
                  <w:r>
                    <w:t>废</w:t>
                  </w:r>
                  <w:r>
                    <w:rPr>
                      <w:rFonts w:hint="eastAsia"/>
                      <w:lang w:val="en-US" w:eastAsia="zh-CN"/>
                    </w:rPr>
                    <w:t>润滑油</w:t>
                  </w:r>
                </w:p>
              </w:tc>
              <w:tc>
                <w:tcPr>
                  <w:tcW w:w="733" w:type="pct"/>
                  <w:tcBorders>
                    <w:tl2br w:val="nil"/>
                    <w:tr2bl w:val="nil"/>
                  </w:tcBorders>
                  <w:vAlign w:val="center"/>
                </w:tcPr>
                <w:p>
                  <w:pPr>
                    <w:pStyle w:val="70"/>
                    <w:rPr>
                      <w:rFonts w:hint="eastAsia" w:eastAsia="宋体"/>
                      <w:lang w:eastAsia="zh-CN"/>
                    </w:rPr>
                  </w:pPr>
                  <w:r>
                    <w:rPr>
                      <w:rFonts w:hint="eastAsia"/>
                      <w:lang w:eastAsia="zh-CN"/>
                    </w:rPr>
                    <w:t>泄漏</w:t>
                  </w:r>
                </w:p>
              </w:tc>
              <w:tc>
                <w:tcPr>
                  <w:tcW w:w="1661" w:type="pct"/>
                  <w:tcBorders>
                    <w:tl2br w:val="nil"/>
                    <w:tr2bl w:val="nil"/>
                  </w:tcBorders>
                  <w:vAlign w:val="center"/>
                </w:tcPr>
                <w:p>
                  <w:pPr>
                    <w:pStyle w:val="70"/>
                  </w:pPr>
                  <w:r>
                    <w:t>泄漏、污染土壤、地下水或大气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10" w:type="pct"/>
                  <w:tcBorders>
                    <w:tl2br w:val="nil"/>
                    <w:tr2bl w:val="nil"/>
                  </w:tcBorders>
                  <w:vAlign w:val="center"/>
                </w:tcPr>
                <w:p>
                  <w:pPr>
                    <w:pStyle w:val="70"/>
                  </w:pPr>
                  <w:r>
                    <w:rPr>
                      <w:rFonts w:hint="eastAsia"/>
                    </w:rPr>
                    <w:t>2</w:t>
                  </w:r>
                </w:p>
              </w:tc>
              <w:tc>
                <w:tcPr>
                  <w:tcW w:w="790" w:type="pct"/>
                  <w:tcBorders>
                    <w:tl2br w:val="nil"/>
                    <w:tr2bl w:val="nil"/>
                  </w:tcBorders>
                  <w:vAlign w:val="center"/>
                </w:tcPr>
                <w:p>
                  <w:pPr>
                    <w:pStyle w:val="70"/>
                  </w:pPr>
                  <w:r>
                    <w:rPr>
                      <w:rFonts w:hint="eastAsia"/>
                    </w:rPr>
                    <w:t>锅炉房</w:t>
                  </w:r>
                </w:p>
              </w:tc>
              <w:tc>
                <w:tcPr>
                  <w:tcW w:w="674" w:type="pct"/>
                  <w:tcBorders>
                    <w:tl2br w:val="nil"/>
                    <w:tr2bl w:val="nil"/>
                  </w:tcBorders>
                  <w:vAlign w:val="center"/>
                </w:tcPr>
                <w:p>
                  <w:pPr>
                    <w:pStyle w:val="70"/>
                  </w:pPr>
                  <w:r>
                    <w:rPr>
                      <w:rFonts w:hint="eastAsia"/>
                    </w:rPr>
                    <w:t>泄漏</w:t>
                  </w:r>
                </w:p>
              </w:tc>
              <w:tc>
                <w:tcPr>
                  <w:tcW w:w="728" w:type="pct"/>
                  <w:tcBorders>
                    <w:tl2br w:val="nil"/>
                    <w:tr2bl w:val="nil"/>
                  </w:tcBorders>
                  <w:vAlign w:val="center"/>
                </w:tcPr>
                <w:p>
                  <w:pPr>
                    <w:pStyle w:val="70"/>
                  </w:pPr>
                  <w:r>
                    <w:rPr>
                      <w:rFonts w:hint="eastAsia"/>
                    </w:rPr>
                    <w:t>天然气</w:t>
                  </w:r>
                </w:p>
              </w:tc>
              <w:tc>
                <w:tcPr>
                  <w:tcW w:w="733" w:type="pct"/>
                  <w:tcBorders>
                    <w:tl2br w:val="nil"/>
                    <w:tr2bl w:val="nil"/>
                  </w:tcBorders>
                  <w:vAlign w:val="center"/>
                </w:tcPr>
                <w:p>
                  <w:pPr>
                    <w:pStyle w:val="70"/>
                    <w:rPr>
                      <w:rFonts w:hint="eastAsia" w:eastAsia="宋体"/>
                      <w:lang w:eastAsia="zh-CN"/>
                    </w:rPr>
                  </w:pPr>
                  <w:r>
                    <w:rPr>
                      <w:rFonts w:hint="eastAsia"/>
                      <w:lang w:eastAsia="zh-CN"/>
                    </w:rPr>
                    <w:t>泄漏</w:t>
                  </w:r>
                </w:p>
              </w:tc>
              <w:tc>
                <w:tcPr>
                  <w:tcW w:w="1661" w:type="pct"/>
                  <w:tcBorders>
                    <w:tl2br w:val="nil"/>
                    <w:tr2bl w:val="nil"/>
                  </w:tcBorders>
                  <w:vAlign w:val="center"/>
                </w:tcPr>
                <w:p>
                  <w:pPr>
                    <w:pStyle w:val="70"/>
                  </w:pPr>
                  <w:r>
                    <w:t>泄漏、污染土壤、地下水或大气</w:t>
                  </w:r>
                </w:p>
              </w:tc>
            </w:tr>
          </w:tbl>
          <w:p>
            <w:pPr>
              <w:pStyle w:val="24"/>
              <w:ind w:firstLine="482"/>
            </w:pPr>
            <w:r>
              <w:t>4.5.2环境风险评价等级</w:t>
            </w:r>
          </w:p>
          <w:p>
            <w:pPr>
              <w:ind w:firstLine="480"/>
            </w:pPr>
            <w:r>
              <w:t>根据《建设项目环境风险评价技术导则》（HJ169-2018）附录A1</w:t>
            </w:r>
            <w:r>
              <w:rPr>
                <w:rFonts w:hint="eastAsia"/>
                <w:lang w:eastAsia="zh-CN"/>
              </w:rPr>
              <w:t>“</w:t>
            </w:r>
            <w:r>
              <w:t>有毒物质、易燃物质及爆炸物质的临界量</w:t>
            </w:r>
            <w:r>
              <w:rPr>
                <w:rFonts w:hint="eastAsia"/>
                <w:lang w:eastAsia="zh-CN"/>
              </w:rPr>
              <w:t>”</w:t>
            </w:r>
            <w:r>
              <w:t>和《危险化学品重大危险源辨识》（GB18218-2018），本项目使用的危险物质为废</w:t>
            </w:r>
            <w:r>
              <w:rPr>
                <w:rFonts w:hint="eastAsia"/>
                <w:lang w:val="en-US" w:eastAsia="zh-CN"/>
              </w:rPr>
              <w:t>润滑油</w:t>
            </w:r>
            <w:r>
              <w:rPr>
                <w:rFonts w:hint="eastAsia"/>
              </w:rPr>
              <w:t>、天然气管道中的天然气</w:t>
            </w:r>
            <w:r>
              <w:t>；项目危险物质临界量见表</w:t>
            </w:r>
            <w:r>
              <w:rPr>
                <w:rFonts w:hint="eastAsia"/>
              </w:rPr>
              <w:t>4.5-3</w:t>
            </w:r>
            <w:r>
              <w:t>。</w:t>
            </w:r>
          </w:p>
          <w:p>
            <w:pPr>
              <w:pStyle w:val="65"/>
            </w:pPr>
            <w:r>
              <w:t>表4</w:t>
            </w:r>
            <w:r>
              <w:rPr>
                <w:rFonts w:hint="eastAsia"/>
              </w:rPr>
              <w:t>.5</w:t>
            </w:r>
            <w:r>
              <w:t>-</w:t>
            </w:r>
            <w:r>
              <w:rPr>
                <w:rFonts w:hint="eastAsia"/>
              </w:rPr>
              <w:t>2</w:t>
            </w:r>
            <w:r>
              <w:t xml:space="preserve">   危险化学品临界量一览表</w:t>
            </w:r>
          </w:p>
          <w:tbl>
            <w:tblPr>
              <w:tblStyle w:val="27"/>
              <w:tblW w:w="5000" w:type="pct"/>
              <w:jc w:val="center"/>
              <w:tblLayout w:type="fixed"/>
              <w:tblCellMar>
                <w:top w:w="0" w:type="dxa"/>
                <w:left w:w="0" w:type="dxa"/>
                <w:bottom w:w="0" w:type="dxa"/>
                <w:right w:w="0" w:type="dxa"/>
              </w:tblCellMar>
            </w:tblPr>
            <w:tblGrid>
              <w:gridCol w:w="571"/>
              <w:gridCol w:w="1691"/>
              <w:gridCol w:w="2172"/>
              <w:gridCol w:w="1974"/>
              <w:gridCol w:w="1875"/>
            </w:tblGrid>
            <w:tr>
              <w:tblPrEx>
                <w:tblCellMar>
                  <w:top w:w="0" w:type="dxa"/>
                  <w:left w:w="0" w:type="dxa"/>
                  <w:bottom w:w="0" w:type="dxa"/>
                  <w:right w:w="0" w:type="dxa"/>
                </w:tblCellMar>
              </w:tblPrEx>
              <w:trPr>
                <w:trHeight w:val="366" w:hRule="exact"/>
                <w:jc w:val="center"/>
              </w:trPr>
              <w:tc>
                <w:tcPr>
                  <w:tcW w:w="344" w:type="pct"/>
                  <w:tcBorders>
                    <w:top w:val="single" w:color="000000" w:sz="4" w:space="0"/>
                    <w:left w:val="single" w:color="000000" w:sz="4" w:space="0"/>
                    <w:bottom w:val="single" w:color="000000" w:sz="4" w:space="0"/>
                    <w:right w:val="single" w:color="000000" w:sz="4" w:space="0"/>
                  </w:tcBorders>
                  <w:vAlign w:val="center"/>
                </w:tcPr>
                <w:p>
                  <w:pPr>
                    <w:pStyle w:val="70"/>
                    <w:rPr>
                      <w:b/>
                      <w:bCs w:val="0"/>
                    </w:rPr>
                  </w:pPr>
                  <w:r>
                    <w:rPr>
                      <w:b/>
                      <w:bCs w:val="0"/>
                    </w:rPr>
                    <w:t>序号</w:t>
                  </w:r>
                </w:p>
              </w:tc>
              <w:tc>
                <w:tcPr>
                  <w:tcW w:w="1020" w:type="pct"/>
                  <w:tcBorders>
                    <w:top w:val="single" w:color="000000" w:sz="4" w:space="0"/>
                    <w:left w:val="single" w:color="000000" w:sz="4" w:space="0"/>
                    <w:bottom w:val="single" w:color="000000" w:sz="4" w:space="0"/>
                    <w:right w:val="single" w:color="000000" w:sz="4" w:space="0"/>
                  </w:tcBorders>
                  <w:vAlign w:val="center"/>
                </w:tcPr>
                <w:p>
                  <w:pPr>
                    <w:pStyle w:val="70"/>
                    <w:rPr>
                      <w:b/>
                      <w:bCs w:val="0"/>
                    </w:rPr>
                  </w:pPr>
                  <w:r>
                    <w:rPr>
                      <w:b/>
                      <w:bCs w:val="0"/>
                    </w:rPr>
                    <w:t>环境风险物质</w:t>
                  </w:r>
                </w:p>
              </w:tc>
              <w:tc>
                <w:tcPr>
                  <w:tcW w:w="1311" w:type="pct"/>
                  <w:tcBorders>
                    <w:top w:val="single" w:color="000000" w:sz="4" w:space="0"/>
                    <w:left w:val="single" w:color="000000" w:sz="4" w:space="0"/>
                    <w:bottom w:val="single" w:color="000000" w:sz="4" w:space="0"/>
                    <w:right w:val="single" w:color="000000" w:sz="4" w:space="0"/>
                  </w:tcBorders>
                  <w:vAlign w:val="center"/>
                </w:tcPr>
                <w:p>
                  <w:pPr>
                    <w:pStyle w:val="70"/>
                    <w:rPr>
                      <w:b/>
                      <w:bCs w:val="0"/>
                    </w:rPr>
                  </w:pPr>
                  <w:r>
                    <w:rPr>
                      <w:b/>
                      <w:bCs w:val="0"/>
                    </w:rPr>
                    <w:t>最大实际储量q（t）</w:t>
                  </w:r>
                </w:p>
              </w:tc>
              <w:tc>
                <w:tcPr>
                  <w:tcW w:w="1191" w:type="pct"/>
                  <w:tcBorders>
                    <w:top w:val="single" w:color="000000" w:sz="4" w:space="0"/>
                    <w:left w:val="single" w:color="000000" w:sz="4" w:space="0"/>
                    <w:bottom w:val="single" w:color="000000" w:sz="4" w:space="0"/>
                    <w:right w:val="single" w:color="000000" w:sz="4" w:space="0"/>
                  </w:tcBorders>
                  <w:vAlign w:val="center"/>
                </w:tcPr>
                <w:p>
                  <w:pPr>
                    <w:pStyle w:val="70"/>
                    <w:rPr>
                      <w:b/>
                      <w:bCs w:val="0"/>
                    </w:rPr>
                  </w:pPr>
                  <w:r>
                    <w:rPr>
                      <w:b/>
                      <w:bCs w:val="0"/>
                    </w:rPr>
                    <w:t>临界量Qn（t）</w:t>
                  </w:r>
                </w:p>
              </w:tc>
              <w:tc>
                <w:tcPr>
                  <w:tcW w:w="1131" w:type="pct"/>
                  <w:tcBorders>
                    <w:top w:val="single" w:color="000000" w:sz="4" w:space="0"/>
                    <w:left w:val="single" w:color="000000" w:sz="4" w:space="0"/>
                    <w:bottom w:val="single" w:color="000000" w:sz="4" w:space="0"/>
                    <w:right w:val="single" w:color="000000" w:sz="4" w:space="0"/>
                  </w:tcBorders>
                  <w:vAlign w:val="center"/>
                </w:tcPr>
                <w:p>
                  <w:pPr>
                    <w:pStyle w:val="70"/>
                    <w:rPr>
                      <w:b/>
                      <w:bCs w:val="0"/>
                    </w:rPr>
                  </w:pPr>
                  <w:r>
                    <w:rPr>
                      <w:b/>
                      <w:bCs w:val="0"/>
                    </w:rPr>
                    <w:t>Q</w:t>
                  </w:r>
                  <w:r>
                    <w:rPr>
                      <w:rFonts w:hint="eastAsia"/>
                      <w:b/>
                      <w:bCs w:val="0"/>
                    </w:rPr>
                    <w:t>值</w:t>
                  </w:r>
                </w:p>
              </w:tc>
            </w:tr>
            <w:tr>
              <w:tblPrEx>
                <w:tblCellMar>
                  <w:top w:w="0" w:type="dxa"/>
                  <w:left w:w="0" w:type="dxa"/>
                  <w:bottom w:w="0" w:type="dxa"/>
                  <w:right w:w="0" w:type="dxa"/>
                </w:tblCellMar>
              </w:tblPrEx>
              <w:trPr>
                <w:trHeight w:val="450" w:hRule="exact"/>
                <w:jc w:val="center"/>
              </w:trPr>
              <w:tc>
                <w:tcPr>
                  <w:tcW w:w="344" w:type="pct"/>
                  <w:tcBorders>
                    <w:top w:val="single" w:color="000000" w:sz="4" w:space="0"/>
                    <w:left w:val="single" w:color="000000" w:sz="4" w:space="0"/>
                    <w:bottom w:val="single" w:color="000000" w:sz="4" w:space="0"/>
                    <w:right w:val="single" w:color="000000" w:sz="4" w:space="0"/>
                  </w:tcBorders>
                  <w:vAlign w:val="center"/>
                </w:tcPr>
                <w:p>
                  <w:pPr>
                    <w:pStyle w:val="70"/>
                  </w:pPr>
                  <w:r>
                    <w:t>1</w:t>
                  </w:r>
                </w:p>
              </w:tc>
              <w:tc>
                <w:tcPr>
                  <w:tcW w:w="1020" w:type="pct"/>
                  <w:tcBorders>
                    <w:top w:val="single" w:color="000000" w:sz="4" w:space="0"/>
                    <w:left w:val="single" w:color="000000" w:sz="4" w:space="0"/>
                    <w:bottom w:val="single" w:color="000000" w:sz="4" w:space="0"/>
                    <w:right w:val="single" w:color="000000" w:sz="4" w:space="0"/>
                  </w:tcBorders>
                  <w:vAlign w:val="center"/>
                </w:tcPr>
                <w:p>
                  <w:pPr>
                    <w:pStyle w:val="70"/>
                  </w:pPr>
                  <w:r>
                    <w:t>废</w:t>
                  </w:r>
                  <w:r>
                    <w:rPr>
                      <w:rFonts w:hint="eastAsia"/>
                      <w:lang w:val="en-US" w:eastAsia="zh-CN"/>
                    </w:rPr>
                    <w:t>润滑油</w:t>
                  </w:r>
                </w:p>
              </w:tc>
              <w:tc>
                <w:tcPr>
                  <w:tcW w:w="1311" w:type="pct"/>
                  <w:tcBorders>
                    <w:top w:val="single" w:color="000000" w:sz="4" w:space="0"/>
                    <w:left w:val="single" w:color="000000" w:sz="4" w:space="0"/>
                    <w:bottom w:val="single" w:color="000000" w:sz="4" w:space="0"/>
                    <w:right w:val="single" w:color="000000" w:sz="4" w:space="0"/>
                  </w:tcBorders>
                  <w:vAlign w:val="center"/>
                </w:tcPr>
                <w:p>
                  <w:pPr>
                    <w:pStyle w:val="70"/>
                  </w:pPr>
                  <w:r>
                    <w:t>0.1</w:t>
                  </w:r>
                </w:p>
              </w:tc>
              <w:tc>
                <w:tcPr>
                  <w:tcW w:w="1191" w:type="pct"/>
                  <w:tcBorders>
                    <w:top w:val="single" w:color="000000" w:sz="4" w:space="0"/>
                    <w:left w:val="single" w:color="000000" w:sz="4" w:space="0"/>
                    <w:bottom w:val="single" w:color="000000" w:sz="4" w:space="0"/>
                    <w:right w:val="single" w:color="000000" w:sz="4" w:space="0"/>
                  </w:tcBorders>
                  <w:vAlign w:val="center"/>
                </w:tcPr>
                <w:p>
                  <w:pPr>
                    <w:pStyle w:val="70"/>
                  </w:pPr>
                  <w:r>
                    <w:t>2500</w:t>
                  </w:r>
                </w:p>
              </w:tc>
              <w:tc>
                <w:tcPr>
                  <w:tcW w:w="1131" w:type="pct"/>
                  <w:tcBorders>
                    <w:top w:val="single" w:color="000000" w:sz="4" w:space="0"/>
                    <w:left w:val="single" w:color="000000" w:sz="4" w:space="0"/>
                    <w:bottom w:val="single" w:color="000000" w:sz="4" w:space="0"/>
                    <w:right w:val="single" w:color="000000" w:sz="4" w:space="0"/>
                  </w:tcBorders>
                  <w:vAlign w:val="center"/>
                </w:tcPr>
                <w:p>
                  <w:pPr>
                    <w:pStyle w:val="70"/>
                  </w:pPr>
                  <w:r>
                    <w:t>0.00004</w:t>
                  </w:r>
                </w:p>
              </w:tc>
            </w:tr>
            <w:tr>
              <w:tblPrEx>
                <w:tblCellMar>
                  <w:top w:w="0" w:type="dxa"/>
                  <w:left w:w="0" w:type="dxa"/>
                  <w:bottom w:w="0" w:type="dxa"/>
                  <w:right w:w="0" w:type="dxa"/>
                </w:tblCellMar>
              </w:tblPrEx>
              <w:trPr>
                <w:trHeight w:val="450" w:hRule="exact"/>
                <w:jc w:val="center"/>
              </w:trPr>
              <w:tc>
                <w:tcPr>
                  <w:tcW w:w="344" w:type="pct"/>
                  <w:tcBorders>
                    <w:top w:val="single" w:color="000000" w:sz="4" w:space="0"/>
                    <w:left w:val="single" w:color="000000" w:sz="4" w:space="0"/>
                    <w:bottom w:val="single" w:color="000000" w:sz="4" w:space="0"/>
                    <w:right w:val="single" w:color="000000" w:sz="4" w:space="0"/>
                  </w:tcBorders>
                  <w:vAlign w:val="center"/>
                </w:tcPr>
                <w:p>
                  <w:pPr>
                    <w:pStyle w:val="70"/>
                    <w:rPr>
                      <w:rFonts w:hint="eastAsia" w:eastAsia="宋体"/>
                      <w:lang w:eastAsia="zh-CN"/>
                    </w:rPr>
                  </w:pPr>
                  <w:r>
                    <w:rPr>
                      <w:rFonts w:hint="eastAsia"/>
                      <w:lang w:val="en-US" w:eastAsia="zh-CN"/>
                    </w:rPr>
                    <w:t>2</w:t>
                  </w:r>
                </w:p>
              </w:tc>
              <w:tc>
                <w:tcPr>
                  <w:tcW w:w="1020" w:type="pct"/>
                  <w:tcBorders>
                    <w:top w:val="single" w:color="000000" w:sz="4" w:space="0"/>
                    <w:left w:val="single" w:color="000000" w:sz="4" w:space="0"/>
                    <w:bottom w:val="single" w:color="000000" w:sz="4" w:space="0"/>
                    <w:right w:val="single" w:color="000000" w:sz="4" w:space="0"/>
                  </w:tcBorders>
                  <w:vAlign w:val="center"/>
                </w:tcPr>
                <w:p>
                  <w:pPr>
                    <w:pStyle w:val="70"/>
                    <w:rPr>
                      <w:rFonts w:hint="eastAsia" w:eastAsia="宋体"/>
                      <w:lang w:eastAsia="zh-CN"/>
                    </w:rPr>
                  </w:pPr>
                  <w:r>
                    <w:rPr>
                      <w:rFonts w:hint="eastAsia"/>
                    </w:rPr>
                    <w:t>天然气</w:t>
                  </w:r>
                  <w:r>
                    <w:rPr>
                      <w:rFonts w:hint="eastAsia"/>
                      <w:lang w:eastAsia="zh-CN"/>
                    </w:rPr>
                    <w:t>（</w:t>
                  </w:r>
                  <w:r>
                    <w:rPr>
                      <w:rFonts w:hint="eastAsia"/>
                    </w:rPr>
                    <w:t>管道</w:t>
                  </w:r>
                  <w:r>
                    <w:rPr>
                      <w:rFonts w:hint="eastAsia"/>
                      <w:lang w:eastAsia="zh-CN"/>
                    </w:rPr>
                    <w:t>）</w:t>
                  </w:r>
                </w:p>
              </w:tc>
              <w:tc>
                <w:tcPr>
                  <w:tcW w:w="1311" w:type="pct"/>
                  <w:tcBorders>
                    <w:top w:val="single" w:color="000000" w:sz="4" w:space="0"/>
                    <w:left w:val="single" w:color="000000" w:sz="4" w:space="0"/>
                    <w:bottom w:val="single" w:color="000000" w:sz="4" w:space="0"/>
                    <w:right w:val="single" w:color="000000" w:sz="4" w:space="0"/>
                  </w:tcBorders>
                  <w:vAlign w:val="center"/>
                </w:tcPr>
                <w:p>
                  <w:pPr>
                    <w:pStyle w:val="70"/>
                    <w:rPr>
                      <w:rFonts w:hint="eastAsia" w:eastAsia="宋体"/>
                      <w:lang w:val="en-US" w:eastAsia="zh-CN"/>
                    </w:rPr>
                  </w:pPr>
                  <w:r>
                    <w:rPr>
                      <w:rFonts w:hint="eastAsia"/>
                      <w:lang w:val="en-US" w:eastAsia="zh-CN"/>
                    </w:rPr>
                    <w:t>3</w:t>
                  </w:r>
                </w:p>
              </w:tc>
              <w:tc>
                <w:tcPr>
                  <w:tcW w:w="1191" w:type="pct"/>
                  <w:tcBorders>
                    <w:top w:val="single" w:color="000000" w:sz="4" w:space="0"/>
                    <w:left w:val="single" w:color="000000" w:sz="4" w:space="0"/>
                    <w:bottom w:val="single" w:color="000000" w:sz="4" w:space="0"/>
                    <w:right w:val="single" w:color="000000" w:sz="4" w:space="0"/>
                  </w:tcBorders>
                  <w:vAlign w:val="center"/>
                </w:tcPr>
                <w:p>
                  <w:pPr>
                    <w:pStyle w:val="70"/>
                  </w:pPr>
                  <w:r>
                    <w:rPr>
                      <w:rFonts w:hint="eastAsia"/>
                    </w:rPr>
                    <w:t>10</w:t>
                  </w:r>
                </w:p>
              </w:tc>
              <w:tc>
                <w:tcPr>
                  <w:tcW w:w="1131" w:type="pct"/>
                  <w:tcBorders>
                    <w:top w:val="single" w:color="000000" w:sz="4" w:space="0"/>
                    <w:left w:val="single" w:color="000000" w:sz="4" w:space="0"/>
                    <w:bottom w:val="single" w:color="000000" w:sz="4" w:space="0"/>
                    <w:right w:val="single" w:color="000000" w:sz="4" w:space="0"/>
                  </w:tcBorders>
                  <w:vAlign w:val="center"/>
                </w:tcPr>
                <w:p>
                  <w:pPr>
                    <w:pStyle w:val="70"/>
                    <w:rPr>
                      <w:rFonts w:hint="default" w:eastAsia="宋体"/>
                      <w:lang w:val="en-US" w:eastAsia="zh-CN"/>
                    </w:rPr>
                  </w:pPr>
                  <w:r>
                    <w:rPr>
                      <w:rFonts w:hint="eastAsia"/>
                      <w:lang w:val="en-US" w:eastAsia="zh-CN"/>
                    </w:rPr>
                    <w:t>0.3</w:t>
                  </w:r>
                </w:p>
              </w:tc>
            </w:tr>
            <w:tr>
              <w:tblPrEx>
                <w:tblCellMar>
                  <w:top w:w="0" w:type="dxa"/>
                  <w:left w:w="0" w:type="dxa"/>
                  <w:bottom w:w="0" w:type="dxa"/>
                  <w:right w:w="0" w:type="dxa"/>
                </w:tblCellMar>
              </w:tblPrEx>
              <w:trPr>
                <w:trHeight w:val="374" w:hRule="exact"/>
                <w:jc w:val="center"/>
              </w:trPr>
              <w:tc>
                <w:tcPr>
                  <w:tcW w:w="3868" w:type="pct"/>
                  <w:gridSpan w:val="4"/>
                  <w:tcBorders>
                    <w:top w:val="single" w:color="000000" w:sz="4" w:space="0"/>
                    <w:left w:val="single" w:color="000000" w:sz="4" w:space="0"/>
                    <w:bottom w:val="single" w:color="000000" w:sz="4" w:space="0"/>
                    <w:right w:val="single" w:color="000000" w:sz="4" w:space="0"/>
                  </w:tcBorders>
                  <w:vAlign w:val="center"/>
                </w:tcPr>
                <w:p>
                  <w:pPr>
                    <w:pStyle w:val="70"/>
                  </w:pPr>
                  <w:r>
                    <w:t>合计</w:t>
                  </w:r>
                </w:p>
              </w:tc>
              <w:tc>
                <w:tcPr>
                  <w:tcW w:w="1131" w:type="pct"/>
                  <w:tcBorders>
                    <w:top w:val="single" w:color="000000" w:sz="4" w:space="0"/>
                    <w:left w:val="single" w:color="000000" w:sz="4" w:space="0"/>
                    <w:bottom w:val="single" w:color="000000" w:sz="4" w:space="0"/>
                    <w:right w:val="single" w:color="000000" w:sz="4" w:space="0"/>
                  </w:tcBorders>
                  <w:vAlign w:val="center"/>
                </w:tcPr>
                <w:p>
                  <w:pPr>
                    <w:pStyle w:val="70"/>
                    <w:rPr>
                      <w:rFonts w:hint="default" w:eastAsia="宋体"/>
                      <w:lang w:val="en-US" w:eastAsia="zh-CN"/>
                    </w:rPr>
                  </w:pPr>
                  <w:r>
                    <w:rPr>
                      <w:rFonts w:hint="eastAsia"/>
                      <w:lang w:val="en-US" w:eastAsia="zh-CN"/>
                    </w:rPr>
                    <w:t>0.30004</w:t>
                  </w:r>
                </w:p>
              </w:tc>
            </w:tr>
          </w:tbl>
          <w:p>
            <w:pPr>
              <w:ind w:firstLine="480"/>
            </w:pPr>
            <w:r>
              <w:t>根据危险物质数量与临界量比值，确定Q=0.</w:t>
            </w:r>
            <w:r>
              <w:rPr>
                <w:rFonts w:hint="eastAsia"/>
                <w:lang w:val="en-US" w:eastAsia="zh-CN"/>
              </w:rPr>
              <w:t>30004</w:t>
            </w:r>
            <w:r>
              <w:t>＜1。当Q＜1时，</w:t>
            </w:r>
            <w:r>
              <w:rPr>
                <w:rFonts w:hint="eastAsia"/>
                <w:lang w:eastAsia="zh-CN"/>
              </w:rPr>
              <w:t>本项目</w:t>
            </w:r>
            <w:r>
              <w:t>风险期潜势为Ⅰ，风险期潜势为Ⅰ时，环境风险评价工作等级为简单分析。综上，本项目风险判定为简单评价。</w:t>
            </w:r>
          </w:p>
          <w:p>
            <w:pPr>
              <w:pStyle w:val="24"/>
              <w:ind w:firstLine="482"/>
            </w:pPr>
            <w:r>
              <w:t>4.5.3环境风险影响分析</w:t>
            </w:r>
          </w:p>
          <w:p>
            <w:pPr>
              <w:ind w:firstLine="480"/>
            </w:pPr>
            <w:r>
              <w:t>（1）大气环境影响分析：</w:t>
            </w:r>
          </w:p>
          <w:p>
            <w:pPr>
              <w:ind w:firstLine="480"/>
            </w:pPr>
            <w:r>
              <w:t>项目</w:t>
            </w:r>
            <w:r>
              <w:rPr>
                <w:rFonts w:hint="eastAsia"/>
                <w:lang w:val="en-US" w:eastAsia="zh-CN"/>
              </w:rPr>
              <w:t>废润滑油</w:t>
            </w:r>
            <w:r>
              <w:t>泄漏后，会挥发油气</w:t>
            </w:r>
            <w:r>
              <w:rPr>
                <w:rFonts w:hint="eastAsia"/>
                <w:lang w:val="en-US" w:eastAsia="zh-CN"/>
              </w:rPr>
              <w:t>和有毒物质</w:t>
            </w:r>
            <w:r>
              <w:t>，污染空气</w:t>
            </w:r>
            <w:r>
              <w:rPr>
                <w:rFonts w:hint="eastAsia"/>
                <w:lang w:eastAsia="zh-CN"/>
              </w:rPr>
              <w:t>。</w:t>
            </w:r>
            <w:r>
              <w:rPr>
                <w:rFonts w:hint="eastAsia"/>
                <w:lang w:val="en-US" w:eastAsia="zh-CN"/>
              </w:rPr>
              <w:t>废润滑油</w:t>
            </w:r>
            <w:r>
              <w:t>遇到明火可能引起火灾，燃烧产物主要为CO</w:t>
            </w:r>
            <w:r>
              <w:rPr>
                <w:vertAlign w:val="subscript"/>
              </w:rPr>
              <w:t>2</w:t>
            </w:r>
            <w:r>
              <w:t>和</w:t>
            </w:r>
            <w:r>
              <w:rPr>
                <w:rFonts w:hint="eastAsia"/>
                <w:lang w:eastAsia="zh-CN"/>
              </w:rPr>
              <w:t>水蒸气</w:t>
            </w:r>
            <w:r>
              <w:t>，但不完全燃烧的产物中会含有一氧化碳等气体，同时伴随浓烟，挥发至空气中，会造成大气污染，会对人的健康造成危害；局部的燃烧还会进一步引发爆炸，进而扩大事故的危害。由于CO有毒性，当达到一定的浓度时，会影响人的造血功能及神经系统功能。所以发生火灾时，要注意防范对人群的危害。</w:t>
            </w:r>
          </w:p>
          <w:p>
            <w:pPr>
              <w:ind w:firstLine="480"/>
            </w:pPr>
            <w:r>
              <w:rPr>
                <w:rFonts w:hint="eastAsia" w:ascii="宋体" w:hAnsi="宋体" w:cs="宋体"/>
                <w:snapToGrid w:val="0"/>
                <w:color w:val="000000"/>
                <w:kern w:val="0"/>
                <w:lang w:bidi="ar"/>
              </w:rPr>
              <w:t>（</w:t>
            </w:r>
            <w:r>
              <w:rPr>
                <w:rFonts w:hint="eastAsia"/>
                <w:lang w:val="en-US" w:eastAsia="zh-CN"/>
              </w:rPr>
              <w:t>2</w:t>
            </w:r>
            <w:r>
              <w:rPr>
                <w:rFonts w:hint="eastAsia"/>
              </w:rPr>
              <w:t>）火灾、爆炸衍生的环境风险分析</w:t>
            </w:r>
          </w:p>
          <w:p>
            <w:pPr>
              <w:ind w:firstLine="480"/>
            </w:pPr>
            <w:r>
              <w:rPr>
                <w:rFonts w:hint="eastAsia"/>
              </w:rPr>
              <w:t>天然气泄漏、</w:t>
            </w:r>
            <w:r>
              <w:rPr>
                <w:rFonts w:hint="eastAsia"/>
                <w:lang w:val="en-US" w:eastAsia="zh-CN"/>
              </w:rPr>
              <w:t>废润滑油废润滑油</w:t>
            </w:r>
            <w:r>
              <w:rPr>
                <w:rFonts w:hint="eastAsia"/>
              </w:rPr>
              <w:t>在遇热、火花、明火的情况下，有引起燃烧爆炸的危险。一旦发生火灾、爆炸事故，会产生的大量辐射热、浓烟、有毒气体和弥散的固体颗粒，将可能对周围环境造成影响，甚至威胁人身安全。</w:t>
            </w:r>
          </w:p>
          <w:p>
            <w:pPr>
              <w:ind w:firstLine="480"/>
              <w:rPr>
                <w:rFonts w:hint="eastAsia" w:ascii="宋体" w:hAnsi="宋体" w:cs="宋体"/>
                <w:bCs/>
              </w:rPr>
            </w:pPr>
            <w:r>
              <w:rPr>
                <w:rFonts w:hint="eastAsia" w:ascii="宋体" w:hAnsi="宋体" w:cs="宋体"/>
                <w:bCs/>
                <w:lang w:eastAsia="zh-CN"/>
              </w:rPr>
              <w:t>（</w:t>
            </w:r>
            <w:r>
              <w:rPr>
                <w:rFonts w:hint="eastAsia" w:ascii="宋体" w:hAnsi="宋体" w:cs="宋体"/>
                <w:bCs/>
                <w:lang w:val="en-US" w:eastAsia="zh-CN"/>
              </w:rPr>
              <w:t>3）</w:t>
            </w:r>
            <w:r>
              <w:rPr>
                <w:rFonts w:hint="eastAsia" w:ascii="宋体" w:hAnsi="宋体" w:cs="宋体"/>
                <w:bCs/>
              </w:rPr>
              <w:t>土壤、地下水环境影响分析：</w:t>
            </w:r>
          </w:p>
          <w:p>
            <w:pPr>
              <w:ind w:firstLine="480"/>
            </w:pPr>
            <w:r>
              <w:rPr>
                <w:rFonts w:hint="eastAsia"/>
              </w:rPr>
              <w:t>泄漏油品流入土壤孔隙，可降低土壤的通透性，抑制土壤中酶活性，使土壤生物减少。油品洒落地区形成土壤的局部污染，一般而言，油品集中于土壤表层0~20cm范围内，这便使得根系分布于此深度的植物不能生长。</w:t>
            </w:r>
          </w:p>
          <w:p>
            <w:pPr>
              <w:ind w:firstLine="480"/>
            </w:pPr>
            <w:r>
              <w:rPr>
                <w:rFonts w:hint="eastAsia"/>
              </w:rPr>
              <w:t>由于</w:t>
            </w:r>
            <w:r>
              <w:rPr>
                <w:rFonts w:hint="eastAsia"/>
                <w:lang w:val="en-US" w:eastAsia="zh-CN"/>
              </w:rPr>
              <w:t>废润滑油</w:t>
            </w:r>
            <w:r>
              <w:rPr>
                <w:rFonts w:hint="eastAsia"/>
              </w:rPr>
              <w:t>泄漏，油品将通过包气带下渗进入潜水含水层，可能会使地下水受到污染。在大量油品</w:t>
            </w:r>
            <w:r>
              <w:rPr>
                <w:rFonts w:hint="eastAsia"/>
                <w:lang w:val="en-US" w:eastAsia="zh-CN"/>
              </w:rPr>
              <w:t>和有毒物质</w:t>
            </w:r>
            <w:r>
              <w:rPr>
                <w:rFonts w:hint="eastAsia"/>
              </w:rPr>
              <w:t>泄漏、短时间内未加回收的情况下，含油污水</w:t>
            </w:r>
            <w:r>
              <w:rPr>
                <w:rFonts w:hint="eastAsia"/>
                <w:lang w:val="en-US" w:eastAsia="zh-CN"/>
              </w:rPr>
              <w:t>和有毒物质</w:t>
            </w:r>
            <w:r>
              <w:rPr>
                <w:rFonts w:hint="eastAsia"/>
              </w:rPr>
              <w:t>方可通过在土壤中的渗透，污染地下水。因此需要加强生产管理和监督，采取有效的防范措施，防止和减轻泄漏造成的污染。</w:t>
            </w:r>
          </w:p>
          <w:p>
            <w:pPr>
              <w:ind w:firstLine="480"/>
            </w:pPr>
            <w:r>
              <w:rPr>
                <w:rFonts w:hint="eastAsia"/>
              </w:rPr>
              <w:t>油品</w:t>
            </w:r>
            <w:r>
              <w:rPr>
                <w:rFonts w:hint="eastAsia"/>
                <w:lang w:val="en-US" w:eastAsia="zh-CN"/>
              </w:rPr>
              <w:t>和有毒物质</w:t>
            </w:r>
            <w:r>
              <w:rPr>
                <w:rFonts w:hint="eastAsia"/>
                <w:lang w:eastAsia="zh-CN"/>
              </w:rPr>
              <w:t>泄漏</w:t>
            </w:r>
            <w:r>
              <w:rPr>
                <w:rFonts w:hint="eastAsia"/>
              </w:rPr>
              <w:t>会造成有毒有害物质渗透至附近土壤和地下水，从而对土壤、地下水环境产生影响，因此本项目</w:t>
            </w:r>
            <w:r>
              <w:t>危险废物</w:t>
            </w:r>
            <w:r>
              <w:rPr>
                <w:rFonts w:hint="eastAsia"/>
                <w:lang w:val="en-US" w:eastAsia="zh-CN"/>
              </w:rPr>
              <w:t>贮存库</w:t>
            </w:r>
            <w:r>
              <w:rPr>
                <w:rFonts w:hint="eastAsia"/>
              </w:rPr>
              <w:t>要严格按照《危险废物收集贮存运输技术规范》（HJ2025-2012）中的要求进行建设。本项目产生危险废物量较少，</w:t>
            </w:r>
            <w:r>
              <w:t>危险废物</w:t>
            </w:r>
            <w:r>
              <w:rPr>
                <w:rFonts w:hint="eastAsia"/>
                <w:lang w:val="en-US" w:eastAsia="zh-CN"/>
              </w:rPr>
              <w:t>贮存库、化粪池和油罐区进行重点防渗</w:t>
            </w:r>
            <w:r>
              <w:rPr>
                <w:rFonts w:hint="eastAsia"/>
              </w:rPr>
              <w:t>，发生</w:t>
            </w:r>
            <w:r>
              <w:rPr>
                <w:rFonts w:hint="eastAsia"/>
                <w:lang w:eastAsia="zh-CN"/>
              </w:rPr>
              <w:t>泄漏</w:t>
            </w:r>
            <w:r>
              <w:rPr>
                <w:rFonts w:hint="eastAsia"/>
              </w:rPr>
              <w:t>可能性较小，因此对周边土壤、地下水环境影响较小。</w:t>
            </w:r>
          </w:p>
          <w:p>
            <w:pPr>
              <w:ind w:firstLine="480"/>
            </w:pPr>
            <w:r>
              <w:rPr>
                <w:rFonts w:hint="eastAsia"/>
              </w:rPr>
              <w:t>火灾爆炸对环境危害性分析</w:t>
            </w:r>
          </w:p>
          <w:p>
            <w:pPr>
              <w:ind w:firstLine="480"/>
            </w:pPr>
            <w:r>
              <w:rPr>
                <w:rFonts w:hint="eastAsia"/>
                <w:lang w:eastAsia="zh-CN"/>
              </w:rPr>
              <w:t>（</w:t>
            </w:r>
            <w:r>
              <w:rPr>
                <w:rFonts w:hint="eastAsia"/>
                <w:lang w:val="en-US" w:eastAsia="zh-CN"/>
              </w:rPr>
              <w:t>4）废润滑油</w:t>
            </w:r>
            <w:r>
              <w:rPr>
                <w:rFonts w:hint="eastAsia"/>
              </w:rPr>
              <w:t>桶若要发生火灾及爆炸，必须具备下列条件：</w:t>
            </w:r>
          </w:p>
          <w:p>
            <w:pPr>
              <w:ind w:firstLine="480"/>
            </w:pPr>
            <w:r>
              <w:rPr>
                <w:rFonts w:hint="eastAsia"/>
              </w:rPr>
              <w:t>a、油类泄漏或油气蒸发；</w:t>
            </w:r>
          </w:p>
          <w:p>
            <w:pPr>
              <w:ind w:firstLine="480"/>
            </w:pPr>
            <w:r>
              <w:rPr>
                <w:rFonts w:hint="eastAsia"/>
              </w:rPr>
              <w:t>b、有足够的空气助燃；</w:t>
            </w:r>
          </w:p>
          <w:p>
            <w:pPr>
              <w:ind w:firstLine="480"/>
            </w:pPr>
            <w:r>
              <w:rPr>
                <w:rFonts w:hint="eastAsia"/>
              </w:rPr>
              <w:t>c、油气必须与空气混合，并达到一定的浓度；</w:t>
            </w:r>
          </w:p>
          <w:p>
            <w:pPr>
              <w:ind w:firstLine="480"/>
            </w:pPr>
            <w:r>
              <w:rPr>
                <w:rFonts w:hint="eastAsia"/>
              </w:rPr>
              <w:t>d、现场有明火。</w:t>
            </w:r>
          </w:p>
          <w:p>
            <w:pPr>
              <w:ind w:firstLine="480"/>
            </w:pPr>
            <w:r>
              <w:rPr>
                <w:rFonts w:hint="eastAsia"/>
              </w:rPr>
              <w:t>只有以上四个条件同时具备时，才可能发生火灾和爆炸。油桶的燃烧或爆炸造成的后果往往是灾难性的，不但会造成人员伤亡和财产损失，并且还会造成生态环境的破坏。</w:t>
            </w:r>
          </w:p>
          <w:p>
            <w:pPr>
              <w:ind w:firstLine="482"/>
              <w:rPr>
                <w:b/>
              </w:rPr>
            </w:pPr>
            <w:r>
              <w:rPr>
                <w:rFonts w:hint="eastAsia"/>
                <w:b/>
              </w:rPr>
              <w:t>4</w:t>
            </w:r>
            <w:r>
              <w:rPr>
                <w:b/>
              </w:rPr>
              <w:t>.5.4</w:t>
            </w:r>
            <w:r>
              <w:rPr>
                <w:rFonts w:hint="eastAsia"/>
                <w:b/>
              </w:rPr>
              <w:t>环境风险防范措施</w:t>
            </w:r>
          </w:p>
          <w:p>
            <w:pPr>
              <w:ind w:firstLine="480"/>
            </w:pPr>
            <w:r>
              <w:rPr>
                <w:rFonts w:hint="eastAsia"/>
              </w:rPr>
              <w:t>（1）防火灾措施</w:t>
            </w:r>
          </w:p>
          <w:p>
            <w:pPr>
              <w:ind w:firstLine="480"/>
            </w:pPr>
            <w:r>
              <w:rPr>
                <w:rFonts w:hint="eastAsia"/>
              </w:rPr>
              <w:t>1）健全安全生产和管理检查制度，配备专职人员定期检查，确保易燃物质储存和使用的安全性，避免因管理和使用不当导致的火灾事故发生。</w:t>
            </w:r>
          </w:p>
          <w:p>
            <w:pPr>
              <w:ind w:firstLine="480"/>
            </w:pPr>
            <w:r>
              <w:rPr>
                <w:rFonts w:hint="eastAsia"/>
              </w:rPr>
              <w:t>2）设立专门的安全和环境管理机构，制定日常管理措施和应急预案。</w:t>
            </w:r>
          </w:p>
          <w:p>
            <w:pPr>
              <w:ind w:firstLine="480"/>
            </w:pPr>
            <w:r>
              <w:rPr>
                <w:rFonts w:hint="eastAsia"/>
              </w:rPr>
              <w:t>3）对工作人员进行火灾事态时的报警和消防培训，平时加强消防知识的宣传和教育。</w:t>
            </w:r>
          </w:p>
          <w:p>
            <w:pPr>
              <w:ind w:firstLine="480"/>
            </w:pPr>
            <w:r>
              <w:rPr>
                <w:rFonts w:hint="eastAsia"/>
              </w:rPr>
              <w:t>4）应定期进行电路、电气检查，消除火灾隐患。</w:t>
            </w:r>
          </w:p>
          <w:p>
            <w:pPr>
              <w:ind w:firstLine="480"/>
            </w:pPr>
            <w:r>
              <w:rPr>
                <w:rFonts w:hint="eastAsia"/>
              </w:rPr>
              <w:t>5）生产厂房应配置足够量的泡沫、干粉灭火器等消防器材。灭火器应本着分散与集中相结合的原则进行布点。管理人员应懂得防火常识、灭火知识，并能够熟练掌握灭火器。灭火器要经常检查。</w:t>
            </w:r>
          </w:p>
          <w:p>
            <w:pPr>
              <w:ind w:firstLine="480"/>
            </w:pPr>
            <w:r>
              <w:rPr>
                <w:rFonts w:hint="eastAsia"/>
              </w:rPr>
              <w:t>6）天然气泄漏，应迅速撤离泄漏污染区人员至上风处，并进行隔离，严格限制出入。切断火源。建议应急处理人员戴自给正压式呼吸器，穿消防防护服。尽可能切断泄漏源。合理通风，加速扩散。喷雾状水稀释、溶解。构筑围堤或挖坑收容产生的大量废水。如有可能，将漏出气用排风机送至空旷地方或装设适当喷头烧掉。</w:t>
            </w:r>
          </w:p>
          <w:p>
            <w:pPr>
              <w:ind w:firstLine="480"/>
            </w:pPr>
            <w:r>
              <w:rPr>
                <w:rFonts w:hint="eastAsia"/>
              </w:rPr>
              <w:t>7）天然气管道上应设置紧急切断阀、止回阀、安全阀、人工放散阀等，并设有泄漏报警系统和监控系统。</w:t>
            </w:r>
          </w:p>
          <w:p>
            <w:pPr>
              <w:ind w:firstLine="480"/>
            </w:pPr>
            <w:r>
              <w:rPr>
                <w:rFonts w:hint="eastAsia"/>
              </w:rPr>
              <w:t>8）热转换间等可能发生火灾区域按照安全相关要求，配备足量的灭火器。</w:t>
            </w:r>
          </w:p>
          <w:p>
            <w:pPr>
              <w:ind w:firstLine="480"/>
            </w:pPr>
            <w:r>
              <w:rPr>
                <w:rFonts w:hint="eastAsia"/>
              </w:rPr>
              <w:t>（2）防泄漏措施</w:t>
            </w:r>
          </w:p>
          <w:p>
            <w:pPr>
              <w:ind w:firstLine="480"/>
            </w:pPr>
            <w:r>
              <w:rPr>
                <w:rFonts w:hint="eastAsia"/>
              </w:rPr>
              <w:t>1）</w:t>
            </w:r>
            <w:r>
              <w:t>危险废物</w:t>
            </w:r>
            <w:r>
              <w:rPr>
                <w:rFonts w:hint="eastAsia"/>
                <w:lang w:val="en-US" w:eastAsia="zh-CN"/>
              </w:rPr>
              <w:t>贮存库、化粪池和油罐区</w:t>
            </w:r>
            <w:r>
              <w:rPr>
                <w:rFonts w:hint="eastAsia"/>
              </w:rPr>
              <w:t>应严格落实本次评价提出的防渗措施，加强重点防渗措施。</w:t>
            </w:r>
          </w:p>
          <w:p>
            <w:pPr>
              <w:ind w:firstLine="480"/>
            </w:pPr>
            <w:r>
              <w:rPr>
                <w:rFonts w:hint="eastAsia"/>
              </w:rPr>
              <w:t>2）</w:t>
            </w:r>
            <w:r>
              <w:t>危险废物</w:t>
            </w:r>
            <w:r>
              <w:rPr>
                <w:rFonts w:hint="eastAsia"/>
                <w:lang w:val="en-US" w:eastAsia="zh-CN"/>
              </w:rPr>
              <w:t>贮存库</w:t>
            </w:r>
            <w:r>
              <w:rPr>
                <w:rFonts w:hint="eastAsia"/>
              </w:rPr>
              <w:t>内</w:t>
            </w:r>
            <w:r>
              <w:rPr>
                <w:rFonts w:hint="eastAsia"/>
                <w:lang w:eastAsia="zh-CN"/>
              </w:rPr>
              <w:t>，</w:t>
            </w:r>
            <w:r>
              <w:rPr>
                <w:rFonts w:hint="eastAsia"/>
                <w:lang w:val="en-US" w:eastAsia="zh-CN"/>
              </w:rPr>
              <w:t>废润滑油</w:t>
            </w:r>
            <w:r>
              <w:rPr>
                <w:rFonts w:hint="eastAsia"/>
              </w:rPr>
              <w:t>存储容器密封性应良好，放置时须防破碎，在不影响生产的情况下，尽可能减少储存量；润滑油入库后应采取适当的养护措施，在储存期内应定期检查，发现其品质变化、包装破碎、泄漏等情况，应及时清理处置。</w:t>
            </w:r>
          </w:p>
          <w:p>
            <w:pPr>
              <w:ind w:firstLine="480"/>
            </w:pPr>
            <w:r>
              <w:rPr>
                <w:rFonts w:hint="eastAsia"/>
              </w:rPr>
              <w:t>3）搬运、装卸危险废物时应按照有关规定进行，做到轻装、轻卸。严禁摔、碰、撞、击、拖拉、倾斜和滚动。</w:t>
            </w:r>
          </w:p>
          <w:p>
            <w:pPr>
              <w:ind w:firstLine="480"/>
            </w:pPr>
            <w:r>
              <w:rPr>
                <w:rFonts w:hint="eastAsia"/>
              </w:rPr>
              <w:t>4）</w:t>
            </w:r>
            <w:r>
              <w:t>危险废物</w:t>
            </w:r>
            <w:r>
              <w:rPr>
                <w:rFonts w:hint="eastAsia"/>
                <w:lang w:val="en-US" w:eastAsia="zh-CN"/>
              </w:rPr>
              <w:t>贮存库</w:t>
            </w:r>
            <w:r>
              <w:rPr>
                <w:rFonts w:hint="eastAsia"/>
              </w:rPr>
              <w:t>应严格按照</w:t>
            </w:r>
            <w:r>
              <w:t>《危险废物贮存污染控制标准》（GB18597-20</w:t>
            </w:r>
            <w:r>
              <w:rPr>
                <w:rFonts w:hint="eastAsia"/>
              </w:rPr>
              <w:t>23</w:t>
            </w:r>
            <w:r>
              <w:t>）中要求</w:t>
            </w:r>
            <w:r>
              <w:rPr>
                <w:rFonts w:hint="eastAsia"/>
              </w:rPr>
              <w:t>建设</w:t>
            </w:r>
            <w:r>
              <w:t>进行重点防渗</w:t>
            </w:r>
            <w:r>
              <w:rPr>
                <w:rFonts w:hint="eastAsia"/>
              </w:rPr>
              <w:t>。</w:t>
            </w:r>
          </w:p>
          <w:p>
            <w:pPr>
              <w:ind w:firstLine="480"/>
            </w:pPr>
            <w:r>
              <w:rPr>
                <w:rFonts w:hint="eastAsia"/>
              </w:rPr>
              <w:t>5）</w:t>
            </w:r>
            <w:r>
              <w:rPr>
                <w:rFonts w:hint="eastAsia"/>
                <w:lang w:val="en-US" w:eastAsia="zh-CN"/>
              </w:rPr>
              <w:t>危险废物</w:t>
            </w:r>
            <w:r>
              <w:rPr>
                <w:rFonts w:hint="eastAsia"/>
              </w:rPr>
              <w:t>由专人严格管理，取用时防止倾倒、遗撒，不过量储存。</w:t>
            </w:r>
          </w:p>
          <w:p>
            <w:pPr>
              <w:ind w:firstLine="480"/>
            </w:pPr>
            <w:r>
              <w:rPr>
                <w:rFonts w:hint="eastAsia"/>
              </w:rPr>
              <w:t>（3）防大气污染物事故排放措施</w:t>
            </w:r>
          </w:p>
          <w:p>
            <w:pPr>
              <w:ind w:firstLine="480"/>
            </w:pPr>
            <w:r>
              <w:rPr>
                <w:rFonts w:hint="eastAsia"/>
              </w:rPr>
              <w:t>1）加强环保设施的维护，保证环保设施的正常运行，确保大气污染物达标排放。</w:t>
            </w:r>
          </w:p>
          <w:p>
            <w:pPr>
              <w:ind w:firstLine="480"/>
            </w:pPr>
            <w:r>
              <w:rPr>
                <w:rFonts w:hint="eastAsia"/>
              </w:rPr>
              <w:t>2）当环保设施出现故障时，应立即停止生产，并对环保设施进行检查和维修，避免发生大气污染物事故排放。</w:t>
            </w:r>
          </w:p>
          <w:p>
            <w:pPr>
              <w:ind w:firstLine="480"/>
            </w:pPr>
            <w:r>
              <w:rPr>
                <w:rFonts w:hint="eastAsia"/>
              </w:rPr>
              <w:t>（4）</w:t>
            </w:r>
            <w:r>
              <w:t>危险废物</w:t>
            </w:r>
            <w:r>
              <w:rPr>
                <w:rFonts w:hint="eastAsia"/>
                <w:lang w:val="en-US" w:eastAsia="zh-CN"/>
              </w:rPr>
              <w:t>贮存库</w:t>
            </w:r>
            <w:r>
              <w:rPr>
                <w:rFonts w:hint="eastAsia"/>
              </w:rPr>
              <w:t>建设管理要求</w:t>
            </w:r>
          </w:p>
          <w:p>
            <w:pPr>
              <w:ind w:firstLine="480"/>
            </w:pPr>
            <w:r>
              <w:t>危险废物</w:t>
            </w:r>
            <w:r>
              <w:rPr>
                <w:rFonts w:hint="eastAsia"/>
                <w:lang w:val="en-US" w:eastAsia="zh-CN"/>
              </w:rPr>
              <w:t>贮存库</w:t>
            </w:r>
            <w:r>
              <w:rPr>
                <w:rFonts w:hint="eastAsia"/>
              </w:rPr>
              <w:t>严格按照《危险废物贮存污染控制标准》（GB18</w:t>
            </w:r>
            <w:r>
              <w:rPr>
                <w:rFonts w:hint="eastAsia"/>
                <w:lang w:val="en-US" w:eastAsia="zh-CN"/>
              </w:rPr>
              <w:t>597</w:t>
            </w:r>
            <w:r>
              <w:rPr>
                <w:rFonts w:hint="eastAsia"/>
              </w:rPr>
              <w:t>-2023）中有关规定进行设计，危险废物分区贮存，交由有资质单位拉运处理，危险废物贮存期限低于1年，危险废物运输过程应防止</w:t>
            </w:r>
            <w:r>
              <w:rPr>
                <w:rFonts w:hint="eastAsia"/>
                <w:lang w:eastAsia="zh-CN"/>
              </w:rPr>
              <w:t>泄漏</w:t>
            </w:r>
            <w:r>
              <w:rPr>
                <w:rFonts w:hint="eastAsia"/>
              </w:rPr>
              <w:t>，危险废物管理人员为运输过程责任主体。</w:t>
            </w:r>
          </w:p>
          <w:p>
            <w:pPr>
              <w:ind w:firstLine="480"/>
            </w:pPr>
            <w:r>
              <w:rPr>
                <w:rFonts w:hint="eastAsia"/>
              </w:rPr>
              <w:t>危险废物贮存容器应满足：</w:t>
            </w:r>
          </w:p>
          <w:p>
            <w:pPr>
              <w:ind w:firstLine="480"/>
            </w:pPr>
            <w:r>
              <w:rPr>
                <w:rFonts w:hint="eastAsia"/>
              </w:rPr>
              <w:t>①使用符合标准的容器盛装危险废物；应定期对暂时贮存危险废物包装及设施进行检查，发现破损，及时采取措施清理更换；</w:t>
            </w:r>
          </w:p>
          <w:p>
            <w:pPr>
              <w:ind w:firstLine="480"/>
            </w:pPr>
            <w:r>
              <w:rPr>
                <w:rFonts w:hint="eastAsia"/>
              </w:rPr>
              <w:t>②装载危险废物的容器及材质要满足相应的强度要求；</w:t>
            </w:r>
          </w:p>
          <w:p>
            <w:pPr>
              <w:ind w:firstLine="480"/>
            </w:pPr>
            <w:r>
              <w:rPr>
                <w:rFonts w:hint="eastAsia"/>
              </w:rPr>
              <w:t>③装载危险废物的容器必须完好无损；</w:t>
            </w:r>
          </w:p>
          <w:p>
            <w:pPr>
              <w:ind w:firstLine="480"/>
            </w:pPr>
            <w:r>
              <w:rPr>
                <w:rFonts w:hint="eastAsia"/>
              </w:rPr>
              <w:t>④盛装危险废物的容器材质和衬里要与危险废物相容，不相互反应。危险废物堆放场所选址、平面布置、设计原则及危险废物的堆放要求等，必须满足《危险废物贮存污染控制标准》</w:t>
            </w:r>
            <w:r>
              <w:rPr>
                <w:rFonts w:hint="eastAsia"/>
                <w:lang w:eastAsia="zh-CN"/>
              </w:rPr>
              <w:t>（</w:t>
            </w:r>
            <w:r>
              <w:rPr>
                <w:rFonts w:hint="eastAsia"/>
              </w:rPr>
              <w:t>GB18597-2023）相关要求。危险废物贮存间必须按照《危险废物识别标志设置技术规范》（HJ1276-2022）的规定设置警示标志，周围应配备通讯设备、照明设施、安全防护服装及工具。</w:t>
            </w:r>
          </w:p>
          <w:p>
            <w:pPr>
              <w:ind w:firstLine="482"/>
              <w:rPr>
                <w:b/>
                <w:bCs/>
              </w:rPr>
            </w:pPr>
            <w:r>
              <w:rPr>
                <w:rFonts w:hint="eastAsia"/>
                <w:b/>
                <w:bCs/>
              </w:rPr>
              <w:t>根据《危险废物识别标志设置技术规范》（HJ1276-2022），规范设置标识标牌。</w:t>
            </w:r>
          </w:p>
          <w:p>
            <w:pPr>
              <w:ind w:firstLine="480"/>
            </w:pPr>
            <w:r>
              <w:rPr>
                <w:rFonts w:hint="eastAsia"/>
              </w:rPr>
              <w:t>①总体要求：危险废物识别标志的设置应具有足够的警示性，以提醒相关人员在从事收集、贮存、利用、处置危险废物经营活动时注意防范危险废物的环境风险；危险废物识别标志应设置在醒目的位置，避免被其他固定物体遮挡，并与周边的环境特点相协调；危险废物识别标志与其他标志宜保持视觉上的分离。危险废物识别标志与其他标志相近设置时，宜确保危险废物识别标志在视觉上的识别和信息的读取不受其他标志的影响；同一场所内，同一种类危险废物识别标志的尺寸、设置位置、设置方式和设置高度等宜保持一致；危险废物识别标志的设置除应满足本标准的要求外，还应执行国家安全生产、消防等有关法律、法规和标准的要求。</w:t>
            </w:r>
          </w:p>
          <w:p>
            <w:pPr>
              <w:ind w:firstLine="480"/>
            </w:pPr>
            <w:r>
              <w:rPr>
                <w:rFonts w:hint="eastAsia"/>
              </w:rPr>
              <w:t>②危险废物标签应以醒目的字样标注</w:t>
            </w:r>
            <w:r>
              <w:rPr>
                <w:rFonts w:hint="eastAsia"/>
                <w:lang w:eastAsia="zh-CN"/>
              </w:rPr>
              <w:t>“</w:t>
            </w:r>
            <w:r>
              <w:rPr>
                <w:rFonts w:hint="eastAsia"/>
              </w:rPr>
              <w:t>危险废物</w:t>
            </w:r>
            <w:r>
              <w:rPr>
                <w:rFonts w:hint="eastAsia"/>
                <w:lang w:eastAsia="zh-CN"/>
              </w:rPr>
              <w:t>”</w:t>
            </w:r>
            <w:r>
              <w:rPr>
                <w:rFonts w:hint="eastAsia"/>
              </w:rPr>
              <w:t>，危险废物标签应包含废物名称、废物类别、废物代码、废物形态、危险特性、主要成分、有害成分、注意事项、产生</w:t>
            </w:r>
            <w:r>
              <w:t>/</w:t>
            </w:r>
            <w:r>
              <w:rPr>
                <w:rFonts w:hint="eastAsia"/>
              </w:rPr>
              <w:t>收集单位名称、联系人、联系方式、产生日期、废物重量和备注。危险废物标签宜设置危险废物数字识别码和二维码。</w:t>
            </w:r>
          </w:p>
          <w:p>
            <w:pPr>
              <w:ind w:firstLine="480"/>
            </w:pPr>
            <w:r>
              <w:rPr>
                <w:rFonts w:hint="eastAsia"/>
              </w:rPr>
              <w:t>③危险废物标签中的二维码部分，可与标签一同制作，也可以单独制作后固定于危险废物标签相应位置。危险废物标签的设置位置应明显可见且易读，不应被容器、包装物自身的任何部分或其他标签遮挡。危险废物标签在各种包装上的粘贴位置分别为</w:t>
            </w:r>
            <w:r>
              <w:t>:</w:t>
            </w:r>
          </w:p>
          <w:p>
            <w:pPr>
              <w:ind w:firstLine="480"/>
            </w:pPr>
            <w:r>
              <w:t>a</w:t>
            </w:r>
            <w:r>
              <w:rPr>
                <w:rFonts w:hint="eastAsia"/>
              </w:rPr>
              <w:t>）箱类包装：位于包装端面或侧面；</w:t>
            </w:r>
          </w:p>
          <w:p>
            <w:pPr>
              <w:ind w:firstLine="480"/>
            </w:pPr>
            <w:r>
              <w:t>b</w:t>
            </w:r>
            <w:r>
              <w:rPr>
                <w:rFonts w:hint="eastAsia"/>
              </w:rPr>
              <w:t>）袋类包装：位于包装明显处；</w:t>
            </w:r>
          </w:p>
          <w:p>
            <w:pPr>
              <w:ind w:firstLine="480"/>
            </w:pPr>
            <w:r>
              <w:t>c</w:t>
            </w:r>
            <w:r>
              <w:rPr>
                <w:rFonts w:hint="eastAsia"/>
              </w:rPr>
              <w:t>）桶类包装：位于桶身或桶盖；</w:t>
            </w:r>
          </w:p>
          <w:p>
            <w:pPr>
              <w:ind w:firstLine="480"/>
            </w:pPr>
            <w:r>
              <w:t>d</w:t>
            </w:r>
            <w:r>
              <w:rPr>
                <w:rFonts w:hint="eastAsia"/>
              </w:rPr>
              <w:t>）其他包装：位于明显处。</w:t>
            </w:r>
          </w:p>
          <w:p>
            <w:pPr>
              <w:ind w:firstLine="480"/>
            </w:pPr>
            <w:r>
              <w:rPr>
                <w:rFonts w:hint="eastAsia"/>
              </w:rPr>
              <w:t>④对于盛装同一类危险废物的组合包装容器，应在组合包装容器的外表面设置危险废物标签。</w:t>
            </w:r>
          </w:p>
          <w:p>
            <w:pPr>
              <w:ind w:firstLine="480"/>
            </w:pPr>
            <w:r>
              <w:rPr>
                <w:rFonts w:hint="eastAsia"/>
              </w:rPr>
              <w:t>⑤容积超过</w:t>
            </w:r>
            <w:r>
              <w:t>450L</w:t>
            </w:r>
            <w:r>
              <w:rPr>
                <w:rFonts w:hint="eastAsia"/>
              </w:rPr>
              <w:t>的容器或包装物，应在相对的两面都设置危险废物标签。</w:t>
            </w:r>
          </w:p>
          <w:p>
            <w:pPr>
              <w:ind w:firstLine="480"/>
            </w:pPr>
            <w:r>
              <w:rPr>
                <w:rFonts w:hint="eastAsia"/>
              </w:rPr>
              <w:t>⑥危险废物标签的固定可采用印刷、粘贴、栓挂、钉附等方式，标签的固定应保证在贮存、转移期间不易脱落和损坏。当危险废物容器或包装物还需同时设置危险货物运输相关标志时，危险废物标签可与其分开设置在不同的面上，也可设在相邻的位置。在贮存池的或贮存设施内堆存的无包装或无容器的危险废物，宜在其附近参照危险废物标签的格式和内容设置柱式标志牌</w:t>
            </w:r>
          </w:p>
          <w:p>
            <w:pPr>
              <w:ind w:firstLine="480"/>
            </w:pPr>
            <w:r>
              <w:rPr>
                <w:rFonts w:hint="eastAsia"/>
              </w:rPr>
              <w:t>⑦危险废物标签尺寸宜根据容器或包装物的容积按照《危险废物识别标志设置技术规范》（HJ1276-2022）中的尺寸要求设置，危险废物标签所选用的材质宜具有一定的耐用性和防水性。标签可采用不干胶印刷品，或印刷品外加防水塑料袋或塑封等。危险废物标签样式按照《危险废物识别标志设置技术规范》（HJ1276-2022）中9危险废物识别标志的制作要求设置。</w:t>
            </w:r>
          </w:p>
          <w:p>
            <w:pPr>
              <w:ind w:firstLine="482"/>
              <w:rPr>
                <w:b/>
                <w:bCs/>
              </w:rPr>
            </w:pPr>
            <w:r>
              <w:rPr>
                <w:rFonts w:hint="eastAsia"/>
                <w:b/>
                <w:bCs/>
              </w:rPr>
              <w:t>对于危险废物的运输和转移，应根据《危险废物转移管理办法》（部令第23号）：</w:t>
            </w:r>
          </w:p>
          <w:p>
            <w:pPr>
              <w:ind w:firstLine="480"/>
            </w:pPr>
            <w:r>
              <w:rPr>
                <w:rFonts w:hint="eastAsia"/>
              </w:rPr>
              <w:t>①危险废物运输和转移前，应当通过国家危险废物信息管理系统（以下简称信息系统）填写、运行危险废物电子转移联单，并依照国家有关规定公开危险废物转移相关污染环境防治信息。</w:t>
            </w:r>
          </w:p>
          <w:p>
            <w:pPr>
              <w:ind w:firstLine="480"/>
            </w:pPr>
            <w:r>
              <w:rPr>
                <w:rFonts w:hint="eastAsia"/>
              </w:rPr>
              <w:t>②危险废物移出人、危险废物承运人、危险废物接受人（以下分别简称移出人、承运人和接受人）在危险废物转移过程中应当采取防扬散、防流失、防渗漏或者其他防止污染环境的措施，不得擅自倾倒、堆放、丢弃、遗撒危险废物，并对所造成的环境污染及生态破坏依法承担责任。</w:t>
            </w:r>
          </w:p>
          <w:p>
            <w:pPr>
              <w:ind w:firstLine="480"/>
            </w:pPr>
            <w:r>
              <w:rPr>
                <w:rFonts w:hint="eastAsia"/>
              </w:rPr>
              <w:t>③移出人应当履行以下义务：</w:t>
            </w:r>
          </w:p>
          <w:p>
            <w:pPr>
              <w:ind w:firstLine="480"/>
            </w:pPr>
            <w:r>
              <w:rPr>
                <w:rFonts w:hint="eastAsia"/>
              </w:rPr>
              <w:t xml:space="preserve">（一）对承运人或者接受人的主体资格和技术能力进行核实，依法签订书面 </w:t>
            </w:r>
          </w:p>
          <w:p>
            <w:pPr>
              <w:ind w:firstLine="480"/>
            </w:pPr>
            <w:r>
              <w:rPr>
                <w:rFonts w:hint="eastAsia"/>
              </w:rPr>
              <w:t>合同，并在合同中约定运输、贮存、利用、处置危险废物的污染防治要求及相关责任；</w:t>
            </w:r>
          </w:p>
          <w:p>
            <w:pPr>
              <w:ind w:firstLine="480"/>
            </w:pPr>
            <w:r>
              <w:rPr>
                <w:rFonts w:hint="eastAsia"/>
              </w:rPr>
              <w:t>（二）制定危险废物管理计划，明确拟转移危险废物的种类、重量（数量）和流向等信息；</w:t>
            </w:r>
          </w:p>
          <w:p>
            <w:pPr>
              <w:ind w:firstLine="480"/>
            </w:pPr>
            <w:r>
              <w:rPr>
                <w:rFonts w:hint="eastAsia"/>
              </w:rPr>
              <w:t>（三）建立危险废物管理台账，对转移的危险废物进行计量称重，如实记录、妥善保管转移危险废物的种类、重量（数量）和接受人等相关信息；</w:t>
            </w:r>
          </w:p>
          <w:p>
            <w:pPr>
              <w:ind w:firstLine="480"/>
            </w:pPr>
            <w:r>
              <w:rPr>
                <w:rFonts w:hint="eastAsia"/>
              </w:rPr>
              <w:t>（四）填写、运行危险废物转移联单，在危险废物转移联单中如实填写移出人、承运人、接受人信息，转移危险废物的种类、重量（数量）、危险特性等信息，以及突发环境事件的防范措施等；</w:t>
            </w:r>
          </w:p>
          <w:p>
            <w:pPr>
              <w:ind w:firstLine="480"/>
            </w:pPr>
            <w:r>
              <w:rPr>
                <w:rFonts w:hint="eastAsia"/>
              </w:rPr>
              <w:t>（五）及时核实接受人贮存、利用或者处置相关危险废物情况；</w:t>
            </w:r>
          </w:p>
          <w:p>
            <w:pPr>
              <w:ind w:firstLine="480"/>
            </w:pPr>
            <w:r>
              <w:rPr>
                <w:rFonts w:hint="eastAsia"/>
              </w:rPr>
              <w:t>④危险废物转移联单应当根据危险废物管理计划中填报的危险废物转移等备案信息填写、运行。</w:t>
            </w:r>
          </w:p>
          <w:p>
            <w:pPr>
              <w:ind w:firstLine="480"/>
            </w:pPr>
            <w:r>
              <w:rPr>
                <w:rFonts w:hint="eastAsia"/>
              </w:rPr>
              <w:t>⑤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w:t>
            </w:r>
          </w:p>
          <w:p>
            <w:pPr>
              <w:ind w:firstLine="480"/>
            </w:pPr>
            <w:r>
              <w:rPr>
                <w:rFonts w:hint="eastAsia"/>
              </w:rPr>
              <w:t>⑥接受人应当对运抵的危险废物进行核实验收，并在接受之日起五个工作日内通过信息系统确认接受。运抵的危险废物的名称、数量、特性、形态、包装方式与危险废物转移联单填写内容不符的，接受人应当及时告知移出人，视情况决定是否接受，同时向接受地生态环境主管部门报告。</w:t>
            </w:r>
          </w:p>
          <w:p>
            <w:pPr>
              <w:ind w:firstLine="480"/>
            </w:pPr>
            <w:r>
              <w:rPr>
                <w:rFonts w:hint="eastAsia"/>
              </w:rPr>
              <w:t>⑦对不通过车（船或者其他运输工具），且无法按次对危险废物计量的其他方式转移危险废物的，移出人和接受人应当分别配备计量记录设备，将每天危险废物转移的种类、重量（数量）、形态和危险特性等信息纳入相关台账记录，并根据所在地设区的市级以上地方生态环境主管部门的要求填写、运行危险废物转移联单。</w:t>
            </w:r>
          </w:p>
          <w:p>
            <w:pPr>
              <w:ind w:firstLine="480"/>
            </w:pPr>
            <w:r>
              <w:rPr>
                <w:rFonts w:hint="eastAsia"/>
              </w:rPr>
              <w:t>⑧危险废物电子转移联单数据应当在信息系统中至少保存十年。因特殊原因无法运行危险废物电子转移联单的，可以先使用纸质转移联单，并于转移活动完成后十个工作日内在信息系统中补录电子转移联单。</w:t>
            </w:r>
          </w:p>
          <w:p>
            <w:pPr>
              <w:ind w:firstLine="480"/>
            </w:pPr>
            <w:r>
              <w:rPr>
                <w:rFonts w:hint="eastAsia"/>
              </w:rPr>
              <w:t>企业要结合自身的实际情况，与生产记录相衔接，根据《危险废物管理计划和管理台账制定技术导则》（HJ1259-2022）建立危险废物台账。</w:t>
            </w:r>
          </w:p>
          <w:p>
            <w:pPr>
              <w:ind w:firstLine="480"/>
            </w:pPr>
            <w:r>
              <w:rPr>
                <w:rFonts w:hint="eastAsia"/>
              </w:rPr>
              <w:t>①同一生产经营场所危险废物年产生量10t以下且未纳入危险废物环境重点监管单位的单位，属于危险废物登记管理。</w:t>
            </w:r>
          </w:p>
          <w:p>
            <w:pPr>
              <w:ind w:firstLine="480"/>
            </w:pPr>
            <w:r>
              <w:rPr>
                <w:rFonts w:hint="eastAsia"/>
              </w:rPr>
              <w:t>②危险废物登记管理单位的管理计划制定内容应包括单位基本信息、危险废物产生情况信息、危险废物转移情况信息。</w:t>
            </w:r>
          </w:p>
          <w:p>
            <w:pPr>
              <w:ind w:firstLine="480"/>
            </w:pPr>
            <w:r>
              <w:rPr>
                <w:rFonts w:hint="eastAsia"/>
              </w:rPr>
              <w:t>③产生危险废物的单位应当按年度制定危险废物管理计划。产生危险废物的单位应当于每年3月31日前通过国家危险废物信息管理系统在线填写并提交当年度的危险废物管理计划，由国家危险废物信息管理系统自动生成备案编号和回执，完成备案。危险废物管理计划备案内容需要调整的，产生危险废物的单位应当及时变更。</w:t>
            </w:r>
          </w:p>
          <w:p>
            <w:pPr>
              <w:ind w:firstLine="480"/>
            </w:pPr>
            <w:r>
              <w:rPr>
                <w:rFonts w:hint="eastAsia"/>
              </w:rPr>
              <w:t>④产生危险废物的单位应当按年度制定危险废物管理计划，参照《危险废物管理计划和管理台账制定技术导则》危险废物管理计划制定要求。</w:t>
            </w:r>
          </w:p>
          <w:p>
            <w:pPr>
              <w:ind w:firstLine="480"/>
            </w:pPr>
            <w:r>
              <w:rPr>
                <w:rFonts w:hint="eastAsia"/>
              </w:rPr>
              <w:t>⑤危险废物管理台账制定要求，参照《危险废物管理计划和管理台账制定技术导则》。产生危险废物的单位应建立危险废物管理台账，落实危险废物管理台账记录的责任人，明确工作职责，并对危险废物管理台账的真实性、准确性和完整性负法律责任。产生危险废物的单位应根据危险废物产生、贮存、利用、处置等环节的动态流向，如实建立各环节的危险废物管理台账。危险废物管理台账分为电子管理台账和纸质管理台账两种形式。产生危险废物的单位可通过国家危险废物信息管理系统、企业自建信息管理系统或第三方平台等方式记录电子管理台账。产生后盛放至容器和包装物的，应按每个容器和包装物进行记录；产生后采用管道等方式输送至贮存场所的，按日记录；其他特殊情形的，根据危险废物产生规律确定记录频次。</w:t>
            </w:r>
          </w:p>
          <w:p>
            <w:pPr>
              <w:ind w:firstLine="480"/>
            </w:pPr>
            <w:r>
              <w:rPr>
                <w:rFonts w:hint="eastAsia"/>
              </w:rPr>
              <w:t>⑥记录保存时间原则上应存档5年以上。</w:t>
            </w:r>
          </w:p>
          <w:p>
            <w:pPr>
              <w:ind w:firstLine="480"/>
            </w:pPr>
            <w:r>
              <w:rPr>
                <w:rFonts w:hint="eastAsia"/>
              </w:rPr>
              <w:t>⑦危险废物管理台账参考《危险废物管理计划和管理台账制定技术导则》附录B，表B.1危险废物产生环节记录表、表B.2危险废物入库环节记录表、表B.3危险废物出库环节记录表、表B.5危险废物委外利用/处置记录表。</w:t>
            </w:r>
          </w:p>
          <w:p>
            <w:pPr>
              <w:ind w:firstLine="482"/>
              <w:rPr>
                <w:b/>
              </w:rPr>
            </w:pPr>
            <w:r>
              <w:rPr>
                <w:b/>
              </w:rPr>
              <w:t>4.5.5</w:t>
            </w:r>
            <w:r>
              <w:rPr>
                <w:rFonts w:hint="eastAsia"/>
                <w:b/>
              </w:rPr>
              <w:t>环境应急预案</w:t>
            </w:r>
          </w:p>
          <w:p>
            <w:pPr>
              <w:ind w:firstLine="480"/>
            </w:pPr>
            <w:r>
              <w:rPr>
                <w:rFonts w:hint="eastAsia"/>
              </w:rPr>
              <w:t>根据国家环保部《关于印发企业事业单位突发环境事件应急预案备案管理办法（试行）的通知》（环发</w:t>
            </w:r>
            <w:r>
              <w:t xml:space="preserve">[2015]4 </w:t>
            </w:r>
            <w:r>
              <w:rPr>
                <w:rFonts w:hint="eastAsia"/>
              </w:rPr>
              <w:t>号），建设单位应编制完成本项目的突发环境应急预案，并在当地生态环境局完成备案，以便于实现一旦有环境污染事故发生，企业即可按照突发环境事件应急预案提出的程序和操作方法实施救援，最大限度减少人员伤亡和财产损失，维护社会稳定，保护生态环境。</w:t>
            </w:r>
          </w:p>
          <w:p>
            <w:pPr>
              <w:ind w:firstLine="482"/>
              <w:rPr>
                <w:b/>
              </w:rPr>
            </w:pPr>
            <w:r>
              <w:rPr>
                <w:b/>
              </w:rPr>
              <w:t>4.5.</w:t>
            </w:r>
            <w:r>
              <w:rPr>
                <w:rFonts w:hint="eastAsia"/>
                <w:b/>
              </w:rPr>
              <w:t>6环境风险分析结论及建议</w:t>
            </w:r>
          </w:p>
          <w:p>
            <w:pPr>
              <w:ind w:firstLine="480"/>
            </w:pPr>
            <w:r>
              <w:rPr>
                <w:rFonts w:hint="eastAsia" w:ascii="宋体" w:hAnsi="宋体" w:cs="宋体"/>
                <w:snapToGrid w:val="0"/>
                <w:color w:val="000000"/>
                <w:kern w:val="0"/>
                <w:lang w:bidi="ar"/>
              </w:rPr>
              <w:t>在项目建设过程中认真落实各种风险防范措施，通过相应的技术手段降低风险发生概率，并在风险事故发生后，及时采取各项应急措施，可以使风险事故对环境的危害得到有效控制，将事故风险控制在可以接受的范围内。因此，本工程环境风险防范措施有效。</w:t>
            </w:r>
          </w:p>
          <w:p>
            <w:pPr>
              <w:ind w:firstLine="482"/>
              <w:rPr>
                <w:b/>
                <w:szCs w:val="24"/>
              </w:rPr>
            </w:pPr>
            <w:r>
              <w:rPr>
                <w:b/>
                <w:szCs w:val="24"/>
              </w:rPr>
              <w:t>4.5.</w:t>
            </w:r>
            <w:r>
              <w:rPr>
                <w:rFonts w:hint="eastAsia"/>
                <w:b/>
                <w:szCs w:val="24"/>
              </w:rPr>
              <w:t>7</w:t>
            </w:r>
            <w:r>
              <w:rPr>
                <w:b/>
                <w:szCs w:val="24"/>
              </w:rPr>
              <w:t>环境风险分析结论及建议</w:t>
            </w:r>
          </w:p>
          <w:p>
            <w:pPr>
              <w:ind w:firstLine="480"/>
            </w:pPr>
            <w:r>
              <w:t>本项目具有一定的环境风险，但是发生风险事故的可能性较小，即使发生风险，也能控制在可接受的范围内，因此，本项目的环境风险影响较小。</w:t>
            </w:r>
          </w:p>
          <w:p>
            <w:pPr>
              <w:pStyle w:val="65"/>
            </w:pPr>
            <w:r>
              <w:t>表</w:t>
            </w:r>
            <w:r>
              <w:rPr>
                <w:rFonts w:hint="eastAsia"/>
              </w:rPr>
              <w:t>4.5-4</w:t>
            </w:r>
            <w:r>
              <w:t xml:space="preserve">  建设项目环境风险简单分析内容表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036"/>
              <w:gridCol w:w="2311"/>
              <w:gridCol w:w="958"/>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pPr>
                    <w:pStyle w:val="70"/>
                  </w:pPr>
                  <w:r>
                    <w:t>建设项目名称</w:t>
                  </w:r>
                </w:p>
              </w:tc>
              <w:tc>
                <w:tcPr>
                  <w:tcW w:w="4038" w:type="pct"/>
                  <w:gridSpan w:val="4"/>
                  <w:tcBorders>
                    <w:top w:val="single" w:color="auto" w:sz="4" w:space="0"/>
                    <w:left w:val="single" w:color="auto" w:sz="4" w:space="0"/>
                    <w:bottom w:val="single" w:color="auto" w:sz="4" w:space="0"/>
                    <w:right w:val="single" w:color="auto" w:sz="4" w:space="0"/>
                  </w:tcBorders>
                  <w:vAlign w:val="center"/>
                </w:tcPr>
                <w:p>
                  <w:pPr>
                    <w:pStyle w:val="70"/>
                  </w:pPr>
                  <w:r>
                    <w:t>新疆胜发牧业有限公司年产20万吨秸秆青（黄）储饲料和40万吨全价颗粒饲料项目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pPr>
                    <w:pStyle w:val="70"/>
                  </w:pPr>
                  <w:r>
                    <w:t>建设地点</w:t>
                  </w:r>
                </w:p>
              </w:tc>
              <w:tc>
                <w:tcPr>
                  <w:tcW w:w="4038" w:type="pct"/>
                  <w:gridSpan w:val="4"/>
                  <w:tcBorders>
                    <w:top w:val="single" w:color="auto" w:sz="4" w:space="0"/>
                    <w:left w:val="single" w:color="auto" w:sz="4" w:space="0"/>
                    <w:bottom w:val="single" w:color="auto" w:sz="4" w:space="0"/>
                    <w:right w:val="single" w:color="auto" w:sz="4" w:space="0"/>
                  </w:tcBorders>
                  <w:vAlign w:val="center"/>
                </w:tcPr>
                <w:p>
                  <w:pPr>
                    <w:pStyle w:val="70"/>
                  </w:pPr>
                  <w:r>
                    <w:rPr>
                      <w:rFonts w:hint="eastAsia"/>
                    </w:rPr>
                    <w:t>新疆</w:t>
                  </w:r>
                  <w:r>
                    <w:rPr>
                      <w:rFonts w:hint="eastAsia"/>
                      <w:lang w:val="en-US" w:eastAsia="zh-CN"/>
                    </w:rPr>
                    <w:t>维吾尔自治区</w:t>
                  </w:r>
                  <w:r>
                    <w:rPr>
                      <w:rFonts w:hint="eastAsia"/>
                    </w:rPr>
                    <w:t>巴音郭楞蒙古自治州和静工业园区</w:t>
                  </w:r>
                  <w:r>
                    <w:rPr>
                      <w:szCs w:val="24"/>
                    </w:rPr>
                    <w:t>额勒再特工业片区</w:t>
                  </w:r>
                  <w:r>
                    <w:rPr>
                      <w:rFonts w:hint="eastAsia"/>
                    </w:rPr>
                    <w:t>和静县大漠疆雪酒业有限公司西侧、经九路东侧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pPr>
                    <w:pStyle w:val="70"/>
                  </w:pPr>
                  <w:r>
                    <w:t>地理坐标</w:t>
                  </w:r>
                </w:p>
              </w:tc>
              <w:tc>
                <w:tcPr>
                  <w:tcW w:w="626" w:type="pct"/>
                  <w:tcBorders>
                    <w:top w:val="single" w:color="auto" w:sz="4" w:space="0"/>
                    <w:left w:val="single" w:color="auto" w:sz="4" w:space="0"/>
                    <w:bottom w:val="single" w:color="auto" w:sz="4" w:space="0"/>
                    <w:right w:val="single" w:color="auto" w:sz="4" w:space="0"/>
                  </w:tcBorders>
                  <w:vAlign w:val="center"/>
                </w:tcPr>
                <w:p>
                  <w:pPr>
                    <w:pStyle w:val="70"/>
                  </w:pPr>
                  <w:r>
                    <w:t>经度</w:t>
                  </w:r>
                </w:p>
              </w:tc>
              <w:tc>
                <w:tcPr>
                  <w:tcW w:w="1397" w:type="pct"/>
                  <w:tcBorders>
                    <w:top w:val="single" w:color="auto" w:sz="4" w:space="0"/>
                    <w:left w:val="single" w:color="auto" w:sz="4" w:space="0"/>
                    <w:bottom w:val="single" w:color="auto" w:sz="4" w:space="0"/>
                    <w:right w:val="single" w:color="auto" w:sz="4" w:space="0"/>
                  </w:tcBorders>
                  <w:vAlign w:val="center"/>
                </w:tcPr>
                <w:p>
                  <w:pPr>
                    <w:pStyle w:val="70"/>
                  </w:pPr>
                  <w:r>
                    <w:t>86°13'29.10</w:t>
                  </w:r>
                  <w:r>
                    <w:rPr>
                      <w:rFonts w:hint="eastAsia"/>
                    </w:rPr>
                    <w:t>3</w:t>
                  </w:r>
                  <w:r>
                    <w:t>"</w:t>
                  </w:r>
                </w:p>
              </w:tc>
              <w:tc>
                <w:tcPr>
                  <w:tcW w:w="579" w:type="pct"/>
                  <w:tcBorders>
                    <w:top w:val="single" w:color="auto" w:sz="4" w:space="0"/>
                    <w:left w:val="single" w:color="auto" w:sz="4" w:space="0"/>
                    <w:bottom w:val="single" w:color="auto" w:sz="4" w:space="0"/>
                    <w:right w:val="single" w:color="auto" w:sz="4" w:space="0"/>
                  </w:tcBorders>
                  <w:vAlign w:val="center"/>
                </w:tcPr>
                <w:p>
                  <w:pPr>
                    <w:pStyle w:val="70"/>
                  </w:pPr>
                  <w:r>
                    <w:t>纬度</w:t>
                  </w:r>
                </w:p>
              </w:tc>
              <w:tc>
                <w:tcPr>
                  <w:tcW w:w="1434" w:type="pct"/>
                  <w:tcBorders>
                    <w:top w:val="single" w:color="auto" w:sz="4" w:space="0"/>
                    <w:left w:val="single" w:color="auto" w:sz="4" w:space="0"/>
                    <w:bottom w:val="single" w:color="auto" w:sz="4" w:space="0"/>
                    <w:right w:val="single" w:color="auto" w:sz="4" w:space="0"/>
                  </w:tcBorders>
                  <w:vAlign w:val="center"/>
                </w:tcPr>
                <w:p>
                  <w:pPr>
                    <w:pStyle w:val="70"/>
                  </w:pPr>
                  <w:r>
                    <w:t>42°19'12.11</w:t>
                  </w:r>
                  <w:r>
                    <w:rPr>
                      <w:rFonts w:hint="eastAsia"/>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pPr>
                    <w:pStyle w:val="70"/>
                  </w:pPr>
                  <w:r>
                    <w:t>主要危险物质及分布</w:t>
                  </w:r>
                </w:p>
              </w:tc>
              <w:tc>
                <w:tcPr>
                  <w:tcW w:w="4038" w:type="pct"/>
                  <w:gridSpan w:val="4"/>
                  <w:tcBorders>
                    <w:top w:val="single" w:color="auto" w:sz="4" w:space="0"/>
                    <w:left w:val="single" w:color="auto" w:sz="4" w:space="0"/>
                    <w:bottom w:val="single" w:color="auto" w:sz="4" w:space="0"/>
                    <w:right w:val="single" w:color="auto" w:sz="4" w:space="0"/>
                  </w:tcBorders>
                  <w:vAlign w:val="center"/>
                </w:tcPr>
                <w:p>
                  <w:pPr>
                    <w:pStyle w:val="70"/>
                  </w:pPr>
                  <w:r>
                    <w:t>本项目主要危险物质为</w:t>
                  </w:r>
                  <w:r>
                    <w:rPr>
                      <w:rFonts w:hint="eastAsia"/>
                      <w:lang w:val="en-US" w:eastAsia="zh-CN"/>
                    </w:rPr>
                    <w:t>废润滑油，主要贮存于危险废物贮存库</w:t>
                  </w:r>
                  <w:r>
                    <w:rPr>
                      <w:rFonts w:hint="eastAsia"/>
                      <w:lang w:eastAsia="zh-CN"/>
                    </w:rPr>
                    <w:t>；</w:t>
                  </w:r>
                  <w:r>
                    <w:rPr>
                      <w:rFonts w:hint="eastAsia"/>
                    </w:rPr>
                    <w:t>天然气管线</w:t>
                  </w:r>
                  <w:r>
                    <w:rPr>
                      <w:rFonts w:hint="eastAsia"/>
                      <w:lang w:val="en-US" w:eastAsia="zh-CN"/>
                    </w:rPr>
                    <w:t>和</w:t>
                  </w:r>
                  <w:r>
                    <w:rPr>
                      <w:rFonts w:hint="eastAsia"/>
                    </w:rPr>
                    <w:t>燃气锅炉主要分布于热转换间。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pPr>
                    <w:pStyle w:val="70"/>
                  </w:pPr>
                  <w:r>
                    <w:t>环境影响途径及危害后果（大气、地表水、地下水等）</w:t>
                  </w:r>
                </w:p>
              </w:tc>
              <w:tc>
                <w:tcPr>
                  <w:tcW w:w="4038" w:type="pct"/>
                  <w:gridSpan w:val="4"/>
                  <w:tcBorders>
                    <w:top w:val="single" w:color="auto" w:sz="4" w:space="0"/>
                    <w:left w:val="single" w:color="auto" w:sz="4" w:space="0"/>
                    <w:bottom w:val="single" w:color="auto" w:sz="4" w:space="0"/>
                    <w:right w:val="single" w:color="auto" w:sz="4" w:space="0"/>
                  </w:tcBorders>
                  <w:vAlign w:val="center"/>
                </w:tcPr>
                <w:p>
                  <w:pPr>
                    <w:pStyle w:val="70"/>
                  </w:pPr>
                  <w:r>
                    <w:rPr>
                      <w:rFonts w:hint="eastAsia"/>
                      <w:lang w:val="en-US" w:eastAsia="zh-CN"/>
                    </w:rPr>
                    <w:t>废润滑油</w:t>
                  </w:r>
                  <w:r>
                    <w:rPr>
                      <w:rFonts w:hint="eastAsia"/>
                      <w:lang w:eastAsia="zh-CN"/>
                    </w:rPr>
                    <w:t>泄漏</w:t>
                  </w:r>
                  <w:r>
                    <w:t>对周边土壤、地下水环境造成影响；除尘器故障，引起的颗粒物超标排放，对周边大气环境造成影响</w:t>
                  </w:r>
                  <w:r>
                    <w:rPr>
                      <w:rFonts w:hint="eastAsia"/>
                    </w:rPr>
                    <w:t>；天然气及</w:t>
                  </w:r>
                  <w:r>
                    <w:rPr>
                      <w:rFonts w:hint="eastAsia"/>
                      <w:lang w:val="en-US" w:eastAsia="zh-CN"/>
                    </w:rPr>
                    <w:t>废润滑油</w:t>
                  </w:r>
                  <w:r>
                    <w:rPr>
                      <w:rFonts w:hint="eastAsia"/>
                    </w:rPr>
                    <w:t>燃烧爆炸对</w:t>
                  </w:r>
                  <w:r>
                    <w:t>周边大气环境</w:t>
                  </w:r>
                  <w:r>
                    <w:rPr>
                      <w:rFonts w:hint="eastAsia"/>
                    </w:rPr>
                    <w:t>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pPr>
                    <w:pStyle w:val="70"/>
                  </w:pPr>
                  <w:r>
                    <w:t>风险防范措施要求</w:t>
                  </w:r>
                </w:p>
              </w:tc>
              <w:tc>
                <w:tcPr>
                  <w:tcW w:w="4038" w:type="pct"/>
                  <w:gridSpan w:val="4"/>
                  <w:tcBorders>
                    <w:top w:val="single" w:color="auto" w:sz="4" w:space="0"/>
                    <w:left w:val="single" w:color="auto" w:sz="4" w:space="0"/>
                    <w:bottom w:val="single" w:color="auto" w:sz="4" w:space="0"/>
                    <w:right w:val="single" w:color="auto" w:sz="4" w:space="0"/>
                  </w:tcBorders>
                  <w:vAlign w:val="center"/>
                </w:tcPr>
                <w:p>
                  <w:pPr>
                    <w:pStyle w:val="70"/>
                  </w:pPr>
                  <w:r>
                    <w:t>严格执行安全生产各项制度；</w:t>
                  </w:r>
                </w:p>
                <w:p>
                  <w:pPr>
                    <w:pStyle w:val="70"/>
                  </w:pPr>
                  <w:r>
                    <w:t>定期维护生产设备，防止设备故障造成安全隐患；</w:t>
                  </w:r>
                </w:p>
                <w:p>
                  <w:pPr>
                    <w:pStyle w:val="70"/>
                  </w:pPr>
                  <w:r>
                    <w:t>设置专人对除尘器进行负责；</w:t>
                  </w:r>
                </w:p>
                <w:p>
                  <w:pPr>
                    <w:pStyle w:val="70"/>
                  </w:pPr>
                  <w:r>
                    <w:t>日常进行检查</w:t>
                  </w:r>
                  <w:r>
                    <w:rPr>
                      <w:rFonts w:hint="eastAsia"/>
                    </w:rPr>
                    <w:t>环保设备</w:t>
                  </w:r>
                  <w:r>
                    <w:t>，确保不发生故障。</w:t>
                  </w:r>
                </w:p>
                <w:p>
                  <w:pPr>
                    <w:pStyle w:val="70"/>
                  </w:pPr>
                  <w:r>
                    <w:rPr>
                      <w:rFonts w:hint="eastAsia"/>
                    </w:rPr>
                    <w:t>按照标准对重点区域采取防渗措施。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pPr>
                    <w:pStyle w:val="70"/>
                  </w:pPr>
                  <w:r>
                    <w:t>填表说明</w:t>
                  </w:r>
                </w:p>
              </w:tc>
              <w:tc>
                <w:tcPr>
                  <w:tcW w:w="4038" w:type="pct"/>
                  <w:gridSpan w:val="4"/>
                  <w:tcBorders>
                    <w:top w:val="single" w:color="auto" w:sz="4" w:space="0"/>
                    <w:left w:val="single" w:color="auto" w:sz="4" w:space="0"/>
                    <w:bottom w:val="single" w:color="auto" w:sz="4" w:space="0"/>
                    <w:right w:val="single" w:color="auto" w:sz="4" w:space="0"/>
                  </w:tcBorders>
                  <w:vAlign w:val="center"/>
                </w:tcPr>
                <w:p>
                  <w:pPr>
                    <w:pStyle w:val="70"/>
                  </w:pPr>
                  <w:r>
                    <w:t>/</w:t>
                  </w:r>
                </w:p>
              </w:tc>
            </w:tr>
          </w:tbl>
          <w:p>
            <w:pPr>
              <w:pStyle w:val="24"/>
              <w:ind w:firstLine="482"/>
            </w:pPr>
            <w:r>
              <w:t>4.6环境管理</w:t>
            </w:r>
          </w:p>
          <w:p>
            <w:pPr>
              <w:ind w:firstLine="480"/>
            </w:pPr>
            <w:r>
              <w:rPr>
                <w:rFonts w:hint="eastAsia"/>
              </w:rPr>
              <w:t>本项目运营期应强化环境管理，确保项目运营不影响环境质量及现有环境功能分区。应针对项目特点，建立大气、</w:t>
            </w:r>
            <w:r>
              <w:t>污水、噪声、固废等相应的环境管理制度，且应有专人负责环境保护工作，危险废物</w:t>
            </w:r>
            <w:r>
              <w:rPr>
                <w:rFonts w:hint="eastAsia"/>
                <w:lang w:val="en-US" w:eastAsia="zh-CN"/>
              </w:rPr>
              <w:t>贮存库</w:t>
            </w:r>
            <w:r>
              <w:t>应根据《危险废物管理计划和管理台账制定技术导则》（HJ1259-2022）</w:t>
            </w:r>
            <w:r>
              <w:rPr>
                <w:rFonts w:hint="eastAsia"/>
              </w:rPr>
              <w:t>建立危险废物台账并制定管理制度由专人负责管理。关心并积极听取可能受项目环境影响的附近单位的反映，定期向项目管理者和当地环保部门汇报项目环境保护工作的情况，接受当地环保部门的监督和管理。</w:t>
            </w:r>
          </w:p>
          <w:p>
            <w:pPr>
              <w:ind w:firstLine="480"/>
            </w:pPr>
            <w:r>
              <w:t>为确保环境质量不断提升，项目应遵守有关环境法律、法规的前提下，树立良好的企业形象，实现经济效益与社会效益、环境效益相统一。</w:t>
            </w:r>
          </w:p>
          <w:p>
            <w:pPr>
              <w:pStyle w:val="24"/>
              <w:ind w:firstLine="482"/>
            </w:pPr>
            <w:r>
              <w:t>4.7环保投资</w:t>
            </w:r>
          </w:p>
          <w:p>
            <w:pPr>
              <w:ind w:firstLine="480"/>
            </w:pPr>
            <w:r>
              <w:t>本项目总投资28000万元，其中环保投资</w:t>
            </w:r>
            <w:r>
              <w:rPr>
                <w:rFonts w:hint="eastAsia"/>
              </w:rPr>
              <w:t>188</w:t>
            </w:r>
            <w:r>
              <w:t>万元，占投资的</w:t>
            </w:r>
            <w:r>
              <w:rPr>
                <w:rFonts w:hint="eastAsia"/>
              </w:rPr>
              <w:t>0.67</w:t>
            </w:r>
            <w:r>
              <w:t>%。环保投资情况见表</w:t>
            </w:r>
            <w:r>
              <w:rPr>
                <w:rFonts w:hint="eastAsia"/>
              </w:rPr>
              <w:t>4.7-1</w:t>
            </w:r>
            <w:r>
              <w:t>。</w:t>
            </w:r>
          </w:p>
          <w:p>
            <w:pPr>
              <w:pStyle w:val="65"/>
            </w:pPr>
            <w:r>
              <w:t>表</w:t>
            </w:r>
            <w:r>
              <w:rPr>
                <w:rFonts w:hint="eastAsia"/>
              </w:rPr>
              <w:t>4.7-1</w:t>
            </w:r>
            <w:r>
              <w:t xml:space="preserve">  环保设施（措施）及投资估算一览表</w:t>
            </w:r>
          </w:p>
          <w:tbl>
            <w:tblPr>
              <w:tblStyle w:val="27"/>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56"/>
              <w:gridCol w:w="1426"/>
              <w:gridCol w:w="4373"/>
              <w:gridCol w:w="15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2382" w:type="dxa"/>
                  <w:gridSpan w:val="2"/>
                  <w:tcBorders>
                    <w:tl2br w:val="nil"/>
                    <w:tr2bl w:val="nil"/>
                  </w:tcBorders>
                  <w:vAlign w:val="center"/>
                </w:tcPr>
                <w:p>
                  <w:pPr>
                    <w:pStyle w:val="70"/>
                    <w:rPr>
                      <w:color w:val="auto"/>
                    </w:rPr>
                  </w:pPr>
                  <w:r>
                    <w:rPr>
                      <w:color w:val="auto"/>
                    </w:rPr>
                    <w:t>项 目</w:t>
                  </w:r>
                </w:p>
              </w:tc>
              <w:tc>
                <w:tcPr>
                  <w:tcW w:w="4373" w:type="dxa"/>
                  <w:tcBorders>
                    <w:tl2br w:val="nil"/>
                    <w:tr2bl w:val="nil"/>
                  </w:tcBorders>
                  <w:vAlign w:val="center"/>
                </w:tcPr>
                <w:p>
                  <w:pPr>
                    <w:pStyle w:val="70"/>
                    <w:rPr>
                      <w:color w:val="auto"/>
                    </w:rPr>
                  </w:pPr>
                  <w:r>
                    <w:rPr>
                      <w:color w:val="auto"/>
                    </w:rPr>
                    <w:t>内容</w:t>
                  </w:r>
                </w:p>
              </w:tc>
              <w:tc>
                <w:tcPr>
                  <w:tcW w:w="1508" w:type="dxa"/>
                  <w:tcBorders>
                    <w:tl2br w:val="nil"/>
                    <w:tr2bl w:val="nil"/>
                  </w:tcBorders>
                  <w:vAlign w:val="center"/>
                </w:tcPr>
                <w:p>
                  <w:pPr>
                    <w:pStyle w:val="70"/>
                    <w:rPr>
                      <w:color w:val="auto"/>
                    </w:rPr>
                  </w:pPr>
                  <w:r>
                    <w:rPr>
                      <w:color w:val="auto"/>
                    </w:rPr>
                    <w:t>投资（万元）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68" w:hRule="atLeast"/>
                <w:jc w:val="center"/>
              </w:trPr>
              <w:tc>
                <w:tcPr>
                  <w:tcW w:w="956" w:type="dxa"/>
                  <w:vMerge w:val="restart"/>
                  <w:tcBorders>
                    <w:tl2br w:val="nil"/>
                    <w:tr2bl w:val="nil"/>
                  </w:tcBorders>
                  <w:vAlign w:val="center"/>
                </w:tcPr>
                <w:p>
                  <w:pPr>
                    <w:pStyle w:val="70"/>
                    <w:rPr>
                      <w:color w:val="auto"/>
                    </w:rPr>
                  </w:pPr>
                  <w:r>
                    <w:rPr>
                      <w:color w:val="auto"/>
                    </w:rPr>
                    <w:t>运</w:t>
                  </w:r>
                </w:p>
                <w:p>
                  <w:pPr>
                    <w:pStyle w:val="70"/>
                    <w:rPr>
                      <w:color w:val="auto"/>
                    </w:rPr>
                  </w:pPr>
                  <w:r>
                    <w:rPr>
                      <w:color w:val="auto"/>
                    </w:rPr>
                    <w:t>营</w:t>
                  </w:r>
                </w:p>
                <w:p>
                  <w:pPr>
                    <w:pStyle w:val="70"/>
                    <w:rPr>
                      <w:color w:val="auto"/>
                    </w:rPr>
                  </w:pPr>
                  <w:r>
                    <w:rPr>
                      <w:color w:val="auto"/>
                    </w:rPr>
                    <w:t>期</w:t>
                  </w:r>
                </w:p>
              </w:tc>
              <w:tc>
                <w:tcPr>
                  <w:tcW w:w="1426" w:type="dxa"/>
                  <w:vMerge w:val="restart"/>
                  <w:tcBorders>
                    <w:tl2br w:val="nil"/>
                    <w:tr2bl w:val="nil"/>
                  </w:tcBorders>
                  <w:vAlign w:val="center"/>
                </w:tcPr>
                <w:p>
                  <w:pPr>
                    <w:pStyle w:val="70"/>
                    <w:rPr>
                      <w:color w:val="auto"/>
                    </w:rPr>
                  </w:pPr>
                  <w:r>
                    <w:rPr>
                      <w:color w:val="auto"/>
                    </w:rPr>
                    <w:t>废气治理</w:t>
                  </w:r>
                </w:p>
              </w:tc>
              <w:tc>
                <w:tcPr>
                  <w:tcW w:w="4373" w:type="dxa"/>
                  <w:tcBorders>
                    <w:tl2br w:val="nil"/>
                    <w:tr2bl w:val="nil"/>
                  </w:tcBorders>
                  <w:vAlign w:val="center"/>
                </w:tcPr>
                <w:p>
                  <w:pPr>
                    <w:pStyle w:val="70"/>
                    <w:rPr>
                      <w:color w:val="auto"/>
                    </w:rPr>
                  </w:pPr>
                  <w:r>
                    <w:rPr>
                      <w:rFonts w:hint="eastAsia"/>
                      <w:color w:val="auto"/>
                    </w:rPr>
                    <w:t>10台脉冲式布袋除尘器+集气罩+15m高排气筒</w:t>
                  </w:r>
                </w:p>
              </w:tc>
              <w:tc>
                <w:tcPr>
                  <w:tcW w:w="1508" w:type="dxa"/>
                  <w:tcBorders>
                    <w:tl2br w:val="nil"/>
                    <w:tr2bl w:val="nil"/>
                  </w:tcBorders>
                  <w:vAlign w:val="center"/>
                </w:tcPr>
                <w:p>
                  <w:pPr>
                    <w:pStyle w:val="70"/>
                    <w:rPr>
                      <w:color w:val="auto"/>
                    </w:rPr>
                  </w:pPr>
                  <w:r>
                    <w:rPr>
                      <w:rFonts w:hint="eastAsia"/>
                      <w:color w:val="auto"/>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68" w:hRule="atLeast"/>
                <w:jc w:val="center"/>
              </w:trPr>
              <w:tc>
                <w:tcPr>
                  <w:tcW w:w="956" w:type="dxa"/>
                  <w:vMerge w:val="continue"/>
                  <w:tcBorders>
                    <w:tl2br w:val="nil"/>
                    <w:tr2bl w:val="nil"/>
                  </w:tcBorders>
                  <w:vAlign w:val="center"/>
                </w:tcPr>
                <w:p>
                  <w:pPr>
                    <w:pStyle w:val="70"/>
                    <w:rPr>
                      <w:color w:val="auto"/>
                    </w:rPr>
                  </w:pPr>
                </w:p>
              </w:tc>
              <w:tc>
                <w:tcPr>
                  <w:tcW w:w="1426" w:type="dxa"/>
                  <w:vMerge w:val="continue"/>
                  <w:tcBorders>
                    <w:tl2br w:val="nil"/>
                    <w:tr2bl w:val="nil"/>
                  </w:tcBorders>
                  <w:vAlign w:val="center"/>
                </w:tcPr>
                <w:p>
                  <w:pPr>
                    <w:pStyle w:val="70"/>
                    <w:rPr>
                      <w:color w:val="auto"/>
                    </w:rPr>
                  </w:pPr>
                </w:p>
              </w:tc>
              <w:tc>
                <w:tcPr>
                  <w:tcW w:w="4373" w:type="dxa"/>
                  <w:tcBorders>
                    <w:tl2br w:val="nil"/>
                    <w:tr2bl w:val="nil"/>
                  </w:tcBorders>
                  <w:vAlign w:val="center"/>
                </w:tcPr>
                <w:p>
                  <w:pPr>
                    <w:pStyle w:val="70"/>
                    <w:rPr>
                      <w:color w:val="auto"/>
                    </w:rPr>
                  </w:pPr>
                  <w:r>
                    <w:rPr>
                      <w:rFonts w:hint="eastAsia"/>
                      <w:color w:val="auto"/>
                    </w:rPr>
                    <w:t>1套燃气锅炉采用低氮燃烧技术+</w:t>
                  </w:r>
                  <w:r>
                    <w:rPr>
                      <w:rFonts w:hint="eastAsia"/>
                      <w:color w:val="auto"/>
                      <w:lang w:val="en-US" w:eastAsia="zh-CN"/>
                    </w:rPr>
                    <w:t>12</w:t>
                  </w:r>
                  <w:r>
                    <w:rPr>
                      <w:rFonts w:hint="eastAsia"/>
                      <w:color w:val="auto"/>
                    </w:rPr>
                    <w:t>m排气筒</w:t>
                  </w:r>
                </w:p>
              </w:tc>
              <w:tc>
                <w:tcPr>
                  <w:tcW w:w="1508" w:type="dxa"/>
                  <w:tcBorders>
                    <w:tl2br w:val="nil"/>
                    <w:tr2bl w:val="nil"/>
                  </w:tcBorders>
                  <w:vAlign w:val="center"/>
                </w:tcPr>
                <w:p>
                  <w:pPr>
                    <w:pStyle w:val="70"/>
                    <w:rPr>
                      <w:color w:val="auto"/>
                    </w:rPr>
                  </w:pPr>
                  <w:r>
                    <w:rPr>
                      <w:rFonts w:hint="eastAsia"/>
                      <w:color w:val="auto"/>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68" w:hRule="atLeast"/>
                <w:jc w:val="center"/>
              </w:trPr>
              <w:tc>
                <w:tcPr>
                  <w:tcW w:w="956" w:type="dxa"/>
                  <w:vMerge w:val="continue"/>
                  <w:tcBorders>
                    <w:tl2br w:val="nil"/>
                    <w:tr2bl w:val="nil"/>
                  </w:tcBorders>
                  <w:vAlign w:val="center"/>
                </w:tcPr>
                <w:p>
                  <w:pPr>
                    <w:pStyle w:val="70"/>
                    <w:rPr>
                      <w:color w:val="auto"/>
                    </w:rPr>
                  </w:pPr>
                </w:p>
              </w:tc>
              <w:tc>
                <w:tcPr>
                  <w:tcW w:w="1426" w:type="dxa"/>
                  <w:vMerge w:val="continue"/>
                  <w:tcBorders>
                    <w:tl2br w:val="nil"/>
                    <w:tr2bl w:val="nil"/>
                  </w:tcBorders>
                  <w:vAlign w:val="center"/>
                </w:tcPr>
                <w:p>
                  <w:pPr>
                    <w:pStyle w:val="70"/>
                    <w:rPr>
                      <w:color w:val="auto"/>
                    </w:rPr>
                  </w:pPr>
                </w:p>
              </w:tc>
              <w:tc>
                <w:tcPr>
                  <w:tcW w:w="4373" w:type="dxa"/>
                  <w:tcBorders>
                    <w:tl2br w:val="nil"/>
                    <w:tr2bl w:val="nil"/>
                  </w:tcBorders>
                  <w:vAlign w:val="center"/>
                </w:tcPr>
                <w:p>
                  <w:pPr>
                    <w:pStyle w:val="70"/>
                    <w:rPr>
                      <w:color w:val="auto"/>
                    </w:rPr>
                  </w:pPr>
                  <w:r>
                    <w:rPr>
                      <w:rFonts w:hint="eastAsia"/>
                      <w:color w:val="auto"/>
                    </w:rPr>
                    <w:t>厂房内部洒水降尘</w:t>
                  </w:r>
                </w:p>
              </w:tc>
              <w:tc>
                <w:tcPr>
                  <w:tcW w:w="1508" w:type="dxa"/>
                  <w:tcBorders>
                    <w:tl2br w:val="nil"/>
                    <w:tr2bl w:val="nil"/>
                  </w:tcBorders>
                  <w:vAlign w:val="center"/>
                </w:tcPr>
                <w:p>
                  <w:pPr>
                    <w:pStyle w:val="70"/>
                    <w:rPr>
                      <w:color w:val="auto"/>
                    </w:rPr>
                  </w:pPr>
                  <w:r>
                    <w:rPr>
                      <w:color w:val="auto"/>
                    </w:rPr>
                    <w:t>1</w:t>
                  </w:r>
                  <w:r>
                    <w:rPr>
                      <w:rFonts w:hint="eastAsia"/>
                      <w:color w:val="auto"/>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68" w:hRule="atLeast"/>
                <w:jc w:val="center"/>
              </w:trPr>
              <w:tc>
                <w:tcPr>
                  <w:tcW w:w="956" w:type="dxa"/>
                  <w:vMerge w:val="continue"/>
                  <w:tcBorders>
                    <w:tl2br w:val="nil"/>
                    <w:tr2bl w:val="nil"/>
                  </w:tcBorders>
                  <w:vAlign w:val="center"/>
                </w:tcPr>
                <w:p>
                  <w:pPr>
                    <w:pStyle w:val="70"/>
                    <w:rPr>
                      <w:color w:val="auto"/>
                    </w:rPr>
                  </w:pPr>
                </w:p>
              </w:tc>
              <w:tc>
                <w:tcPr>
                  <w:tcW w:w="1426" w:type="dxa"/>
                  <w:vMerge w:val="continue"/>
                  <w:tcBorders>
                    <w:tl2br w:val="nil"/>
                    <w:tr2bl w:val="nil"/>
                  </w:tcBorders>
                  <w:vAlign w:val="center"/>
                </w:tcPr>
                <w:p>
                  <w:pPr>
                    <w:pStyle w:val="70"/>
                    <w:rPr>
                      <w:color w:val="auto"/>
                    </w:rPr>
                  </w:pPr>
                </w:p>
              </w:tc>
              <w:tc>
                <w:tcPr>
                  <w:tcW w:w="4373" w:type="dxa"/>
                  <w:tcBorders>
                    <w:tl2br w:val="nil"/>
                    <w:tr2bl w:val="nil"/>
                  </w:tcBorders>
                  <w:vAlign w:val="center"/>
                </w:tcPr>
                <w:p>
                  <w:pPr>
                    <w:pStyle w:val="70"/>
                    <w:rPr>
                      <w:color w:val="auto"/>
                    </w:rPr>
                  </w:pPr>
                  <w:r>
                    <w:rPr>
                      <w:rFonts w:hint="eastAsia"/>
                      <w:color w:val="auto"/>
                    </w:rPr>
                    <w:t>2台脉冲沙克龙除尘器</w:t>
                  </w:r>
                  <w:r>
                    <w:rPr>
                      <w:color w:val="auto"/>
                    </w:rPr>
                    <w:t>+15m</w:t>
                  </w:r>
                  <w:r>
                    <w:rPr>
                      <w:rFonts w:hint="eastAsia"/>
                      <w:color w:val="auto"/>
                    </w:rPr>
                    <w:t>排气筒</w:t>
                  </w:r>
                </w:p>
              </w:tc>
              <w:tc>
                <w:tcPr>
                  <w:tcW w:w="1508" w:type="dxa"/>
                  <w:tcBorders>
                    <w:tl2br w:val="nil"/>
                    <w:tr2bl w:val="nil"/>
                  </w:tcBorders>
                  <w:vAlign w:val="center"/>
                </w:tcPr>
                <w:p>
                  <w:pPr>
                    <w:pStyle w:val="70"/>
                    <w:rPr>
                      <w:color w:val="auto"/>
                    </w:rPr>
                  </w:pPr>
                  <w:r>
                    <w:rPr>
                      <w:rFonts w:hint="eastAsia"/>
                      <w:color w:val="auto"/>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pPr>
                    <w:pStyle w:val="70"/>
                    <w:rPr>
                      <w:color w:val="auto"/>
                    </w:rPr>
                  </w:pPr>
                </w:p>
              </w:tc>
              <w:tc>
                <w:tcPr>
                  <w:tcW w:w="1426" w:type="dxa"/>
                  <w:vMerge w:val="restart"/>
                  <w:tcBorders>
                    <w:tl2br w:val="nil"/>
                    <w:tr2bl w:val="nil"/>
                  </w:tcBorders>
                  <w:vAlign w:val="center"/>
                </w:tcPr>
                <w:p>
                  <w:pPr>
                    <w:pStyle w:val="70"/>
                    <w:rPr>
                      <w:color w:val="auto"/>
                    </w:rPr>
                  </w:pPr>
                  <w:r>
                    <w:rPr>
                      <w:color w:val="auto"/>
                    </w:rPr>
                    <w:t>废水治理</w:t>
                  </w:r>
                </w:p>
              </w:tc>
              <w:tc>
                <w:tcPr>
                  <w:tcW w:w="4373" w:type="dxa"/>
                  <w:tcBorders>
                    <w:tl2br w:val="nil"/>
                    <w:tr2bl w:val="nil"/>
                  </w:tcBorders>
                  <w:vAlign w:val="center"/>
                </w:tcPr>
                <w:p>
                  <w:pPr>
                    <w:pStyle w:val="70"/>
                    <w:rPr>
                      <w:color w:val="auto"/>
                    </w:rPr>
                  </w:pPr>
                  <w:r>
                    <w:rPr>
                      <w:color w:val="auto"/>
                    </w:rPr>
                    <w:t>生活污水经化粪池</w:t>
                  </w:r>
                  <w:r>
                    <w:rPr>
                      <w:rFonts w:hint="eastAsia"/>
                      <w:color w:val="auto"/>
                    </w:rPr>
                    <w:t>（</w:t>
                  </w:r>
                  <w:r>
                    <w:rPr>
                      <w:rFonts w:hint="eastAsia"/>
                      <w:color w:val="auto"/>
                      <w:lang w:val="en-US" w:eastAsia="zh-CN"/>
                    </w:rPr>
                    <w:t>18m</w:t>
                  </w:r>
                  <w:r>
                    <w:rPr>
                      <w:rFonts w:hint="eastAsia"/>
                      <w:color w:val="auto"/>
                      <w:vertAlign w:val="superscript"/>
                      <w:lang w:val="en-US" w:eastAsia="zh-CN"/>
                    </w:rPr>
                    <w:t>3</w:t>
                  </w:r>
                  <w:r>
                    <w:rPr>
                      <w:rFonts w:hint="eastAsia"/>
                      <w:color w:val="auto"/>
                    </w:rPr>
                    <w:t>）</w:t>
                  </w:r>
                  <w:r>
                    <w:rPr>
                      <w:color w:val="auto"/>
                    </w:rPr>
                    <w:t>处理后排入</w:t>
                  </w:r>
                  <w:r>
                    <w:rPr>
                      <w:rFonts w:hint="eastAsia"/>
                      <w:color w:val="auto"/>
                    </w:rPr>
                    <w:t>园区</w:t>
                  </w:r>
                  <w:r>
                    <w:rPr>
                      <w:color w:val="auto"/>
                    </w:rPr>
                    <w:t>污水管网最终进入和静县污水处理厂处置</w:t>
                  </w:r>
                </w:p>
              </w:tc>
              <w:tc>
                <w:tcPr>
                  <w:tcW w:w="1508" w:type="dxa"/>
                  <w:tcBorders>
                    <w:tl2br w:val="nil"/>
                    <w:tr2bl w:val="nil"/>
                  </w:tcBorders>
                  <w:vAlign w:val="center"/>
                </w:tcPr>
                <w:p>
                  <w:pPr>
                    <w:pStyle w:val="70"/>
                    <w:rPr>
                      <w:color w:val="auto"/>
                    </w:rPr>
                  </w:pPr>
                  <w:r>
                    <w:rPr>
                      <w:rFonts w:hint="eastAsia"/>
                      <w:color w:val="auto"/>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pPr>
                    <w:pStyle w:val="70"/>
                    <w:rPr>
                      <w:color w:val="auto"/>
                    </w:rPr>
                  </w:pPr>
                </w:p>
              </w:tc>
              <w:tc>
                <w:tcPr>
                  <w:tcW w:w="1426" w:type="dxa"/>
                  <w:vMerge w:val="continue"/>
                  <w:tcBorders>
                    <w:tl2br w:val="nil"/>
                    <w:tr2bl w:val="nil"/>
                  </w:tcBorders>
                  <w:vAlign w:val="center"/>
                </w:tcPr>
                <w:p>
                  <w:pPr>
                    <w:pStyle w:val="70"/>
                    <w:rPr>
                      <w:color w:val="auto"/>
                    </w:rPr>
                  </w:pPr>
                </w:p>
              </w:tc>
              <w:tc>
                <w:tcPr>
                  <w:tcW w:w="4373" w:type="dxa"/>
                  <w:tcBorders>
                    <w:tl2br w:val="nil"/>
                    <w:tr2bl w:val="nil"/>
                  </w:tcBorders>
                  <w:vAlign w:val="center"/>
                </w:tcPr>
                <w:p>
                  <w:pPr>
                    <w:pStyle w:val="70"/>
                    <w:rPr>
                      <w:color w:val="auto"/>
                    </w:rPr>
                  </w:pPr>
                  <w:r>
                    <w:rPr>
                      <w:rFonts w:hint="eastAsia"/>
                      <w:lang w:eastAsia="zh-CN"/>
                    </w:rPr>
                    <w:t>锅炉废水</w:t>
                  </w:r>
                  <w:r>
                    <w:rPr>
                      <w:rFonts w:hint="eastAsia"/>
                    </w:rPr>
                    <w:t>和软水制备废水排入园区污水管网</w:t>
                  </w:r>
                </w:p>
              </w:tc>
              <w:tc>
                <w:tcPr>
                  <w:tcW w:w="1508" w:type="dxa"/>
                  <w:tcBorders>
                    <w:tl2br w:val="nil"/>
                    <w:tr2bl w:val="nil"/>
                  </w:tcBorders>
                  <w:vAlign w:val="center"/>
                </w:tcPr>
                <w:p>
                  <w:pPr>
                    <w:pStyle w:val="70"/>
                    <w:rPr>
                      <w:color w:val="auto"/>
                    </w:rPr>
                  </w:pPr>
                  <w:r>
                    <w:rPr>
                      <w:color w:val="auto"/>
                    </w:rPr>
                    <w:t>2</w:t>
                  </w:r>
                  <w:r>
                    <w:rPr>
                      <w:rFonts w:hint="eastAsia"/>
                      <w:color w:val="auto"/>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0" w:hRule="atLeast"/>
                <w:jc w:val="center"/>
              </w:trPr>
              <w:tc>
                <w:tcPr>
                  <w:tcW w:w="956" w:type="dxa"/>
                  <w:vMerge w:val="continue"/>
                  <w:tcBorders>
                    <w:tl2br w:val="nil"/>
                    <w:tr2bl w:val="nil"/>
                  </w:tcBorders>
                  <w:vAlign w:val="center"/>
                </w:tcPr>
                <w:p>
                  <w:pPr>
                    <w:pStyle w:val="70"/>
                    <w:rPr>
                      <w:color w:val="auto"/>
                    </w:rPr>
                  </w:pPr>
                </w:p>
              </w:tc>
              <w:tc>
                <w:tcPr>
                  <w:tcW w:w="1426" w:type="dxa"/>
                  <w:tcBorders>
                    <w:tl2br w:val="nil"/>
                    <w:tr2bl w:val="nil"/>
                  </w:tcBorders>
                  <w:vAlign w:val="center"/>
                </w:tcPr>
                <w:p>
                  <w:pPr>
                    <w:pStyle w:val="70"/>
                    <w:rPr>
                      <w:color w:val="auto"/>
                    </w:rPr>
                  </w:pPr>
                  <w:r>
                    <w:rPr>
                      <w:color w:val="auto"/>
                    </w:rPr>
                    <w:t>噪声治理</w:t>
                  </w:r>
                </w:p>
              </w:tc>
              <w:tc>
                <w:tcPr>
                  <w:tcW w:w="4373" w:type="dxa"/>
                  <w:tcBorders>
                    <w:tl2br w:val="nil"/>
                    <w:tr2bl w:val="nil"/>
                  </w:tcBorders>
                  <w:vAlign w:val="center"/>
                </w:tcPr>
                <w:p>
                  <w:pPr>
                    <w:pStyle w:val="70"/>
                    <w:rPr>
                      <w:color w:val="auto"/>
                    </w:rPr>
                  </w:pPr>
                  <w:r>
                    <w:rPr>
                      <w:rFonts w:hint="eastAsia"/>
                      <w:lang w:val="en-US" w:eastAsia="zh-CN"/>
                    </w:rPr>
                    <w:t>选用低噪声设备，并对高噪声设备进行基础隔声、加装消音器、减振措施，厂房隔声</w:t>
                  </w:r>
                </w:p>
              </w:tc>
              <w:tc>
                <w:tcPr>
                  <w:tcW w:w="1508" w:type="dxa"/>
                  <w:tcBorders>
                    <w:tl2br w:val="nil"/>
                    <w:tr2bl w:val="nil"/>
                  </w:tcBorders>
                  <w:vAlign w:val="center"/>
                </w:tcPr>
                <w:p>
                  <w:pPr>
                    <w:pStyle w:val="70"/>
                    <w:rPr>
                      <w:color w:val="auto"/>
                    </w:rPr>
                  </w:pPr>
                  <w:r>
                    <w:rPr>
                      <w:rFonts w:hint="eastAsia"/>
                      <w:color w:val="auto"/>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pPr>
                    <w:pStyle w:val="70"/>
                    <w:rPr>
                      <w:color w:val="auto"/>
                    </w:rPr>
                  </w:pPr>
                </w:p>
              </w:tc>
              <w:tc>
                <w:tcPr>
                  <w:tcW w:w="1426" w:type="dxa"/>
                  <w:vMerge w:val="restart"/>
                  <w:tcBorders>
                    <w:tl2br w:val="nil"/>
                    <w:tr2bl w:val="nil"/>
                  </w:tcBorders>
                  <w:vAlign w:val="center"/>
                </w:tcPr>
                <w:p>
                  <w:pPr>
                    <w:pStyle w:val="70"/>
                    <w:rPr>
                      <w:color w:val="auto"/>
                    </w:rPr>
                  </w:pPr>
                  <w:r>
                    <w:rPr>
                      <w:color w:val="auto"/>
                    </w:rPr>
                    <w:t>固废</w:t>
                  </w:r>
                </w:p>
              </w:tc>
              <w:tc>
                <w:tcPr>
                  <w:tcW w:w="4373" w:type="dxa"/>
                  <w:tcBorders>
                    <w:tl2br w:val="nil"/>
                    <w:tr2bl w:val="nil"/>
                  </w:tcBorders>
                  <w:vAlign w:val="center"/>
                </w:tcPr>
                <w:p>
                  <w:pPr>
                    <w:pStyle w:val="70"/>
                    <w:rPr>
                      <w:color w:val="auto"/>
                    </w:rPr>
                  </w:pPr>
                  <w:r>
                    <w:rPr>
                      <w:color w:val="auto"/>
                    </w:rPr>
                    <w:t>生活垃圾经垃圾桶集中收集后</w:t>
                  </w:r>
                  <w:r>
                    <w:t>交由环卫部门统一清运</w:t>
                  </w:r>
                </w:p>
              </w:tc>
              <w:tc>
                <w:tcPr>
                  <w:tcW w:w="1508" w:type="dxa"/>
                  <w:tcBorders>
                    <w:tl2br w:val="nil"/>
                    <w:tr2bl w:val="nil"/>
                  </w:tcBorders>
                  <w:vAlign w:val="center"/>
                </w:tcPr>
                <w:p>
                  <w:pPr>
                    <w:pStyle w:val="70"/>
                    <w:rPr>
                      <w:color w:val="auto"/>
                    </w:rPr>
                  </w:pPr>
                  <w:r>
                    <w:rPr>
                      <w:color w:val="auto"/>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pPr>
                    <w:pStyle w:val="70"/>
                    <w:rPr>
                      <w:color w:val="auto"/>
                    </w:rPr>
                  </w:pPr>
                </w:p>
              </w:tc>
              <w:tc>
                <w:tcPr>
                  <w:tcW w:w="1426" w:type="dxa"/>
                  <w:vMerge w:val="continue"/>
                  <w:tcBorders>
                    <w:tl2br w:val="nil"/>
                    <w:tr2bl w:val="nil"/>
                  </w:tcBorders>
                  <w:vAlign w:val="center"/>
                </w:tcPr>
                <w:p>
                  <w:pPr>
                    <w:pStyle w:val="70"/>
                    <w:rPr>
                      <w:color w:val="auto"/>
                    </w:rPr>
                  </w:pPr>
                </w:p>
              </w:tc>
              <w:tc>
                <w:tcPr>
                  <w:tcW w:w="4373" w:type="dxa"/>
                  <w:tcBorders>
                    <w:tl2br w:val="nil"/>
                    <w:tr2bl w:val="nil"/>
                  </w:tcBorders>
                  <w:vAlign w:val="center"/>
                </w:tcPr>
                <w:p>
                  <w:pPr>
                    <w:pStyle w:val="70"/>
                    <w:rPr>
                      <w:color w:val="auto"/>
                    </w:rPr>
                  </w:pPr>
                  <w:r>
                    <w:rPr>
                      <w:color w:val="auto"/>
                    </w:rPr>
                    <w:t>除尘器颗粒物回用于生产线、废旧布袋由生产厂家回收处置</w:t>
                  </w:r>
                </w:p>
              </w:tc>
              <w:tc>
                <w:tcPr>
                  <w:tcW w:w="1508" w:type="dxa"/>
                  <w:tcBorders>
                    <w:tl2br w:val="nil"/>
                    <w:tr2bl w:val="nil"/>
                  </w:tcBorders>
                  <w:vAlign w:val="center"/>
                </w:tcPr>
                <w:p>
                  <w:pPr>
                    <w:pStyle w:val="70"/>
                    <w:rPr>
                      <w:color w:val="auto"/>
                    </w:rPr>
                  </w:pPr>
                  <w:r>
                    <w:rPr>
                      <w:rFonts w:hint="eastAsia"/>
                      <w:color w:val="auto"/>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pPr>
                    <w:pStyle w:val="70"/>
                    <w:rPr>
                      <w:color w:val="auto"/>
                    </w:rPr>
                  </w:pPr>
                </w:p>
              </w:tc>
              <w:tc>
                <w:tcPr>
                  <w:tcW w:w="1426" w:type="dxa"/>
                  <w:vMerge w:val="continue"/>
                  <w:tcBorders>
                    <w:tl2br w:val="nil"/>
                    <w:tr2bl w:val="nil"/>
                  </w:tcBorders>
                  <w:vAlign w:val="center"/>
                </w:tcPr>
                <w:p>
                  <w:pPr>
                    <w:pStyle w:val="70"/>
                    <w:rPr>
                      <w:color w:val="auto"/>
                    </w:rPr>
                  </w:pPr>
                </w:p>
              </w:tc>
              <w:tc>
                <w:tcPr>
                  <w:tcW w:w="4373" w:type="dxa"/>
                  <w:tcBorders>
                    <w:tl2br w:val="nil"/>
                    <w:tr2bl w:val="nil"/>
                  </w:tcBorders>
                  <w:vAlign w:val="center"/>
                </w:tcPr>
                <w:p>
                  <w:pPr>
                    <w:pStyle w:val="70"/>
                    <w:rPr>
                      <w:color w:val="auto"/>
                    </w:rPr>
                  </w:pPr>
                  <w:r>
                    <w:rPr>
                      <w:rFonts w:hint="eastAsia"/>
                      <w:color w:val="auto"/>
                    </w:rPr>
                    <w:t>新建1个1</w:t>
                  </w:r>
                  <w:r>
                    <w:rPr>
                      <w:rFonts w:hint="eastAsia"/>
                      <w:color w:val="auto"/>
                      <w:lang w:val="en-US" w:eastAsia="zh-CN"/>
                    </w:rPr>
                    <w:t>0</w:t>
                  </w:r>
                  <w:r>
                    <w:rPr>
                      <w:rFonts w:hint="eastAsia"/>
                      <w:color w:val="auto"/>
                    </w:rPr>
                    <w:t>m</w:t>
                  </w:r>
                  <w:r>
                    <w:rPr>
                      <w:rFonts w:hint="eastAsia"/>
                      <w:color w:val="auto"/>
                      <w:vertAlign w:val="superscript"/>
                    </w:rPr>
                    <w:t>2</w:t>
                  </w:r>
                  <w:r>
                    <w:rPr>
                      <w:rFonts w:hint="eastAsia"/>
                      <w:color w:val="auto"/>
                    </w:rPr>
                    <w:t>的</w:t>
                  </w:r>
                  <w:r>
                    <w:t>危险废物</w:t>
                  </w:r>
                  <w:r>
                    <w:rPr>
                      <w:rFonts w:hint="eastAsia"/>
                      <w:lang w:val="en-US" w:eastAsia="zh-CN"/>
                    </w:rPr>
                    <w:t>贮存库</w:t>
                  </w:r>
                </w:p>
              </w:tc>
              <w:tc>
                <w:tcPr>
                  <w:tcW w:w="1508" w:type="dxa"/>
                  <w:tcBorders>
                    <w:tl2br w:val="nil"/>
                    <w:tr2bl w:val="nil"/>
                  </w:tcBorders>
                  <w:vAlign w:val="center"/>
                </w:tcPr>
                <w:p>
                  <w:pPr>
                    <w:pStyle w:val="70"/>
                    <w:rPr>
                      <w:color w:val="auto"/>
                    </w:rPr>
                  </w:pPr>
                  <w:r>
                    <w:rPr>
                      <w:rFonts w:hint="eastAsia"/>
                      <w:color w:val="auto"/>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pPr>
                    <w:pStyle w:val="70"/>
                    <w:rPr>
                      <w:color w:val="auto"/>
                    </w:rPr>
                  </w:pPr>
                </w:p>
              </w:tc>
              <w:tc>
                <w:tcPr>
                  <w:tcW w:w="1426" w:type="dxa"/>
                  <w:vMerge w:val="continue"/>
                  <w:tcBorders>
                    <w:tl2br w:val="nil"/>
                    <w:tr2bl w:val="nil"/>
                  </w:tcBorders>
                  <w:vAlign w:val="center"/>
                </w:tcPr>
                <w:p>
                  <w:pPr>
                    <w:pStyle w:val="70"/>
                    <w:rPr>
                      <w:color w:val="auto"/>
                    </w:rPr>
                  </w:pPr>
                </w:p>
              </w:tc>
              <w:tc>
                <w:tcPr>
                  <w:tcW w:w="4373" w:type="dxa"/>
                  <w:tcBorders>
                    <w:tl2br w:val="nil"/>
                    <w:tr2bl w:val="nil"/>
                  </w:tcBorders>
                  <w:vAlign w:val="center"/>
                </w:tcPr>
                <w:p>
                  <w:pPr>
                    <w:pStyle w:val="70"/>
                    <w:rPr>
                      <w:color w:val="auto"/>
                    </w:rPr>
                  </w:pPr>
                  <w:r>
                    <w:rPr>
                      <w:color w:val="auto"/>
                    </w:rPr>
                    <w:t>危险废物委托处置</w:t>
                  </w:r>
                </w:p>
              </w:tc>
              <w:tc>
                <w:tcPr>
                  <w:tcW w:w="1508" w:type="dxa"/>
                  <w:tcBorders>
                    <w:tl2br w:val="nil"/>
                    <w:tr2bl w:val="nil"/>
                  </w:tcBorders>
                  <w:vAlign w:val="center"/>
                </w:tcPr>
                <w:p>
                  <w:pPr>
                    <w:pStyle w:val="70"/>
                    <w:rPr>
                      <w:color w:val="auto"/>
                    </w:rPr>
                  </w:pPr>
                  <w:r>
                    <w:rPr>
                      <w:rFonts w:hint="eastAsia"/>
                      <w:color w:val="auto"/>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pPr>
                    <w:pStyle w:val="70"/>
                    <w:rPr>
                      <w:color w:val="auto"/>
                    </w:rPr>
                  </w:pPr>
                </w:p>
              </w:tc>
              <w:tc>
                <w:tcPr>
                  <w:tcW w:w="1426" w:type="dxa"/>
                  <w:tcBorders>
                    <w:tl2br w:val="nil"/>
                    <w:tr2bl w:val="nil"/>
                  </w:tcBorders>
                  <w:vAlign w:val="center"/>
                </w:tcPr>
                <w:p>
                  <w:pPr>
                    <w:pStyle w:val="70"/>
                    <w:rPr>
                      <w:color w:val="auto"/>
                    </w:rPr>
                  </w:pPr>
                  <w:r>
                    <w:rPr>
                      <w:rFonts w:hint="eastAsia"/>
                      <w:color w:val="auto"/>
                    </w:rPr>
                    <w:t>防渗</w:t>
                  </w:r>
                </w:p>
              </w:tc>
              <w:tc>
                <w:tcPr>
                  <w:tcW w:w="4373" w:type="dxa"/>
                  <w:tcBorders>
                    <w:tl2br w:val="nil"/>
                    <w:tr2bl w:val="nil"/>
                  </w:tcBorders>
                  <w:vAlign w:val="center"/>
                </w:tcPr>
                <w:p>
                  <w:pPr>
                    <w:pStyle w:val="70"/>
                    <w:rPr>
                      <w:color w:val="auto"/>
                    </w:rPr>
                  </w:pPr>
                  <w:r>
                    <w:rPr>
                      <w:rFonts w:hint="eastAsia"/>
                      <w:color w:val="auto"/>
                      <w:lang w:val="en-US" w:eastAsia="zh-CN"/>
                    </w:rPr>
                    <w:t>分区防渗，</w:t>
                  </w:r>
                  <w:r>
                    <w:rPr>
                      <w:rFonts w:hint="eastAsia"/>
                      <w:lang w:val="en-US" w:eastAsia="zh-CN"/>
                    </w:rPr>
                    <w:t>化粪池、油罐区和</w:t>
                  </w:r>
                  <w:r>
                    <w:t>危险废物</w:t>
                  </w:r>
                  <w:r>
                    <w:rPr>
                      <w:rFonts w:hint="eastAsia"/>
                      <w:lang w:val="en-US" w:eastAsia="zh-CN"/>
                    </w:rPr>
                    <w:t>贮存库</w:t>
                  </w:r>
                  <w:r>
                    <w:rPr>
                      <w:rFonts w:hint="eastAsia"/>
                      <w:color w:val="auto"/>
                    </w:rPr>
                    <w:t>重点防渗，</w:t>
                  </w:r>
                  <w:r>
                    <w:rPr>
                      <w:rFonts w:hint="eastAsia"/>
                    </w:rPr>
                    <w:t>主厂房</w:t>
                  </w:r>
                  <w:r>
                    <w:t>、</w:t>
                  </w:r>
                  <w:r>
                    <w:rPr>
                      <w:rFonts w:hint="eastAsia"/>
                    </w:rPr>
                    <w:t>锅炉房、</w:t>
                  </w:r>
                  <w:r>
                    <w:rPr>
                      <w:rFonts w:hint="eastAsia"/>
                      <w:lang w:val="en-US" w:eastAsia="zh-CN"/>
                    </w:rPr>
                    <w:t>一般固体废物</w:t>
                  </w:r>
                  <w:r>
                    <w:t>储存车间</w:t>
                  </w:r>
                  <w:r>
                    <w:rPr>
                      <w:rFonts w:hint="eastAsia"/>
                      <w:color w:val="auto"/>
                    </w:rPr>
                    <w:t>一般防渗</w:t>
                  </w:r>
                  <w:r>
                    <w:rPr>
                      <w:rFonts w:hint="eastAsia"/>
                      <w:color w:val="auto"/>
                      <w:lang w:eastAsia="zh-CN"/>
                    </w:rPr>
                    <w:t>，</w:t>
                  </w:r>
                  <w:r>
                    <w:rPr>
                      <w:rFonts w:hint="eastAsia"/>
                      <w:color w:val="auto"/>
                      <w:lang w:val="en-US" w:eastAsia="zh-CN"/>
                    </w:rPr>
                    <w:t>厂区道路</w:t>
                  </w:r>
                  <w:r>
                    <w:rPr>
                      <w:rFonts w:hint="eastAsia"/>
                      <w:color w:val="auto"/>
                    </w:rPr>
                    <w:t>简单防渗</w:t>
                  </w:r>
                </w:p>
              </w:tc>
              <w:tc>
                <w:tcPr>
                  <w:tcW w:w="1508" w:type="dxa"/>
                  <w:tcBorders>
                    <w:tl2br w:val="nil"/>
                    <w:tr2bl w:val="nil"/>
                  </w:tcBorders>
                  <w:vAlign w:val="center"/>
                </w:tcPr>
                <w:p>
                  <w:pPr>
                    <w:pStyle w:val="70"/>
                    <w:rPr>
                      <w:color w:val="auto"/>
                    </w:rPr>
                  </w:pPr>
                  <w:r>
                    <w:rPr>
                      <w:rFonts w:hint="eastAsia"/>
                      <w:color w:val="auto"/>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pPr>
                    <w:pStyle w:val="70"/>
                    <w:rPr>
                      <w:color w:val="auto"/>
                    </w:rPr>
                  </w:pPr>
                </w:p>
              </w:tc>
              <w:tc>
                <w:tcPr>
                  <w:tcW w:w="5799" w:type="dxa"/>
                  <w:gridSpan w:val="2"/>
                  <w:tcBorders>
                    <w:tl2br w:val="nil"/>
                    <w:tr2bl w:val="nil"/>
                  </w:tcBorders>
                  <w:vAlign w:val="center"/>
                </w:tcPr>
                <w:p>
                  <w:pPr>
                    <w:pStyle w:val="70"/>
                    <w:rPr>
                      <w:color w:val="auto"/>
                    </w:rPr>
                  </w:pPr>
                  <w:r>
                    <w:rPr>
                      <w:color w:val="auto"/>
                    </w:rPr>
                    <w:t>合计</w:t>
                  </w:r>
                </w:p>
              </w:tc>
              <w:tc>
                <w:tcPr>
                  <w:tcW w:w="1508" w:type="dxa"/>
                  <w:tcBorders>
                    <w:tl2br w:val="nil"/>
                    <w:tr2bl w:val="nil"/>
                  </w:tcBorders>
                  <w:vAlign w:val="center"/>
                </w:tcPr>
                <w:p>
                  <w:pPr>
                    <w:pStyle w:val="70"/>
                    <w:rPr>
                      <w:color w:val="auto"/>
                    </w:rPr>
                  </w:pPr>
                  <w:r>
                    <w:rPr>
                      <w:rFonts w:hint="eastAsia"/>
                      <w:color w:val="auto"/>
                    </w:rPr>
                    <w:t>188</w:t>
                  </w:r>
                </w:p>
              </w:tc>
            </w:tr>
          </w:tbl>
          <w:p>
            <w:pPr>
              <w:ind w:firstLine="0" w:firstLineChars="0"/>
            </w:pPr>
          </w:p>
        </w:tc>
      </w:tr>
    </w:tbl>
    <w:p>
      <w:pPr>
        <w:adjustRightInd w:val="0"/>
        <w:snapToGrid w:val="0"/>
        <w:ind w:firstLine="562"/>
        <w:rPr>
          <w:b/>
          <w:kern w:val="0"/>
          <w:sz w:val="28"/>
          <w:szCs w:val="28"/>
        </w:rPr>
        <w:sectPr>
          <w:pgSz w:w="11907" w:h="16840"/>
          <w:pgMar w:top="1701" w:right="1531" w:bottom="2127" w:left="1531" w:header="851" w:footer="851" w:gutter="0"/>
          <w:cols w:space="720" w:num="1"/>
          <w:docGrid w:linePitch="312" w:charSpace="0"/>
        </w:sectPr>
      </w:pPr>
    </w:p>
    <w:p>
      <w:pPr>
        <w:pStyle w:val="22"/>
        <w:ind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40" w:name="_Hlk54167917"/>
      <w:r>
        <w:rPr>
          <w:rFonts w:ascii="Times New Roman" w:hAnsi="Times New Roman" w:eastAsia="黑体"/>
          <w:snapToGrid w:val="0"/>
          <w:sz w:val="30"/>
          <w:szCs w:val="30"/>
        </w:rPr>
        <w:t>环境保护措施监督检查清单</w:t>
      </w:r>
      <w:bookmarkEnd w:id="40"/>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362"/>
        <w:gridCol w:w="1280"/>
        <w:gridCol w:w="2130"/>
        <w:gridCol w:w="25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2" w:type="dxa"/>
            <w:tcBorders>
              <w:tl2br w:val="single" w:color="auto" w:sz="4" w:space="0"/>
            </w:tcBorders>
            <w:vAlign w:val="center"/>
          </w:tcPr>
          <w:p>
            <w:pPr>
              <w:pStyle w:val="70"/>
            </w:pPr>
            <w:r>
              <w:t>内容</w:t>
            </w:r>
          </w:p>
          <w:p>
            <w:pPr>
              <w:pStyle w:val="70"/>
            </w:pPr>
            <w:r>
              <w:t>要素</w:t>
            </w:r>
          </w:p>
        </w:tc>
        <w:tc>
          <w:tcPr>
            <w:tcW w:w="1362" w:type="dxa"/>
            <w:vAlign w:val="center"/>
          </w:tcPr>
          <w:p>
            <w:pPr>
              <w:pStyle w:val="70"/>
            </w:pPr>
            <w:r>
              <w:t>排放口</w:t>
            </w:r>
            <w:r>
              <w:rPr>
                <w:rFonts w:hint="eastAsia"/>
                <w:lang w:eastAsia="zh-CN"/>
              </w:rPr>
              <w:t>（</w:t>
            </w:r>
            <w:r>
              <w:t>编号、名称</w:t>
            </w:r>
            <w:r>
              <w:rPr>
                <w:rFonts w:hint="eastAsia"/>
                <w:lang w:eastAsia="zh-CN"/>
              </w:rPr>
              <w:t>）</w:t>
            </w:r>
            <w:r>
              <w:t>/污染源</w:t>
            </w:r>
          </w:p>
        </w:tc>
        <w:tc>
          <w:tcPr>
            <w:tcW w:w="1280" w:type="dxa"/>
            <w:vAlign w:val="center"/>
          </w:tcPr>
          <w:p>
            <w:pPr>
              <w:pStyle w:val="70"/>
            </w:pPr>
            <w:r>
              <w:t>污染物项目</w:t>
            </w:r>
          </w:p>
        </w:tc>
        <w:tc>
          <w:tcPr>
            <w:tcW w:w="2130" w:type="dxa"/>
            <w:vAlign w:val="center"/>
          </w:tcPr>
          <w:p>
            <w:pPr>
              <w:pStyle w:val="70"/>
            </w:pPr>
            <w:r>
              <w:t>环境保护措施</w:t>
            </w:r>
          </w:p>
        </w:tc>
        <w:tc>
          <w:tcPr>
            <w:tcW w:w="2576" w:type="dxa"/>
            <w:vAlign w:val="center"/>
          </w:tcPr>
          <w:p>
            <w:pPr>
              <w:pStyle w:val="70"/>
            </w:pPr>
            <w: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1712" w:type="dxa"/>
            <w:vMerge w:val="restart"/>
            <w:vAlign w:val="center"/>
          </w:tcPr>
          <w:p>
            <w:pPr>
              <w:pStyle w:val="70"/>
            </w:pPr>
            <w:r>
              <w:t>大气环境</w:t>
            </w:r>
          </w:p>
        </w:tc>
        <w:tc>
          <w:tcPr>
            <w:tcW w:w="1362" w:type="dxa"/>
            <w:vAlign w:val="center"/>
          </w:tcPr>
          <w:p>
            <w:pPr>
              <w:pStyle w:val="70"/>
              <w:rPr>
                <w:rFonts w:hint="eastAsia" w:eastAsia="宋体"/>
                <w:lang w:eastAsia="zh-CN"/>
              </w:rPr>
            </w:pPr>
            <w:r>
              <w:rPr>
                <w:rFonts w:hint="eastAsia"/>
              </w:rPr>
              <w:t>燃气锅炉</w:t>
            </w:r>
            <w:r>
              <w:rPr>
                <w:rFonts w:hint="eastAsia"/>
                <w:lang w:eastAsia="zh-CN"/>
              </w:rPr>
              <w:t>（</w:t>
            </w:r>
            <w:r>
              <w:t>DA001</w:t>
            </w:r>
            <w:r>
              <w:rPr>
                <w:rFonts w:hint="eastAsia"/>
                <w:lang w:eastAsia="zh-CN"/>
              </w:rPr>
              <w:t>）</w:t>
            </w:r>
          </w:p>
        </w:tc>
        <w:tc>
          <w:tcPr>
            <w:tcW w:w="1280" w:type="dxa"/>
            <w:vAlign w:val="center"/>
          </w:tcPr>
          <w:p>
            <w:pPr>
              <w:pStyle w:val="70"/>
            </w:pPr>
            <w:r>
              <w:t>颗粒物、SO</w:t>
            </w:r>
            <w:r>
              <w:rPr>
                <w:vertAlign w:val="subscript"/>
              </w:rPr>
              <w:t>2</w:t>
            </w:r>
            <w:r>
              <w:t>、NO</w:t>
            </w:r>
            <w:r>
              <w:rPr>
                <w:vertAlign w:val="subscript"/>
              </w:rPr>
              <w:t>X</w:t>
            </w:r>
          </w:p>
        </w:tc>
        <w:tc>
          <w:tcPr>
            <w:tcW w:w="2130" w:type="dxa"/>
            <w:vAlign w:val="center"/>
          </w:tcPr>
          <w:p>
            <w:pPr>
              <w:pStyle w:val="70"/>
              <w:rPr>
                <w:color w:val="C00000"/>
              </w:rPr>
            </w:pPr>
            <w:r>
              <w:rPr>
                <w:rFonts w:hint="eastAsia"/>
              </w:rPr>
              <w:t>低氮燃烧技术+一根</w:t>
            </w:r>
            <w:r>
              <w:rPr>
                <w:rFonts w:hint="eastAsia"/>
                <w:lang w:val="en-US" w:eastAsia="zh-CN"/>
              </w:rPr>
              <w:t>12</w:t>
            </w:r>
            <w:r>
              <w:rPr>
                <w:rFonts w:hint="eastAsia"/>
              </w:rPr>
              <w:t>m高排气筒</w:t>
            </w:r>
            <w:r>
              <w:t>DA001</w:t>
            </w:r>
          </w:p>
        </w:tc>
        <w:tc>
          <w:tcPr>
            <w:tcW w:w="2576" w:type="dxa"/>
            <w:vAlign w:val="center"/>
          </w:tcPr>
          <w:p>
            <w:pPr>
              <w:pStyle w:val="70"/>
            </w:pPr>
            <w:r>
              <w:t>颗粒物、二氧化硫执行《锅炉大气污染物排放标准》（GB13271-2014）表2新建锅炉大气污染物排放浓度限值中</w:t>
            </w:r>
            <w:r>
              <w:rPr>
                <w:rFonts w:hint="eastAsia"/>
              </w:rPr>
              <w:t>燃气锅炉</w:t>
            </w:r>
            <w:r>
              <w:t>标准；氮氧化物执行</w:t>
            </w:r>
            <w:r>
              <w:rPr>
                <w:rFonts w:hint="eastAsia"/>
                <w:lang w:eastAsia="zh-CN"/>
              </w:rPr>
              <w:t>《</w:t>
            </w:r>
            <w:r>
              <w:rPr>
                <w:rFonts w:hint="eastAsia"/>
              </w:rPr>
              <w:t>关于开展自治区2022年度夏秋季大气污染防治</w:t>
            </w:r>
            <w:r>
              <w:rPr>
                <w:rFonts w:hint="eastAsia"/>
                <w:lang w:eastAsia="zh-CN"/>
              </w:rPr>
              <w:t>“</w:t>
            </w:r>
            <w:r>
              <w:rPr>
                <w:rFonts w:hint="eastAsia"/>
              </w:rPr>
              <w:t>冬病夏治</w:t>
            </w:r>
            <w:r>
              <w:rPr>
                <w:rFonts w:hint="eastAsia"/>
                <w:lang w:eastAsia="zh-CN"/>
              </w:rPr>
              <w:t>”</w:t>
            </w:r>
            <w:r>
              <w:rPr>
                <w:rFonts w:hint="eastAsia"/>
              </w:rPr>
              <w:t>工作的通知》（新环大气发〔2022〕483号）</w:t>
            </w:r>
            <w:r>
              <w:t>文件中</w:t>
            </w:r>
            <w:r>
              <w:rPr>
                <w:rFonts w:hint="eastAsia"/>
              </w:rPr>
              <w:t>燃气锅炉</w:t>
            </w:r>
            <w:r>
              <w:t>氮氧化物排放浓度不高于50mg/m</w:t>
            </w:r>
            <w:r>
              <w:rPr>
                <w:vertAlign w:val="superscript"/>
              </w:rPr>
              <w:t>3</w:t>
            </w:r>
            <w:r>
              <w:t>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pPr>
              <w:pStyle w:val="70"/>
            </w:pPr>
          </w:p>
        </w:tc>
        <w:tc>
          <w:tcPr>
            <w:tcW w:w="1362" w:type="dxa"/>
            <w:vAlign w:val="center"/>
          </w:tcPr>
          <w:p>
            <w:pPr>
              <w:pStyle w:val="70"/>
              <w:rPr>
                <w:rFonts w:hint="eastAsia" w:eastAsia="宋体"/>
                <w:lang w:eastAsia="zh-CN"/>
              </w:rPr>
            </w:pPr>
            <w:r>
              <w:rPr>
                <w:rFonts w:hint="eastAsia"/>
              </w:rPr>
              <w:t>卸料工序</w:t>
            </w:r>
            <w:r>
              <w:rPr>
                <w:rFonts w:hint="eastAsia"/>
                <w:lang w:eastAsia="zh-CN"/>
              </w:rPr>
              <w:t>（</w:t>
            </w:r>
            <w:r>
              <w:t>DA00</w:t>
            </w:r>
            <w:r>
              <w:rPr>
                <w:rFonts w:hint="eastAsia"/>
              </w:rPr>
              <w:t>2</w:t>
            </w:r>
            <w:r>
              <w:rPr>
                <w:rFonts w:hint="eastAsia"/>
                <w:lang w:eastAsia="zh-CN"/>
              </w:rPr>
              <w:t>）</w:t>
            </w:r>
          </w:p>
        </w:tc>
        <w:tc>
          <w:tcPr>
            <w:tcW w:w="1280" w:type="dxa"/>
            <w:vAlign w:val="center"/>
          </w:tcPr>
          <w:p>
            <w:pPr>
              <w:pStyle w:val="70"/>
            </w:pPr>
            <w:r>
              <w:t>颗粒物</w:t>
            </w:r>
          </w:p>
        </w:tc>
        <w:tc>
          <w:tcPr>
            <w:tcW w:w="2130" w:type="dxa"/>
            <w:vAlign w:val="center"/>
          </w:tcPr>
          <w:p>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2台脉冲式布袋除尘器</w:t>
            </w:r>
            <w:r>
              <w:t>+</w:t>
            </w:r>
            <w:r>
              <w:rPr>
                <w:rFonts w:hint="eastAsia"/>
              </w:rPr>
              <w:t>1</w:t>
            </w:r>
            <w:r>
              <w:t>根</w:t>
            </w:r>
            <w:r>
              <w:rPr>
                <w:rFonts w:hint="eastAsia"/>
              </w:rPr>
              <w:t>15</w:t>
            </w:r>
            <w:r>
              <w:t>m高排气筒DA00</w:t>
            </w:r>
            <w:r>
              <w:rPr>
                <w:rFonts w:hint="eastAsia"/>
              </w:rPr>
              <w:t>2</w:t>
            </w:r>
          </w:p>
        </w:tc>
        <w:tc>
          <w:tcPr>
            <w:tcW w:w="2576" w:type="dxa"/>
            <w:vMerge w:val="restart"/>
            <w:vAlign w:val="center"/>
          </w:tcPr>
          <w:p>
            <w:pPr>
              <w:pStyle w:val="70"/>
            </w:pPr>
            <w:r>
              <w:t>《大气污染物综合排放标准》（GB16297-1996）中2级标准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pPr>
              <w:pStyle w:val="70"/>
            </w:pPr>
          </w:p>
        </w:tc>
        <w:tc>
          <w:tcPr>
            <w:tcW w:w="1362" w:type="dxa"/>
            <w:vAlign w:val="center"/>
          </w:tcPr>
          <w:p>
            <w:pPr>
              <w:pStyle w:val="70"/>
              <w:rPr>
                <w:rFonts w:hint="eastAsia" w:eastAsia="宋体"/>
                <w:lang w:eastAsia="zh-CN"/>
              </w:rPr>
            </w:pPr>
            <w:r>
              <w:rPr>
                <w:rFonts w:hint="eastAsia"/>
              </w:rPr>
              <w:t>投料工序</w:t>
            </w:r>
            <w:r>
              <w:rPr>
                <w:rFonts w:hint="eastAsia"/>
                <w:lang w:eastAsia="zh-CN"/>
              </w:rPr>
              <w:t>（</w:t>
            </w:r>
            <w:r>
              <w:t>DA00</w:t>
            </w:r>
            <w:r>
              <w:rPr>
                <w:rFonts w:hint="eastAsia"/>
              </w:rPr>
              <w:t>3</w:t>
            </w:r>
            <w:r>
              <w:rPr>
                <w:rFonts w:hint="eastAsia"/>
                <w:lang w:eastAsia="zh-CN"/>
              </w:rPr>
              <w:t>）</w:t>
            </w:r>
          </w:p>
        </w:tc>
        <w:tc>
          <w:tcPr>
            <w:tcW w:w="1280" w:type="dxa"/>
            <w:vAlign w:val="center"/>
          </w:tcPr>
          <w:p>
            <w:pPr>
              <w:pStyle w:val="70"/>
            </w:pPr>
            <w:r>
              <w:t>颗粒物</w:t>
            </w:r>
          </w:p>
        </w:tc>
        <w:tc>
          <w:tcPr>
            <w:tcW w:w="2130" w:type="dxa"/>
            <w:vAlign w:val="center"/>
          </w:tcPr>
          <w:p>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3台脉冲式布袋除尘器</w:t>
            </w:r>
            <w:r>
              <w:t>+</w:t>
            </w:r>
            <w:r>
              <w:rPr>
                <w:rFonts w:hint="eastAsia"/>
              </w:rPr>
              <w:t>1</w:t>
            </w:r>
            <w:r>
              <w:t>根</w:t>
            </w:r>
            <w:r>
              <w:rPr>
                <w:rFonts w:hint="eastAsia"/>
              </w:rPr>
              <w:t>15</w:t>
            </w:r>
            <w:r>
              <w:t>m高排气筒DA00</w:t>
            </w:r>
            <w:r>
              <w:rPr>
                <w:rFonts w:hint="eastAsia"/>
              </w:rPr>
              <w:t>3</w:t>
            </w:r>
          </w:p>
        </w:tc>
        <w:tc>
          <w:tcPr>
            <w:tcW w:w="2576" w:type="dxa"/>
            <w:vMerge w:val="continue"/>
            <w:vAlign w:val="center"/>
          </w:tcPr>
          <w:p>
            <w:pPr>
              <w:pStyle w:val="7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pPr>
              <w:pStyle w:val="70"/>
            </w:pPr>
          </w:p>
        </w:tc>
        <w:tc>
          <w:tcPr>
            <w:tcW w:w="1362" w:type="dxa"/>
            <w:vAlign w:val="center"/>
          </w:tcPr>
          <w:p>
            <w:pPr>
              <w:pStyle w:val="70"/>
              <w:rPr>
                <w:rFonts w:hint="eastAsia" w:eastAsia="宋体"/>
                <w:lang w:eastAsia="zh-CN"/>
              </w:rPr>
            </w:pPr>
            <w:r>
              <w:rPr>
                <w:rFonts w:hint="eastAsia"/>
              </w:rPr>
              <w:t>粉碎工序</w:t>
            </w:r>
            <w:r>
              <w:rPr>
                <w:rFonts w:hint="eastAsia"/>
                <w:lang w:eastAsia="zh-CN"/>
              </w:rPr>
              <w:t>（</w:t>
            </w:r>
            <w:r>
              <w:t>DA00</w:t>
            </w:r>
            <w:r>
              <w:rPr>
                <w:rFonts w:hint="eastAsia"/>
              </w:rPr>
              <w:t>4</w:t>
            </w:r>
            <w:r>
              <w:rPr>
                <w:rFonts w:hint="eastAsia"/>
                <w:lang w:eastAsia="zh-CN"/>
              </w:rPr>
              <w:t>）</w:t>
            </w:r>
          </w:p>
        </w:tc>
        <w:tc>
          <w:tcPr>
            <w:tcW w:w="1280" w:type="dxa"/>
            <w:vAlign w:val="center"/>
          </w:tcPr>
          <w:p>
            <w:pPr>
              <w:pStyle w:val="70"/>
            </w:pPr>
            <w:r>
              <w:t>颗粒物</w:t>
            </w:r>
          </w:p>
        </w:tc>
        <w:tc>
          <w:tcPr>
            <w:tcW w:w="2130" w:type="dxa"/>
            <w:vAlign w:val="center"/>
          </w:tcPr>
          <w:p>
            <w:pPr>
              <w:pStyle w:val="70"/>
              <w:rPr>
                <w:rFonts w:hint="eastAsia" w:eastAsia="宋体"/>
                <w:lang w:eastAsia="zh-CN"/>
              </w:rPr>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2台脉冲式布袋除尘器</w:t>
            </w:r>
            <w:r>
              <w:t>+</w:t>
            </w:r>
            <w:r>
              <w:rPr>
                <w:rFonts w:hint="eastAsia"/>
              </w:rPr>
              <w:t>1</w:t>
            </w:r>
            <w:r>
              <w:t>根</w:t>
            </w:r>
            <w:r>
              <w:rPr>
                <w:rFonts w:hint="eastAsia"/>
              </w:rPr>
              <w:t>15</w:t>
            </w:r>
            <w:r>
              <w:t>m高排气筒DA00</w:t>
            </w:r>
            <w:r>
              <w:rPr>
                <w:rFonts w:hint="eastAsia"/>
                <w:lang w:val="en-US" w:eastAsia="zh-CN"/>
              </w:rPr>
              <w:t>4</w:t>
            </w:r>
          </w:p>
        </w:tc>
        <w:tc>
          <w:tcPr>
            <w:tcW w:w="2576" w:type="dxa"/>
            <w:vMerge w:val="continue"/>
            <w:vAlign w:val="center"/>
          </w:tcPr>
          <w:p>
            <w:pPr>
              <w:pStyle w:val="7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pPr>
              <w:pStyle w:val="70"/>
            </w:pPr>
          </w:p>
        </w:tc>
        <w:tc>
          <w:tcPr>
            <w:tcW w:w="1362" w:type="dxa"/>
            <w:vAlign w:val="center"/>
          </w:tcPr>
          <w:p>
            <w:pPr>
              <w:pStyle w:val="70"/>
              <w:rPr>
                <w:rFonts w:hint="eastAsia" w:eastAsia="宋体"/>
                <w:lang w:eastAsia="zh-CN"/>
              </w:rPr>
            </w:pPr>
            <w:r>
              <w:rPr>
                <w:rFonts w:hint="eastAsia"/>
              </w:rPr>
              <w:t>配料混合工序</w:t>
            </w:r>
            <w:r>
              <w:rPr>
                <w:rFonts w:hint="eastAsia"/>
                <w:lang w:eastAsia="zh-CN"/>
              </w:rPr>
              <w:t>（</w:t>
            </w:r>
            <w:r>
              <w:t>DA00</w:t>
            </w:r>
            <w:r>
              <w:rPr>
                <w:rFonts w:hint="eastAsia"/>
              </w:rPr>
              <w:t>5</w:t>
            </w:r>
            <w:r>
              <w:rPr>
                <w:rFonts w:hint="eastAsia"/>
                <w:lang w:eastAsia="zh-CN"/>
              </w:rPr>
              <w:t>）</w:t>
            </w:r>
          </w:p>
        </w:tc>
        <w:tc>
          <w:tcPr>
            <w:tcW w:w="1280" w:type="dxa"/>
            <w:vAlign w:val="center"/>
          </w:tcPr>
          <w:p>
            <w:pPr>
              <w:pStyle w:val="70"/>
            </w:pPr>
            <w:r>
              <w:t>颗粒物</w:t>
            </w:r>
          </w:p>
        </w:tc>
        <w:tc>
          <w:tcPr>
            <w:tcW w:w="2130" w:type="dxa"/>
            <w:vAlign w:val="center"/>
          </w:tcPr>
          <w:p>
            <w:pPr>
              <w:pStyle w:val="70"/>
              <w:rPr>
                <w:rFonts w:hint="eastAsia" w:eastAsia="宋体"/>
                <w:lang w:eastAsia="zh-CN"/>
              </w:rPr>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1台脉冲式布袋除尘器</w:t>
            </w:r>
            <w:r>
              <w:t>+</w:t>
            </w:r>
            <w:r>
              <w:rPr>
                <w:rFonts w:hint="eastAsia"/>
              </w:rPr>
              <w:t>1</w:t>
            </w:r>
            <w:r>
              <w:t>根</w:t>
            </w:r>
            <w:r>
              <w:rPr>
                <w:rFonts w:hint="eastAsia"/>
              </w:rPr>
              <w:t>15</w:t>
            </w:r>
            <w:r>
              <w:t>m高排气筒DA00</w:t>
            </w:r>
            <w:r>
              <w:rPr>
                <w:rFonts w:hint="eastAsia"/>
                <w:lang w:val="en-US" w:eastAsia="zh-CN"/>
              </w:rPr>
              <w:t>5</w:t>
            </w:r>
          </w:p>
        </w:tc>
        <w:tc>
          <w:tcPr>
            <w:tcW w:w="2576" w:type="dxa"/>
            <w:vMerge w:val="continue"/>
            <w:vAlign w:val="center"/>
          </w:tcPr>
          <w:p>
            <w:pPr>
              <w:pStyle w:val="7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pPr>
              <w:pStyle w:val="70"/>
            </w:pPr>
          </w:p>
        </w:tc>
        <w:tc>
          <w:tcPr>
            <w:tcW w:w="1362" w:type="dxa"/>
            <w:vAlign w:val="center"/>
          </w:tcPr>
          <w:p>
            <w:pPr>
              <w:pStyle w:val="70"/>
              <w:rPr>
                <w:rFonts w:hint="eastAsia" w:eastAsia="宋体"/>
                <w:lang w:eastAsia="zh-CN"/>
              </w:rPr>
            </w:pPr>
            <w:r>
              <w:rPr>
                <w:rFonts w:hint="eastAsia"/>
              </w:rPr>
              <w:t>制粒冷却工序</w:t>
            </w:r>
            <w:r>
              <w:rPr>
                <w:rFonts w:hint="eastAsia"/>
                <w:lang w:eastAsia="zh-CN"/>
              </w:rPr>
              <w:t>（</w:t>
            </w:r>
            <w:r>
              <w:t>DA00</w:t>
            </w:r>
            <w:r>
              <w:rPr>
                <w:rFonts w:hint="eastAsia"/>
              </w:rPr>
              <w:t>6</w:t>
            </w:r>
            <w:r>
              <w:rPr>
                <w:rFonts w:hint="eastAsia"/>
                <w:lang w:eastAsia="zh-CN"/>
              </w:rPr>
              <w:t>）</w:t>
            </w:r>
          </w:p>
        </w:tc>
        <w:tc>
          <w:tcPr>
            <w:tcW w:w="1280" w:type="dxa"/>
            <w:vAlign w:val="center"/>
          </w:tcPr>
          <w:p>
            <w:pPr>
              <w:pStyle w:val="70"/>
            </w:pPr>
            <w:r>
              <w:t>颗粒物</w:t>
            </w:r>
          </w:p>
        </w:tc>
        <w:tc>
          <w:tcPr>
            <w:tcW w:w="2130" w:type="dxa"/>
            <w:vAlign w:val="center"/>
          </w:tcPr>
          <w:p>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w:t>
            </w:r>
            <w:r>
              <w:rPr>
                <w:rFonts w:hint="eastAsia"/>
                <w:lang w:val="en-US" w:eastAsia="zh-CN"/>
              </w:rPr>
              <w:t>1</w:t>
            </w:r>
            <w:r>
              <w:rPr>
                <w:rFonts w:hint="eastAsia"/>
              </w:rPr>
              <w:t>台旋风沙克龙除尘器+15m高排气筒</w:t>
            </w:r>
            <w:r>
              <w:t>DA00</w:t>
            </w:r>
            <w:r>
              <w:rPr>
                <w:rFonts w:hint="eastAsia"/>
              </w:rPr>
              <w:t>6</w:t>
            </w:r>
          </w:p>
        </w:tc>
        <w:tc>
          <w:tcPr>
            <w:tcW w:w="2576" w:type="dxa"/>
            <w:vMerge w:val="continue"/>
            <w:vAlign w:val="center"/>
          </w:tcPr>
          <w:p>
            <w:pPr>
              <w:pStyle w:val="7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pPr>
              <w:pStyle w:val="70"/>
            </w:pPr>
          </w:p>
        </w:tc>
        <w:tc>
          <w:tcPr>
            <w:tcW w:w="1362" w:type="dxa"/>
            <w:vAlign w:val="center"/>
          </w:tcPr>
          <w:p>
            <w:pPr>
              <w:pStyle w:val="70"/>
              <w:rPr>
                <w:rFonts w:hint="eastAsia" w:eastAsia="宋体"/>
                <w:lang w:eastAsia="zh-CN"/>
              </w:rPr>
            </w:pPr>
            <w:r>
              <w:rPr>
                <w:rFonts w:hint="eastAsia"/>
              </w:rPr>
              <w:t>包装工序</w:t>
            </w:r>
            <w:r>
              <w:rPr>
                <w:rFonts w:hint="eastAsia"/>
                <w:lang w:eastAsia="zh-CN"/>
              </w:rPr>
              <w:t>（</w:t>
            </w:r>
            <w:r>
              <w:t>DA00</w:t>
            </w:r>
            <w:r>
              <w:rPr>
                <w:rFonts w:hint="eastAsia"/>
              </w:rPr>
              <w:t>7</w:t>
            </w:r>
            <w:r>
              <w:rPr>
                <w:rFonts w:hint="eastAsia"/>
                <w:lang w:eastAsia="zh-CN"/>
              </w:rPr>
              <w:t>）</w:t>
            </w:r>
          </w:p>
        </w:tc>
        <w:tc>
          <w:tcPr>
            <w:tcW w:w="1280" w:type="dxa"/>
            <w:vAlign w:val="center"/>
          </w:tcPr>
          <w:p>
            <w:pPr>
              <w:pStyle w:val="70"/>
            </w:pPr>
            <w:r>
              <w:t>颗粒物</w:t>
            </w:r>
          </w:p>
        </w:tc>
        <w:tc>
          <w:tcPr>
            <w:tcW w:w="2130" w:type="dxa"/>
            <w:vAlign w:val="center"/>
          </w:tcPr>
          <w:p>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2台脉冲式布袋除尘器</w:t>
            </w:r>
            <w:r>
              <w:t>+</w:t>
            </w:r>
            <w:r>
              <w:rPr>
                <w:rFonts w:hint="eastAsia"/>
              </w:rPr>
              <w:t>1</w:t>
            </w:r>
            <w:r>
              <w:t>根</w:t>
            </w:r>
            <w:r>
              <w:rPr>
                <w:rFonts w:hint="eastAsia"/>
              </w:rPr>
              <w:t>15</w:t>
            </w:r>
            <w:r>
              <w:t>m高排气筒DA00</w:t>
            </w:r>
            <w:r>
              <w:rPr>
                <w:rFonts w:hint="eastAsia"/>
              </w:rPr>
              <w:t>7</w:t>
            </w:r>
          </w:p>
        </w:tc>
        <w:tc>
          <w:tcPr>
            <w:tcW w:w="2576" w:type="dxa"/>
            <w:vMerge w:val="continue"/>
            <w:vAlign w:val="center"/>
          </w:tcPr>
          <w:p>
            <w:pPr>
              <w:pStyle w:val="7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pPr>
              <w:pStyle w:val="70"/>
            </w:pPr>
          </w:p>
        </w:tc>
        <w:tc>
          <w:tcPr>
            <w:tcW w:w="1362" w:type="dxa"/>
            <w:vAlign w:val="center"/>
          </w:tcPr>
          <w:p>
            <w:pPr>
              <w:pStyle w:val="70"/>
            </w:pPr>
            <w:r>
              <w:rPr>
                <w:rFonts w:hint="eastAsia"/>
              </w:rPr>
              <w:t>无组织</w:t>
            </w:r>
          </w:p>
        </w:tc>
        <w:tc>
          <w:tcPr>
            <w:tcW w:w="1280" w:type="dxa"/>
            <w:vAlign w:val="center"/>
          </w:tcPr>
          <w:p>
            <w:pPr>
              <w:pStyle w:val="70"/>
            </w:pPr>
            <w:r>
              <w:t>颗粒物</w:t>
            </w:r>
          </w:p>
        </w:tc>
        <w:tc>
          <w:tcPr>
            <w:tcW w:w="2130" w:type="dxa"/>
            <w:vAlign w:val="center"/>
          </w:tcPr>
          <w:p>
            <w:pPr>
              <w:pStyle w:val="70"/>
            </w:pPr>
            <w:r>
              <w:t>/</w:t>
            </w:r>
          </w:p>
        </w:tc>
        <w:tc>
          <w:tcPr>
            <w:tcW w:w="2576" w:type="dxa"/>
            <w:vAlign w:val="center"/>
          </w:tcPr>
          <w:p>
            <w:pPr>
              <w:pStyle w:val="70"/>
            </w:pPr>
            <w:r>
              <w:t>《大气污染物综合排放标准》（GB16297-1996）中2级标准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2" w:type="dxa"/>
            <w:vMerge w:val="restart"/>
            <w:vAlign w:val="center"/>
          </w:tcPr>
          <w:p>
            <w:pPr>
              <w:pStyle w:val="70"/>
            </w:pPr>
            <w:r>
              <w:t>地表水环境</w:t>
            </w:r>
          </w:p>
        </w:tc>
        <w:tc>
          <w:tcPr>
            <w:tcW w:w="1362" w:type="dxa"/>
            <w:vAlign w:val="center"/>
          </w:tcPr>
          <w:p>
            <w:pPr>
              <w:pStyle w:val="70"/>
            </w:pPr>
            <w:r>
              <w:t>办公生活区</w:t>
            </w:r>
          </w:p>
        </w:tc>
        <w:tc>
          <w:tcPr>
            <w:tcW w:w="1280" w:type="dxa"/>
            <w:vAlign w:val="center"/>
          </w:tcPr>
          <w:p>
            <w:pPr>
              <w:pStyle w:val="70"/>
            </w:pPr>
            <w:r>
              <w:t>生活废水</w:t>
            </w:r>
          </w:p>
        </w:tc>
        <w:tc>
          <w:tcPr>
            <w:tcW w:w="2130" w:type="dxa"/>
            <w:vAlign w:val="center"/>
          </w:tcPr>
          <w:p>
            <w:pPr>
              <w:pStyle w:val="70"/>
            </w:pPr>
            <w:r>
              <w:rPr>
                <w:rFonts w:hint="eastAsia"/>
              </w:rPr>
              <w:t>化粪池处理排入园区污水管网后进入和静县污水处理厂处置</w:t>
            </w:r>
          </w:p>
        </w:tc>
        <w:tc>
          <w:tcPr>
            <w:tcW w:w="2576" w:type="dxa"/>
            <w:vAlign w:val="center"/>
          </w:tcPr>
          <w:p>
            <w:pPr>
              <w:pStyle w:val="70"/>
            </w:pPr>
            <w:r>
              <w:t>《</w:t>
            </w:r>
            <w:r>
              <w:rPr>
                <w:rFonts w:hint="eastAsia"/>
                <w:lang w:val="en-US" w:eastAsia="zh-CN"/>
              </w:rPr>
              <w:t>污水排入城镇下水道水质标准</w:t>
            </w:r>
            <w:r>
              <w:t>》（GB</w:t>
            </w:r>
            <w:r>
              <w:rPr>
                <w:rFonts w:hint="eastAsia"/>
                <w:lang w:val="en-US" w:eastAsia="zh-CN"/>
              </w:rPr>
              <w:t>/T31962-2015</w:t>
            </w:r>
            <w:r>
              <w:t>）</w:t>
            </w:r>
            <w:r>
              <w:rPr>
                <w:rFonts w:hint="eastAsia"/>
                <w:lang w:val="en-US" w:eastAsia="zh-CN"/>
              </w:rPr>
              <w:t>B级</w:t>
            </w:r>
            <w:r>
              <w:t>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2" w:type="dxa"/>
            <w:vMerge w:val="continue"/>
            <w:vAlign w:val="center"/>
          </w:tcPr>
          <w:p>
            <w:pPr>
              <w:pStyle w:val="70"/>
            </w:pPr>
          </w:p>
        </w:tc>
        <w:tc>
          <w:tcPr>
            <w:tcW w:w="1362" w:type="dxa"/>
            <w:vAlign w:val="center"/>
          </w:tcPr>
          <w:p>
            <w:pPr>
              <w:pStyle w:val="70"/>
            </w:pPr>
            <w:r>
              <w:t>锅炉废水</w:t>
            </w:r>
          </w:p>
        </w:tc>
        <w:tc>
          <w:tcPr>
            <w:tcW w:w="1280" w:type="dxa"/>
            <w:vAlign w:val="center"/>
          </w:tcPr>
          <w:p>
            <w:pPr>
              <w:pStyle w:val="70"/>
            </w:pPr>
            <w:r>
              <w:t>锅炉废水</w:t>
            </w:r>
            <w:r>
              <w:rPr>
                <w:rFonts w:hint="eastAsia"/>
              </w:rPr>
              <w:t>和软水制备废水</w:t>
            </w:r>
          </w:p>
        </w:tc>
        <w:tc>
          <w:tcPr>
            <w:tcW w:w="2130" w:type="dxa"/>
            <w:vAlign w:val="center"/>
          </w:tcPr>
          <w:p>
            <w:pPr>
              <w:pStyle w:val="70"/>
            </w:pPr>
            <w:r>
              <w:rPr>
                <w:rFonts w:hint="eastAsia"/>
              </w:rPr>
              <w:t>软水制备废水及</w:t>
            </w:r>
            <w:r>
              <w:rPr>
                <w:rFonts w:hint="eastAsia"/>
                <w:lang w:eastAsia="zh-CN"/>
              </w:rPr>
              <w:t>锅炉废水</w:t>
            </w:r>
            <w:r>
              <w:rPr>
                <w:rFonts w:hint="eastAsia"/>
              </w:rPr>
              <w:t>排入园区污水管网</w:t>
            </w:r>
          </w:p>
        </w:tc>
        <w:tc>
          <w:tcPr>
            <w:tcW w:w="2576" w:type="dxa"/>
            <w:vAlign w:val="center"/>
          </w:tcPr>
          <w:p>
            <w:pPr>
              <w:pStyle w:val="70"/>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712" w:type="dxa"/>
            <w:vAlign w:val="center"/>
          </w:tcPr>
          <w:p>
            <w:pPr>
              <w:pStyle w:val="70"/>
            </w:pPr>
            <w:r>
              <w:t>声环境</w:t>
            </w:r>
          </w:p>
        </w:tc>
        <w:tc>
          <w:tcPr>
            <w:tcW w:w="1362" w:type="dxa"/>
            <w:vAlign w:val="center"/>
          </w:tcPr>
          <w:p>
            <w:pPr>
              <w:pStyle w:val="70"/>
            </w:pPr>
            <w:r>
              <w:t>粉碎车间：粉碎机、搅拌机、制粒机等生产设备</w:t>
            </w:r>
          </w:p>
        </w:tc>
        <w:tc>
          <w:tcPr>
            <w:tcW w:w="1280" w:type="dxa"/>
            <w:vAlign w:val="center"/>
          </w:tcPr>
          <w:p>
            <w:pPr>
              <w:pStyle w:val="70"/>
            </w:pPr>
            <w:r>
              <w:t>噪声</w:t>
            </w:r>
          </w:p>
        </w:tc>
        <w:tc>
          <w:tcPr>
            <w:tcW w:w="2130" w:type="dxa"/>
            <w:vAlign w:val="center"/>
          </w:tcPr>
          <w:p>
            <w:pPr>
              <w:pStyle w:val="70"/>
            </w:pPr>
            <w:r>
              <w:rPr>
                <w:rFonts w:hint="eastAsia"/>
              </w:rPr>
              <w:t>选用低噪声设备，并对高噪声设备进行基础隔声、加装消音器、减振措施，厂房隔声</w:t>
            </w:r>
          </w:p>
        </w:tc>
        <w:tc>
          <w:tcPr>
            <w:tcW w:w="2576" w:type="dxa"/>
            <w:vAlign w:val="center"/>
          </w:tcPr>
          <w:p>
            <w:pPr>
              <w:pStyle w:val="70"/>
            </w:pPr>
            <w:r>
              <w:t>《工业企业厂界环境噪声排放标准》（GB12348-2008）中3类声环境功能区标准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2" w:type="dxa"/>
            <w:vAlign w:val="center"/>
          </w:tcPr>
          <w:p>
            <w:pPr>
              <w:pStyle w:val="70"/>
            </w:pPr>
            <w:r>
              <w:t>电磁辐射</w:t>
            </w:r>
          </w:p>
        </w:tc>
        <w:tc>
          <w:tcPr>
            <w:tcW w:w="1362" w:type="dxa"/>
            <w:vAlign w:val="center"/>
          </w:tcPr>
          <w:p>
            <w:pPr>
              <w:pStyle w:val="70"/>
            </w:pPr>
            <w:r>
              <w:t>无</w:t>
            </w:r>
          </w:p>
        </w:tc>
        <w:tc>
          <w:tcPr>
            <w:tcW w:w="1280" w:type="dxa"/>
            <w:vAlign w:val="center"/>
          </w:tcPr>
          <w:p>
            <w:pPr>
              <w:pStyle w:val="70"/>
            </w:pPr>
            <w:r>
              <w:t>/</w:t>
            </w:r>
          </w:p>
        </w:tc>
        <w:tc>
          <w:tcPr>
            <w:tcW w:w="2130" w:type="dxa"/>
            <w:vAlign w:val="center"/>
          </w:tcPr>
          <w:p>
            <w:pPr>
              <w:pStyle w:val="70"/>
            </w:pPr>
            <w:r>
              <w:t>/</w:t>
            </w:r>
          </w:p>
        </w:tc>
        <w:tc>
          <w:tcPr>
            <w:tcW w:w="2576" w:type="dxa"/>
            <w:vAlign w:val="center"/>
          </w:tcPr>
          <w:p>
            <w:pPr>
              <w:pStyle w:val="70"/>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12" w:type="dxa"/>
            <w:vMerge w:val="restart"/>
            <w:vAlign w:val="center"/>
          </w:tcPr>
          <w:p>
            <w:pPr>
              <w:pStyle w:val="70"/>
              <w:jc w:val="center"/>
              <w:rPr>
                <w:rFonts w:hint="default" w:eastAsia="宋体"/>
                <w:lang w:val="en-US" w:eastAsia="zh-CN"/>
              </w:rPr>
            </w:pPr>
            <w:r>
              <w:rPr>
                <w:rFonts w:hint="default" w:eastAsia="宋体"/>
                <w:lang w:val="en-US" w:eastAsia="zh-CN"/>
              </w:rPr>
              <w:t>固体废物</w:t>
            </w:r>
          </w:p>
        </w:tc>
        <w:tc>
          <w:tcPr>
            <w:tcW w:w="1362" w:type="dxa"/>
            <w:vAlign w:val="center"/>
          </w:tcPr>
          <w:p>
            <w:pPr>
              <w:pStyle w:val="70"/>
              <w:rPr>
                <w:color w:val="1F497D" w:themeColor="text2"/>
                <w14:textFill>
                  <w14:solidFill>
                    <w14:schemeClr w14:val="tx2"/>
                  </w14:solidFill>
                </w14:textFill>
              </w:rPr>
            </w:pPr>
            <w:r>
              <w:t>一般固废</w:t>
            </w:r>
          </w:p>
        </w:tc>
        <w:tc>
          <w:tcPr>
            <w:tcW w:w="1280" w:type="dxa"/>
            <w:vAlign w:val="center"/>
          </w:tcPr>
          <w:p>
            <w:pPr>
              <w:pStyle w:val="70"/>
              <w:rPr>
                <w:color w:val="1F497D" w:themeColor="text2"/>
                <w14:textFill>
                  <w14:solidFill>
                    <w14:schemeClr w14:val="tx2"/>
                  </w14:solidFill>
                </w14:textFill>
              </w:rPr>
            </w:pPr>
            <w:r>
              <w:t>除尘灰回用于生产线，废旧除尘布袋厂家回收；锅炉软水制备设备离子交换树脂厂家回收</w:t>
            </w:r>
          </w:p>
        </w:tc>
        <w:tc>
          <w:tcPr>
            <w:tcW w:w="2130" w:type="dxa"/>
            <w:vAlign w:val="center"/>
          </w:tcPr>
          <w:p>
            <w:pPr>
              <w:pStyle w:val="70"/>
              <w:rPr>
                <w:color w:val="1F497D" w:themeColor="text2"/>
                <w14:textFill>
                  <w14:solidFill>
                    <w14:schemeClr w14:val="tx2"/>
                  </w14:solidFill>
                </w14:textFill>
              </w:rPr>
            </w:pPr>
            <w:r>
              <w:rPr>
                <w:rFonts w:hint="eastAsia"/>
              </w:rPr>
              <w:t>贮存过程应满足相应防渗漏、防雨淋、防扬尘等环境保护要求</w:t>
            </w:r>
          </w:p>
        </w:tc>
        <w:tc>
          <w:tcPr>
            <w:tcW w:w="2576" w:type="dxa"/>
            <w:vAlign w:val="center"/>
          </w:tcPr>
          <w:p>
            <w:pPr>
              <w:pStyle w:val="70"/>
              <w:rPr>
                <w:color w:val="1F497D" w:themeColor="text2"/>
                <w14:textFill>
                  <w14:solidFill>
                    <w14:schemeClr w14:val="tx2"/>
                  </w14:solidFill>
                </w14:textFill>
              </w:rPr>
            </w:pPr>
            <w:r>
              <w:t>一般固废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712" w:type="dxa"/>
            <w:vMerge w:val="continue"/>
            <w:vAlign w:val="center"/>
          </w:tcPr>
          <w:p>
            <w:pPr>
              <w:pStyle w:val="70"/>
            </w:pPr>
          </w:p>
        </w:tc>
        <w:tc>
          <w:tcPr>
            <w:tcW w:w="1362" w:type="dxa"/>
            <w:vAlign w:val="center"/>
          </w:tcPr>
          <w:p>
            <w:pPr>
              <w:pStyle w:val="70"/>
              <w:rPr>
                <w:color w:val="1F497D" w:themeColor="text2"/>
                <w14:textFill>
                  <w14:solidFill>
                    <w14:schemeClr w14:val="tx2"/>
                  </w14:solidFill>
                </w14:textFill>
              </w:rPr>
            </w:pPr>
            <w:r>
              <w:t>危险固废</w:t>
            </w:r>
          </w:p>
        </w:tc>
        <w:tc>
          <w:tcPr>
            <w:tcW w:w="1280" w:type="dxa"/>
            <w:vAlign w:val="center"/>
          </w:tcPr>
          <w:p>
            <w:pPr>
              <w:pStyle w:val="70"/>
              <w:rPr>
                <w:color w:val="1F497D" w:themeColor="text2"/>
                <w14:textFill>
                  <w14:solidFill>
                    <w14:schemeClr w14:val="tx2"/>
                  </w14:solidFill>
                </w14:textFill>
              </w:rPr>
            </w:pPr>
            <w:r>
              <w:t>设备维修过程产生的</w:t>
            </w:r>
            <w:r>
              <w:rPr>
                <w:rFonts w:hint="eastAsia"/>
                <w:lang w:val="en-US" w:eastAsia="zh-CN"/>
              </w:rPr>
              <w:t>废润滑油，</w:t>
            </w:r>
            <w:r>
              <w:rPr>
                <w:rFonts w:hint="eastAsia"/>
              </w:rPr>
              <w:t>委托有资质单位定期清运</w:t>
            </w:r>
          </w:p>
        </w:tc>
        <w:tc>
          <w:tcPr>
            <w:tcW w:w="2130" w:type="dxa"/>
            <w:vAlign w:val="center"/>
          </w:tcPr>
          <w:p>
            <w:pPr>
              <w:pStyle w:val="70"/>
              <w:rPr>
                <w:color w:val="1F497D" w:themeColor="text2"/>
                <w14:textFill>
                  <w14:solidFill>
                    <w14:schemeClr w14:val="tx2"/>
                  </w14:solidFill>
                </w14:textFill>
              </w:rPr>
            </w:pPr>
            <w:r>
              <w:t>满足《危险废物贮存污染控制标准》（GB18597-2023）要求</w:t>
            </w:r>
          </w:p>
        </w:tc>
        <w:tc>
          <w:tcPr>
            <w:tcW w:w="2576" w:type="dxa"/>
            <w:vAlign w:val="center"/>
          </w:tcPr>
          <w:p>
            <w:pPr>
              <w:pStyle w:val="70"/>
              <w:rPr>
                <w:color w:val="1F497D" w:themeColor="text2"/>
                <w14:textFill>
                  <w14:solidFill>
                    <w14:schemeClr w14:val="tx2"/>
                  </w14:solidFill>
                </w14:textFill>
              </w:rPr>
            </w:pPr>
            <w:r>
              <w:t>危险固废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712" w:type="dxa"/>
            <w:vMerge w:val="continue"/>
            <w:vAlign w:val="center"/>
          </w:tcPr>
          <w:p>
            <w:pPr>
              <w:pStyle w:val="70"/>
            </w:pPr>
          </w:p>
        </w:tc>
        <w:tc>
          <w:tcPr>
            <w:tcW w:w="1362" w:type="dxa"/>
            <w:vAlign w:val="center"/>
          </w:tcPr>
          <w:p>
            <w:pPr>
              <w:pStyle w:val="70"/>
              <w:rPr>
                <w:color w:val="1F497D" w:themeColor="text2"/>
                <w14:textFill>
                  <w14:solidFill>
                    <w14:schemeClr w14:val="tx2"/>
                  </w14:solidFill>
                </w14:textFill>
              </w:rPr>
            </w:pPr>
            <w:r>
              <w:t>生活垃圾</w:t>
            </w:r>
          </w:p>
        </w:tc>
        <w:tc>
          <w:tcPr>
            <w:tcW w:w="1280" w:type="dxa"/>
            <w:vAlign w:val="center"/>
          </w:tcPr>
          <w:p>
            <w:pPr>
              <w:pStyle w:val="70"/>
              <w:rPr>
                <w:color w:val="1F497D" w:themeColor="text2"/>
                <w14:textFill>
                  <w14:solidFill>
                    <w14:schemeClr w14:val="tx2"/>
                  </w14:solidFill>
                </w14:textFill>
              </w:rPr>
            </w:pPr>
            <w:r>
              <w:t>生活垃圾集中收集后交由环卫部门统一清运</w:t>
            </w:r>
          </w:p>
        </w:tc>
        <w:tc>
          <w:tcPr>
            <w:tcW w:w="2130" w:type="dxa"/>
            <w:vAlign w:val="center"/>
          </w:tcPr>
          <w:p>
            <w:pPr>
              <w:pStyle w:val="70"/>
              <w:rPr>
                <w:color w:val="1F497D" w:themeColor="text2"/>
                <w14:textFill>
                  <w14:solidFill>
                    <w14:schemeClr w14:val="tx2"/>
                  </w14:solidFill>
                </w14:textFill>
              </w:rPr>
            </w:pPr>
            <w:r>
              <w:rPr>
                <w:rFonts w:hint="eastAsia"/>
              </w:rPr>
              <w:t>/</w:t>
            </w:r>
          </w:p>
        </w:tc>
        <w:tc>
          <w:tcPr>
            <w:tcW w:w="2576" w:type="dxa"/>
            <w:vAlign w:val="center"/>
          </w:tcPr>
          <w:p>
            <w:pPr>
              <w:pStyle w:val="70"/>
              <w:rPr>
                <w:color w:val="1F497D" w:themeColor="text2"/>
                <w14:textFill>
                  <w14:solidFill>
                    <w14:schemeClr w14:val="tx2"/>
                  </w14:solidFill>
                </w14:textFill>
              </w:rPr>
            </w:pPr>
            <w:r>
              <w:t>生活垃圾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712" w:type="dxa"/>
            <w:vAlign w:val="center"/>
          </w:tcPr>
          <w:p>
            <w:pPr>
              <w:pStyle w:val="70"/>
            </w:pPr>
            <w:r>
              <w:t>土壤及地下水污染防治措施</w:t>
            </w:r>
          </w:p>
        </w:tc>
        <w:tc>
          <w:tcPr>
            <w:tcW w:w="7348" w:type="dxa"/>
            <w:gridSpan w:val="4"/>
            <w:vAlign w:val="center"/>
          </w:tcPr>
          <w:p>
            <w:pPr>
              <w:pStyle w:val="70"/>
            </w:pPr>
            <w:r>
              <w:t>做好防止和减少</w:t>
            </w:r>
            <w:r>
              <w:rPr>
                <w:rFonts w:hint="eastAsia"/>
                <w:lang w:eastAsia="zh-CN"/>
              </w:rPr>
              <w:t>“</w:t>
            </w:r>
            <w:r>
              <w:t>跑、冒、滴、漏</w:t>
            </w:r>
            <w:r>
              <w:rPr>
                <w:rFonts w:hint="eastAsia"/>
                <w:lang w:eastAsia="zh-CN"/>
              </w:rPr>
              <w:t>”</w:t>
            </w:r>
            <w:r>
              <w:t>等源头控制措施的基础上，对项目区域进行分区防渗处理</w:t>
            </w:r>
            <w:r>
              <w:rPr>
                <w:rFonts w:hint="eastAsia"/>
                <w:color w:val="auto"/>
                <w:lang w:val="en-US" w:eastAsia="zh-CN"/>
              </w:rPr>
              <w:t>，</w:t>
            </w:r>
            <w:r>
              <w:rPr>
                <w:rFonts w:hint="eastAsia"/>
                <w:lang w:val="en-US" w:eastAsia="zh-CN"/>
              </w:rPr>
              <w:t>化粪池、油罐区和</w:t>
            </w:r>
            <w:r>
              <w:t>危险废物</w:t>
            </w:r>
            <w:r>
              <w:rPr>
                <w:rFonts w:hint="eastAsia"/>
                <w:lang w:val="en-US" w:eastAsia="zh-CN"/>
              </w:rPr>
              <w:t>贮存库</w:t>
            </w:r>
            <w:r>
              <w:rPr>
                <w:rFonts w:hint="eastAsia"/>
                <w:color w:val="auto"/>
              </w:rPr>
              <w:t>重点防渗，</w:t>
            </w:r>
            <w:r>
              <w:rPr>
                <w:rFonts w:hint="eastAsia"/>
              </w:rPr>
              <w:t>主厂房</w:t>
            </w:r>
            <w:r>
              <w:t>、</w:t>
            </w:r>
            <w:r>
              <w:rPr>
                <w:rFonts w:hint="eastAsia"/>
              </w:rPr>
              <w:t>锅炉房、</w:t>
            </w:r>
            <w:r>
              <w:rPr>
                <w:rFonts w:hint="eastAsia"/>
                <w:lang w:val="en-US" w:eastAsia="zh-CN"/>
              </w:rPr>
              <w:t>一般固体废物</w:t>
            </w:r>
            <w:r>
              <w:t>储存车间</w:t>
            </w:r>
            <w:r>
              <w:rPr>
                <w:rFonts w:hint="eastAsia"/>
                <w:color w:val="auto"/>
              </w:rPr>
              <w:t>一般防渗</w:t>
            </w:r>
            <w:r>
              <w:rPr>
                <w:rFonts w:hint="eastAsia"/>
                <w:color w:val="auto"/>
                <w:lang w:eastAsia="zh-CN"/>
              </w:rPr>
              <w:t>，</w:t>
            </w:r>
            <w:r>
              <w:rPr>
                <w:rFonts w:hint="eastAsia"/>
                <w:color w:val="auto"/>
                <w:lang w:val="en-US" w:eastAsia="zh-CN"/>
              </w:rPr>
              <w:t>厂区道路</w:t>
            </w:r>
            <w:r>
              <w:rPr>
                <w:rFonts w:hint="eastAsia"/>
                <w:color w:val="auto"/>
              </w:rPr>
              <w:t>简单防渗</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12" w:type="dxa"/>
            <w:vAlign w:val="center"/>
          </w:tcPr>
          <w:p>
            <w:pPr>
              <w:pStyle w:val="70"/>
            </w:pPr>
            <w:r>
              <w:t>生态保护措施</w:t>
            </w:r>
          </w:p>
        </w:tc>
        <w:tc>
          <w:tcPr>
            <w:tcW w:w="7348" w:type="dxa"/>
            <w:gridSpan w:val="4"/>
            <w:vAlign w:val="center"/>
          </w:tcPr>
          <w:p>
            <w:pPr>
              <w:pStyle w:val="70"/>
            </w:pPr>
            <w: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712" w:type="dxa"/>
            <w:vAlign w:val="center"/>
          </w:tcPr>
          <w:p>
            <w:pPr>
              <w:pStyle w:val="70"/>
            </w:pPr>
            <w:r>
              <w:t>环境风险</w:t>
            </w:r>
          </w:p>
          <w:p>
            <w:pPr>
              <w:pStyle w:val="70"/>
            </w:pPr>
            <w:r>
              <w:t>防范措施</w:t>
            </w:r>
          </w:p>
        </w:tc>
        <w:tc>
          <w:tcPr>
            <w:tcW w:w="7348" w:type="dxa"/>
            <w:gridSpan w:val="4"/>
            <w:vAlign w:val="center"/>
          </w:tcPr>
          <w:p>
            <w:pPr>
              <w:pStyle w:val="70"/>
            </w:pPr>
            <w:r>
              <w:t>严格执行安全生产各项制度；</w:t>
            </w:r>
          </w:p>
          <w:p>
            <w:pPr>
              <w:pStyle w:val="70"/>
            </w:pPr>
            <w:r>
              <w:t>定期维护生产设备，防止设备故障造成安全隐患；</w:t>
            </w:r>
          </w:p>
          <w:p>
            <w:pPr>
              <w:pStyle w:val="70"/>
            </w:pPr>
            <w:r>
              <w:t>设置专人对除尘器</w:t>
            </w:r>
            <w:r>
              <w:rPr>
                <w:rFonts w:hint="eastAsia"/>
                <w:lang w:eastAsia="zh-CN"/>
              </w:rPr>
              <w:t>、</w:t>
            </w:r>
            <w:r>
              <w:rPr>
                <w:rFonts w:hint="eastAsia"/>
                <w:lang w:val="en-US" w:eastAsia="zh-CN"/>
              </w:rPr>
              <w:t>危险废物贮存库</w:t>
            </w:r>
            <w:r>
              <w:t>负责</w:t>
            </w:r>
            <w:r>
              <w:rPr>
                <w:rFonts w:hint="eastAsia"/>
                <w:lang w:val="en-US" w:eastAsia="zh-CN"/>
              </w:rPr>
              <w:t>管理</w:t>
            </w:r>
            <w:r>
              <w:t>；</w:t>
            </w:r>
          </w:p>
          <w:p>
            <w:pPr>
              <w:pStyle w:val="70"/>
            </w:pPr>
            <w:r>
              <w:t>日常进行检查，确保不发生故障。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2" w:type="dxa"/>
            <w:vAlign w:val="center"/>
          </w:tcPr>
          <w:p>
            <w:pPr>
              <w:pStyle w:val="70"/>
            </w:pPr>
            <w:r>
              <w:t>其他环境</w:t>
            </w:r>
          </w:p>
          <w:p>
            <w:pPr>
              <w:pStyle w:val="70"/>
            </w:pPr>
            <w:r>
              <w:t>管理要求</w:t>
            </w:r>
          </w:p>
        </w:tc>
        <w:tc>
          <w:tcPr>
            <w:tcW w:w="7348" w:type="dxa"/>
            <w:gridSpan w:val="4"/>
            <w:vAlign w:val="center"/>
          </w:tcPr>
          <w:p>
            <w:pPr>
              <w:pStyle w:val="70"/>
            </w:pPr>
            <w:r>
              <w:t>《排污许可</w:t>
            </w:r>
            <w:r>
              <w:rPr>
                <w:rFonts w:hint="eastAsia"/>
                <w:lang w:val="en-US" w:eastAsia="zh-CN"/>
              </w:rPr>
              <w:t>证</w:t>
            </w:r>
            <w:r>
              <w:t>申请与核发技术规范 农副食品加工工业-饲料加工、植物油加工工业》</w:t>
            </w:r>
            <w:r>
              <w:rPr>
                <w:rFonts w:hint="eastAsia"/>
              </w:rPr>
              <w:t>（H</w:t>
            </w:r>
            <w:r>
              <w:t>J</w:t>
            </w:r>
            <w:r>
              <w:rPr>
                <w:rFonts w:hint="eastAsia"/>
                <w:lang w:val="en-US" w:eastAsia="zh-CN"/>
              </w:rPr>
              <w:t>1110</w:t>
            </w:r>
            <w:r>
              <w:t>-20</w:t>
            </w:r>
            <w:r>
              <w:rPr>
                <w:rFonts w:hint="eastAsia"/>
                <w:lang w:val="en-US" w:eastAsia="zh-CN"/>
              </w:rPr>
              <w:t>20</w:t>
            </w:r>
            <w:r>
              <w:rPr>
                <w:rFonts w:hint="eastAsia"/>
              </w:rPr>
              <w:t>）</w:t>
            </w:r>
            <w:r>
              <w:t>、</w:t>
            </w:r>
            <w:r>
              <w:rPr>
                <w:rFonts w:hint="eastAsia"/>
              </w:rPr>
              <w:t>《排污单位自行监测技术指南 农副食品加工业》（H</w:t>
            </w:r>
            <w:r>
              <w:t>J986-2018</w:t>
            </w:r>
            <w:r>
              <w:rPr>
                <w:rFonts w:hint="eastAsia"/>
              </w:rPr>
              <w:t>）、《排污单位自行监测技术指南 火力发电及锅炉》（HJ820-2017）</w:t>
            </w:r>
          </w:p>
        </w:tc>
      </w:tr>
    </w:tbl>
    <w:p>
      <w:pPr>
        <w:pStyle w:val="22"/>
        <w:ind w:firstLine="480"/>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ind w:firstLine="482"/>
              <w:rPr>
                <w:b/>
                <w:snapToGrid w:val="0"/>
                <w:kern w:val="0"/>
              </w:rPr>
            </w:pPr>
            <w:r>
              <w:rPr>
                <w:b/>
                <w:snapToGrid w:val="0"/>
                <w:kern w:val="0"/>
              </w:rPr>
              <w:t>综合评价结论</w:t>
            </w:r>
          </w:p>
          <w:p>
            <w:pPr>
              <w:ind w:firstLine="480"/>
              <w:rPr>
                <w:snapToGrid w:val="0"/>
                <w:kern w:val="0"/>
              </w:rPr>
            </w:pPr>
            <w:r>
              <w:rPr>
                <w:snapToGrid w:val="0"/>
                <w:kern w:val="0"/>
              </w:rPr>
              <w:t>项目建设符合国家产业政策，选址较为合理。项目符合当地经济结构的调整要求，在促进地区经济方面具有一定的作用。在严格执行国家环保政策和各项规章管理制度，并切实落实本报告表中提出的各项环保措施，保证环保设施正常运转的条件下，从环境保护的角度来看本项目的建设是可行的。</w:t>
            </w:r>
          </w:p>
        </w:tc>
      </w:tr>
    </w:tbl>
    <w:p>
      <w:pPr>
        <w:ind w:firstLine="480"/>
        <w:sectPr>
          <w:pgSz w:w="11906" w:h="16838"/>
          <w:pgMar w:top="1701" w:right="1531" w:bottom="1701" w:left="1531" w:header="851" w:footer="851" w:gutter="0"/>
          <w:cols w:space="720" w:num="1"/>
          <w:docGrid w:linePitch="312" w:charSpace="0"/>
        </w:sectPr>
      </w:pPr>
    </w:p>
    <w:p>
      <w:pPr>
        <w:pStyle w:val="22"/>
        <w:adjustRightInd w:val="0"/>
        <w:snapToGrid w:val="0"/>
        <w:spacing w:before="0" w:beforeAutospacing="0" w:after="0" w:afterAutospacing="0" w:line="240" w:lineRule="auto"/>
        <w:ind w:firstLine="0" w:firstLineChars="0"/>
        <w:outlineLvl w:val="0"/>
        <w:rPr>
          <w:rFonts w:hint="eastAsia" w:ascii="方正小标宋_GBK" w:hAnsi="黑体" w:eastAsia="方正小标宋_GBK"/>
          <w:snapToGrid w:val="0"/>
          <w:sz w:val="38"/>
          <w:szCs w:val="38"/>
        </w:rPr>
      </w:pPr>
      <w:r>
        <w:rPr>
          <w:rFonts w:ascii="Times New Roman" w:hAnsi="Times New Roman" w:eastAsia="黑体"/>
          <w:snapToGrid w:val="0"/>
          <w:sz w:val="32"/>
          <w:szCs w:val="32"/>
        </w:rPr>
        <w:t>附表</w:t>
      </w:r>
    </w:p>
    <w:p>
      <w:pPr>
        <w:pStyle w:val="22"/>
        <w:adjustRightInd w:val="0"/>
        <w:snapToGrid w:val="0"/>
        <w:spacing w:before="0" w:beforeAutospacing="0" w:after="0" w:afterAutospacing="0" w:line="240" w:lineRule="auto"/>
        <w:ind w:firstLine="0" w:firstLineChars="0"/>
        <w:jc w:val="center"/>
        <w:outlineLvl w:val="0"/>
        <w:rPr>
          <w:rFonts w:hint="eastAsia" w:ascii="方正小标宋_GBK" w:hAnsi="黑体" w:eastAsia="方正小标宋_GBK"/>
          <w:snapToGrid w:val="0"/>
          <w:sz w:val="38"/>
          <w:szCs w:val="38"/>
        </w:rPr>
      </w:pPr>
      <w:r>
        <w:rPr>
          <w:rFonts w:ascii="方正小标宋_GBK" w:hAnsi="黑体" w:eastAsia="方正小标宋_GBK"/>
          <w:snapToGrid w:val="0"/>
          <w:sz w:val="38"/>
          <w:szCs w:val="38"/>
        </w:rPr>
        <w:t>建设项目污染物排放量汇总表</w:t>
      </w:r>
    </w:p>
    <w:tbl>
      <w:tblPr>
        <w:tblStyle w:val="27"/>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648"/>
        <w:gridCol w:w="1018"/>
        <w:gridCol w:w="1682"/>
        <w:gridCol w:w="1247"/>
        <w:gridCol w:w="1666"/>
        <w:gridCol w:w="1523"/>
        <w:gridCol w:w="1723"/>
        <w:gridCol w:w="1623"/>
        <w:gridCol w:w="11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65" w:type="pct"/>
            <w:tcBorders>
              <w:tl2br w:val="single" w:color="auto" w:sz="4" w:space="0"/>
            </w:tcBorders>
            <w:tcMar>
              <w:left w:w="28" w:type="dxa"/>
              <w:right w:w="28" w:type="dxa"/>
            </w:tcMar>
            <w:vAlign w:val="center"/>
          </w:tcPr>
          <w:p>
            <w:pPr>
              <w:pStyle w:val="70"/>
            </w:pPr>
            <w:r>
              <w:t>项目</w:t>
            </w:r>
          </w:p>
          <w:p>
            <w:pPr>
              <w:pStyle w:val="70"/>
            </w:pPr>
            <w:r>
              <w:t>分类</w:t>
            </w:r>
          </w:p>
        </w:tc>
        <w:tc>
          <w:tcPr>
            <w:tcW w:w="617" w:type="pct"/>
            <w:gridSpan w:val="2"/>
            <w:tcMar>
              <w:left w:w="28" w:type="dxa"/>
              <w:right w:w="28" w:type="dxa"/>
            </w:tcMar>
            <w:vAlign w:val="center"/>
          </w:tcPr>
          <w:p>
            <w:pPr>
              <w:pStyle w:val="70"/>
            </w:pPr>
            <w:r>
              <w:t>污染物名称</w:t>
            </w:r>
          </w:p>
        </w:tc>
        <w:tc>
          <w:tcPr>
            <w:tcW w:w="623" w:type="pct"/>
            <w:tcMar>
              <w:left w:w="28" w:type="dxa"/>
              <w:right w:w="28" w:type="dxa"/>
            </w:tcMar>
            <w:vAlign w:val="center"/>
          </w:tcPr>
          <w:p>
            <w:pPr>
              <w:pStyle w:val="70"/>
            </w:pPr>
            <w:r>
              <w:t>现有工程</w:t>
            </w:r>
          </w:p>
          <w:p>
            <w:pPr>
              <w:pStyle w:val="70"/>
            </w:pPr>
            <w:r>
              <w:t>排放量（固体废物产生量）</w:t>
            </w:r>
            <w:r>
              <w:fldChar w:fldCharType="begin"/>
            </w:r>
            <w:r>
              <w:instrText xml:space="preserve"> = 1 \* GB3 \* MERGEFORMAT </w:instrText>
            </w:r>
            <w:r>
              <w:fldChar w:fldCharType="separate"/>
            </w:r>
            <w:r>
              <w:t>①</w:t>
            </w:r>
            <w:r>
              <w:fldChar w:fldCharType="end"/>
            </w:r>
          </w:p>
        </w:tc>
        <w:tc>
          <w:tcPr>
            <w:tcW w:w="462" w:type="pct"/>
            <w:tcMar>
              <w:left w:w="28" w:type="dxa"/>
              <w:right w:w="28" w:type="dxa"/>
            </w:tcMar>
            <w:vAlign w:val="center"/>
          </w:tcPr>
          <w:p>
            <w:pPr>
              <w:pStyle w:val="70"/>
            </w:pPr>
            <w:r>
              <w:t>现有工程</w:t>
            </w:r>
          </w:p>
          <w:p>
            <w:pPr>
              <w:pStyle w:val="70"/>
            </w:pPr>
            <w:r>
              <w:t>许可排放量</w:t>
            </w:r>
          </w:p>
          <w:p>
            <w:pPr>
              <w:pStyle w:val="70"/>
            </w:pPr>
            <w:r>
              <w:fldChar w:fldCharType="begin"/>
            </w:r>
            <w:r>
              <w:instrText xml:space="preserve"> = 2 \* GB3 \* MERGEFORMAT </w:instrText>
            </w:r>
            <w:r>
              <w:fldChar w:fldCharType="separate"/>
            </w:r>
            <w:r>
              <w:t>②</w:t>
            </w:r>
            <w:r>
              <w:fldChar w:fldCharType="end"/>
            </w:r>
          </w:p>
        </w:tc>
        <w:tc>
          <w:tcPr>
            <w:tcW w:w="617" w:type="pct"/>
            <w:tcMar>
              <w:left w:w="28" w:type="dxa"/>
              <w:right w:w="28" w:type="dxa"/>
            </w:tcMar>
            <w:vAlign w:val="center"/>
          </w:tcPr>
          <w:p>
            <w:pPr>
              <w:pStyle w:val="70"/>
            </w:pPr>
            <w:r>
              <w:t>在建工程</w:t>
            </w:r>
          </w:p>
          <w:p>
            <w:pPr>
              <w:pStyle w:val="70"/>
            </w:pPr>
            <w:r>
              <w:t>排放量（固体废物产生量）</w:t>
            </w:r>
            <w:r>
              <w:fldChar w:fldCharType="begin"/>
            </w:r>
            <w:r>
              <w:instrText xml:space="preserve"> = 3 \* GB3 \* MERGEFORMAT </w:instrText>
            </w:r>
            <w:r>
              <w:fldChar w:fldCharType="separate"/>
            </w:r>
            <w:r>
              <w:t>③</w:t>
            </w:r>
            <w:r>
              <w:fldChar w:fldCharType="end"/>
            </w:r>
          </w:p>
        </w:tc>
        <w:tc>
          <w:tcPr>
            <w:tcW w:w="564" w:type="pct"/>
            <w:tcMar>
              <w:left w:w="28" w:type="dxa"/>
              <w:right w:w="28" w:type="dxa"/>
            </w:tcMar>
            <w:vAlign w:val="center"/>
          </w:tcPr>
          <w:p>
            <w:pPr>
              <w:pStyle w:val="70"/>
            </w:pPr>
            <w:r>
              <w:t>本项目</w:t>
            </w:r>
          </w:p>
          <w:p>
            <w:pPr>
              <w:pStyle w:val="70"/>
            </w:pPr>
            <w:r>
              <w:t>排放量（固体废物产生量）</w:t>
            </w:r>
            <w:r>
              <w:fldChar w:fldCharType="begin"/>
            </w:r>
            <w:r>
              <w:instrText xml:space="preserve"> = 4 \* GB3 \* MERGEFORMAT </w:instrText>
            </w:r>
            <w:r>
              <w:fldChar w:fldCharType="separate"/>
            </w:r>
            <w:r>
              <w:t>④</w:t>
            </w:r>
            <w:r>
              <w:fldChar w:fldCharType="end"/>
            </w:r>
          </w:p>
        </w:tc>
        <w:tc>
          <w:tcPr>
            <w:tcW w:w="638" w:type="pct"/>
            <w:tcMar>
              <w:left w:w="28" w:type="dxa"/>
              <w:right w:w="28" w:type="dxa"/>
            </w:tcMar>
            <w:vAlign w:val="center"/>
          </w:tcPr>
          <w:p>
            <w:pPr>
              <w:pStyle w:val="70"/>
            </w:pPr>
            <w:r>
              <w:t>以新带老削减量</w:t>
            </w:r>
          </w:p>
          <w:p>
            <w:pPr>
              <w:pStyle w:val="70"/>
            </w:pPr>
            <w:r>
              <w:t>（新建项目不填）</w:t>
            </w:r>
            <w:r>
              <w:fldChar w:fldCharType="begin"/>
            </w:r>
            <w:r>
              <w:instrText xml:space="preserve"> = 5 \* GB3 \* MERGEFORMAT </w:instrText>
            </w:r>
            <w:r>
              <w:fldChar w:fldCharType="separate"/>
            </w:r>
            <w:r>
              <w:t>⑤</w:t>
            </w:r>
            <w:r>
              <w:fldChar w:fldCharType="end"/>
            </w:r>
          </w:p>
        </w:tc>
        <w:tc>
          <w:tcPr>
            <w:tcW w:w="601" w:type="pct"/>
            <w:tcMar>
              <w:left w:w="28" w:type="dxa"/>
              <w:right w:w="28" w:type="dxa"/>
            </w:tcMar>
            <w:vAlign w:val="center"/>
          </w:tcPr>
          <w:p>
            <w:pPr>
              <w:pStyle w:val="70"/>
            </w:pPr>
            <w:r>
              <w:t>本项目建成后</w:t>
            </w:r>
          </w:p>
          <w:p>
            <w:pPr>
              <w:pStyle w:val="70"/>
            </w:pPr>
            <w:r>
              <w:t>全厂排放量（固体废物产生量）</w:t>
            </w:r>
            <w:r>
              <w:fldChar w:fldCharType="begin"/>
            </w:r>
            <w:r>
              <w:instrText xml:space="preserve"> = 6 \* GB3 \* MERGEFORMAT </w:instrText>
            </w:r>
            <w:r>
              <w:fldChar w:fldCharType="separate"/>
            </w:r>
            <w:r>
              <w:t>⑥</w:t>
            </w:r>
            <w:r>
              <w:fldChar w:fldCharType="end"/>
            </w:r>
          </w:p>
        </w:tc>
        <w:tc>
          <w:tcPr>
            <w:tcW w:w="408" w:type="pct"/>
            <w:tcMar>
              <w:left w:w="28" w:type="dxa"/>
              <w:right w:w="28" w:type="dxa"/>
            </w:tcMar>
            <w:vAlign w:val="center"/>
          </w:tcPr>
          <w:p>
            <w:pPr>
              <w:pStyle w:val="70"/>
            </w:pPr>
            <w:r>
              <w:t>变化量</w:t>
            </w:r>
          </w:p>
          <w:p>
            <w:pPr>
              <w:pStyle w:val="70"/>
            </w:pPr>
            <w:r>
              <w:fldChar w:fldCharType="begin"/>
            </w:r>
            <w:r>
              <w:instrText xml:space="preserve"> = 7 \* GB3 \* MERGEFORMAT </w:instrText>
            </w:r>
            <w:r>
              <w:fldChar w:fldCharType="separate"/>
            </w:r>
            <w:r>
              <w:t>⑦</w:t>
            </w:r>
            <w: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restart"/>
            <w:vAlign w:val="center"/>
          </w:tcPr>
          <w:p>
            <w:pPr>
              <w:pStyle w:val="70"/>
            </w:pPr>
            <w:r>
              <w:t>废气</w:t>
            </w:r>
          </w:p>
        </w:tc>
        <w:tc>
          <w:tcPr>
            <w:tcW w:w="617" w:type="pct"/>
            <w:gridSpan w:val="2"/>
            <w:vAlign w:val="center"/>
          </w:tcPr>
          <w:p>
            <w:pPr>
              <w:pStyle w:val="70"/>
            </w:pPr>
            <w:r>
              <w:t>有组织颗粒物</w:t>
            </w:r>
          </w:p>
        </w:tc>
        <w:tc>
          <w:tcPr>
            <w:tcW w:w="623" w:type="pct"/>
            <w:vAlign w:val="center"/>
          </w:tcPr>
          <w:p>
            <w:pPr>
              <w:pStyle w:val="70"/>
            </w:pPr>
            <w:r>
              <w:t>0</w:t>
            </w:r>
          </w:p>
        </w:tc>
        <w:tc>
          <w:tcPr>
            <w:tcW w:w="462" w:type="pct"/>
            <w:vAlign w:val="center"/>
          </w:tcPr>
          <w:p>
            <w:pPr>
              <w:pStyle w:val="70"/>
            </w:pPr>
            <w:r>
              <w:t>0</w:t>
            </w:r>
          </w:p>
        </w:tc>
        <w:tc>
          <w:tcPr>
            <w:tcW w:w="617" w:type="pct"/>
            <w:vAlign w:val="center"/>
          </w:tcPr>
          <w:p>
            <w:pPr>
              <w:pStyle w:val="70"/>
            </w:pPr>
            <w:r>
              <w:t>0</w:t>
            </w:r>
          </w:p>
        </w:tc>
        <w:tc>
          <w:tcPr>
            <w:tcW w:w="564" w:type="pct"/>
            <w:vAlign w:val="center"/>
          </w:tcPr>
          <w:p>
            <w:pPr>
              <w:pStyle w:val="70"/>
            </w:pPr>
            <w:r>
              <w:rPr>
                <w:rFonts w:hint="eastAsia"/>
                <w:lang w:val="en-US" w:eastAsia="zh-CN"/>
              </w:rPr>
              <w:t>20.327</w:t>
            </w:r>
            <w:r>
              <w:t>t/a</w:t>
            </w:r>
          </w:p>
        </w:tc>
        <w:tc>
          <w:tcPr>
            <w:tcW w:w="638" w:type="pct"/>
            <w:vAlign w:val="center"/>
          </w:tcPr>
          <w:p>
            <w:pPr>
              <w:pStyle w:val="70"/>
            </w:pPr>
            <w:r>
              <w:t>/</w:t>
            </w:r>
          </w:p>
        </w:tc>
        <w:tc>
          <w:tcPr>
            <w:tcW w:w="1623" w:type="dxa"/>
            <w:vAlign w:val="center"/>
          </w:tcPr>
          <w:p>
            <w:pPr>
              <w:pStyle w:val="70"/>
              <w:ind w:firstLine="0" w:firstLineChars="0"/>
            </w:pPr>
            <w:r>
              <w:rPr>
                <w:rFonts w:hint="eastAsia"/>
                <w:lang w:val="en-US" w:eastAsia="zh-CN"/>
              </w:rPr>
              <w:t>20.327</w:t>
            </w:r>
            <w:r>
              <w:t>t/a</w:t>
            </w:r>
          </w:p>
        </w:tc>
        <w:tc>
          <w:tcPr>
            <w:tcW w:w="408" w:type="pct"/>
            <w:vAlign w:val="center"/>
          </w:tcPr>
          <w:p>
            <w:pPr>
              <w:pStyle w:val="70"/>
              <w:rPr>
                <w:rFonts w:hint="eastAsia" w:eastAsia="宋体"/>
                <w:lang w:eastAsia="zh-CN"/>
              </w:rPr>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65" w:type="pct"/>
            <w:vMerge w:val="continue"/>
            <w:vAlign w:val="center"/>
          </w:tcPr>
          <w:p>
            <w:pPr>
              <w:pStyle w:val="70"/>
              <w:rPr>
                <w:color w:val="auto"/>
              </w:rPr>
            </w:pPr>
          </w:p>
        </w:tc>
        <w:tc>
          <w:tcPr>
            <w:tcW w:w="617" w:type="pct"/>
            <w:gridSpan w:val="2"/>
            <w:vAlign w:val="center"/>
          </w:tcPr>
          <w:p>
            <w:pPr>
              <w:pStyle w:val="70"/>
              <w:rPr>
                <w:color w:val="auto"/>
              </w:rPr>
            </w:pPr>
            <w:r>
              <w:rPr>
                <w:color w:val="auto"/>
              </w:rPr>
              <w:t>无组织颗粒物</w:t>
            </w:r>
          </w:p>
        </w:tc>
        <w:tc>
          <w:tcPr>
            <w:tcW w:w="623" w:type="pct"/>
            <w:vAlign w:val="center"/>
          </w:tcPr>
          <w:p>
            <w:pPr>
              <w:pStyle w:val="70"/>
              <w:rPr>
                <w:color w:val="auto"/>
              </w:rPr>
            </w:pPr>
            <w:r>
              <w:rPr>
                <w:color w:val="auto"/>
              </w:rPr>
              <w:t>0</w:t>
            </w:r>
          </w:p>
        </w:tc>
        <w:tc>
          <w:tcPr>
            <w:tcW w:w="462" w:type="pct"/>
            <w:vAlign w:val="center"/>
          </w:tcPr>
          <w:p>
            <w:pPr>
              <w:pStyle w:val="70"/>
              <w:rPr>
                <w:color w:val="auto"/>
              </w:rPr>
            </w:pPr>
            <w:r>
              <w:rPr>
                <w:color w:val="auto"/>
              </w:rPr>
              <w:t>0</w:t>
            </w:r>
          </w:p>
        </w:tc>
        <w:tc>
          <w:tcPr>
            <w:tcW w:w="617" w:type="pct"/>
            <w:vAlign w:val="center"/>
          </w:tcPr>
          <w:p>
            <w:pPr>
              <w:pStyle w:val="70"/>
              <w:rPr>
                <w:color w:val="auto"/>
              </w:rPr>
            </w:pPr>
            <w:r>
              <w:rPr>
                <w:color w:val="auto"/>
              </w:rPr>
              <w:t>0</w:t>
            </w:r>
          </w:p>
        </w:tc>
        <w:tc>
          <w:tcPr>
            <w:tcW w:w="564" w:type="pct"/>
            <w:vAlign w:val="center"/>
          </w:tcPr>
          <w:p>
            <w:pPr>
              <w:pStyle w:val="70"/>
              <w:rPr>
                <w:color w:val="auto"/>
              </w:rPr>
            </w:pPr>
            <w:r>
              <w:rPr>
                <w:rFonts w:hint="eastAsia"/>
                <w:color w:val="auto"/>
                <w:lang w:val="en-US" w:eastAsia="zh-CN"/>
              </w:rPr>
              <w:t>6.7</w:t>
            </w:r>
            <w:r>
              <w:rPr>
                <w:color w:val="auto"/>
              </w:rPr>
              <w:t>t/a</w:t>
            </w:r>
          </w:p>
        </w:tc>
        <w:tc>
          <w:tcPr>
            <w:tcW w:w="638" w:type="pct"/>
            <w:vAlign w:val="center"/>
          </w:tcPr>
          <w:p>
            <w:pPr>
              <w:pStyle w:val="70"/>
              <w:rPr>
                <w:color w:val="auto"/>
              </w:rPr>
            </w:pPr>
            <w:r>
              <w:rPr>
                <w:color w:val="auto"/>
              </w:rPr>
              <w:t>/</w:t>
            </w:r>
          </w:p>
        </w:tc>
        <w:tc>
          <w:tcPr>
            <w:tcW w:w="1623" w:type="dxa"/>
            <w:vAlign w:val="center"/>
          </w:tcPr>
          <w:p>
            <w:pPr>
              <w:pStyle w:val="70"/>
              <w:ind w:firstLine="0" w:firstLineChars="0"/>
              <w:rPr>
                <w:color w:val="auto"/>
              </w:rPr>
            </w:pPr>
            <w:r>
              <w:rPr>
                <w:rFonts w:hint="eastAsia"/>
                <w:color w:val="auto"/>
                <w:lang w:val="en-US" w:eastAsia="zh-CN"/>
              </w:rPr>
              <w:t>6.7</w:t>
            </w:r>
            <w:r>
              <w:rPr>
                <w:color w:val="auto"/>
              </w:rPr>
              <w:t>t/a</w:t>
            </w:r>
          </w:p>
        </w:tc>
        <w:tc>
          <w:tcPr>
            <w:tcW w:w="408" w:type="pct"/>
            <w:vAlign w:val="center"/>
          </w:tcPr>
          <w:p>
            <w:pPr>
              <w:pStyle w:val="70"/>
              <w:rPr>
                <w:rFonts w:hint="eastAsia" w:eastAsia="宋体"/>
                <w:color w:val="auto"/>
                <w:lang w:eastAsia="zh-CN"/>
              </w:rPr>
            </w:pPr>
            <w:r>
              <w:rPr>
                <w:rFonts w:hint="eastAsia"/>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65" w:type="pct"/>
            <w:vMerge w:val="continue"/>
            <w:vAlign w:val="center"/>
          </w:tcPr>
          <w:p>
            <w:pPr>
              <w:pStyle w:val="70"/>
              <w:rPr>
                <w:color w:val="auto"/>
              </w:rPr>
            </w:pPr>
          </w:p>
        </w:tc>
        <w:tc>
          <w:tcPr>
            <w:tcW w:w="617" w:type="pct"/>
            <w:gridSpan w:val="2"/>
            <w:vAlign w:val="center"/>
          </w:tcPr>
          <w:p>
            <w:pPr>
              <w:pStyle w:val="70"/>
              <w:rPr>
                <w:color w:val="auto"/>
              </w:rPr>
            </w:pPr>
            <w:r>
              <w:rPr>
                <w:rFonts w:hint="eastAsia"/>
                <w:lang w:val="en-US" w:eastAsia="zh-CN"/>
              </w:rPr>
              <w:t>挥发性有机物</w:t>
            </w:r>
          </w:p>
        </w:tc>
        <w:tc>
          <w:tcPr>
            <w:tcW w:w="623" w:type="pct"/>
            <w:vAlign w:val="center"/>
          </w:tcPr>
          <w:p>
            <w:pPr>
              <w:pStyle w:val="70"/>
              <w:rPr>
                <w:rFonts w:hint="eastAsia" w:eastAsia="宋体"/>
                <w:color w:val="auto"/>
                <w:lang w:val="en-US" w:eastAsia="zh-CN"/>
              </w:rPr>
            </w:pPr>
            <w:r>
              <w:rPr>
                <w:rFonts w:hint="eastAsia"/>
                <w:color w:val="auto"/>
                <w:lang w:val="en-US" w:eastAsia="zh-CN"/>
              </w:rPr>
              <w:t>0</w:t>
            </w:r>
          </w:p>
        </w:tc>
        <w:tc>
          <w:tcPr>
            <w:tcW w:w="462" w:type="pct"/>
            <w:vAlign w:val="center"/>
          </w:tcPr>
          <w:p>
            <w:pPr>
              <w:pStyle w:val="70"/>
              <w:rPr>
                <w:rFonts w:hint="eastAsia" w:eastAsia="宋体"/>
                <w:color w:val="auto"/>
                <w:lang w:val="en-US" w:eastAsia="zh-CN"/>
              </w:rPr>
            </w:pPr>
            <w:r>
              <w:rPr>
                <w:rFonts w:hint="eastAsia"/>
                <w:color w:val="auto"/>
                <w:lang w:val="en-US" w:eastAsia="zh-CN"/>
              </w:rPr>
              <w:t>0</w:t>
            </w:r>
          </w:p>
        </w:tc>
        <w:tc>
          <w:tcPr>
            <w:tcW w:w="617" w:type="pct"/>
            <w:vAlign w:val="center"/>
          </w:tcPr>
          <w:p>
            <w:pPr>
              <w:pStyle w:val="70"/>
              <w:rPr>
                <w:rFonts w:hint="eastAsia" w:eastAsia="宋体"/>
                <w:color w:val="auto"/>
                <w:lang w:val="en-US" w:eastAsia="zh-CN"/>
              </w:rPr>
            </w:pPr>
            <w:r>
              <w:rPr>
                <w:rFonts w:hint="eastAsia"/>
                <w:color w:val="auto"/>
                <w:lang w:val="en-US" w:eastAsia="zh-CN"/>
              </w:rPr>
              <w:t>0</w:t>
            </w:r>
          </w:p>
        </w:tc>
        <w:tc>
          <w:tcPr>
            <w:tcW w:w="564" w:type="pct"/>
            <w:vAlign w:val="center"/>
          </w:tcPr>
          <w:p>
            <w:pPr>
              <w:pStyle w:val="70"/>
              <w:rPr>
                <w:rFonts w:hint="default" w:eastAsia="宋体"/>
                <w:color w:val="auto"/>
                <w:lang w:val="en-US" w:eastAsia="zh-CN"/>
              </w:rPr>
            </w:pPr>
            <w:r>
              <w:rPr>
                <w:rFonts w:hint="eastAsia"/>
                <w:color w:val="auto"/>
                <w:lang w:val="en-US" w:eastAsia="zh-CN"/>
              </w:rPr>
              <w:t>0.0000055</w:t>
            </w:r>
            <w:r>
              <w:rPr>
                <w:color w:val="auto"/>
              </w:rPr>
              <w:t>t/a</w:t>
            </w:r>
          </w:p>
        </w:tc>
        <w:tc>
          <w:tcPr>
            <w:tcW w:w="638" w:type="pct"/>
            <w:vAlign w:val="center"/>
          </w:tcPr>
          <w:p>
            <w:pPr>
              <w:pStyle w:val="70"/>
              <w:rPr>
                <w:color w:val="auto"/>
              </w:rPr>
            </w:pPr>
            <w:r>
              <w:rPr>
                <w:color w:val="auto"/>
              </w:rPr>
              <w:t>/</w:t>
            </w:r>
          </w:p>
        </w:tc>
        <w:tc>
          <w:tcPr>
            <w:tcW w:w="1623" w:type="dxa"/>
            <w:vAlign w:val="center"/>
          </w:tcPr>
          <w:p>
            <w:pPr>
              <w:pStyle w:val="70"/>
              <w:ind w:firstLine="0" w:firstLineChars="0"/>
              <w:rPr>
                <w:rFonts w:hint="eastAsia"/>
                <w:color w:val="auto"/>
              </w:rPr>
            </w:pPr>
            <w:r>
              <w:rPr>
                <w:rFonts w:hint="eastAsia"/>
                <w:color w:val="auto"/>
                <w:lang w:val="en-US" w:eastAsia="zh-CN"/>
              </w:rPr>
              <w:t>0.0000055</w:t>
            </w:r>
            <w:r>
              <w:rPr>
                <w:color w:val="auto"/>
              </w:rPr>
              <w:t>t/a</w:t>
            </w:r>
          </w:p>
        </w:tc>
        <w:tc>
          <w:tcPr>
            <w:tcW w:w="408" w:type="pct"/>
            <w:vAlign w:val="center"/>
          </w:tcPr>
          <w:p>
            <w:pPr>
              <w:pStyle w:val="70"/>
              <w:rPr>
                <w:rFonts w:hint="default"/>
                <w:color w:val="auto"/>
                <w:lang w:val="en-US" w:eastAsia="zh-CN"/>
              </w:rPr>
            </w:pPr>
            <w:r>
              <w:rPr>
                <w:rFonts w:hint="eastAsia"/>
                <w:color w:va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pPr>
              <w:pStyle w:val="70"/>
              <w:rPr>
                <w:color w:val="auto"/>
              </w:rPr>
            </w:pPr>
          </w:p>
        </w:tc>
        <w:tc>
          <w:tcPr>
            <w:tcW w:w="240" w:type="pct"/>
            <w:vMerge w:val="restart"/>
            <w:vAlign w:val="center"/>
          </w:tcPr>
          <w:p>
            <w:pPr>
              <w:pStyle w:val="70"/>
              <w:jc w:val="both"/>
            </w:pPr>
            <w:r>
              <w:rPr>
                <w:rFonts w:hint="eastAsia"/>
              </w:rPr>
              <w:t>锅炉废气</w:t>
            </w:r>
          </w:p>
        </w:tc>
        <w:tc>
          <w:tcPr>
            <w:tcW w:w="377" w:type="pct"/>
            <w:vAlign w:val="center"/>
          </w:tcPr>
          <w:p>
            <w:pPr>
              <w:pStyle w:val="70"/>
              <w:rPr>
                <w:color w:val="auto"/>
              </w:rPr>
            </w:pPr>
            <w:r>
              <w:rPr>
                <w:rFonts w:hint="eastAsia"/>
                <w:color w:val="auto"/>
              </w:rPr>
              <w:t>颗粒物</w:t>
            </w:r>
          </w:p>
        </w:tc>
        <w:tc>
          <w:tcPr>
            <w:tcW w:w="623" w:type="pct"/>
            <w:vAlign w:val="center"/>
          </w:tcPr>
          <w:p>
            <w:pPr>
              <w:pStyle w:val="70"/>
              <w:rPr>
                <w:color w:val="auto"/>
              </w:rPr>
            </w:pPr>
            <w:r>
              <w:rPr>
                <w:color w:val="auto"/>
              </w:rPr>
              <w:t>0</w:t>
            </w:r>
          </w:p>
        </w:tc>
        <w:tc>
          <w:tcPr>
            <w:tcW w:w="462" w:type="pct"/>
            <w:vAlign w:val="center"/>
          </w:tcPr>
          <w:p>
            <w:pPr>
              <w:pStyle w:val="70"/>
              <w:rPr>
                <w:color w:val="auto"/>
              </w:rPr>
            </w:pPr>
            <w:r>
              <w:rPr>
                <w:color w:val="auto"/>
              </w:rPr>
              <w:t>0</w:t>
            </w:r>
          </w:p>
        </w:tc>
        <w:tc>
          <w:tcPr>
            <w:tcW w:w="617" w:type="pct"/>
            <w:vAlign w:val="center"/>
          </w:tcPr>
          <w:p>
            <w:pPr>
              <w:pStyle w:val="70"/>
              <w:rPr>
                <w:color w:val="auto"/>
              </w:rPr>
            </w:pPr>
            <w:r>
              <w:rPr>
                <w:color w:val="auto"/>
              </w:rPr>
              <w:t>0</w:t>
            </w:r>
          </w:p>
        </w:tc>
        <w:tc>
          <w:tcPr>
            <w:tcW w:w="564" w:type="pct"/>
            <w:vAlign w:val="center"/>
          </w:tcPr>
          <w:p>
            <w:pPr>
              <w:pStyle w:val="70"/>
              <w:tabs>
                <w:tab w:val="left" w:pos="2700"/>
              </w:tabs>
              <w:rPr>
                <w:color w:val="auto"/>
              </w:rPr>
            </w:pPr>
            <w:r>
              <w:rPr>
                <w:rFonts w:hint="eastAsia"/>
                <w:color w:val="auto"/>
              </w:rPr>
              <w:t>0.</w:t>
            </w:r>
            <w:r>
              <w:rPr>
                <w:rFonts w:hint="eastAsia"/>
                <w:color w:val="auto"/>
                <w:lang w:val="en-US" w:eastAsia="zh-CN"/>
              </w:rPr>
              <w:t>2475</w:t>
            </w:r>
            <w:r>
              <w:rPr>
                <w:rFonts w:hint="eastAsia"/>
                <w:color w:val="auto"/>
              </w:rPr>
              <w:t>t/a</w:t>
            </w:r>
          </w:p>
        </w:tc>
        <w:tc>
          <w:tcPr>
            <w:tcW w:w="638" w:type="pct"/>
            <w:vAlign w:val="center"/>
          </w:tcPr>
          <w:p>
            <w:pPr>
              <w:pStyle w:val="70"/>
              <w:rPr>
                <w:color w:val="auto"/>
              </w:rPr>
            </w:pPr>
            <w:r>
              <w:rPr>
                <w:color w:val="auto"/>
              </w:rPr>
              <w:t>/</w:t>
            </w:r>
          </w:p>
        </w:tc>
        <w:tc>
          <w:tcPr>
            <w:tcW w:w="1623" w:type="dxa"/>
            <w:vAlign w:val="center"/>
          </w:tcPr>
          <w:p>
            <w:pPr>
              <w:pStyle w:val="70"/>
              <w:tabs>
                <w:tab w:val="left" w:pos="2700"/>
              </w:tabs>
              <w:ind w:firstLine="0" w:firstLineChars="0"/>
              <w:rPr>
                <w:color w:val="auto"/>
              </w:rPr>
            </w:pPr>
            <w:r>
              <w:rPr>
                <w:rFonts w:hint="eastAsia"/>
                <w:color w:val="auto"/>
              </w:rPr>
              <w:t>0.</w:t>
            </w:r>
            <w:r>
              <w:rPr>
                <w:rFonts w:hint="eastAsia"/>
                <w:color w:val="auto"/>
                <w:lang w:val="en-US" w:eastAsia="zh-CN"/>
              </w:rPr>
              <w:t>2475</w:t>
            </w:r>
            <w:r>
              <w:rPr>
                <w:rFonts w:hint="eastAsia"/>
                <w:color w:val="auto"/>
              </w:rPr>
              <w:t>t/a</w:t>
            </w:r>
          </w:p>
        </w:tc>
        <w:tc>
          <w:tcPr>
            <w:tcW w:w="408" w:type="pct"/>
            <w:vAlign w:val="center"/>
          </w:tcPr>
          <w:p>
            <w:pPr>
              <w:pStyle w:val="70"/>
              <w:ind w:firstLine="0" w:firstLineChars="0"/>
              <w:rPr>
                <w:color w:val="auto"/>
              </w:rPr>
            </w:pPr>
            <w:r>
              <w:rPr>
                <w:color w:val="auto"/>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pPr>
              <w:pStyle w:val="70"/>
              <w:rPr>
                <w:color w:val="auto"/>
              </w:rPr>
            </w:pPr>
          </w:p>
        </w:tc>
        <w:tc>
          <w:tcPr>
            <w:tcW w:w="240" w:type="pct"/>
            <w:vMerge w:val="continue"/>
            <w:vAlign w:val="center"/>
          </w:tcPr>
          <w:p>
            <w:pPr>
              <w:pStyle w:val="70"/>
              <w:rPr>
                <w:color w:val="auto"/>
              </w:rPr>
            </w:pPr>
          </w:p>
        </w:tc>
        <w:tc>
          <w:tcPr>
            <w:tcW w:w="377" w:type="pct"/>
            <w:vAlign w:val="center"/>
          </w:tcPr>
          <w:p>
            <w:pPr>
              <w:pStyle w:val="70"/>
              <w:rPr>
                <w:color w:val="auto"/>
              </w:rPr>
            </w:pPr>
            <w:r>
              <w:rPr>
                <w:color w:val="auto"/>
              </w:rPr>
              <w:t>SO</w:t>
            </w:r>
            <w:r>
              <w:rPr>
                <w:color w:val="auto"/>
                <w:vertAlign w:val="subscript"/>
              </w:rPr>
              <w:t>2</w:t>
            </w:r>
          </w:p>
        </w:tc>
        <w:tc>
          <w:tcPr>
            <w:tcW w:w="623" w:type="pct"/>
            <w:vAlign w:val="center"/>
          </w:tcPr>
          <w:p>
            <w:pPr>
              <w:pStyle w:val="70"/>
              <w:rPr>
                <w:color w:val="auto"/>
              </w:rPr>
            </w:pPr>
            <w:r>
              <w:rPr>
                <w:rFonts w:hint="eastAsia"/>
                <w:color w:val="auto"/>
              </w:rPr>
              <w:t>0</w:t>
            </w:r>
          </w:p>
        </w:tc>
        <w:tc>
          <w:tcPr>
            <w:tcW w:w="462" w:type="pct"/>
            <w:vAlign w:val="center"/>
          </w:tcPr>
          <w:p>
            <w:pPr>
              <w:pStyle w:val="70"/>
              <w:rPr>
                <w:color w:val="auto"/>
              </w:rPr>
            </w:pPr>
            <w:r>
              <w:rPr>
                <w:rFonts w:hint="eastAsia"/>
                <w:color w:val="auto"/>
              </w:rPr>
              <w:t>0</w:t>
            </w:r>
          </w:p>
        </w:tc>
        <w:tc>
          <w:tcPr>
            <w:tcW w:w="617" w:type="pct"/>
            <w:vAlign w:val="center"/>
          </w:tcPr>
          <w:p>
            <w:pPr>
              <w:pStyle w:val="70"/>
              <w:rPr>
                <w:color w:val="auto"/>
              </w:rPr>
            </w:pPr>
            <w:r>
              <w:rPr>
                <w:rFonts w:hint="eastAsia"/>
                <w:color w:val="auto"/>
              </w:rPr>
              <w:t>0</w:t>
            </w:r>
          </w:p>
        </w:tc>
        <w:tc>
          <w:tcPr>
            <w:tcW w:w="564" w:type="pct"/>
            <w:vAlign w:val="center"/>
          </w:tcPr>
          <w:p>
            <w:pPr>
              <w:pStyle w:val="70"/>
              <w:tabs>
                <w:tab w:val="left" w:pos="2700"/>
              </w:tabs>
              <w:rPr>
                <w:color w:val="auto"/>
              </w:rPr>
            </w:pPr>
            <w:r>
              <w:rPr>
                <w:rFonts w:hint="eastAsia"/>
                <w:color w:val="auto"/>
              </w:rPr>
              <w:t>0.</w:t>
            </w:r>
            <w:r>
              <w:rPr>
                <w:rFonts w:hint="eastAsia"/>
                <w:color w:val="auto"/>
                <w:lang w:val="en-US" w:eastAsia="zh-CN"/>
              </w:rPr>
              <w:t>45</w:t>
            </w:r>
            <w:r>
              <w:rPr>
                <w:rFonts w:hint="eastAsia"/>
                <w:color w:val="auto"/>
              </w:rPr>
              <w:t>t/a</w:t>
            </w:r>
          </w:p>
        </w:tc>
        <w:tc>
          <w:tcPr>
            <w:tcW w:w="638" w:type="pct"/>
            <w:vAlign w:val="center"/>
          </w:tcPr>
          <w:p>
            <w:pPr>
              <w:pStyle w:val="70"/>
              <w:ind w:firstLine="0" w:firstLineChars="0"/>
              <w:rPr>
                <w:color w:val="auto"/>
              </w:rPr>
            </w:pPr>
            <w:r>
              <w:rPr>
                <w:color w:val="auto"/>
              </w:rPr>
              <w:t>/</w:t>
            </w:r>
          </w:p>
        </w:tc>
        <w:tc>
          <w:tcPr>
            <w:tcW w:w="1623" w:type="dxa"/>
            <w:vAlign w:val="center"/>
          </w:tcPr>
          <w:p>
            <w:pPr>
              <w:pStyle w:val="70"/>
              <w:tabs>
                <w:tab w:val="left" w:pos="2700"/>
              </w:tabs>
              <w:ind w:firstLine="0" w:firstLineChars="0"/>
              <w:rPr>
                <w:color w:val="auto"/>
              </w:rPr>
            </w:pPr>
            <w:r>
              <w:rPr>
                <w:rFonts w:hint="eastAsia"/>
                <w:color w:val="auto"/>
              </w:rPr>
              <w:t>0.</w:t>
            </w:r>
            <w:r>
              <w:rPr>
                <w:rFonts w:hint="eastAsia"/>
                <w:color w:val="auto"/>
                <w:lang w:val="en-US" w:eastAsia="zh-CN"/>
              </w:rPr>
              <w:t>45</w:t>
            </w:r>
            <w:r>
              <w:rPr>
                <w:rFonts w:hint="eastAsia"/>
                <w:color w:val="auto"/>
              </w:rPr>
              <w:t>t/a</w:t>
            </w:r>
          </w:p>
        </w:tc>
        <w:tc>
          <w:tcPr>
            <w:tcW w:w="408" w:type="pct"/>
            <w:vAlign w:val="center"/>
          </w:tcPr>
          <w:p>
            <w:pPr>
              <w:pStyle w:val="70"/>
              <w:ind w:firstLine="0" w:firstLineChars="0"/>
              <w:rPr>
                <w:color w:val="auto"/>
              </w:rPr>
            </w:pPr>
            <w:r>
              <w:rPr>
                <w:rFonts w:hint="eastAsia"/>
                <w:color w:val="auto"/>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pPr>
              <w:pStyle w:val="70"/>
            </w:pPr>
          </w:p>
        </w:tc>
        <w:tc>
          <w:tcPr>
            <w:tcW w:w="240" w:type="pct"/>
            <w:vMerge w:val="continue"/>
            <w:vAlign w:val="center"/>
          </w:tcPr>
          <w:p>
            <w:pPr>
              <w:pStyle w:val="70"/>
            </w:pPr>
          </w:p>
        </w:tc>
        <w:tc>
          <w:tcPr>
            <w:tcW w:w="377" w:type="pct"/>
            <w:vAlign w:val="center"/>
          </w:tcPr>
          <w:p>
            <w:pPr>
              <w:pStyle w:val="70"/>
            </w:pPr>
            <w:r>
              <w:t>NO</w:t>
            </w:r>
            <w:r>
              <w:rPr>
                <w:vertAlign w:val="subscript"/>
              </w:rPr>
              <w:t>X</w:t>
            </w:r>
          </w:p>
        </w:tc>
        <w:tc>
          <w:tcPr>
            <w:tcW w:w="623" w:type="pct"/>
            <w:vAlign w:val="center"/>
          </w:tcPr>
          <w:p>
            <w:pPr>
              <w:pStyle w:val="70"/>
            </w:pPr>
            <w:r>
              <w:t>0</w:t>
            </w:r>
          </w:p>
        </w:tc>
        <w:tc>
          <w:tcPr>
            <w:tcW w:w="462" w:type="pct"/>
            <w:vAlign w:val="center"/>
          </w:tcPr>
          <w:p>
            <w:pPr>
              <w:pStyle w:val="70"/>
            </w:pPr>
            <w:r>
              <w:t>0</w:t>
            </w:r>
          </w:p>
        </w:tc>
        <w:tc>
          <w:tcPr>
            <w:tcW w:w="617" w:type="pct"/>
            <w:vAlign w:val="center"/>
          </w:tcPr>
          <w:p>
            <w:pPr>
              <w:pStyle w:val="70"/>
            </w:pPr>
            <w:r>
              <w:t>0</w:t>
            </w:r>
          </w:p>
        </w:tc>
        <w:tc>
          <w:tcPr>
            <w:tcW w:w="564" w:type="pct"/>
            <w:vAlign w:val="center"/>
          </w:tcPr>
          <w:p>
            <w:pPr>
              <w:pStyle w:val="70"/>
              <w:tabs>
                <w:tab w:val="left" w:pos="2700"/>
              </w:tabs>
              <w:rPr>
                <w:color w:val="auto"/>
              </w:rPr>
            </w:pPr>
            <w:r>
              <w:rPr>
                <w:rFonts w:hint="eastAsia"/>
              </w:rPr>
              <w:t>0.681</w:t>
            </w:r>
            <w:r>
              <w:rPr>
                <w:rFonts w:hint="eastAsia"/>
                <w:lang w:val="en-US" w:eastAsia="zh-CN"/>
              </w:rPr>
              <w:t>7</w:t>
            </w:r>
            <w:r>
              <w:rPr>
                <w:rFonts w:hint="eastAsia"/>
              </w:rPr>
              <w:t>t/a</w:t>
            </w:r>
          </w:p>
        </w:tc>
        <w:tc>
          <w:tcPr>
            <w:tcW w:w="638" w:type="pct"/>
            <w:vAlign w:val="center"/>
          </w:tcPr>
          <w:p>
            <w:pPr>
              <w:pStyle w:val="70"/>
              <w:ind w:firstLine="0" w:firstLineChars="0"/>
              <w:rPr>
                <w:color w:val="auto"/>
              </w:rPr>
            </w:pPr>
            <w:r>
              <w:rPr>
                <w:color w:val="auto"/>
              </w:rPr>
              <w:t>/</w:t>
            </w:r>
          </w:p>
        </w:tc>
        <w:tc>
          <w:tcPr>
            <w:tcW w:w="1623" w:type="dxa"/>
            <w:vAlign w:val="center"/>
          </w:tcPr>
          <w:p>
            <w:pPr>
              <w:pStyle w:val="70"/>
              <w:tabs>
                <w:tab w:val="left" w:pos="2700"/>
              </w:tabs>
              <w:ind w:firstLine="0" w:firstLineChars="0"/>
              <w:rPr>
                <w:color w:val="auto"/>
              </w:rPr>
            </w:pPr>
            <w:r>
              <w:rPr>
                <w:rFonts w:hint="eastAsia"/>
              </w:rPr>
              <w:t>0.681</w:t>
            </w:r>
            <w:r>
              <w:rPr>
                <w:rFonts w:hint="eastAsia"/>
                <w:lang w:val="en-US" w:eastAsia="zh-CN"/>
              </w:rPr>
              <w:t>7</w:t>
            </w:r>
            <w:r>
              <w:rPr>
                <w:rFonts w:hint="eastAsia"/>
              </w:rPr>
              <w:t>t/a</w:t>
            </w:r>
          </w:p>
        </w:tc>
        <w:tc>
          <w:tcPr>
            <w:tcW w:w="408" w:type="pct"/>
            <w:vAlign w:val="center"/>
          </w:tcPr>
          <w:p>
            <w:pPr>
              <w:pStyle w:val="70"/>
              <w:ind w:firstLine="0" w:firstLineChars="0"/>
              <w:rPr>
                <w:color w:val="auto"/>
              </w:rPr>
            </w:pP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restart"/>
            <w:vAlign w:val="center"/>
          </w:tcPr>
          <w:p>
            <w:pPr>
              <w:pStyle w:val="70"/>
            </w:pPr>
            <w:r>
              <w:t>废水</w:t>
            </w:r>
          </w:p>
        </w:tc>
        <w:tc>
          <w:tcPr>
            <w:tcW w:w="617" w:type="pct"/>
            <w:gridSpan w:val="2"/>
            <w:vAlign w:val="center"/>
          </w:tcPr>
          <w:p>
            <w:pPr>
              <w:pStyle w:val="70"/>
            </w:pPr>
            <w:r>
              <w:t>废水</w:t>
            </w:r>
          </w:p>
        </w:tc>
        <w:tc>
          <w:tcPr>
            <w:tcW w:w="623" w:type="pct"/>
            <w:vAlign w:val="center"/>
          </w:tcPr>
          <w:p>
            <w:pPr>
              <w:pStyle w:val="70"/>
            </w:pPr>
            <w:r>
              <w:t>0</w:t>
            </w:r>
          </w:p>
        </w:tc>
        <w:tc>
          <w:tcPr>
            <w:tcW w:w="462" w:type="pct"/>
            <w:vAlign w:val="center"/>
          </w:tcPr>
          <w:p>
            <w:pPr>
              <w:pStyle w:val="70"/>
            </w:pPr>
            <w:r>
              <w:t>0</w:t>
            </w:r>
          </w:p>
        </w:tc>
        <w:tc>
          <w:tcPr>
            <w:tcW w:w="617" w:type="pct"/>
            <w:vAlign w:val="center"/>
          </w:tcPr>
          <w:p>
            <w:pPr>
              <w:pStyle w:val="70"/>
              <w:rPr>
                <w:highlight w:val="none"/>
              </w:rPr>
            </w:pPr>
            <w:r>
              <w:rPr>
                <w:highlight w:val="none"/>
              </w:rPr>
              <w:t>0</w:t>
            </w:r>
          </w:p>
        </w:tc>
        <w:tc>
          <w:tcPr>
            <w:tcW w:w="564" w:type="pct"/>
            <w:vAlign w:val="center"/>
          </w:tcPr>
          <w:p>
            <w:pPr>
              <w:pStyle w:val="70"/>
              <w:rPr>
                <w:color w:val="auto"/>
                <w:highlight w:val="none"/>
              </w:rPr>
            </w:pPr>
            <w:r>
              <w:rPr>
                <w:rFonts w:hint="eastAsia"/>
                <w:color w:val="auto"/>
                <w:highlight w:val="none"/>
                <w:lang w:val="en-US" w:eastAsia="zh-CN"/>
              </w:rPr>
              <w:t>480</w:t>
            </w:r>
            <w:r>
              <w:rPr>
                <w:rFonts w:hint="eastAsia"/>
                <w:color w:val="auto"/>
              </w:rPr>
              <w:t>t/a</w:t>
            </w:r>
          </w:p>
        </w:tc>
        <w:tc>
          <w:tcPr>
            <w:tcW w:w="638" w:type="pct"/>
            <w:vAlign w:val="center"/>
          </w:tcPr>
          <w:p>
            <w:pPr>
              <w:pStyle w:val="70"/>
              <w:ind w:firstLine="0" w:firstLineChars="0"/>
              <w:rPr>
                <w:color w:val="auto"/>
                <w:highlight w:val="none"/>
              </w:rPr>
            </w:pPr>
            <w:r>
              <w:rPr>
                <w:color w:val="auto"/>
                <w:highlight w:val="none"/>
              </w:rPr>
              <w:t>/</w:t>
            </w:r>
          </w:p>
        </w:tc>
        <w:tc>
          <w:tcPr>
            <w:tcW w:w="1623" w:type="dxa"/>
            <w:vAlign w:val="center"/>
          </w:tcPr>
          <w:p>
            <w:pPr>
              <w:pStyle w:val="70"/>
              <w:ind w:firstLine="0" w:firstLineChars="0"/>
              <w:rPr>
                <w:color w:val="auto"/>
                <w:highlight w:val="none"/>
              </w:rPr>
            </w:pPr>
            <w:r>
              <w:rPr>
                <w:rFonts w:hint="eastAsia"/>
                <w:color w:val="auto"/>
                <w:highlight w:val="none"/>
                <w:lang w:val="en-US" w:eastAsia="zh-CN"/>
              </w:rPr>
              <w:t>480</w:t>
            </w:r>
            <w:r>
              <w:rPr>
                <w:rFonts w:hint="eastAsia"/>
                <w:color w:val="auto"/>
              </w:rPr>
              <w:t>t/a</w:t>
            </w:r>
          </w:p>
        </w:tc>
        <w:tc>
          <w:tcPr>
            <w:tcW w:w="408" w:type="pct"/>
            <w:vAlign w:val="center"/>
          </w:tcPr>
          <w:p>
            <w:pPr>
              <w:pStyle w:val="70"/>
              <w:ind w:firstLine="0" w:firstLineChars="0"/>
              <w:rPr>
                <w:color w:val="auto"/>
                <w:highlight w:val="yellow"/>
              </w:rPr>
            </w:pP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pPr>
              <w:pStyle w:val="70"/>
            </w:pPr>
          </w:p>
        </w:tc>
        <w:tc>
          <w:tcPr>
            <w:tcW w:w="617" w:type="pct"/>
            <w:gridSpan w:val="2"/>
            <w:vAlign w:val="center"/>
          </w:tcPr>
          <w:p>
            <w:pPr>
              <w:pStyle w:val="70"/>
            </w:pPr>
            <w:r>
              <w:t>COD</w:t>
            </w:r>
          </w:p>
        </w:tc>
        <w:tc>
          <w:tcPr>
            <w:tcW w:w="623" w:type="pct"/>
            <w:vAlign w:val="center"/>
          </w:tcPr>
          <w:p>
            <w:pPr>
              <w:pStyle w:val="70"/>
            </w:pPr>
            <w:r>
              <w:t>0</w:t>
            </w:r>
          </w:p>
        </w:tc>
        <w:tc>
          <w:tcPr>
            <w:tcW w:w="462" w:type="pct"/>
            <w:vAlign w:val="center"/>
          </w:tcPr>
          <w:p>
            <w:pPr>
              <w:pStyle w:val="70"/>
            </w:pPr>
            <w:r>
              <w:t>0</w:t>
            </w:r>
          </w:p>
        </w:tc>
        <w:tc>
          <w:tcPr>
            <w:tcW w:w="617" w:type="pct"/>
            <w:vAlign w:val="center"/>
          </w:tcPr>
          <w:p>
            <w:pPr>
              <w:pStyle w:val="70"/>
              <w:rPr>
                <w:highlight w:val="none"/>
              </w:rPr>
            </w:pPr>
            <w:r>
              <w:rPr>
                <w:highlight w:val="none"/>
              </w:rPr>
              <w:t>0</w:t>
            </w:r>
          </w:p>
        </w:tc>
        <w:tc>
          <w:tcPr>
            <w:tcW w:w="564" w:type="pct"/>
            <w:vAlign w:val="center"/>
          </w:tcPr>
          <w:p>
            <w:pPr>
              <w:pStyle w:val="70"/>
              <w:ind w:firstLine="0" w:firstLineChars="0"/>
              <w:rPr>
                <w:highlight w:val="none"/>
              </w:rPr>
            </w:pPr>
            <w:r>
              <w:rPr>
                <w:rFonts w:hint="eastAsia"/>
                <w:highlight w:val="none"/>
              </w:rPr>
              <w:t>0.</w:t>
            </w:r>
            <w:r>
              <w:rPr>
                <w:rFonts w:hint="eastAsia"/>
                <w:highlight w:val="none"/>
                <w:lang w:val="en-US" w:eastAsia="zh-CN"/>
              </w:rPr>
              <w:t>192</w:t>
            </w:r>
            <w:r>
              <w:rPr>
                <w:rFonts w:hint="eastAsia"/>
                <w:color w:val="auto"/>
              </w:rPr>
              <w:t>t/a</w:t>
            </w:r>
          </w:p>
        </w:tc>
        <w:tc>
          <w:tcPr>
            <w:tcW w:w="638" w:type="pct"/>
            <w:vAlign w:val="center"/>
          </w:tcPr>
          <w:p>
            <w:pPr>
              <w:pStyle w:val="70"/>
              <w:ind w:firstLine="0" w:firstLineChars="0"/>
              <w:rPr>
                <w:highlight w:val="none"/>
              </w:rPr>
            </w:pPr>
            <w:r>
              <w:rPr>
                <w:color w:val="auto"/>
                <w:highlight w:val="none"/>
              </w:rPr>
              <w:t>/</w:t>
            </w:r>
          </w:p>
        </w:tc>
        <w:tc>
          <w:tcPr>
            <w:tcW w:w="1623" w:type="dxa"/>
            <w:vAlign w:val="center"/>
          </w:tcPr>
          <w:p>
            <w:pPr>
              <w:pStyle w:val="70"/>
              <w:ind w:firstLine="0" w:firstLineChars="0"/>
              <w:rPr>
                <w:highlight w:val="none"/>
              </w:rPr>
            </w:pPr>
            <w:r>
              <w:rPr>
                <w:rFonts w:hint="eastAsia"/>
                <w:highlight w:val="none"/>
              </w:rPr>
              <w:t>0.</w:t>
            </w:r>
            <w:r>
              <w:rPr>
                <w:rFonts w:hint="eastAsia"/>
                <w:highlight w:val="none"/>
                <w:lang w:val="en-US" w:eastAsia="zh-CN"/>
              </w:rPr>
              <w:t>192</w:t>
            </w:r>
            <w:r>
              <w:rPr>
                <w:rFonts w:hint="eastAsia"/>
                <w:color w:val="auto"/>
              </w:rPr>
              <w:t>t/a</w:t>
            </w:r>
          </w:p>
        </w:tc>
        <w:tc>
          <w:tcPr>
            <w:tcW w:w="408" w:type="pct"/>
            <w:vAlign w:val="center"/>
          </w:tcPr>
          <w:p>
            <w:pPr>
              <w:pStyle w:val="70"/>
              <w:ind w:firstLine="0" w:firstLineChars="0"/>
              <w:rPr>
                <w:highlight w:val="yellow"/>
              </w:rPr>
            </w:pP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pPr>
              <w:pStyle w:val="70"/>
            </w:pPr>
          </w:p>
        </w:tc>
        <w:tc>
          <w:tcPr>
            <w:tcW w:w="617" w:type="pct"/>
            <w:gridSpan w:val="2"/>
            <w:vAlign w:val="center"/>
          </w:tcPr>
          <w:p>
            <w:pPr>
              <w:pStyle w:val="70"/>
            </w:pPr>
            <w:r>
              <w:t>BOD</w:t>
            </w:r>
            <w:r>
              <w:rPr>
                <w:vertAlign w:val="subscript"/>
              </w:rPr>
              <w:t>5</w:t>
            </w:r>
          </w:p>
        </w:tc>
        <w:tc>
          <w:tcPr>
            <w:tcW w:w="623" w:type="pct"/>
            <w:vAlign w:val="center"/>
          </w:tcPr>
          <w:p>
            <w:pPr>
              <w:pStyle w:val="70"/>
            </w:pPr>
            <w:r>
              <w:t>0</w:t>
            </w:r>
          </w:p>
        </w:tc>
        <w:tc>
          <w:tcPr>
            <w:tcW w:w="462" w:type="pct"/>
            <w:vAlign w:val="center"/>
          </w:tcPr>
          <w:p>
            <w:pPr>
              <w:pStyle w:val="70"/>
            </w:pPr>
            <w:r>
              <w:t>0</w:t>
            </w:r>
          </w:p>
        </w:tc>
        <w:tc>
          <w:tcPr>
            <w:tcW w:w="617" w:type="pct"/>
            <w:vAlign w:val="center"/>
          </w:tcPr>
          <w:p>
            <w:pPr>
              <w:pStyle w:val="70"/>
              <w:rPr>
                <w:highlight w:val="none"/>
              </w:rPr>
            </w:pPr>
            <w:r>
              <w:rPr>
                <w:highlight w:val="none"/>
              </w:rPr>
              <w:t>0</w:t>
            </w:r>
          </w:p>
        </w:tc>
        <w:tc>
          <w:tcPr>
            <w:tcW w:w="564" w:type="pct"/>
            <w:vAlign w:val="center"/>
          </w:tcPr>
          <w:p>
            <w:pPr>
              <w:pStyle w:val="70"/>
              <w:ind w:firstLine="0" w:firstLineChars="0"/>
              <w:rPr>
                <w:highlight w:val="none"/>
              </w:rPr>
            </w:pPr>
            <w:r>
              <w:rPr>
                <w:highlight w:val="none"/>
              </w:rPr>
              <w:t>0.</w:t>
            </w:r>
            <w:r>
              <w:rPr>
                <w:rFonts w:hint="eastAsia"/>
                <w:highlight w:val="none"/>
                <w:lang w:val="en-US" w:eastAsia="zh-CN"/>
              </w:rPr>
              <w:t>144</w:t>
            </w:r>
            <w:r>
              <w:rPr>
                <w:rFonts w:hint="eastAsia"/>
                <w:color w:val="auto"/>
              </w:rPr>
              <w:t>t/a</w:t>
            </w:r>
          </w:p>
        </w:tc>
        <w:tc>
          <w:tcPr>
            <w:tcW w:w="638" w:type="pct"/>
            <w:vAlign w:val="center"/>
          </w:tcPr>
          <w:p>
            <w:pPr>
              <w:pStyle w:val="70"/>
              <w:ind w:firstLine="0" w:firstLineChars="0"/>
              <w:rPr>
                <w:highlight w:val="none"/>
              </w:rPr>
            </w:pPr>
            <w:r>
              <w:rPr>
                <w:color w:val="auto"/>
                <w:highlight w:val="none"/>
              </w:rPr>
              <w:t>/</w:t>
            </w:r>
          </w:p>
        </w:tc>
        <w:tc>
          <w:tcPr>
            <w:tcW w:w="1623" w:type="dxa"/>
            <w:vAlign w:val="center"/>
          </w:tcPr>
          <w:p>
            <w:pPr>
              <w:pStyle w:val="70"/>
              <w:ind w:firstLine="0" w:firstLineChars="0"/>
              <w:rPr>
                <w:highlight w:val="none"/>
              </w:rPr>
            </w:pPr>
            <w:r>
              <w:rPr>
                <w:highlight w:val="none"/>
              </w:rPr>
              <w:t>0.</w:t>
            </w:r>
            <w:r>
              <w:rPr>
                <w:rFonts w:hint="eastAsia"/>
                <w:highlight w:val="none"/>
                <w:lang w:val="en-US" w:eastAsia="zh-CN"/>
              </w:rPr>
              <w:t>144</w:t>
            </w:r>
            <w:r>
              <w:rPr>
                <w:rFonts w:hint="eastAsia"/>
                <w:color w:val="auto"/>
              </w:rPr>
              <w:t>t/a</w:t>
            </w:r>
          </w:p>
        </w:tc>
        <w:tc>
          <w:tcPr>
            <w:tcW w:w="408" w:type="pct"/>
            <w:vAlign w:val="center"/>
          </w:tcPr>
          <w:p>
            <w:pPr>
              <w:pStyle w:val="70"/>
              <w:ind w:firstLine="0" w:firstLineChars="0"/>
              <w:rPr>
                <w:highlight w:val="yellow"/>
              </w:rPr>
            </w:pP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pPr>
              <w:pStyle w:val="70"/>
            </w:pPr>
          </w:p>
        </w:tc>
        <w:tc>
          <w:tcPr>
            <w:tcW w:w="617" w:type="pct"/>
            <w:gridSpan w:val="2"/>
            <w:vAlign w:val="center"/>
          </w:tcPr>
          <w:p>
            <w:pPr>
              <w:pStyle w:val="70"/>
            </w:pPr>
            <w:r>
              <w:t>SS</w:t>
            </w:r>
          </w:p>
        </w:tc>
        <w:tc>
          <w:tcPr>
            <w:tcW w:w="623" w:type="pct"/>
            <w:vAlign w:val="center"/>
          </w:tcPr>
          <w:p>
            <w:pPr>
              <w:pStyle w:val="70"/>
            </w:pPr>
            <w:r>
              <w:t>0</w:t>
            </w:r>
          </w:p>
        </w:tc>
        <w:tc>
          <w:tcPr>
            <w:tcW w:w="462" w:type="pct"/>
            <w:vAlign w:val="center"/>
          </w:tcPr>
          <w:p>
            <w:pPr>
              <w:pStyle w:val="70"/>
            </w:pPr>
            <w:r>
              <w:t>0</w:t>
            </w:r>
          </w:p>
        </w:tc>
        <w:tc>
          <w:tcPr>
            <w:tcW w:w="617" w:type="pct"/>
            <w:vAlign w:val="center"/>
          </w:tcPr>
          <w:p>
            <w:pPr>
              <w:pStyle w:val="70"/>
              <w:rPr>
                <w:highlight w:val="none"/>
              </w:rPr>
            </w:pPr>
            <w:r>
              <w:rPr>
                <w:highlight w:val="none"/>
              </w:rPr>
              <w:t>0</w:t>
            </w:r>
          </w:p>
        </w:tc>
        <w:tc>
          <w:tcPr>
            <w:tcW w:w="564" w:type="pct"/>
            <w:vAlign w:val="center"/>
          </w:tcPr>
          <w:p>
            <w:pPr>
              <w:pStyle w:val="70"/>
              <w:ind w:firstLine="0" w:firstLineChars="0"/>
              <w:rPr>
                <w:highlight w:val="none"/>
              </w:rPr>
            </w:pPr>
            <w:r>
              <w:rPr>
                <w:rFonts w:hint="eastAsia"/>
                <w:highlight w:val="none"/>
              </w:rPr>
              <w:t>0.</w:t>
            </w:r>
            <w:r>
              <w:rPr>
                <w:rFonts w:hint="eastAsia"/>
                <w:highlight w:val="none"/>
                <w:lang w:val="en-US" w:eastAsia="zh-CN"/>
              </w:rPr>
              <w:t>12</w:t>
            </w:r>
            <w:r>
              <w:rPr>
                <w:rFonts w:hint="eastAsia"/>
                <w:color w:val="auto"/>
              </w:rPr>
              <w:t>t/a</w:t>
            </w:r>
          </w:p>
        </w:tc>
        <w:tc>
          <w:tcPr>
            <w:tcW w:w="638" w:type="pct"/>
            <w:vAlign w:val="center"/>
          </w:tcPr>
          <w:p>
            <w:pPr>
              <w:pStyle w:val="70"/>
              <w:ind w:firstLine="0" w:firstLineChars="0"/>
              <w:rPr>
                <w:highlight w:val="none"/>
              </w:rPr>
            </w:pPr>
            <w:r>
              <w:rPr>
                <w:color w:val="auto"/>
                <w:highlight w:val="none"/>
              </w:rPr>
              <w:t>/</w:t>
            </w:r>
          </w:p>
        </w:tc>
        <w:tc>
          <w:tcPr>
            <w:tcW w:w="1623" w:type="dxa"/>
            <w:vAlign w:val="center"/>
          </w:tcPr>
          <w:p>
            <w:pPr>
              <w:pStyle w:val="70"/>
              <w:ind w:firstLine="0" w:firstLineChars="0"/>
              <w:rPr>
                <w:highlight w:val="none"/>
              </w:rPr>
            </w:pPr>
            <w:r>
              <w:rPr>
                <w:rFonts w:hint="eastAsia"/>
                <w:highlight w:val="none"/>
              </w:rPr>
              <w:t>0.</w:t>
            </w:r>
            <w:r>
              <w:rPr>
                <w:rFonts w:hint="eastAsia"/>
                <w:highlight w:val="none"/>
                <w:lang w:val="en-US" w:eastAsia="zh-CN"/>
              </w:rPr>
              <w:t>12</w:t>
            </w:r>
            <w:r>
              <w:rPr>
                <w:rFonts w:hint="eastAsia"/>
                <w:color w:val="auto"/>
              </w:rPr>
              <w:t>t/a</w:t>
            </w:r>
          </w:p>
        </w:tc>
        <w:tc>
          <w:tcPr>
            <w:tcW w:w="408" w:type="pct"/>
            <w:vAlign w:val="center"/>
          </w:tcPr>
          <w:p>
            <w:pPr>
              <w:pStyle w:val="70"/>
              <w:ind w:firstLine="0" w:firstLineChars="0"/>
              <w:rPr>
                <w:highlight w:val="yellow"/>
              </w:rPr>
            </w:pP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pPr>
              <w:pStyle w:val="70"/>
            </w:pPr>
          </w:p>
        </w:tc>
        <w:tc>
          <w:tcPr>
            <w:tcW w:w="617" w:type="pct"/>
            <w:gridSpan w:val="2"/>
            <w:vAlign w:val="center"/>
          </w:tcPr>
          <w:p>
            <w:pPr>
              <w:pStyle w:val="70"/>
            </w:pPr>
            <w:r>
              <w:t>NH</w:t>
            </w:r>
            <w:r>
              <w:rPr>
                <w:vertAlign w:val="subscript"/>
              </w:rPr>
              <w:t>3</w:t>
            </w:r>
            <w:r>
              <w:t>-N</w:t>
            </w:r>
          </w:p>
        </w:tc>
        <w:tc>
          <w:tcPr>
            <w:tcW w:w="623" w:type="pct"/>
            <w:vAlign w:val="center"/>
          </w:tcPr>
          <w:p>
            <w:pPr>
              <w:pStyle w:val="70"/>
            </w:pPr>
            <w:r>
              <w:t>0</w:t>
            </w:r>
          </w:p>
        </w:tc>
        <w:tc>
          <w:tcPr>
            <w:tcW w:w="462" w:type="pct"/>
            <w:vAlign w:val="center"/>
          </w:tcPr>
          <w:p>
            <w:pPr>
              <w:pStyle w:val="70"/>
            </w:pPr>
            <w:r>
              <w:t>0</w:t>
            </w:r>
          </w:p>
        </w:tc>
        <w:tc>
          <w:tcPr>
            <w:tcW w:w="617" w:type="pct"/>
            <w:vAlign w:val="center"/>
          </w:tcPr>
          <w:p>
            <w:pPr>
              <w:pStyle w:val="70"/>
              <w:rPr>
                <w:highlight w:val="none"/>
              </w:rPr>
            </w:pPr>
            <w:r>
              <w:rPr>
                <w:highlight w:val="none"/>
              </w:rPr>
              <w:t>0</w:t>
            </w:r>
          </w:p>
        </w:tc>
        <w:tc>
          <w:tcPr>
            <w:tcW w:w="564" w:type="pct"/>
            <w:vAlign w:val="center"/>
          </w:tcPr>
          <w:p>
            <w:pPr>
              <w:pStyle w:val="70"/>
              <w:ind w:firstLine="0" w:firstLineChars="0"/>
              <w:rPr>
                <w:highlight w:val="none"/>
              </w:rPr>
            </w:pPr>
            <w:r>
              <w:rPr>
                <w:rFonts w:hint="eastAsia"/>
                <w:highlight w:val="none"/>
              </w:rPr>
              <w:t>0.0</w:t>
            </w:r>
            <w:r>
              <w:rPr>
                <w:rFonts w:hint="eastAsia"/>
                <w:highlight w:val="none"/>
                <w:lang w:val="en-US" w:eastAsia="zh-CN"/>
              </w:rPr>
              <w:t>144</w:t>
            </w:r>
            <w:r>
              <w:rPr>
                <w:rFonts w:hint="eastAsia"/>
                <w:color w:val="auto"/>
              </w:rPr>
              <w:t>t/a</w:t>
            </w:r>
          </w:p>
        </w:tc>
        <w:tc>
          <w:tcPr>
            <w:tcW w:w="638" w:type="pct"/>
            <w:vAlign w:val="center"/>
          </w:tcPr>
          <w:p>
            <w:pPr>
              <w:pStyle w:val="70"/>
              <w:ind w:firstLine="0" w:firstLineChars="0"/>
              <w:rPr>
                <w:highlight w:val="none"/>
              </w:rPr>
            </w:pPr>
            <w:r>
              <w:rPr>
                <w:color w:val="auto"/>
                <w:highlight w:val="none"/>
              </w:rPr>
              <w:t>/</w:t>
            </w:r>
          </w:p>
        </w:tc>
        <w:tc>
          <w:tcPr>
            <w:tcW w:w="1623" w:type="dxa"/>
            <w:vAlign w:val="center"/>
          </w:tcPr>
          <w:p>
            <w:pPr>
              <w:pStyle w:val="70"/>
              <w:ind w:firstLine="0" w:firstLineChars="0"/>
              <w:rPr>
                <w:highlight w:val="none"/>
              </w:rPr>
            </w:pPr>
            <w:r>
              <w:rPr>
                <w:rFonts w:hint="eastAsia"/>
                <w:highlight w:val="none"/>
              </w:rPr>
              <w:t>0.0</w:t>
            </w:r>
            <w:r>
              <w:rPr>
                <w:rFonts w:hint="eastAsia"/>
                <w:highlight w:val="none"/>
                <w:lang w:val="en-US" w:eastAsia="zh-CN"/>
              </w:rPr>
              <w:t>144</w:t>
            </w:r>
            <w:r>
              <w:rPr>
                <w:rFonts w:hint="eastAsia"/>
                <w:color w:val="auto"/>
              </w:rPr>
              <w:t>t/a</w:t>
            </w:r>
          </w:p>
        </w:tc>
        <w:tc>
          <w:tcPr>
            <w:tcW w:w="408" w:type="pct"/>
            <w:vAlign w:val="center"/>
          </w:tcPr>
          <w:p>
            <w:pPr>
              <w:pStyle w:val="70"/>
              <w:ind w:firstLine="0" w:firstLineChars="0"/>
              <w:rPr>
                <w:highlight w:val="yellow"/>
              </w:rPr>
            </w:pP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pPr>
              <w:pStyle w:val="70"/>
            </w:pPr>
          </w:p>
        </w:tc>
        <w:tc>
          <w:tcPr>
            <w:tcW w:w="617" w:type="pct"/>
            <w:gridSpan w:val="2"/>
            <w:vAlign w:val="center"/>
          </w:tcPr>
          <w:p>
            <w:pPr>
              <w:pStyle w:val="70"/>
              <w:rPr>
                <w:rFonts w:hint="eastAsia" w:eastAsia="宋体"/>
                <w:lang w:val="en-US" w:eastAsia="zh-CN"/>
              </w:rPr>
            </w:pPr>
            <w:r>
              <w:rPr>
                <w:rFonts w:hint="eastAsia"/>
                <w:lang w:val="en-US" w:eastAsia="zh-CN"/>
              </w:rPr>
              <w:t>动植物油</w:t>
            </w:r>
          </w:p>
        </w:tc>
        <w:tc>
          <w:tcPr>
            <w:tcW w:w="623" w:type="pct"/>
            <w:vAlign w:val="center"/>
          </w:tcPr>
          <w:p>
            <w:pPr>
              <w:pStyle w:val="70"/>
              <w:rPr>
                <w:rFonts w:hint="eastAsia" w:eastAsia="宋体"/>
                <w:lang w:val="en-US" w:eastAsia="zh-CN"/>
              </w:rPr>
            </w:pPr>
            <w:r>
              <w:rPr>
                <w:rFonts w:hint="eastAsia"/>
                <w:lang w:val="en-US" w:eastAsia="zh-CN"/>
              </w:rPr>
              <w:t>0</w:t>
            </w:r>
          </w:p>
        </w:tc>
        <w:tc>
          <w:tcPr>
            <w:tcW w:w="462" w:type="pct"/>
            <w:vAlign w:val="center"/>
          </w:tcPr>
          <w:p>
            <w:pPr>
              <w:pStyle w:val="70"/>
              <w:rPr>
                <w:rFonts w:hint="eastAsia" w:eastAsia="宋体"/>
                <w:lang w:val="en-US" w:eastAsia="zh-CN"/>
              </w:rPr>
            </w:pPr>
            <w:r>
              <w:rPr>
                <w:rFonts w:hint="eastAsia"/>
                <w:lang w:val="en-US" w:eastAsia="zh-CN"/>
              </w:rPr>
              <w:t>0</w:t>
            </w:r>
          </w:p>
        </w:tc>
        <w:tc>
          <w:tcPr>
            <w:tcW w:w="617" w:type="pct"/>
            <w:vAlign w:val="center"/>
          </w:tcPr>
          <w:p>
            <w:pPr>
              <w:pStyle w:val="70"/>
              <w:rPr>
                <w:rFonts w:hint="eastAsia" w:eastAsia="宋体"/>
                <w:highlight w:val="none"/>
                <w:lang w:val="en-US" w:eastAsia="zh-CN"/>
              </w:rPr>
            </w:pPr>
            <w:r>
              <w:rPr>
                <w:rFonts w:hint="eastAsia"/>
                <w:highlight w:val="none"/>
                <w:lang w:val="en-US" w:eastAsia="zh-CN"/>
              </w:rPr>
              <w:t>0</w:t>
            </w:r>
          </w:p>
        </w:tc>
        <w:tc>
          <w:tcPr>
            <w:tcW w:w="564" w:type="pct"/>
            <w:vAlign w:val="center"/>
          </w:tcPr>
          <w:p>
            <w:pPr>
              <w:pStyle w:val="70"/>
              <w:ind w:firstLine="0" w:firstLineChars="0"/>
              <w:rPr>
                <w:rFonts w:hint="default" w:eastAsia="宋体"/>
                <w:highlight w:val="none"/>
                <w:lang w:val="en-US" w:eastAsia="zh-CN"/>
              </w:rPr>
            </w:pPr>
            <w:r>
              <w:rPr>
                <w:rFonts w:hint="eastAsia"/>
                <w:highlight w:val="none"/>
                <w:lang w:val="en-US" w:eastAsia="zh-CN"/>
              </w:rPr>
              <w:t>0.048</w:t>
            </w:r>
            <w:r>
              <w:rPr>
                <w:rFonts w:hint="eastAsia"/>
                <w:color w:val="auto"/>
              </w:rPr>
              <w:t>t/a</w:t>
            </w:r>
          </w:p>
        </w:tc>
        <w:tc>
          <w:tcPr>
            <w:tcW w:w="638" w:type="pct"/>
            <w:vAlign w:val="center"/>
          </w:tcPr>
          <w:p>
            <w:pPr>
              <w:pStyle w:val="70"/>
              <w:ind w:firstLine="0" w:firstLineChars="0"/>
              <w:rPr>
                <w:color w:val="auto"/>
                <w:highlight w:val="none"/>
              </w:rPr>
            </w:pPr>
            <w:r>
              <w:rPr>
                <w:color w:val="auto"/>
                <w:highlight w:val="none"/>
              </w:rPr>
              <w:t>/</w:t>
            </w:r>
          </w:p>
        </w:tc>
        <w:tc>
          <w:tcPr>
            <w:tcW w:w="1623" w:type="dxa"/>
            <w:vAlign w:val="center"/>
          </w:tcPr>
          <w:p>
            <w:pPr>
              <w:pStyle w:val="70"/>
              <w:ind w:firstLine="0" w:firstLineChars="0"/>
              <w:rPr>
                <w:rFonts w:hint="eastAsia"/>
                <w:highlight w:val="none"/>
              </w:rPr>
            </w:pPr>
            <w:r>
              <w:rPr>
                <w:rFonts w:hint="eastAsia"/>
                <w:highlight w:val="none"/>
                <w:lang w:val="en-US" w:eastAsia="zh-CN"/>
              </w:rPr>
              <w:t>0.048</w:t>
            </w:r>
            <w:r>
              <w:rPr>
                <w:rFonts w:hint="eastAsia"/>
                <w:color w:val="auto"/>
              </w:rPr>
              <w:t>t/a</w:t>
            </w:r>
          </w:p>
        </w:tc>
        <w:tc>
          <w:tcPr>
            <w:tcW w:w="408" w:type="pct"/>
            <w:vAlign w:val="center"/>
          </w:tcPr>
          <w:p>
            <w:pPr>
              <w:pStyle w:val="70"/>
              <w:ind w:firstLine="0" w:firstLineChars="0"/>
              <w:rPr>
                <w:rFonts w:hint="eastAsia" w:eastAsia="宋体"/>
                <w:lang w:val="en-US" w:eastAsia="zh-CN"/>
              </w:rPr>
            </w:pPr>
            <w:r>
              <w:rPr>
                <w:rFonts w:hint="eastAsia"/>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5" w:type="pct"/>
            <w:vMerge w:val="restart"/>
            <w:vAlign w:val="center"/>
          </w:tcPr>
          <w:p>
            <w:pPr>
              <w:pStyle w:val="70"/>
              <w:rPr>
                <w:rFonts w:hint="eastAsia" w:eastAsia="宋体"/>
                <w:lang w:val="en-US" w:eastAsia="zh-CN"/>
              </w:rPr>
            </w:pPr>
            <w:r>
              <w:rPr>
                <w:rFonts w:hint="eastAsia"/>
                <w:lang w:val="en-US" w:eastAsia="zh-CN"/>
              </w:rPr>
              <w:t>一般固体废物</w:t>
            </w:r>
          </w:p>
        </w:tc>
        <w:tc>
          <w:tcPr>
            <w:tcW w:w="617" w:type="pct"/>
            <w:gridSpan w:val="2"/>
            <w:vAlign w:val="center"/>
          </w:tcPr>
          <w:p>
            <w:pPr>
              <w:pStyle w:val="70"/>
              <w:ind w:firstLine="0" w:firstLineChars="0"/>
            </w:pPr>
            <w:r>
              <w:rPr>
                <w:rFonts w:hint="eastAsia"/>
                <w:lang w:val="en-US" w:eastAsia="zh-CN"/>
              </w:rPr>
              <w:t>除尘灰</w:t>
            </w:r>
          </w:p>
        </w:tc>
        <w:tc>
          <w:tcPr>
            <w:tcW w:w="623" w:type="pct"/>
            <w:vAlign w:val="center"/>
          </w:tcPr>
          <w:p>
            <w:pPr>
              <w:pStyle w:val="70"/>
              <w:ind w:firstLine="0" w:firstLineChars="0"/>
            </w:pPr>
            <w:r>
              <w:rPr>
                <w:color w:val="auto"/>
              </w:rPr>
              <w:t>0</w:t>
            </w:r>
          </w:p>
        </w:tc>
        <w:tc>
          <w:tcPr>
            <w:tcW w:w="462" w:type="pct"/>
            <w:vAlign w:val="center"/>
          </w:tcPr>
          <w:p>
            <w:pPr>
              <w:pStyle w:val="70"/>
              <w:ind w:firstLine="0" w:firstLineChars="0"/>
            </w:pPr>
            <w:r>
              <w:rPr>
                <w:color w:val="auto"/>
              </w:rPr>
              <w:t>0</w:t>
            </w:r>
          </w:p>
        </w:tc>
        <w:tc>
          <w:tcPr>
            <w:tcW w:w="617" w:type="pct"/>
            <w:vAlign w:val="center"/>
          </w:tcPr>
          <w:p>
            <w:pPr>
              <w:pStyle w:val="70"/>
              <w:ind w:firstLine="0" w:firstLineChars="0"/>
              <w:rPr>
                <w:rFonts w:hint="eastAsia" w:eastAsia="宋体"/>
                <w:lang w:eastAsia="zh-CN"/>
              </w:rPr>
            </w:pPr>
            <w:r>
              <w:rPr>
                <w:color w:val="auto"/>
              </w:rPr>
              <w:t>0</w:t>
            </w:r>
          </w:p>
        </w:tc>
        <w:tc>
          <w:tcPr>
            <w:tcW w:w="564" w:type="pct"/>
            <w:vAlign w:val="center"/>
          </w:tcPr>
          <w:p>
            <w:pPr>
              <w:pStyle w:val="70"/>
              <w:rPr>
                <w:rFonts w:hint="default" w:eastAsia="宋体"/>
                <w:lang w:val="en-US" w:eastAsia="zh-CN"/>
              </w:rPr>
            </w:pPr>
            <w:r>
              <w:rPr>
                <w:rFonts w:hint="eastAsia"/>
                <w:lang w:val="en-US" w:eastAsia="zh-CN"/>
              </w:rPr>
              <w:t>16.24</w:t>
            </w:r>
            <w:r>
              <w:t>t/a</w:t>
            </w:r>
          </w:p>
        </w:tc>
        <w:tc>
          <w:tcPr>
            <w:tcW w:w="638" w:type="pct"/>
            <w:vAlign w:val="center"/>
          </w:tcPr>
          <w:p>
            <w:pPr>
              <w:pStyle w:val="70"/>
              <w:ind w:firstLine="0" w:firstLineChars="0"/>
            </w:pPr>
            <w:r>
              <w:rPr>
                <w:color w:val="auto"/>
              </w:rPr>
              <w:t>/</w:t>
            </w:r>
          </w:p>
        </w:tc>
        <w:tc>
          <w:tcPr>
            <w:tcW w:w="1623" w:type="dxa"/>
            <w:vAlign w:val="center"/>
          </w:tcPr>
          <w:p>
            <w:pPr>
              <w:pStyle w:val="70"/>
              <w:ind w:firstLine="0" w:firstLineChars="0"/>
              <w:rPr>
                <w:rFonts w:hint="eastAsia"/>
              </w:rPr>
            </w:pPr>
            <w:r>
              <w:rPr>
                <w:rFonts w:hint="eastAsia"/>
                <w:lang w:val="en-US" w:eastAsia="zh-CN"/>
              </w:rPr>
              <w:t>16.24</w:t>
            </w:r>
            <w:r>
              <w:t>t/a</w:t>
            </w:r>
          </w:p>
        </w:tc>
        <w:tc>
          <w:tcPr>
            <w:tcW w:w="408" w:type="pct"/>
            <w:vAlign w:val="center"/>
          </w:tcPr>
          <w:p>
            <w:pPr>
              <w:pStyle w:val="70"/>
              <w:ind w:firstLine="0" w:firstLineChars="0"/>
              <w:rPr>
                <w:rFonts w:hint="eastAsia"/>
              </w:rPr>
            </w:pPr>
            <w:r>
              <w:rPr>
                <w:color w:val="auto"/>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5" w:type="pct"/>
            <w:vMerge w:val="continue"/>
            <w:vAlign w:val="center"/>
          </w:tcPr>
          <w:p>
            <w:pPr>
              <w:pStyle w:val="70"/>
              <w:rPr>
                <w:rFonts w:hint="eastAsia"/>
                <w:lang w:val="en-US" w:eastAsia="zh-CN"/>
              </w:rPr>
            </w:pPr>
          </w:p>
        </w:tc>
        <w:tc>
          <w:tcPr>
            <w:tcW w:w="617" w:type="pct"/>
            <w:gridSpan w:val="2"/>
            <w:vAlign w:val="center"/>
          </w:tcPr>
          <w:p>
            <w:pPr>
              <w:pStyle w:val="70"/>
              <w:ind w:firstLine="0" w:firstLineChars="0"/>
            </w:pPr>
            <w:r>
              <w:t>废</w:t>
            </w:r>
            <w:r>
              <w:rPr>
                <w:rFonts w:hint="eastAsia"/>
                <w:lang w:val="en-US" w:eastAsia="zh-CN"/>
              </w:rPr>
              <w:t>旧除尘布袋</w:t>
            </w:r>
          </w:p>
        </w:tc>
        <w:tc>
          <w:tcPr>
            <w:tcW w:w="623" w:type="pct"/>
            <w:vAlign w:val="center"/>
          </w:tcPr>
          <w:p>
            <w:pPr>
              <w:pStyle w:val="70"/>
              <w:ind w:firstLine="0" w:firstLineChars="0"/>
            </w:pPr>
            <w:r>
              <w:rPr>
                <w:rFonts w:hint="eastAsia"/>
                <w:color w:val="auto"/>
              </w:rPr>
              <w:t>0</w:t>
            </w:r>
          </w:p>
        </w:tc>
        <w:tc>
          <w:tcPr>
            <w:tcW w:w="462" w:type="pct"/>
            <w:vAlign w:val="center"/>
          </w:tcPr>
          <w:p>
            <w:pPr>
              <w:pStyle w:val="70"/>
              <w:ind w:firstLine="0" w:firstLineChars="0"/>
            </w:pPr>
            <w:r>
              <w:rPr>
                <w:rFonts w:hint="eastAsia"/>
                <w:color w:val="auto"/>
              </w:rPr>
              <w:t>0</w:t>
            </w:r>
          </w:p>
        </w:tc>
        <w:tc>
          <w:tcPr>
            <w:tcW w:w="617" w:type="pct"/>
            <w:vAlign w:val="center"/>
          </w:tcPr>
          <w:p>
            <w:pPr>
              <w:pStyle w:val="70"/>
              <w:ind w:firstLine="0" w:firstLineChars="0"/>
            </w:pPr>
            <w:r>
              <w:rPr>
                <w:rFonts w:hint="eastAsia"/>
                <w:color w:val="auto"/>
              </w:rPr>
              <w:t>0</w:t>
            </w:r>
          </w:p>
        </w:tc>
        <w:tc>
          <w:tcPr>
            <w:tcW w:w="564" w:type="pct"/>
            <w:vAlign w:val="center"/>
          </w:tcPr>
          <w:p>
            <w:pPr>
              <w:pStyle w:val="70"/>
              <w:rPr>
                <w:rFonts w:hint="eastAsia" w:eastAsia="宋体"/>
                <w:lang w:val="en-US" w:eastAsia="zh-CN"/>
              </w:rPr>
            </w:pPr>
            <w:r>
              <w:rPr>
                <w:rFonts w:hint="eastAsia"/>
                <w:lang w:val="en-US" w:eastAsia="zh-CN"/>
              </w:rPr>
              <w:t>1</w:t>
            </w:r>
            <w:r>
              <w:t>t/a</w:t>
            </w:r>
          </w:p>
        </w:tc>
        <w:tc>
          <w:tcPr>
            <w:tcW w:w="638" w:type="pct"/>
            <w:vAlign w:val="center"/>
          </w:tcPr>
          <w:p>
            <w:pPr>
              <w:pStyle w:val="70"/>
              <w:ind w:firstLine="0" w:firstLineChars="0"/>
            </w:pPr>
            <w:r>
              <w:rPr>
                <w:color w:val="auto"/>
              </w:rPr>
              <w:t>/</w:t>
            </w:r>
          </w:p>
        </w:tc>
        <w:tc>
          <w:tcPr>
            <w:tcW w:w="1623" w:type="dxa"/>
            <w:vAlign w:val="center"/>
          </w:tcPr>
          <w:p>
            <w:pPr>
              <w:pStyle w:val="70"/>
              <w:ind w:firstLine="0" w:firstLineChars="0"/>
              <w:rPr>
                <w:rFonts w:hint="eastAsia"/>
              </w:rPr>
            </w:pPr>
            <w:r>
              <w:rPr>
                <w:rFonts w:hint="eastAsia"/>
                <w:lang w:val="en-US" w:eastAsia="zh-CN"/>
              </w:rPr>
              <w:t>1</w:t>
            </w:r>
            <w:r>
              <w:t>t/a</w:t>
            </w:r>
          </w:p>
        </w:tc>
        <w:tc>
          <w:tcPr>
            <w:tcW w:w="408" w:type="pct"/>
            <w:vAlign w:val="center"/>
          </w:tcPr>
          <w:p>
            <w:pPr>
              <w:pStyle w:val="70"/>
              <w:ind w:firstLine="0" w:firstLineChars="0"/>
              <w:rPr>
                <w:rFonts w:hint="eastAsia"/>
              </w:rPr>
            </w:pPr>
            <w:r>
              <w:rPr>
                <w:rFonts w:hint="eastAsia"/>
                <w:color w:val="auto"/>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5" w:type="pct"/>
            <w:vMerge w:val="continue"/>
            <w:vAlign w:val="center"/>
          </w:tcPr>
          <w:p>
            <w:pPr>
              <w:pStyle w:val="70"/>
              <w:rPr>
                <w:rFonts w:hint="eastAsia"/>
                <w:lang w:val="en-US" w:eastAsia="zh-CN"/>
              </w:rPr>
            </w:pPr>
          </w:p>
        </w:tc>
        <w:tc>
          <w:tcPr>
            <w:tcW w:w="617" w:type="pct"/>
            <w:gridSpan w:val="2"/>
            <w:vAlign w:val="center"/>
          </w:tcPr>
          <w:p>
            <w:pPr>
              <w:pStyle w:val="70"/>
              <w:ind w:firstLine="0" w:firstLineChars="0"/>
            </w:pPr>
            <w:r>
              <w:t>离子交换树脂</w:t>
            </w:r>
          </w:p>
        </w:tc>
        <w:tc>
          <w:tcPr>
            <w:tcW w:w="623" w:type="pct"/>
            <w:vAlign w:val="center"/>
          </w:tcPr>
          <w:p>
            <w:pPr>
              <w:pStyle w:val="70"/>
              <w:ind w:firstLine="0" w:firstLineChars="0"/>
            </w:pPr>
            <w:r>
              <w:t>0</w:t>
            </w:r>
          </w:p>
        </w:tc>
        <w:tc>
          <w:tcPr>
            <w:tcW w:w="462" w:type="pct"/>
            <w:vAlign w:val="center"/>
          </w:tcPr>
          <w:p>
            <w:pPr>
              <w:pStyle w:val="70"/>
              <w:ind w:firstLine="0" w:firstLineChars="0"/>
            </w:pPr>
            <w:r>
              <w:t>0</w:t>
            </w:r>
          </w:p>
        </w:tc>
        <w:tc>
          <w:tcPr>
            <w:tcW w:w="617" w:type="pct"/>
            <w:vAlign w:val="center"/>
          </w:tcPr>
          <w:p>
            <w:pPr>
              <w:pStyle w:val="70"/>
              <w:ind w:firstLine="0" w:firstLineChars="0"/>
            </w:pPr>
            <w:r>
              <w:t>0</w:t>
            </w:r>
          </w:p>
        </w:tc>
        <w:tc>
          <w:tcPr>
            <w:tcW w:w="564" w:type="pct"/>
            <w:vAlign w:val="center"/>
          </w:tcPr>
          <w:p>
            <w:pPr>
              <w:pStyle w:val="70"/>
              <w:rPr>
                <w:rFonts w:hint="default" w:eastAsia="宋体"/>
                <w:lang w:val="en-US" w:eastAsia="zh-CN"/>
              </w:rPr>
            </w:pPr>
            <w:r>
              <w:rPr>
                <w:rFonts w:hint="eastAsia"/>
                <w:lang w:val="en-US" w:eastAsia="zh-CN"/>
              </w:rPr>
              <w:t>0.1</w:t>
            </w:r>
            <w:r>
              <w:t>t/a</w:t>
            </w:r>
          </w:p>
        </w:tc>
        <w:tc>
          <w:tcPr>
            <w:tcW w:w="638" w:type="pct"/>
            <w:vAlign w:val="center"/>
          </w:tcPr>
          <w:p>
            <w:pPr>
              <w:pStyle w:val="70"/>
              <w:ind w:firstLine="0" w:firstLineChars="0"/>
            </w:pPr>
            <w:r>
              <w:rPr>
                <w:color w:val="auto"/>
              </w:rPr>
              <w:t>/</w:t>
            </w:r>
          </w:p>
        </w:tc>
        <w:tc>
          <w:tcPr>
            <w:tcW w:w="1623" w:type="dxa"/>
            <w:vAlign w:val="center"/>
          </w:tcPr>
          <w:p>
            <w:pPr>
              <w:pStyle w:val="70"/>
              <w:ind w:firstLine="0" w:firstLineChars="0"/>
              <w:rPr>
                <w:rFonts w:hint="eastAsia"/>
              </w:rPr>
            </w:pPr>
            <w:r>
              <w:rPr>
                <w:rFonts w:hint="eastAsia"/>
                <w:lang w:val="en-US" w:eastAsia="zh-CN"/>
              </w:rPr>
              <w:t>0.1</w:t>
            </w:r>
            <w:r>
              <w:t>t/a</w:t>
            </w:r>
          </w:p>
        </w:tc>
        <w:tc>
          <w:tcPr>
            <w:tcW w:w="408" w:type="pct"/>
            <w:vAlign w:val="center"/>
          </w:tcPr>
          <w:p>
            <w:pPr>
              <w:pStyle w:val="70"/>
              <w:ind w:firstLine="0" w:firstLineChars="0"/>
              <w:rPr>
                <w:rFonts w:hint="eastAsia"/>
              </w:rPr>
            </w:pP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5" w:type="pct"/>
            <w:vMerge w:val="continue"/>
            <w:vAlign w:val="center"/>
          </w:tcPr>
          <w:p>
            <w:pPr>
              <w:pStyle w:val="70"/>
              <w:rPr>
                <w:rFonts w:hint="eastAsia"/>
                <w:lang w:val="en-US" w:eastAsia="zh-CN"/>
              </w:rPr>
            </w:pPr>
          </w:p>
        </w:tc>
        <w:tc>
          <w:tcPr>
            <w:tcW w:w="617" w:type="pct"/>
            <w:gridSpan w:val="2"/>
            <w:vAlign w:val="center"/>
          </w:tcPr>
          <w:p>
            <w:pPr>
              <w:pStyle w:val="70"/>
              <w:ind w:firstLine="0" w:firstLineChars="0"/>
            </w:pPr>
            <w:r>
              <w:rPr>
                <w:rFonts w:hint="default" w:ascii="Times New Roman" w:hAnsi="Times New Roman" w:eastAsia="宋体" w:cs="Times New Roman"/>
                <w:sz w:val="21"/>
                <w:szCs w:val="21"/>
                <w:lang w:val="en-US" w:eastAsia="zh-CN"/>
              </w:rPr>
              <w:t>清筛工序</w:t>
            </w:r>
            <w:r>
              <w:rPr>
                <w:rFonts w:hint="eastAsia" w:ascii="Times New Roman" w:hAnsi="Times New Roman" w:eastAsia="宋体" w:cs="Times New Roman"/>
                <w:sz w:val="21"/>
                <w:szCs w:val="21"/>
                <w:lang w:val="en-US" w:eastAsia="zh-CN"/>
              </w:rPr>
              <w:t>、除铁工序</w:t>
            </w:r>
            <w:r>
              <w:rPr>
                <w:rFonts w:hint="eastAsia"/>
                <w:lang w:val="en-US" w:eastAsia="zh-CN"/>
              </w:rPr>
              <w:t>杂质</w:t>
            </w:r>
          </w:p>
        </w:tc>
        <w:tc>
          <w:tcPr>
            <w:tcW w:w="623" w:type="pct"/>
            <w:vAlign w:val="center"/>
          </w:tcPr>
          <w:p>
            <w:pPr>
              <w:pStyle w:val="70"/>
              <w:ind w:firstLine="0" w:firstLineChars="0"/>
            </w:pPr>
            <w:r>
              <w:t>0</w:t>
            </w:r>
          </w:p>
        </w:tc>
        <w:tc>
          <w:tcPr>
            <w:tcW w:w="462" w:type="pct"/>
            <w:vAlign w:val="center"/>
          </w:tcPr>
          <w:p>
            <w:pPr>
              <w:pStyle w:val="70"/>
              <w:ind w:firstLine="0" w:firstLineChars="0"/>
            </w:pPr>
            <w:r>
              <w:t>0</w:t>
            </w:r>
          </w:p>
        </w:tc>
        <w:tc>
          <w:tcPr>
            <w:tcW w:w="617" w:type="pct"/>
            <w:vAlign w:val="center"/>
          </w:tcPr>
          <w:p>
            <w:pPr>
              <w:pStyle w:val="70"/>
              <w:ind w:firstLine="0" w:firstLineChars="0"/>
            </w:pPr>
            <w:r>
              <w:t>0</w:t>
            </w:r>
          </w:p>
        </w:tc>
        <w:tc>
          <w:tcPr>
            <w:tcW w:w="564" w:type="pct"/>
            <w:vAlign w:val="center"/>
          </w:tcPr>
          <w:p>
            <w:pPr>
              <w:pStyle w:val="70"/>
              <w:rPr>
                <w:rFonts w:hint="eastAsia" w:eastAsia="宋体"/>
                <w:lang w:val="en-US" w:eastAsia="zh-CN"/>
              </w:rPr>
            </w:pPr>
            <w:r>
              <w:rPr>
                <w:rFonts w:hint="eastAsia"/>
                <w:lang w:val="en-US" w:eastAsia="zh-CN"/>
              </w:rPr>
              <w:t>2</w:t>
            </w:r>
            <w:r>
              <w:t>t/a</w:t>
            </w:r>
          </w:p>
        </w:tc>
        <w:tc>
          <w:tcPr>
            <w:tcW w:w="638" w:type="pct"/>
            <w:vAlign w:val="center"/>
          </w:tcPr>
          <w:p>
            <w:pPr>
              <w:pStyle w:val="70"/>
              <w:ind w:firstLine="0" w:firstLineChars="0"/>
            </w:pPr>
            <w:r>
              <w:rPr>
                <w:color w:val="auto"/>
              </w:rPr>
              <w:t>/</w:t>
            </w:r>
          </w:p>
        </w:tc>
        <w:tc>
          <w:tcPr>
            <w:tcW w:w="1623" w:type="dxa"/>
            <w:vAlign w:val="center"/>
          </w:tcPr>
          <w:p>
            <w:pPr>
              <w:pStyle w:val="70"/>
              <w:ind w:firstLine="0" w:firstLineChars="0"/>
              <w:rPr>
                <w:rFonts w:hint="eastAsia"/>
              </w:rPr>
            </w:pPr>
            <w:r>
              <w:rPr>
                <w:rFonts w:hint="eastAsia"/>
                <w:lang w:val="en-US" w:eastAsia="zh-CN"/>
              </w:rPr>
              <w:t>2</w:t>
            </w:r>
            <w:r>
              <w:t>t/a</w:t>
            </w:r>
          </w:p>
        </w:tc>
        <w:tc>
          <w:tcPr>
            <w:tcW w:w="408" w:type="pct"/>
            <w:vAlign w:val="center"/>
          </w:tcPr>
          <w:p>
            <w:pPr>
              <w:pStyle w:val="70"/>
              <w:ind w:firstLine="0" w:firstLineChars="0"/>
              <w:rPr>
                <w:rFonts w:hint="eastAsia"/>
              </w:rPr>
            </w:pP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5" w:type="pct"/>
            <w:vMerge w:val="continue"/>
            <w:vAlign w:val="center"/>
          </w:tcPr>
          <w:p>
            <w:pPr>
              <w:pStyle w:val="70"/>
              <w:rPr>
                <w:rFonts w:hint="eastAsia"/>
                <w:lang w:val="en-US" w:eastAsia="zh-CN"/>
              </w:rPr>
            </w:pPr>
          </w:p>
        </w:tc>
        <w:tc>
          <w:tcPr>
            <w:tcW w:w="617" w:type="pct"/>
            <w:gridSpan w:val="2"/>
            <w:vAlign w:val="center"/>
          </w:tcPr>
          <w:p>
            <w:pPr>
              <w:pStyle w:val="70"/>
              <w:ind w:firstLine="0" w:firstLineChars="0"/>
            </w:pPr>
            <w:r>
              <w:rPr>
                <w:rFonts w:hint="eastAsia"/>
                <w:lang w:val="en-US" w:eastAsia="zh-CN"/>
              </w:rPr>
              <w:t>化粪池污泥</w:t>
            </w:r>
          </w:p>
        </w:tc>
        <w:tc>
          <w:tcPr>
            <w:tcW w:w="623" w:type="pct"/>
            <w:vAlign w:val="center"/>
          </w:tcPr>
          <w:p>
            <w:pPr>
              <w:pStyle w:val="70"/>
              <w:ind w:firstLine="0" w:firstLineChars="0"/>
            </w:pPr>
            <w:r>
              <w:t>0</w:t>
            </w:r>
          </w:p>
        </w:tc>
        <w:tc>
          <w:tcPr>
            <w:tcW w:w="462" w:type="pct"/>
            <w:vAlign w:val="center"/>
          </w:tcPr>
          <w:p>
            <w:pPr>
              <w:pStyle w:val="70"/>
              <w:ind w:firstLine="0" w:firstLineChars="0"/>
            </w:pPr>
            <w:r>
              <w:t>0</w:t>
            </w:r>
          </w:p>
        </w:tc>
        <w:tc>
          <w:tcPr>
            <w:tcW w:w="617" w:type="pct"/>
            <w:vAlign w:val="center"/>
          </w:tcPr>
          <w:p>
            <w:pPr>
              <w:pStyle w:val="70"/>
              <w:ind w:firstLine="0" w:firstLineChars="0"/>
              <w:rPr>
                <w:rFonts w:hint="default"/>
                <w:lang w:val="en-US"/>
              </w:rPr>
            </w:pPr>
            <w:r>
              <w:t>0</w:t>
            </w:r>
          </w:p>
        </w:tc>
        <w:tc>
          <w:tcPr>
            <w:tcW w:w="564" w:type="pct"/>
            <w:vAlign w:val="center"/>
          </w:tcPr>
          <w:p>
            <w:pPr>
              <w:pStyle w:val="70"/>
              <w:rPr>
                <w:rFonts w:hint="default" w:eastAsia="宋体"/>
                <w:lang w:val="en-US" w:eastAsia="zh-CN"/>
              </w:rPr>
            </w:pPr>
            <w:r>
              <w:rPr>
                <w:rFonts w:hint="eastAsia"/>
                <w:lang w:val="en-US" w:eastAsia="zh-CN"/>
              </w:rPr>
              <w:t>9.6</w:t>
            </w:r>
            <w:r>
              <w:t>t/a</w:t>
            </w:r>
          </w:p>
        </w:tc>
        <w:tc>
          <w:tcPr>
            <w:tcW w:w="638" w:type="pct"/>
            <w:vAlign w:val="center"/>
          </w:tcPr>
          <w:p>
            <w:pPr>
              <w:pStyle w:val="70"/>
              <w:ind w:firstLine="0" w:firstLineChars="0"/>
            </w:pPr>
            <w:r>
              <w:rPr>
                <w:color w:val="auto"/>
              </w:rPr>
              <w:t>/</w:t>
            </w:r>
          </w:p>
        </w:tc>
        <w:tc>
          <w:tcPr>
            <w:tcW w:w="1623" w:type="dxa"/>
            <w:vAlign w:val="center"/>
          </w:tcPr>
          <w:p>
            <w:pPr>
              <w:pStyle w:val="70"/>
              <w:ind w:firstLine="0" w:firstLineChars="0"/>
              <w:rPr>
                <w:rFonts w:hint="eastAsia"/>
              </w:rPr>
            </w:pPr>
            <w:r>
              <w:rPr>
                <w:rFonts w:hint="eastAsia"/>
                <w:lang w:val="en-US" w:eastAsia="zh-CN"/>
              </w:rPr>
              <w:t>9.6</w:t>
            </w:r>
            <w:r>
              <w:t>t/a</w:t>
            </w:r>
          </w:p>
        </w:tc>
        <w:tc>
          <w:tcPr>
            <w:tcW w:w="408" w:type="pct"/>
            <w:vAlign w:val="center"/>
          </w:tcPr>
          <w:p>
            <w:pPr>
              <w:pStyle w:val="70"/>
              <w:ind w:firstLine="0" w:firstLineChars="0"/>
              <w:rPr>
                <w:rFonts w:hint="eastAsia"/>
              </w:rPr>
            </w:pP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5" w:type="pct"/>
            <w:vMerge w:val="continue"/>
            <w:vAlign w:val="center"/>
          </w:tcPr>
          <w:p>
            <w:pPr>
              <w:pStyle w:val="70"/>
              <w:rPr>
                <w:rFonts w:hint="eastAsia"/>
                <w:lang w:val="en-US" w:eastAsia="zh-CN"/>
              </w:rPr>
            </w:pPr>
          </w:p>
        </w:tc>
        <w:tc>
          <w:tcPr>
            <w:tcW w:w="617" w:type="pct"/>
            <w:gridSpan w:val="2"/>
            <w:vAlign w:val="center"/>
          </w:tcPr>
          <w:p>
            <w:pPr>
              <w:pStyle w:val="70"/>
              <w:ind w:firstLine="0" w:firstLineChars="0"/>
              <w:rPr>
                <w:rFonts w:hint="eastAsia" w:eastAsia="宋体"/>
                <w:lang w:val="en-US" w:eastAsia="zh-CN"/>
              </w:rPr>
            </w:pPr>
            <w:r>
              <w:rPr>
                <w:rFonts w:hint="eastAsia"/>
                <w:lang w:val="en-US" w:eastAsia="zh-CN"/>
              </w:rPr>
              <w:t>生活垃圾</w:t>
            </w:r>
          </w:p>
        </w:tc>
        <w:tc>
          <w:tcPr>
            <w:tcW w:w="623" w:type="pct"/>
            <w:vAlign w:val="center"/>
          </w:tcPr>
          <w:p>
            <w:pPr>
              <w:pStyle w:val="70"/>
              <w:ind w:firstLine="0" w:firstLineChars="0"/>
            </w:pPr>
            <w:r>
              <w:t>0</w:t>
            </w:r>
          </w:p>
        </w:tc>
        <w:tc>
          <w:tcPr>
            <w:tcW w:w="462" w:type="pct"/>
            <w:vAlign w:val="center"/>
          </w:tcPr>
          <w:p>
            <w:pPr>
              <w:pStyle w:val="70"/>
              <w:ind w:firstLine="0" w:firstLineChars="0"/>
            </w:pPr>
            <w:r>
              <w:t>0</w:t>
            </w:r>
          </w:p>
        </w:tc>
        <w:tc>
          <w:tcPr>
            <w:tcW w:w="617" w:type="pct"/>
            <w:vAlign w:val="center"/>
          </w:tcPr>
          <w:p>
            <w:pPr>
              <w:pStyle w:val="70"/>
              <w:ind w:firstLine="0" w:firstLineChars="0"/>
            </w:pPr>
            <w:r>
              <w:t>0</w:t>
            </w:r>
          </w:p>
        </w:tc>
        <w:tc>
          <w:tcPr>
            <w:tcW w:w="564" w:type="pct"/>
            <w:vAlign w:val="center"/>
          </w:tcPr>
          <w:p>
            <w:pPr>
              <w:pStyle w:val="70"/>
              <w:ind w:firstLine="0" w:firstLineChars="0"/>
              <w:rPr>
                <w:rFonts w:hint="eastAsia"/>
              </w:rPr>
            </w:pPr>
            <w:r>
              <w:rPr>
                <w:rFonts w:hint="eastAsia"/>
              </w:rPr>
              <w:t>18.25</w:t>
            </w:r>
            <w:r>
              <w:t>t/a</w:t>
            </w:r>
          </w:p>
        </w:tc>
        <w:tc>
          <w:tcPr>
            <w:tcW w:w="638" w:type="pct"/>
            <w:vAlign w:val="center"/>
          </w:tcPr>
          <w:p>
            <w:pPr>
              <w:pStyle w:val="70"/>
              <w:ind w:firstLine="0" w:firstLineChars="0"/>
            </w:pPr>
            <w:r>
              <w:rPr>
                <w:color w:val="auto"/>
              </w:rPr>
              <w:t>/</w:t>
            </w:r>
          </w:p>
        </w:tc>
        <w:tc>
          <w:tcPr>
            <w:tcW w:w="1623" w:type="dxa"/>
            <w:vAlign w:val="center"/>
          </w:tcPr>
          <w:p>
            <w:pPr>
              <w:pStyle w:val="70"/>
              <w:ind w:firstLine="0" w:firstLineChars="0"/>
              <w:rPr>
                <w:rFonts w:hint="eastAsia"/>
              </w:rPr>
            </w:pPr>
            <w:r>
              <w:rPr>
                <w:rFonts w:hint="eastAsia"/>
              </w:rPr>
              <w:t>18.25</w:t>
            </w:r>
            <w:r>
              <w:t>t/a</w:t>
            </w:r>
          </w:p>
        </w:tc>
        <w:tc>
          <w:tcPr>
            <w:tcW w:w="408" w:type="pct"/>
            <w:vAlign w:val="center"/>
          </w:tcPr>
          <w:p>
            <w:pPr>
              <w:pStyle w:val="70"/>
              <w:ind w:firstLine="0" w:firstLineChars="0"/>
              <w:rPr>
                <w:rFonts w:hint="eastAsia"/>
              </w:rPr>
            </w:pP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5" w:type="pct"/>
            <w:vAlign w:val="center"/>
          </w:tcPr>
          <w:p>
            <w:pPr>
              <w:pStyle w:val="70"/>
            </w:pPr>
            <w:r>
              <w:t>危险废物</w:t>
            </w:r>
          </w:p>
        </w:tc>
        <w:tc>
          <w:tcPr>
            <w:tcW w:w="617" w:type="pct"/>
            <w:gridSpan w:val="2"/>
            <w:vAlign w:val="center"/>
          </w:tcPr>
          <w:p>
            <w:pPr>
              <w:pStyle w:val="70"/>
              <w:rPr>
                <w:rFonts w:hint="eastAsia" w:eastAsia="宋体"/>
                <w:lang w:eastAsia="zh-CN"/>
              </w:rPr>
            </w:pPr>
            <w:r>
              <w:t>废</w:t>
            </w:r>
            <w:r>
              <w:rPr>
                <w:rFonts w:hint="eastAsia"/>
                <w:lang w:val="en-US" w:eastAsia="zh-CN"/>
              </w:rPr>
              <w:t>润滑油</w:t>
            </w:r>
          </w:p>
        </w:tc>
        <w:tc>
          <w:tcPr>
            <w:tcW w:w="623" w:type="pct"/>
            <w:vAlign w:val="center"/>
          </w:tcPr>
          <w:p>
            <w:pPr>
              <w:pStyle w:val="70"/>
            </w:pPr>
            <w:r>
              <w:t>0</w:t>
            </w:r>
          </w:p>
        </w:tc>
        <w:tc>
          <w:tcPr>
            <w:tcW w:w="462" w:type="pct"/>
            <w:vAlign w:val="center"/>
          </w:tcPr>
          <w:p>
            <w:pPr>
              <w:pStyle w:val="70"/>
            </w:pPr>
            <w:r>
              <w:t>0</w:t>
            </w:r>
          </w:p>
        </w:tc>
        <w:tc>
          <w:tcPr>
            <w:tcW w:w="617" w:type="pct"/>
            <w:vAlign w:val="center"/>
          </w:tcPr>
          <w:p>
            <w:pPr>
              <w:pStyle w:val="70"/>
            </w:pPr>
            <w:r>
              <w:t>0</w:t>
            </w:r>
          </w:p>
        </w:tc>
        <w:tc>
          <w:tcPr>
            <w:tcW w:w="564" w:type="pct"/>
            <w:vAlign w:val="center"/>
          </w:tcPr>
          <w:p>
            <w:pPr>
              <w:pStyle w:val="70"/>
            </w:pPr>
            <w:r>
              <w:t>0.1t/a</w:t>
            </w:r>
          </w:p>
        </w:tc>
        <w:tc>
          <w:tcPr>
            <w:tcW w:w="638" w:type="pct"/>
            <w:vAlign w:val="center"/>
          </w:tcPr>
          <w:p>
            <w:pPr>
              <w:pStyle w:val="70"/>
              <w:ind w:firstLine="0" w:firstLineChars="0"/>
            </w:pPr>
            <w:r>
              <w:rPr>
                <w:color w:val="auto"/>
              </w:rPr>
              <w:t>/</w:t>
            </w:r>
          </w:p>
        </w:tc>
        <w:tc>
          <w:tcPr>
            <w:tcW w:w="1623" w:type="dxa"/>
            <w:vAlign w:val="center"/>
          </w:tcPr>
          <w:p>
            <w:pPr>
              <w:pStyle w:val="70"/>
              <w:ind w:firstLine="0" w:firstLineChars="0"/>
            </w:pPr>
            <w:r>
              <w:t>0.1t/a</w:t>
            </w:r>
          </w:p>
        </w:tc>
        <w:tc>
          <w:tcPr>
            <w:tcW w:w="408" w:type="pct"/>
            <w:vAlign w:val="center"/>
          </w:tcPr>
          <w:p>
            <w:pPr>
              <w:pStyle w:val="70"/>
              <w:ind w:firstLine="0" w:firstLineChars="0"/>
            </w:pPr>
            <w:r>
              <w:t>0</w:t>
            </w:r>
          </w:p>
        </w:tc>
      </w:tr>
    </w:tbl>
    <w:p>
      <w:pPr>
        <w:pStyle w:val="56"/>
        <w:spacing w:line="240" w:lineRule="auto"/>
        <w:rPr>
          <w:rFonts w:ascii="Times New Roman" w:hAnsi="Times New Roman" w:eastAsia="黑体"/>
        </w:rPr>
      </w:pPr>
      <w:r>
        <w:rPr>
          <w:rFonts w:ascii="Times New Roman" w:hAnsi="Times New Roman" w:eastAsia="黑体"/>
        </w:rPr>
        <w:t>注：</w:t>
      </w:r>
      <w:r>
        <w:rPr>
          <w:rFonts w:ascii="Times New Roman" w:hAnsi="Times New Roman" w:eastAsia="黑体"/>
        </w:rPr>
        <w:fldChar w:fldCharType="begin"/>
      </w:r>
      <w:r>
        <w:rPr>
          <w:rFonts w:ascii="Times New Roman" w:hAnsi="Times New Roman" w:eastAsia="黑体"/>
        </w:rPr>
        <w:instrText xml:space="preserve"> = 6 \* GB3 \* MERGEFORMAT </w:instrText>
      </w:r>
      <w:r>
        <w:rPr>
          <w:rFonts w:ascii="Times New Roman" w:hAnsi="Times New Roman" w:eastAsia="黑体"/>
        </w:rPr>
        <w:fldChar w:fldCharType="separate"/>
      </w:r>
      <w:r>
        <w:rPr>
          <w:rFonts w:ascii="Times New Roman" w:hAnsi="Times New Roman" w:eastAsia="黑体"/>
        </w:rPr>
        <w:t>⑥</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1 \* GB3 \* MERGEFORMAT </w:instrText>
      </w:r>
      <w:r>
        <w:rPr>
          <w:rFonts w:ascii="Times New Roman" w:hAnsi="Times New Roman" w:eastAsia="黑体"/>
        </w:rPr>
        <w:fldChar w:fldCharType="separate"/>
      </w:r>
      <w:r>
        <w:rPr>
          <w:rFonts w:ascii="Times New Roman" w:hAnsi="Times New Roman" w:eastAsia="黑体"/>
        </w:rPr>
        <w:t>①</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3 \* GB3 \* MERGEFORMAT </w:instrText>
      </w:r>
      <w:r>
        <w:rPr>
          <w:rFonts w:ascii="Times New Roman" w:hAnsi="Times New Roman" w:eastAsia="黑体"/>
        </w:rPr>
        <w:fldChar w:fldCharType="separate"/>
      </w:r>
      <w:r>
        <w:rPr>
          <w:rFonts w:ascii="Times New Roman" w:hAnsi="Times New Roman" w:eastAsia="黑体"/>
        </w:rPr>
        <w:t>③</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4 \* GB3 \* MERGEFORMAT </w:instrText>
      </w:r>
      <w:r>
        <w:rPr>
          <w:rFonts w:ascii="Times New Roman" w:hAnsi="Times New Roman" w:eastAsia="黑体"/>
        </w:rPr>
        <w:fldChar w:fldCharType="separate"/>
      </w:r>
      <w:r>
        <w:rPr>
          <w:rFonts w:ascii="Times New Roman" w:hAnsi="Times New Roman" w:eastAsia="黑体"/>
        </w:rPr>
        <w:t>④</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5 \* GB3 \* MERGEFORMAT </w:instrText>
      </w:r>
      <w:r>
        <w:rPr>
          <w:rFonts w:ascii="Times New Roman" w:hAnsi="Times New Roman" w:eastAsia="黑体"/>
        </w:rPr>
        <w:fldChar w:fldCharType="separate"/>
      </w:r>
      <w:r>
        <w:rPr>
          <w:rFonts w:ascii="Times New Roman" w:hAnsi="Times New Roman" w:eastAsia="黑体"/>
        </w:rPr>
        <w:t>⑤</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7 \* GB3 \* MERGEFORMAT </w:instrText>
      </w:r>
      <w:r>
        <w:rPr>
          <w:rFonts w:ascii="Times New Roman" w:hAnsi="Times New Roman" w:eastAsia="黑体"/>
        </w:rPr>
        <w:fldChar w:fldCharType="separate"/>
      </w:r>
      <w:r>
        <w:rPr>
          <w:rFonts w:ascii="Times New Roman" w:hAnsi="Times New Roman" w:eastAsia="黑体"/>
        </w:rPr>
        <w:t>⑦</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6 \* GB3 \* MERGEFORMAT </w:instrText>
      </w:r>
      <w:r>
        <w:rPr>
          <w:rFonts w:ascii="Times New Roman" w:hAnsi="Times New Roman" w:eastAsia="黑体"/>
        </w:rPr>
        <w:fldChar w:fldCharType="separate"/>
      </w:r>
      <w:r>
        <w:rPr>
          <w:rFonts w:ascii="Times New Roman" w:hAnsi="Times New Roman" w:eastAsia="黑体"/>
        </w:rPr>
        <w:t>⑥</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1 \* GB3 \* MERGEFORMAT </w:instrText>
      </w:r>
      <w:r>
        <w:rPr>
          <w:rFonts w:ascii="Times New Roman" w:hAnsi="Times New Roman" w:eastAsia="黑体"/>
        </w:rPr>
        <w:fldChar w:fldCharType="separate"/>
      </w:r>
      <w:r>
        <w:rPr>
          <w:rFonts w:ascii="Times New Roman" w:hAnsi="Times New Roman" w:eastAsia="黑体"/>
        </w:rPr>
        <w:t>①</w:t>
      </w:r>
      <w:r>
        <w:rPr>
          <w:rFonts w:ascii="Times New Roman" w:hAnsi="Times New Roman" w:eastAsia="黑体"/>
        </w:rPr>
        <w:fldChar w:fldCharType="end"/>
      </w:r>
    </w:p>
    <w:sectPr>
      <w:footerReference r:id="rId13" w:type="default"/>
      <w:pgSz w:w="16838" w:h="11906" w:orient="landscape"/>
      <w:pgMar w:top="1531" w:right="1701" w:bottom="1531" w:left="1701"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S UI Gothic">
    <w:panose1 w:val="020B0600070205080204"/>
    <w:charset w:val="80"/>
    <w:family w:val="swiss"/>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6CC28"/>
    <w:multiLevelType w:val="singleLevel"/>
    <w:tmpl w:val="B976CC28"/>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D1702F7C"/>
    <w:multiLevelType w:val="singleLevel"/>
    <w:tmpl w:val="D1702F7C"/>
    <w:lvl w:ilvl="0" w:tentative="0">
      <w:start w:val="1"/>
      <w:numFmt w:val="decimal"/>
      <w:suff w:val="nothing"/>
      <w:lvlText w:val="%1、"/>
      <w:lvlJc w:val="left"/>
    </w:lvl>
  </w:abstractNum>
  <w:abstractNum w:abstractNumId="2">
    <w:nsid w:val="F24656C6"/>
    <w:multiLevelType w:val="singleLevel"/>
    <w:tmpl w:val="F24656C6"/>
    <w:lvl w:ilvl="0" w:tentative="0">
      <w:start w:val="1"/>
      <w:numFmt w:val="chineseCounting"/>
      <w:suff w:val="nothing"/>
      <w:lvlText w:val="（%1）"/>
      <w:lvlJc w:val="left"/>
      <w:rPr>
        <w:rFonts w:hint="eastAsia"/>
      </w:rPr>
    </w:lvl>
  </w:abstractNum>
  <w:abstractNum w:abstractNumId="3">
    <w:nsid w:val="061C1555"/>
    <w:multiLevelType w:val="singleLevel"/>
    <w:tmpl w:val="061C1555"/>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MGMxZmYwZTYyNDQzMzU3ZmUyOTY0YmRmYjFhMGMifQ=="/>
  </w:docVars>
  <w:rsids>
    <w:rsidRoot w:val="00A14947"/>
    <w:rsid w:val="000060B3"/>
    <w:rsid w:val="00015810"/>
    <w:rsid w:val="0001730E"/>
    <w:rsid w:val="00017D8B"/>
    <w:rsid w:val="00020D0F"/>
    <w:rsid w:val="00033907"/>
    <w:rsid w:val="000413C2"/>
    <w:rsid w:val="00043554"/>
    <w:rsid w:val="0004364B"/>
    <w:rsid w:val="000560C6"/>
    <w:rsid w:val="00061B1F"/>
    <w:rsid w:val="00062B17"/>
    <w:rsid w:val="00065E0B"/>
    <w:rsid w:val="0007318C"/>
    <w:rsid w:val="000733C4"/>
    <w:rsid w:val="00074783"/>
    <w:rsid w:val="00075BBF"/>
    <w:rsid w:val="000761AD"/>
    <w:rsid w:val="0008070B"/>
    <w:rsid w:val="000810AC"/>
    <w:rsid w:val="00081A02"/>
    <w:rsid w:val="00081C39"/>
    <w:rsid w:val="000821B5"/>
    <w:rsid w:val="00082231"/>
    <w:rsid w:val="00083E07"/>
    <w:rsid w:val="00084D5B"/>
    <w:rsid w:val="00092D38"/>
    <w:rsid w:val="0009377B"/>
    <w:rsid w:val="00093B9E"/>
    <w:rsid w:val="00094E12"/>
    <w:rsid w:val="00097971"/>
    <w:rsid w:val="000A20C9"/>
    <w:rsid w:val="000A2D25"/>
    <w:rsid w:val="000A30C8"/>
    <w:rsid w:val="000A60B8"/>
    <w:rsid w:val="000A75EB"/>
    <w:rsid w:val="000B058F"/>
    <w:rsid w:val="000B4467"/>
    <w:rsid w:val="000B4DB9"/>
    <w:rsid w:val="000B5E17"/>
    <w:rsid w:val="000C09AC"/>
    <w:rsid w:val="000C0B29"/>
    <w:rsid w:val="000C0CFA"/>
    <w:rsid w:val="000C308E"/>
    <w:rsid w:val="000C631A"/>
    <w:rsid w:val="000C63AA"/>
    <w:rsid w:val="000C6B30"/>
    <w:rsid w:val="000C767F"/>
    <w:rsid w:val="000D10FC"/>
    <w:rsid w:val="000D4197"/>
    <w:rsid w:val="000D462A"/>
    <w:rsid w:val="000D5241"/>
    <w:rsid w:val="000D5A44"/>
    <w:rsid w:val="000D6580"/>
    <w:rsid w:val="000E3219"/>
    <w:rsid w:val="000E3C0B"/>
    <w:rsid w:val="000E3ED2"/>
    <w:rsid w:val="000E4DB4"/>
    <w:rsid w:val="000E7173"/>
    <w:rsid w:val="000F1B10"/>
    <w:rsid w:val="000F243A"/>
    <w:rsid w:val="000F3C51"/>
    <w:rsid w:val="000F5146"/>
    <w:rsid w:val="00103181"/>
    <w:rsid w:val="00103A88"/>
    <w:rsid w:val="00105149"/>
    <w:rsid w:val="00107091"/>
    <w:rsid w:val="001100D7"/>
    <w:rsid w:val="00111368"/>
    <w:rsid w:val="00112CA7"/>
    <w:rsid w:val="00112F68"/>
    <w:rsid w:val="00113427"/>
    <w:rsid w:val="001141D0"/>
    <w:rsid w:val="0011612B"/>
    <w:rsid w:val="00116599"/>
    <w:rsid w:val="001236D7"/>
    <w:rsid w:val="0012795A"/>
    <w:rsid w:val="00131369"/>
    <w:rsid w:val="00131F42"/>
    <w:rsid w:val="00134CA1"/>
    <w:rsid w:val="001350F0"/>
    <w:rsid w:val="001357F1"/>
    <w:rsid w:val="00137C3C"/>
    <w:rsid w:val="00140D89"/>
    <w:rsid w:val="00140FA8"/>
    <w:rsid w:val="00142FEB"/>
    <w:rsid w:val="00143A2D"/>
    <w:rsid w:val="00144569"/>
    <w:rsid w:val="0014586F"/>
    <w:rsid w:val="00145A41"/>
    <w:rsid w:val="00145D4F"/>
    <w:rsid w:val="00145EFA"/>
    <w:rsid w:val="0014735E"/>
    <w:rsid w:val="00151511"/>
    <w:rsid w:val="00151675"/>
    <w:rsid w:val="00152584"/>
    <w:rsid w:val="001527F6"/>
    <w:rsid w:val="00157435"/>
    <w:rsid w:val="00161E63"/>
    <w:rsid w:val="00166417"/>
    <w:rsid w:val="00170D42"/>
    <w:rsid w:val="00171FD6"/>
    <w:rsid w:val="001727DC"/>
    <w:rsid w:val="001730CB"/>
    <w:rsid w:val="00173498"/>
    <w:rsid w:val="00173B76"/>
    <w:rsid w:val="0017493E"/>
    <w:rsid w:val="0017504D"/>
    <w:rsid w:val="00175E87"/>
    <w:rsid w:val="0017606B"/>
    <w:rsid w:val="0017671A"/>
    <w:rsid w:val="0017715F"/>
    <w:rsid w:val="00177422"/>
    <w:rsid w:val="00181DED"/>
    <w:rsid w:val="0018318D"/>
    <w:rsid w:val="00184590"/>
    <w:rsid w:val="00186D40"/>
    <w:rsid w:val="001870D1"/>
    <w:rsid w:val="00187249"/>
    <w:rsid w:val="0018781E"/>
    <w:rsid w:val="00187AD5"/>
    <w:rsid w:val="001914BD"/>
    <w:rsid w:val="001921BA"/>
    <w:rsid w:val="0019262D"/>
    <w:rsid w:val="00192970"/>
    <w:rsid w:val="00195F8E"/>
    <w:rsid w:val="001961BF"/>
    <w:rsid w:val="001968A8"/>
    <w:rsid w:val="001A0D0F"/>
    <w:rsid w:val="001A1103"/>
    <w:rsid w:val="001A1B35"/>
    <w:rsid w:val="001A48A2"/>
    <w:rsid w:val="001A6F61"/>
    <w:rsid w:val="001B0765"/>
    <w:rsid w:val="001B249E"/>
    <w:rsid w:val="001B2B1C"/>
    <w:rsid w:val="001B72B8"/>
    <w:rsid w:val="001B7712"/>
    <w:rsid w:val="001B7FA5"/>
    <w:rsid w:val="001C2824"/>
    <w:rsid w:val="001C49E6"/>
    <w:rsid w:val="001C52E2"/>
    <w:rsid w:val="001C69B3"/>
    <w:rsid w:val="001D1A6D"/>
    <w:rsid w:val="001D3BA2"/>
    <w:rsid w:val="001D5595"/>
    <w:rsid w:val="001D621F"/>
    <w:rsid w:val="001D7874"/>
    <w:rsid w:val="001D7F22"/>
    <w:rsid w:val="001E4746"/>
    <w:rsid w:val="001E4835"/>
    <w:rsid w:val="001E5754"/>
    <w:rsid w:val="001E57A6"/>
    <w:rsid w:val="001E65CF"/>
    <w:rsid w:val="001F0950"/>
    <w:rsid w:val="001F0F17"/>
    <w:rsid w:val="001F24C0"/>
    <w:rsid w:val="001F3347"/>
    <w:rsid w:val="001F69E4"/>
    <w:rsid w:val="001F7C1A"/>
    <w:rsid w:val="00201A1B"/>
    <w:rsid w:val="00201EFD"/>
    <w:rsid w:val="002036D8"/>
    <w:rsid w:val="0020473C"/>
    <w:rsid w:val="00205592"/>
    <w:rsid w:val="0020622B"/>
    <w:rsid w:val="00210918"/>
    <w:rsid w:val="00210B99"/>
    <w:rsid w:val="0021240C"/>
    <w:rsid w:val="002125B4"/>
    <w:rsid w:val="002155B8"/>
    <w:rsid w:val="0021671A"/>
    <w:rsid w:val="002244D9"/>
    <w:rsid w:val="00224839"/>
    <w:rsid w:val="00224898"/>
    <w:rsid w:val="002249B2"/>
    <w:rsid w:val="00225761"/>
    <w:rsid w:val="00225920"/>
    <w:rsid w:val="00226574"/>
    <w:rsid w:val="00226797"/>
    <w:rsid w:val="002278EC"/>
    <w:rsid w:val="00231CF0"/>
    <w:rsid w:val="0023280E"/>
    <w:rsid w:val="00232ED3"/>
    <w:rsid w:val="00233905"/>
    <w:rsid w:val="00234FB1"/>
    <w:rsid w:val="002377D1"/>
    <w:rsid w:val="002406CF"/>
    <w:rsid w:val="00241324"/>
    <w:rsid w:val="0024167A"/>
    <w:rsid w:val="002416B6"/>
    <w:rsid w:val="00242ED4"/>
    <w:rsid w:val="002438A9"/>
    <w:rsid w:val="00243D23"/>
    <w:rsid w:val="0024771B"/>
    <w:rsid w:val="002506BC"/>
    <w:rsid w:val="002519B7"/>
    <w:rsid w:val="00254345"/>
    <w:rsid w:val="0026097B"/>
    <w:rsid w:val="002617A2"/>
    <w:rsid w:val="00262E20"/>
    <w:rsid w:val="00262F5A"/>
    <w:rsid w:val="00264557"/>
    <w:rsid w:val="00273C73"/>
    <w:rsid w:val="002755ED"/>
    <w:rsid w:val="002805AB"/>
    <w:rsid w:val="002808EB"/>
    <w:rsid w:val="002830DD"/>
    <w:rsid w:val="00284204"/>
    <w:rsid w:val="00285D6D"/>
    <w:rsid w:val="00286FF8"/>
    <w:rsid w:val="00287D56"/>
    <w:rsid w:val="00290D0F"/>
    <w:rsid w:val="00291773"/>
    <w:rsid w:val="00291A2E"/>
    <w:rsid w:val="0029307D"/>
    <w:rsid w:val="00294C58"/>
    <w:rsid w:val="00294F78"/>
    <w:rsid w:val="002970B9"/>
    <w:rsid w:val="002A168C"/>
    <w:rsid w:val="002A1FAB"/>
    <w:rsid w:val="002A2236"/>
    <w:rsid w:val="002A3DC7"/>
    <w:rsid w:val="002A5909"/>
    <w:rsid w:val="002A7E5F"/>
    <w:rsid w:val="002B217B"/>
    <w:rsid w:val="002B2228"/>
    <w:rsid w:val="002B49E2"/>
    <w:rsid w:val="002B68B4"/>
    <w:rsid w:val="002B7B00"/>
    <w:rsid w:val="002B7C44"/>
    <w:rsid w:val="002C1055"/>
    <w:rsid w:val="002C16BF"/>
    <w:rsid w:val="002C1CC6"/>
    <w:rsid w:val="002C1F75"/>
    <w:rsid w:val="002C2B17"/>
    <w:rsid w:val="002C2F3B"/>
    <w:rsid w:val="002C556F"/>
    <w:rsid w:val="002C695D"/>
    <w:rsid w:val="002C6C17"/>
    <w:rsid w:val="002C7730"/>
    <w:rsid w:val="002D1692"/>
    <w:rsid w:val="002D3DD0"/>
    <w:rsid w:val="002D4023"/>
    <w:rsid w:val="002D4E1C"/>
    <w:rsid w:val="002D4EAC"/>
    <w:rsid w:val="002D6098"/>
    <w:rsid w:val="002D686C"/>
    <w:rsid w:val="002E03C3"/>
    <w:rsid w:val="002E1F3A"/>
    <w:rsid w:val="002E298A"/>
    <w:rsid w:val="002E7161"/>
    <w:rsid w:val="002E7E97"/>
    <w:rsid w:val="002F04F7"/>
    <w:rsid w:val="002F3796"/>
    <w:rsid w:val="002F3FE1"/>
    <w:rsid w:val="002F6FCE"/>
    <w:rsid w:val="00301978"/>
    <w:rsid w:val="003031FF"/>
    <w:rsid w:val="0030332C"/>
    <w:rsid w:val="00303818"/>
    <w:rsid w:val="003051C2"/>
    <w:rsid w:val="00305E66"/>
    <w:rsid w:val="00312097"/>
    <w:rsid w:val="00312296"/>
    <w:rsid w:val="003132B4"/>
    <w:rsid w:val="003147D8"/>
    <w:rsid w:val="00314F0E"/>
    <w:rsid w:val="003203BB"/>
    <w:rsid w:val="00320715"/>
    <w:rsid w:val="00321D8E"/>
    <w:rsid w:val="00324026"/>
    <w:rsid w:val="0032548A"/>
    <w:rsid w:val="00325928"/>
    <w:rsid w:val="00326255"/>
    <w:rsid w:val="00332863"/>
    <w:rsid w:val="003355B7"/>
    <w:rsid w:val="003361D9"/>
    <w:rsid w:val="0033684D"/>
    <w:rsid w:val="003370CB"/>
    <w:rsid w:val="00337B42"/>
    <w:rsid w:val="00340D7F"/>
    <w:rsid w:val="00341B42"/>
    <w:rsid w:val="0034348F"/>
    <w:rsid w:val="00344A20"/>
    <w:rsid w:val="003506CC"/>
    <w:rsid w:val="00350CE1"/>
    <w:rsid w:val="00351546"/>
    <w:rsid w:val="00351E18"/>
    <w:rsid w:val="00352CB3"/>
    <w:rsid w:val="003542FD"/>
    <w:rsid w:val="00355414"/>
    <w:rsid w:val="00356653"/>
    <w:rsid w:val="00356F08"/>
    <w:rsid w:val="0035743F"/>
    <w:rsid w:val="00357BE2"/>
    <w:rsid w:val="00360D46"/>
    <w:rsid w:val="0036167B"/>
    <w:rsid w:val="0036170C"/>
    <w:rsid w:val="00366A3A"/>
    <w:rsid w:val="00366E0F"/>
    <w:rsid w:val="00366E7A"/>
    <w:rsid w:val="0037393D"/>
    <w:rsid w:val="003804CA"/>
    <w:rsid w:val="0038124A"/>
    <w:rsid w:val="003812CC"/>
    <w:rsid w:val="00381A72"/>
    <w:rsid w:val="00382F60"/>
    <w:rsid w:val="00384676"/>
    <w:rsid w:val="00384BEB"/>
    <w:rsid w:val="00385B0A"/>
    <w:rsid w:val="003864A0"/>
    <w:rsid w:val="00390857"/>
    <w:rsid w:val="00390BE2"/>
    <w:rsid w:val="003960BF"/>
    <w:rsid w:val="0039707E"/>
    <w:rsid w:val="00397B5B"/>
    <w:rsid w:val="003A18A8"/>
    <w:rsid w:val="003A4BF3"/>
    <w:rsid w:val="003B420D"/>
    <w:rsid w:val="003B7C9F"/>
    <w:rsid w:val="003C06CA"/>
    <w:rsid w:val="003C14C4"/>
    <w:rsid w:val="003C370C"/>
    <w:rsid w:val="003C3ADE"/>
    <w:rsid w:val="003C46E5"/>
    <w:rsid w:val="003C5FE2"/>
    <w:rsid w:val="003C6C16"/>
    <w:rsid w:val="003D1CA2"/>
    <w:rsid w:val="003D28E4"/>
    <w:rsid w:val="003D794D"/>
    <w:rsid w:val="003E3058"/>
    <w:rsid w:val="003E4777"/>
    <w:rsid w:val="003E50D4"/>
    <w:rsid w:val="003E615D"/>
    <w:rsid w:val="003E76A9"/>
    <w:rsid w:val="003F0809"/>
    <w:rsid w:val="003F1BD4"/>
    <w:rsid w:val="003F3B1A"/>
    <w:rsid w:val="003F3E77"/>
    <w:rsid w:val="003F4218"/>
    <w:rsid w:val="003F453E"/>
    <w:rsid w:val="003F5D80"/>
    <w:rsid w:val="003F68E7"/>
    <w:rsid w:val="003F6A8C"/>
    <w:rsid w:val="003F755C"/>
    <w:rsid w:val="003F7560"/>
    <w:rsid w:val="003F77BF"/>
    <w:rsid w:val="00406F01"/>
    <w:rsid w:val="00411014"/>
    <w:rsid w:val="00413440"/>
    <w:rsid w:val="00414B23"/>
    <w:rsid w:val="00415E32"/>
    <w:rsid w:val="00416D50"/>
    <w:rsid w:val="00416FD5"/>
    <w:rsid w:val="00417772"/>
    <w:rsid w:val="00420C7E"/>
    <w:rsid w:val="00420E6A"/>
    <w:rsid w:val="004216AD"/>
    <w:rsid w:val="00421CC9"/>
    <w:rsid w:val="004229C7"/>
    <w:rsid w:val="00423186"/>
    <w:rsid w:val="00425A9E"/>
    <w:rsid w:val="00426917"/>
    <w:rsid w:val="00426D6B"/>
    <w:rsid w:val="00431E6C"/>
    <w:rsid w:val="00433CE7"/>
    <w:rsid w:val="00434A1D"/>
    <w:rsid w:val="00434B64"/>
    <w:rsid w:val="0043574D"/>
    <w:rsid w:val="004361F1"/>
    <w:rsid w:val="004375F6"/>
    <w:rsid w:val="00440024"/>
    <w:rsid w:val="004454FF"/>
    <w:rsid w:val="00446F22"/>
    <w:rsid w:val="00451E56"/>
    <w:rsid w:val="00452738"/>
    <w:rsid w:val="00456091"/>
    <w:rsid w:val="00456E9D"/>
    <w:rsid w:val="00457A2F"/>
    <w:rsid w:val="004637C8"/>
    <w:rsid w:val="004657DD"/>
    <w:rsid w:val="00465F72"/>
    <w:rsid w:val="00466321"/>
    <w:rsid w:val="00466B16"/>
    <w:rsid w:val="00466CE8"/>
    <w:rsid w:val="00472306"/>
    <w:rsid w:val="00475EB1"/>
    <w:rsid w:val="00476F26"/>
    <w:rsid w:val="0048341E"/>
    <w:rsid w:val="004835B8"/>
    <w:rsid w:val="00484077"/>
    <w:rsid w:val="00484B9B"/>
    <w:rsid w:val="004855F6"/>
    <w:rsid w:val="00486477"/>
    <w:rsid w:val="0048661E"/>
    <w:rsid w:val="00490CF0"/>
    <w:rsid w:val="00491B64"/>
    <w:rsid w:val="00492446"/>
    <w:rsid w:val="004931BF"/>
    <w:rsid w:val="00493AD1"/>
    <w:rsid w:val="00494670"/>
    <w:rsid w:val="0049560F"/>
    <w:rsid w:val="00496C31"/>
    <w:rsid w:val="0049740A"/>
    <w:rsid w:val="0049791E"/>
    <w:rsid w:val="004A078C"/>
    <w:rsid w:val="004A1E76"/>
    <w:rsid w:val="004A24FE"/>
    <w:rsid w:val="004A2BA0"/>
    <w:rsid w:val="004A3823"/>
    <w:rsid w:val="004A42BD"/>
    <w:rsid w:val="004A4402"/>
    <w:rsid w:val="004A4EB7"/>
    <w:rsid w:val="004A68F7"/>
    <w:rsid w:val="004A6D18"/>
    <w:rsid w:val="004B328D"/>
    <w:rsid w:val="004B36C9"/>
    <w:rsid w:val="004B4251"/>
    <w:rsid w:val="004B4F83"/>
    <w:rsid w:val="004B7976"/>
    <w:rsid w:val="004C1993"/>
    <w:rsid w:val="004C40F7"/>
    <w:rsid w:val="004C7878"/>
    <w:rsid w:val="004D02AA"/>
    <w:rsid w:val="004D03BF"/>
    <w:rsid w:val="004D3C13"/>
    <w:rsid w:val="004D4D36"/>
    <w:rsid w:val="004D5789"/>
    <w:rsid w:val="004D7BE6"/>
    <w:rsid w:val="004E2536"/>
    <w:rsid w:val="004E5315"/>
    <w:rsid w:val="004E61D6"/>
    <w:rsid w:val="004E6946"/>
    <w:rsid w:val="004F0E81"/>
    <w:rsid w:val="004F1AD8"/>
    <w:rsid w:val="004F6C19"/>
    <w:rsid w:val="004F713F"/>
    <w:rsid w:val="004F7C39"/>
    <w:rsid w:val="00500572"/>
    <w:rsid w:val="00500962"/>
    <w:rsid w:val="0050228A"/>
    <w:rsid w:val="005023D5"/>
    <w:rsid w:val="00502526"/>
    <w:rsid w:val="00502F64"/>
    <w:rsid w:val="005039CB"/>
    <w:rsid w:val="00504C52"/>
    <w:rsid w:val="0050558F"/>
    <w:rsid w:val="00506286"/>
    <w:rsid w:val="00510217"/>
    <w:rsid w:val="00510710"/>
    <w:rsid w:val="00510813"/>
    <w:rsid w:val="00511990"/>
    <w:rsid w:val="00511DE0"/>
    <w:rsid w:val="00512B78"/>
    <w:rsid w:val="005143EB"/>
    <w:rsid w:val="0051444D"/>
    <w:rsid w:val="00514805"/>
    <w:rsid w:val="00514870"/>
    <w:rsid w:val="00514B9B"/>
    <w:rsid w:val="00515A7E"/>
    <w:rsid w:val="00517F02"/>
    <w:rsid w:val="00520232"/>
    <w:rsid w:val="005207B3"/>
    <w:rsid w:val="0052286C"/>
    <w:rsid w:val="00522EC0"/>
    <w:rsid w:val="00524303"/>
    <w:rsid w:val="00524BE7"/>
    <w:rsid w:val="005258A2"/>
    <w:rsid w:val="00525C14"/>
    <w:rsid w:val="00526E7D"/>
    <w:rsid w:val="00527957"/>
    <w:rsid w:val="00530710"/>
    <w:rsid w:val="00530A88"/>
    <w:rsid w:val="00533B38"/>
    <w:rsid w:val="0053643A"/>
    <w:rsid w:val="005401AE"/>
    <w:rsid w:val="0054037C"/>
    <w:rsid w:val="00541EC3"/>
    <w:rsid w:val="0054213E"/>
    <w:rsid w:val="00542E07"/>
    <w:rsid w:val="005452A2"/>
    <w:rsid w:val="00545424"/>
    <w:rsid w:val="00546290"/>
    <w:rsid w:val="005479E0"/>
    <w:rsid w:val="00551B9B"/>
    <w:rsid w:val="00553F82"/>
    <w:rsid w:val="00554A7B"/>
    <w:rsid w:val="0055572C"/>
    <w:rsid w:val="00560713"/>
    <w:rsid w:val="00560F64"/>
    <w:rsid w:val="0056106A"/>
    <w:rsid w:val="005610E6"/>
    <w:rsid w:val="00561ACD"/>
    <w:rsid w:val="005625C8"/>
    <w:rsid w:val="00562EF7"/>
    <w:rsid w:val="0056638D"/>
    <w:rsid w:val="005720AE"/>
    <w:rsid w:val="00573CC3"/>
    <w:rsid w:val="0057567F"/>
    <w:rsid w:val="00580226"/>
    <w:rsid w:val="0058269C"/>
    <w:rsid w:val="005842B7"/>
    <w:rsid w:val="00590D24"/>
    <w:rsid w:val="00592DAA"/>
    <w:rsid w:val="00592E57"/>
    <w:rsid w:val="00594299"/>
    <w:rsid w:val="00594D77"/>
    <w:rsid w:val="00594DF3"/>
    <w:rsid w:val="005969E4"/>
    <w:rsid w:val="005A06B7"/>
    <w:rsid w:val="005A1759"/>
    <w:rsid w:val="005A6002"/>
    <w:rsid w:val="005A68A7"/>
    <w:rsid w:val="005B3467"/>
    <w:rsid w:val="005B61F2"/>
    <w:rsid w:val="005B681B"/>
    <w:rsid w:val="005C1589"/>
    <w:rsid w:val="005C16C7"/>
    <w:rsid w:val="005C176C"/>
    <w:rsid w:val="005C20A8"/>
    <w:rsid w:val="005C2674"/>
    <w:rsid w:val="005C4E83"/>
    <w:rsid w:val="005D36AB"/>
    <w:rsid w:val="005D73F2"/>
    <w:rsid w:val="005D7E5B"/>
    <w:rsid w:val="005E0427"/>
    <w:rsid w:val="005E76B6"/>
    <w:rsid w:val="005F3230"/>
    <w:rsid w:val="005F3D0D"/>
    <w:rsid w:val="005F53C3"/>
    <w:rsid w:val="00600C84"/>
    <w:rsid w:val="00601AD6"/>
    <w:rsid w:val="00601AF7"/>
    <w:rsid w:val="00601F4B"/>
    <w:rsid w:val="00605902"/>
    <w:rsid w:val="006059CF"/>
    <w:rsid w:val="00605E2C"/>
    <w:rsid w:val="00611087"/>
    <w:rsid w:val="00615C8F"/>
    <w:rsid w:val="00617CC3"/>
    <w:rsid w:val="006206D2"/>
    <w:rsid w:val="00621080"/>
    <w:rsid w:val="00621249"/>
    <w:rsid w:val="00621FAA"/>
    <w:rsid w:val="00622DCC"/>
    <w:rsid w:val="00622EF2"/>
    <w:rsid w:val="00624C13"/>
    <w:rsid w:val="00624F28"/>
    <w:rsid w:val="00626D56"/>
    <w:rsid w:val="00627FD1"/>
    <w:rsid w:val="006302CC"/>
    <w:rsid w:val="00630EDE"/>
    <w:rsid w:val="0063362D"/>
    <w:rsid w:val="006377A6"/>
    <w:rsid w:val="00637A3D"/>
    <w:rsid w:val="00640902"/>
    <w:rsid w:val="006411EF"/>
    <w:rsid w:val="00642BF1"/>
    <w:rsid w:val="00642E14"/>
    <w:rsid w:val="00642E8F"/>
    <w:rsid w:val="006479EF"/>
    <w:rsid w:val="00654A0B"/>
    <w:rsid w:val="006560B1"/>
    <w:rsid w:val="00657AC5"/>
    <w:rsid w:val="00663C36"/>
    <w:rsid w:val="006651B8"/>
    <w:rsid w:val="00665550"/>
    <w:rsid w:val="0067016E"/>
    <w:rsid w:val="006714F7"/>
    <w:rsid w:val="006716E5"/>
    <w:rsid w:val="00672859"/>
    <w:rsid w:val="006748B8"/>
    <w:rsid w:val="0067539F"/>
    <w:rsid w:val="00675ADC"/>
    <w:rsid w:val="006775C3"/>
    <w:rsid w:val="00677D44"/>
    <w:rsid w:val="00681901"/>
    <w:rsid w:val="00684BF3"/>
    <w:rsid w:val="006862FA"/>
    <w:rsid w:val="00686B60"/>
    <w:rsid w:val="00690186"/>
    <w:rsid w:val="0069290A"/>
    <w:rsid w:val="00695196"/>
    <w:rsid w:val="00696B71"/>
    <w:rsid w:val="0069775A"/>
    <w:rsid w:val="00697813"/>
    <w:rsid w:val="00697E9F"/>
    <w:rsid w:val="006A0B9C"/>
    <w:rsid w:val="006A3EE8"/>
    <w:rsid w:val="006A712D"/>
    <w:rsid w:val="006A72BF"/>
    <w:rsid w:val="006B03F2"/>
    <w:rsid w:val="006B0806"/>
    <w:rsid w:val="006B127A"/>
    <w:rsid w:val="006B37DC"/>
    <w:rsid w:val="006B4F68"/>
    <w:rsid w:val="006B53B3"/>
    <w:rsid w:val="006C0592"/>
    <w:rsid w:val="006C272E"/>
    <w:rsid w:val="006C4983"/>
    <w:rsid w:val="006C5479"/>
    <w:rsid w:val="006C579B"/>
    <w:rsid w:val="006C6FF8"/>
    <w:rsid w:val="006D13B5"/>
    <w:rsid w:val="006D79B5"/>
    <w:rsid w:val="006D7A9F"/>
    <w:rsid w:val="006E0496"/>
    <w:rsid w:val="006E12FF"/>
    <w:rsid w:val="006E16CE"/>
    <w:rsid w:val="006E54D0"/>
    <w:rsid w:val="006E607E"/>
    <w:rsid w:val="006F0482"/>
    <w:rsid w:val="006F1242"/>
    <w:rsid w:val="006F42FA"/>
    <w:rsid w:val="00701BAE"/>
    <w:rsid w:val="00703777"/>
    <w:rsid w:val="00706A6D"/>
    <w:rsid w:val="00706C5D"/>
    <w:rsid w:val="00710527"/>
    <w:rsid w:val="0071339E"/>
    <w:rsid w:val="00713AC7"/>
    <w:rsid w:val="00715379"/>
    <w:rsid w:val="00715F7A"/>
    <w:rsid w:val="00716ED6"/>
    <w:rsid w:val="00717CBC"/>
    <w:rsid w:val="00720531"/>
    <w:rsid w:val="007260FB"/>
    <w:rsid w:val="0073271A"/>
    <w:rsid w:val="00732922"/>
    <w:rsid w:val="00743C49"/>
    <w:rsid w:val="00744501"/>
    <w:rsid w:val="0075162E"/>
    <w:rsid w:val="00752474"/>
    <w:rsid w:val="00754034"/>
    <w:rsid w:val="00756556"/>
    <w:rsid w:val="00757A9E"/>
    <w:rsid w:val="007618C4"/>
    <w:rsid w:val="0076371D"/>
    <w:rsid w:val="00764786"/>
    <w:rsid w:val="0076623F"/>
    <w:rsid w:val="007665BD"/>
    <w:rsid w:val="00767192"/>
    <w:rsid w:val="00767980"/>
    <w:rsid w:val="00770B19"/>
    <w:rsid w:val="00772070"/>
    <w:rsid w:val="007723A3"/>
    <w:rsid w:val="00772F7E"/>
    <w:rsid w:val="0077338E"/>
    <w:rsid w:val="0077463F"/>
    <w:rsid w:val="007836EA"/>
    <w:rsid w:val="00784CDA"/>
    <w:rsid w:val="00786106"/>
    <w:rsid w:val="007906C4"/>
    <w:rsid w:val="00790F43"/>
    <w:rsid w:val="00791CAE"/>
    <w:rsid w:val="00792386"/>
    <w:rsid w:val="007940EA"/>
    <w:rsid w:val="007941AF"/>
    <w:rsid w:val="00795F34"/>
    <w:rsid w:val="007967E8"/>
    <w:rsid w:val="007A031A"/>
    <w:rsid w:val="007A06B3"/>
    <w:rsid w:val="007A09E8"/>
    <w:rsid w:val="007A2170"/>
    <w:rsid w:val="007A22BF"/>
    <w:rsid w:val="007A22D9"/>
    <w:rsid w:val="007A3323"/>
    <w:rsid w:val="007B012A"/>
    <w:rsid w:val="007B25CB"/>
    <w:rsid w:val="007B3508"/>
    <w:rsid w:val="007B72B8"/>
    <w:rsid w:val="007B7A58"/>
    <w:rsid w:val="007C21B5"/>
    <w:rsid w:val="007C2B05"/>
    <w:rsid w:val="007C32AC"/>
    <w:rsid w:val="007C409F"/>
    <w:rsid w:val="007C4959"/>
    <w:rsid w:val="007C6A9D"/>
    <w:rsid w:val="007C6F55"/>
    <w:rsid w:val="007D18DA"/>
    <w:rsid w:val="007D1D90"/>
    <w:rsid w:val="007D20C9"/>
    <w:rsid w:val="007D4E55"/>
    <w:rsid w:val="007D5AF3"/>
    <w:rsid w:val="007D7F6E"/>
    <w:rsid w:val="007E0CED"/>
    <w:rsid w:val="007E0F46"/>
    <w:rsid w:val="007E2100"/>
    <w:rsid w:val="007E23A7"/>
    <w:rsid w:val="007E28D1"/>
    <w:rsid w:val="007E4BD2"/>
    <w:rsid w:val="007E53F9"/>
    <w:rsid w:val="007F0D30"/>
    <w:rsid w:val="007F1002"/>
    <w:rsid w:val="007F31D8"/>
    <w:rsid w:val="007F44DA"/>
    <w:rsid w:val="007F4AED"/>
    <w:rsid w:val="00800DB2"/>
    <w:rsid w:val="008010FD"/>
    <w:rsid w:val="00801393"/>
    <w:rsid w:val="00802F88"/>
    <w:rsid w:val="00802FD6"/>
    <w:rsid w:val="008037AA"/>
    <w:rsid w:val="008049F4"/>
    <w:rsid w:val="008100FF"/>
    <w:rsid w:val="00810ABE"/>
    <w:rsid w:val="0081293E"/>
    <w:rsid w:val="00815465"/>
    <w:rsid w:val="00815CFC"/>
    <w:rsid w:val="0081666E"/>
    <w:rsid w:val="00817B46"/>
    <w:rsid w:val="00817E9A"/>
    <w:rsid w:val="00820301"/>
    <w:rsid w:val="008222E4"/>
    <w:rsid w:val="00822300"/>
    <w:rsid w:val="0082281F"/>
    <w:rsid w:val="00822B48"/>
    <w:rsid w:val="008242DF"/>
    <w:rsid w:val="0082480D"/>
    <w:rsid w:val="00824DEE"/>
    <w:rsid w:val="00827441"/>
    <w:rsid w:val="00827591"/>
    <w:rsid w:val="00827D45"/>
    <w:rsid w:val="008306BD"/>
    <w:rsid w:val="00831A80"/>
    <w:rsid w:val="00833743"/>
    <w:rsid w:val="008340A4"/>
    <w:rsid w:val="008342D1"/>
    <w:rsid w:val="0083701C"/>
    <w:rsid w:val="00840B71"/>
    <w:rsid w:val="00843BC5"/>
    <w:rsid w:val="00847CFF"/>
    <w:rsid w:val="00847F29"/>
    <w:rsid w:val="00851FAF"/>
    <w:rsid w:val="0085266F"/>
    <w:rsid w:val="00852FCA"/>
    <w:rsid w:val="00853FF1"/>
    <w:rsid w:val="00855459"/>
    <w:rsid w:val="00861201"/>
    <w:rsid w:val="00870765"/>
    <w:rsid w:val="0087135F"/>
    <w:rsid w:val="0087159E"/>
    <w:rsid w:val="00871FAC"/>
    <w:rsid w:val="00872C7C"/>
    <w:rsid w:val="00872D94"/>
    <w:rsid w:val="00873F71"/>
    <w:rsid w:val="00880364"/>
    <w:rsid w:val="00883887"/>
    <w:rsid w:val="00887AAC"/>
    <w:rsid w:val="0089002F"/>
    <w:rsid w:val="00891592"/>
    <w:rsid w:val="00891E9E"/>
    <w:rsid w:val="00892393"/>
    <w:rsid w:val="008A0080"/>
    <w:rsid w:val="008A09B3"/>
    <w:rsid w:val="008A0E2D"/>
    <w:rsid w:val="008A2F68"/>
    <w:rsid w:val="008A5385"/>
    <w:rsid w:val="008B0E0A"/>
    <w:rsid w:val="008B4FA6"/>
    <w:rsid w:val="008B5282"/>
    <w:rsid w:val="008B54D6"/>
    <w:rsid w:val="008B6376"/>
    <w:rsid w:val="008B7C17"/>
    <w:rsid w:val="008C129A"/>
    <w:rsid w:val="008C2D01"/>
    <w:rsid w:val="008C40E6"/>
    <w:rsid w:val="008C41B2"/>
    <w:rsid w:val="008C5379"/>
    <w:rsid w:val="008C7A8B"/>
    <w:rsid w:val="008D0F7A"/>
    <w:rsid w:val="008D5291"/>
    <w:rsid w:val="008D5840"/>
    <w:rsid w:val="008D68A8"/>
    <w:rsid w:val="008D68E4"/>
    <w:rsid w:val="008D7247"/>
    <w:rsid w:val="008E0506"/>
    <w:rsid w:val="008E0CFF"/>
    <w:rsid w:val="008E16B3"/>
    <w:rsid w:val="008E5624"/>
    <w:rsid w:val="008E5A7A"/>
    <w:rsid w:val="008E5D6B"/>
    <w:rsid w:val="008E614D"/>
    <w:rsid w:val="008E66D7"/>
    <w:rsid w:val="008E76F0"/>
    <w:rsid w:val="008F15FE"/>
    <w:rsid w:val="008F23BB"/>
    <w:rsid w:val="008F2B6C"/>
    <w:rsid w:val="008F2D29"/>
    <w:rsid w:val="008F35AE"/>
    <w:rsid w:val="008F3966"/>
    <w:rsid w:val="008F5187"/>
    <w:rsid w:val="008F60D8"/>
    <w:rsid w:val="008F62D8"/>
    <w:rsid w:val="008F69A5"/>
    <w:rsid w:val="00900A61"/>
    <w:rsid w:val="009018D8"/>
    <w:rsid w:val="00902727"/>
    <w:rsid w:val="0090312B"/>
    <w:rsid w:val="00903C39"/>
    <w:rsid w:val="009047E3"/>
    <w:rsid w:val="00904F6A"/>
    <w:rsid w:val="009059F3"/>
    <w:rsid w:val="00905E55"/>
    <w:rsid w:val="00911EF2"/>
    <w:rsid w:val="0091340B"/>
    <w:rsid w:val="00914E4F"/>
    <w:rsid w:val="0091736D"/>
    <w:rsid w:val="00917BB6"/>
    <w:rsid w:val="0092160C"/>
    <w:rsid w:val="00926798"/>
    <w:rsid w:val="00927028"/>
    <w:rsid w:val="0092793C"/>
    <w:rsid w:val="0093037A"/>
    <w:rsid w:val="00930AD5"/>
    <w:rsid w:val="00931D44"/>
    <w:rsid w:val="0093625B"/>
    <w:rsid w:val="00936799"/>
    <w:rsid w:val="00941364"/>
    <w:rsid w:val="0094154D"/>
    <w:rsid w:val="00942491"/>
    <w:rsid w:val="009426B3"/>
    <w:rsid w:val="00942B8E"/>
    <w:rsid w:val="0094360E"/>
    <w:rsid w:val="009454F3"/>
    <w:rsid w:val="00945CAC"/>
    <w:rsid w:val="009465B7"/>
    <w:rsid w:val="00946624"/>
    <w:rsid w:val="0095155F"/>
    <w:rsid w:val="00954429"/>
    <w:rsid w:val="009550F8"/>
    <w:rsid w:val="009563CE"/>
    <w:rsid w:val="00956830"/>
    <w:rsid w:val="00961EE5"/>
    <w:rsid w:val="00962782"/>
    <w:rsid w:val="00962BC1"/>
    <w:rsid w:val="009658E9"/>
    <w:rsid w:val="00970696"/>
    <w:rsid w:val="00971B80"/>
    <w:rsid w:val="00972C54"/>
    <w:rsid w:val="00974EB9"/>
    <w:rsid w:val="0097509F"/>
    <w:rsid w:val="00976328"/>
    <w:rsid w:val="0097680D"/>
    <w:rsid w:val="009813F9"/>
    <w:rsid w:val="00982438"/>
    <w:rsid w:val="00982487"/>
    <w:rsid w:val="009830BC"/>
    <w:rsid w:val="0098404C"/>
    <w:rsid w:val="00985283"/>
    <w:rsid w:val="0098575F"/>
    <w:rsid w:val="009860E3"/>
    <w:rsid w:val="00986F8E"/>
    <w:rsid w:val="00990352"/>
    <w:rsid w:val="00991F02"/>
    <w:rsid w:val="00993B75"/>
    <w:rsid w:val="00995992"/>
    <w:rsid w:val="0099778C"/>
    <w:rsid w:val="009A03E5"/>
    <w:rsid w:val="009A0F3B"/>
    <w:rsid w:val="009A0F4A"/>
    <w:rsid w:val="009A1B26"/>
    <w:rsid w:val="009A1BB4"/>
    <w:rsid w:val="009A2628"/>
    <w:rsid w:val="009A3200"/>
    <w:rsid w:val="009A3E7C"/>
    <w:rsid w:val="009A4F62"/>
    <w:rsid w:val="009A5079"/>
    <w:rsid w:val="009A54AC"/>
    <w:rsid w:val="009A6566"/>
    <w:rsid w:val="009B0374"/>
    <w:rsid w:val="009B0897"/>
    <w:rsid w:val="009B6FA4"/>
    <w:rsid w:val="009B7BD9"/>
    <w:rsid w:val="009C2F13"/>
    <w:rsid w:val="009C42F0"/>
    <w:rsid w:val="009C47FC"/>
    <w:rsid w:val="009C4BDA"/>
    <w:rsid w:val="009C57B9"/>
    <w:rsid w:val="009C6797"/>
    <w:rsid w:val="009C6C75"/>
    <w:rsid w:val="009C6D41"/>
    <w:rsid w:val="009C779D"/>
    <w:rsid w:val="009C7DD5"/>
    <w:rsid w:val="009D051C"/>
    <w:rsid w:val="009D230F"/>
    <w:rsid w:val="009D7B2E"/>
    <w:rsid w:val="009E0544"/>
    <w:rsid w:val="009E227D"/>
    <w:rsid w:val="009E4F06"/>
    <w:rsid w:val="009E5019"/>
    <w:rsid w:val="009E55E9"/>
    <w:rsid w:val="009F06E0"/>
    <w:rsid w:val="009F07DE"/>
    <w:rsid w:val="009F2EF8"/>
    <w:rsid w:val="00A012A0"/>
    <w:rsid w:val="00A04341"/>
    <w:rsid w:val="00A04F1B"/>
    <w:rsid w:val="00A0501B"/>
    <w:rsid w:val="00A104F8"/>
    <w:rsid w:val="00A14947"/>
    <w:rsid w:val="00A15E79"/>
    <w:rsid w:val="00A23D0B"/>
    <w:rsid w:val="00A24C13"/>
    <w:rsid w:val="00A264B7"/>
    <w:rsid w:val="00A27968"/>
    <w:rsid w:val="00A27A0A"/>
    <w:rsid w:val="00A313B4"/>
    <w:rsid w:val="00A313D1"/>
    <w:rsid w:val="00A3146F"/>
    <w:rsid w:val="00A3269E"/>
    <w:rsid w:val="00A32A83"/>
    <w:rsid w:val="00A33A24"/>
    <w:rsid w:val="00A3470B"/>
    <w:rsid w:val="00A354C1"/>
    <w:rsid w:val="00A35D64"/>
    <w:rsid w:val="00A35E91"/>
    <w:rsid w:val="00A368DB"/>
    <w:rsid w:val="00A3694A"/>
    <w:rsid w:val="00A423AA"/>
    <w:rsid w:val="00A42803"/>
    <w:rsid w:val="00A434C1"/>
    <w:rsid w:val="00A4350E"/>
    <w:rsid w:val="00A437E4"/>
    <w:rsid w:val="00A45EAF"/>
    <w:rsid w:val="00A46C18"/>
    <w:rsid w:val="00A50DB4"/>
    <w:rsid w:val="00A532BE"/>
    <w:rsid w:val="00A53EC6"/>
    <w:rsid w:val="00A55C0F"/>
    <w:rsid w:val="00A57765"/>
    <w:rsid w:val="00A634DB"/>
    <w:rsid w:val="00A66C4F"/>
    <w:rsid w:val="00A67FA6"/>
    <w:rsid w:val="00A74D33"/>
    <w:rsid w:val="00A82BA1"/>
    <w:rsid w:val="00A8713F"/>
    <w:rsid w:val="00A90BA1"/>
    <w:rsid w:val="00A97A9A"/>
    <w:rsid w:val="00AA0671"/>
    <w:rsid w:val="00AA1C13"/>
    <w:rsid w:val="00AA2531"/>
    <w:rsid w:val="00AA2CCB"/>
    <w:rsid w:val="00AA302B"/>
    <w:rsid w:val="00AA5C59"/>
    <w:rsid w:val="00AB1D23"/>
    <w:rsid w:val="00AB1E09"/>
    <w:rsid w:val="00AB3B9D"/>
    <w:rsid w:val="00AB5330"/>
    <w:rsid w:val="00AB7747"/>
    <w:rsid w:val="00AC14CE"/>
    <w:rsid w:val="00AC2A56"/>
    <w:rsid w:val="00AC39AE"/>
    <w:rsid w:val="00AC697E"/>
    <w:rsid w:val="00AC7B43"/>
    <w:rsid w:val="00AC7F22"/>
    <w:rsid w:val="00AD055E"/>
    <w:rsid w:val="00AD2BE2"/>
    <w:rsid w:val="00AD372F"/>
    <w:rsid w:val="00AD47A7"/>
    <w:rsid w:val="00AD5E29"/>
    <w:rsid w:val="00AD65AE"/>
    <w:rsid w:val="00AD7ED2"/>
    <w:rsid w:val="00AE05D7"/>
    <w:rsid w:val="00AE20F9"/>
    <w:rsid w:val="00AF07AB"/>
    <w:rsid w:val="00AF0CBF"/>
    <w:rsid w:val="00AF257F"/>
    <w:rsid w:val="00AF33CF"/>
    <w:rsid w:val="00AF417E"/>
    <w:rsid w:val="00AF4D50"/>
    <w:rsid w:val="00AF6179"/>
    <w:rsid w:val="00AF6776"/>
    <w:rsid w:val="00B002A0"/>
    <w:rsid w:val="00B00F0C"/>
    <w:rsid w:val="00B032C8"/>
    <w:rsid w:val="00B1295A"/>
    <w:rsid w:val="00B13F27"/>
    <w:rsid w:val="00B1532F"/>
    <w:rsid w:val="00B17D97"/>
    <w:rsid w:val="00B17DC7"/>
    <w:rsid w:val="00B20207"/>
    <w:rsid w:val="00B20A45"/>
    <w:rsid w:val="00B22C5C"/>
    <w:rsid w:val="00B2433E"/>
    <w:rsid w:val="00B24CB1"/>
    <w:rsid w:val="00B24F30"/>
    <w:rsid w:val="00B25ED9"/>
    <w:rsid w:val="00B30FA6"/>
    <w:rsid w:val="00B31446"/>
    <w:rsid w:val="00B31A8D"/>
    <w:rsid w:val="00B31ABF"/>
    <w:rsid w:val="00B31BB6"/>
    <w:rsid w:val="00B32BC7"/>
    <w:rsid w:val="00B33BE3"/>
    <w:rsid w:val="00B34F50"/>
    <w:rsid w:val="00B4116E"/>
    <w:rsid w:val="00B4275A"/>
    <w:rsid w:val="00B454F5"/>
    <w:rsid w:val="00B50770"/>
    <w:rsid w:val="00B533AD"/>
    <w:rsid w:val="00B53B5D"/>
    <w:rsid w:val="00B53B8C"/>
    <w:rsid w:val="00B5423A"/>
    <w:rsid w:val="00B54596"/>
    <w:rsid w:val="00B574E0"/>
    <w:rsid w:val="00B577ED"/>
    <w:rsid w:val="00B6055E"/>
    <w:rsid w:val="00B62BB1"/>
    <w:rsid w:val="00B6317D"/>
    <w:rsid w:val="00B641A4"/>
    <w:rsid w:val="00B65E44"/>
    <w:rsid w:val="00B677F3"/>
    <w:rsid w:val="00B67932"/>
    <w:rsid w:val="00B67DC6"/>
    <w:rsid w:val="00B72AA5"/>
    <w:rsid w:val="00B73633"/>
    <w:rsid w:val="00B73782"/>
    <w:rsid w:val="00B75EB9"/>
    <w:rsid w:val="00B7723F"/>
    <w:rsid w:val="00B804F1"/>
    <w:rsid w:val="00B80534"/>
    <w:rsid w:val="00B81A65"/>
    <w:rsid w:val="00B81C31"/>
    <w:rsid w:val="00B841C5"/>
    <w:rsid w:val="00B8433C"/>
    <w:rsid w:val="00B85A28"/>
    <w:rsid w:val="00B866F5"/>
    <w:rsid w:val="00B87491"/>
    <w:rsid w:val="00B87566"/>
    <w:rsid w:val="00B907D4"/>
    <w:rsid w:val="00BA1814"/>
    <w:rsid w:val="00BA27E6"/>
    <w:rsid w:val="00BA29E9"/>
    <w:rsid w:val="00BA5406"/>
    <w:rsid w:val="00BA7142"/>
    <w:rsid w:val="00BA788A"/>
    <w:rsid w:val="00BB07D2"/>
    <w:rsid w:val="00BB237C"/>
    <w:rsid w:val="00BB342F"/>
    <w:rsid w:val="00BB41A3"/>
    <w:rsid w:val="00BB445A"/>
    <w:rsid w:val="00BC0314"/>
    <w:rsid w:val="00BC1510"/>
    <w:rsid w:val="00BC32DC"/>
    <w:rsid w:val="00BC35B6"/>
    <w:rsid w:val="00BC45CA"/>
    <w:rsid w:val="00BC6B05"/>
    <w:rsid w:val="00BD045F"/>
    <w:rsid w:val="00BD18E3"/>
    <w:rsid w:val="00BD1B51"/>
    <w:rsid w:val="00BD3765"/>
    <w:rsid w:val="00BD3970"/>
    <w:rsid w:val="00BD4593"/>
    <w:rsid w:val="00BD4596"/>
    <w:rsid w:val="00BE1405"/>
    <w:rsid w:val="00BE312D"/>
    <w:rsid w:val="00BE5633"/>
    <w:rsid w:val="00BE5F81"/>
    <w:rsid w:val="00BF1C20"/>
    <w:rsid w:val="00BF51F5"/>
    <w:rsid w:val="00C00B6D"/>
    <w:rsid w:val="00C016D3"/>
    <w:rsid w:val="00C04648"/>
    <w:rsid w:val="00C05823"/>
    <w:rsid w:val="00C06866"/>
    <w:rsid w:val="00C10578"/>
    <w:rsid w:val="00C135BC"/>
    <w:rsid w:val="00C14401"/>
    <w:rsid w:val="00C1555F"/>
    <w:rsid w:val="00C15C95"/>
    <w:rsid w:val="00C15CFE"/>
    <w:rsid w:val="00C2045B"/>
    <w:rsid w:val="00C21207"/>
    <w:rsid w:val="00C247B8"/>
    <w:rsid w:val="00C25452"/>
    <w:rsid w:val="00C2596A"/>
    <w:rsid w:val="00C27537"/>
    <w:rsid w:val="00C27F0E"/>
    <w:rsid w:val="00C313CB"/>
    <w:rsid w:val="00C328FE"/>
    <w:rsid w:val="00C33507"/>
    <w:rsid w:val="00C33DBF"/>
    <w:rsid w:val="00C34470"/>
    <w:rsid w:val="00C36CC9"/>
    <w:rsid w:val="00C414B2"/>
    <w:rsid w:val="00C4285D"/>
    <w:rsid w:val="00C42C18"/>
    <w:rsid w:val="00C43054"/>
    <w:rsid w:val="00C4354B"/>
    <w:rsid w:val="00C4409D"/>
    <w:rsid w:val="00C44E72"/>
    <w:rsid w:val="00C45A06"/>
    <w:rsid w:val="00C45A71"/>
    <w:rsid w:val="00C47E5B"/>
    <w:rsid w:val="00C53D3A"/>
    <w:rsid w:val="00C54E1B"/>
    <w:rsid w:val="00C559B9"/>
    <w:rsid w:val="00C57470"/>
    <w:rsid w:val="00C57501"/>
    <w:rsid w:val="00C61E4B"/>
    <w:rsid w:val="00C64298"/>
    <w:rsid w:val="00C64BFF"/>
    <w:rsid w:val="00C66190"/>
    <w:rsid w:val="00C67591"/>
    <w:rsid w:val="00C67E2E"/>
    <w:rsid w:val="00C704E9"/>
    <w:rsid w:val="00C7077D"/>
    <w:rsid w:val="00C70C6B"/>
    <w:rsid w:val="00C70CB0"/>
    <w:rsid w:val="00C7425B"/>
    <w:rsid w:val="00C7579A"/>
    <w:rsid w:val="00C75A1C"/>
    <w:rsid w:val="00C763C9"/>
    <w:rsid w:val="00C80057"/>
    <w:rsid w:val="00C80828"/>
    <w:rsid w:val="00C81585"/>
    <w:rsid w:val="00C81E83"/>
    <w:rsid w:val="00C82232"/>
    <w:rsid w:val="00C82913"/>
    <w:rsid w:val="00C8497C"/>
    <w:rsid w:val="00C8690E"/>
    <w:rsid w:val="00C8730E"/>
    <w:rsid w:val="00C87BEC"/>
    <w:rsid w:val="00C963B2"/>
    <w:rsid w:val="00C972B1"/>
    <w:rsid w:val="00CA1E0B"/>
    <w:rsid w:val="00CA2CCE"/>
    <w:rsid w:val="00CA43FD"/>
    <w:rsid w:val="00CA4F52"/>
    <w:rsid w:val="00CA5E9D"/>
    <w:rsid w:val="00CA697F"/>
    <w:rsid w:val="00CA7EF8"/>
    <w:rsid w:val="00CB1658"/>
    <w:rsid w:val="00CB1FCC"/>
    <w:rsid w:val="00CB6625"/>
    <w:rsid w:val="00CB7E93"/>
    <w:rsid w:val="00CC1F37"/>
    <w:rsid w:val="00CC27BF"/>
    <w:rsid w:val="00CC489B"/>
    <w:rsid w:val="00CD0312"/>
    <w:rsid w:val="00CD27A4"/>
    <w:rsid w:val="00CD2BCD"/>
    <w:rsid w:val="00CD2F34"/>
    <w:rsid w:val="00CD3A4C"/>
    <w:rsid w:val="00CD3F19"/>
    <w:rsid w:val="00CE10E9"/>
    <w:rsid w:val="00CE28CC"/>
    <w:rsid w:val="00CE2910"/>
    <w:rsid w:val="00CE2EAE"/>
    <w:rsid w:val="00CE5041"/>
    <w:rsid w:val="00CE5393"/>
    <w:rsid w:val="00CF1B3F"/>
    <w:rsid w:val="00CF1EDE"/>
    <w:rsid w:val="00CF2C46"/>
    <w:rsid w:val="00CF36BE"/>
    <w:rsid w:val="00CF48DB"/>
    <w:rsid w:val="00CF6000"/>
    <w:rsid w:val="00CF7081"/>
    <w:rsid w:val="00CF7771"/>
    <w:rsid w:val="00CF7F7F"/>
    <w:rsid w:val="00D003F3"/>
    <w:rsid w:val="00D01130"/>
    <w:rsid w:val="00D0364F"/>
    <w:rsid w:val="00D06834"/>
    <w:rsid w:val="00D108A5"/>
    <w:rsid w:val="00D15317"/>
    <w:rsid w:val="00D2119F"/>
    <w:rsid w:val="00D23340"/>
    <w:rsid w:val="00D25BDE"/>
    <w:rsid w:val="00D26E76"/>
    <w:rsid w:val="00D27FBD"/>
    <w:rsid w:val="00D308ED"/>
    <w:rsid w:val="00D30A46"/>
    <w:rsid w:val="00D33DC3"/>
    <w:rsid w:val="00D35329"/>
    <w:rsid w:val="00D36D86"/>
    <w:rsid w:val="00D37E01"/>
    <w:rsid w:val="00D37F6B"/>
    <w:rsid w:val="00D428AA"/>
    <w:rsid w:val="00D43ED1"/>
    <w:rsid w:val="00D44B12"/>
    <w:rsid w:val="00D450C7"/>
    <w:rsid w:val="00D45E33"/>
    <w:rsid w:val="00D46BD8"/>
    <w:rsid w:val="00D50A34"/>
    <w:rsid w:val="00D532E4"/>
    <w:rsid w:val="00D53EFA"/>
    <w:rsid w:val="00D553B7"/>
    <w:rsid w:val="00D60B28"/>
    <w:rsid w:val="00D60FC5"/>
    <w:rsid w:val="00D62926"/>
    <w:rsid w:val="00D64226"/>
    <w:rsid w:val="00D64EFB"/>
    <w:rsid w:val="00D6594D"/>
    <w:rsid w:val="00D65D3D"/>
    <w:rsid w:val="00D71E27"/>
    <w:rsid w:val="00D72C12"/>
    <w:rsid w:val="00D73BE2"/>
    <w:rsid w:val="00D74B40"/>
    <w:rsid w:val="00D75162"/>
    <w:rsid w:val="00D751E3"/>
    <w:rsid w:val="00D76F3B"/>
    <w:rsid w:val="00D80357"/>
    <w:rsid w:val="00D833A0"/>
    <w:rsid w:val="00D854DC"/>
    <w:rsid w:val="00D86E5C"/>
    <w:rsid w:val="00D878EA"/>
    <w:rsid w:val="00D9128D"/>
    <w:rsid w:val="00D94A7C"/>
    <w:rsid w:val="00D95896"/>
    <w:rsid w:val="00D9738C"/>
    <w:rsid w:val="00D975A2"/>
    <w:rsid w:val="00DA2389"/>
    <w:rsid w:val="00DA41F9"/>
    <w:rsid w:val="00DA6B73"/>
    <w:rsid w:val="00DB03D0"/>
    <w:rsid w:val="00DB235F"/>
    <w:rsid w:val="00DB2983"/>
    <w:rsid w:val="00DB7825"/>
    <w:rsid w:val="00DC1257"/>
    <w:rsid w:val="00DC1D49"/>
    <w:rsid w:val="00DC29AC"/>
    <w:rsid w:val="00DC3DC0"/>
    <w:rsid w:val="00DC4AB5"/>
    <w:rsid w:val="00DC555F"/>
    <w:rsid w:val="00DC5B2B"/>
    <w:rsid w:val="00DC7479"/>
    <w:rsid w:val="00DD152B"/>
    <w:rsid w:val="00DD1748"/>
    <w:rsid w:val="00DD318D"/>
    <w:rsid w:val="00DD3198"/>
    <w:rsid w:val="00DE0545"/>
    <w:rsid w:val="00DE212E"/>
    <w:rsid w:val="00DE25B4"/>
    <w:rsid w:val="00DE2A69"/>
    <w:rsid w:val="00DE2BDC"/>
    <w:rsid w:val="00DE4AB5"/>
    <w:rsid w:val="00DE723E"/>
    <w:rsid w:val="00DE7588"/>
    <w:rsid w:val="00DF1958"/>
    <w:rsid w:val="00DF1BBF"/>
    <w:rsid w:val="00DF233D"/>
    <w:rsid w:val="00DF29BF"/>
    <w:rsid w:val="00DF2E12"/>
    <w:rsid w:val="00DF514A"/>
    <w:rsid w:val="00DF6690"/>
    <w:rsid w:val="00DF6804"/>
    <w:rsid w:val="00E00E18"/>
    <w:rsid w:val="00E0358D"/>
    <w:rsid w:val="00E04323"/>
    <w:rsid w:val="00E070A2"/>
    <w:rsid w:val="00E075EE"/>
    <w:rsid w:val="00E1614E"/>
    <w:rsid w:val="00E1620D"/>
    <w:rsid w:val="00E21196"/>
    <w:rsid w:val="00E214B8"/>
    <w:rsid w:val="00E21DAD"/>
    <w:rsid w:val="00E24ED4"/>
    <w:rsid w:val="00E259ED"/>
    <w:rsid w:val="00E2656A"/>
    <w:rsid w:val="00E30B48"/>
    <w:rsid w:val="00E321CA"/>
    <w:rsid w:val="00E34163"/>
    <w:rsid w:val="00E34B96"/>
    <w:rsid w:val="00E36ADF"/>
    <w:rsid w:val="00E36DF4"/>
    <w:rsid w:val="00E376A7"/>
    <w:rsid w:val="00E412D0"/>
    <w:rsid w:val="00E446BC"/>
    <w:rsid w:val="00E44701"/>
    <w:rsid w:val="00E51598"/>
    <w:rsid w:val="00E51872"/>
    <w:rsid w:val="00E54136"/>
    <w:rsid w:val="00E552AA"/>
    <w:rsid w:val="00E56015"/>
    <w:rsid w:val="00E56322"/>
    <w:rsid w:val="00E56A4A"/>
    <w:rsid w:val="00E56D9F"/>
    <w:rsid w:val="00E60982"/>
    <w:rsid w:val="00E6191D"/>
    <w:rsid w:val="00E6215E"/>
    <w:rsid w:val="00E62C62"/>
    <w:rsid w:val="00E6371A"/>
    <w:rsid w:val="00E64B2A"/>
    <w:rsid w:val="00E654C1"/>
    <w:rsid w:val="00E6588B"/>
    <w:rsid w:val="00E65A48"/>
    <w:rsid w:val="00E65D97"/>
    <w:rsid w:val="00E70E52"/>
    <w:rsid w:val="00E72582"/>
    <w:rsid w:val="00E72A5A"/>
    <w:rsid w:val="00E73354"/>
    <w:rsid w:val="00E735FC"/>
    <w:rsid w:val="00E74274"/>
    <w:rsid w:val="00E82066"/>
    <w:rsid w:val="00E83420"/>
    <w:rsid w:val="00E86EE3"/>
    <w:rsid w:val="00E87E20"/>
    <w:rsid w:val="00E907C7"/>
    <w:rsid w:val="00E9242D"/>
    <w:rsid w:val="00E925B2"/>
    <w:rsid w:val="00E945ED"/>
    <w:rsid w:val="00E95BAD"/>
    <w:rsid w:val="00EA16ED"/>
    <w:rsid w:val="00EA4203"/>
    <w:rsid w:val="00EA466E"/>
    <w:rsid w:val="00EB0D28"/>
    <w:rsid w:val="00EB3C59"/>
    <w:rsid w:val="00EB5255"/>
    <w:rsid w:val="00EB5C47"/>
    <w:rsid w:val="00EB7AD7"/>
    <w:rsid w:val="00EB7C75"/>
    <w:rsid w:val="00EC510B"/>
    <w:rsid w:val="00EC58ED"/>
    <w:rsid w:val="00EC7005"/>
    <w:rsid w:val="00ED0639"/>
    <w:rsid w:val="00ED1D4C"/>
    <w:rsid w:val="00ED322E"/>
    <w:rsid w:val="00ED37F2"/>
    <w:rsid w:val="00ED3878"/>
    <w:rsid w:val="00ED4311"/>
    <w:rsid w:val="00ED4528"/>
    <w:rsid w:val="00ED492D"/>
    <w:rsid w:val="00ED6269"/>
    <w:rsid w:val="00EE01DF"/>
    <w:rsid w:val="00EE05D7"/>
    <w:rsid w:val="00EE2DB0"/>
    <w:rsid w:val="00EE3E1D"/>
    <w:rsid w:val="00EF0809"/>
    <w:rsid w:val="00EF16BE"/>
    <w:rsid w:val="00EF2324"/>
    <w:rsid w:val="00EF4755"/>
    <w:rsid w:val="00EF7135"/>
    <w:rsid w:val="00F006E5"/>
    <w:rsid w:val="00F00B26"/>
    <w:rsid w:val="00F021EA"/>
    <w:rsid w:val="00F027DB"/>
    <w:rsid w:val="00F0428D"/>
    <w:rsid w:val="00F07CB1"/>
    <w:rsid w:val="00F14A7A"/>
    <w:rsid w:val="00F20524"/>
    <w:rsid w:val="00F20798"/>
    <w:rsid w:val="00F21364"/>
    <w:rsid w:val="00F216B9"/>
    <w:rsid w:val="00F220F0"/>
    <w:rsid w:val="00F22985"/>
    <w:rsid w:val="00F26111"/>
    <w:rsid w:val="00F27352"/>
    <w:rsid w:val="00F279C2"/>
    <w:rsid w:val="00F3126B"/>
    <w:rsid w:val="00F3383E"/>
    <w:rsid w:val="00F35C9F"/>
    <w:rsid w:val="00F37E7E"/>
    <w:rsid w:val="00F4027D"/>
    <w:rsid w:val="00F412AF"/>
    <w:rsid w:val="00F43886"/>
    <w:rsid w:val="00F4501B"/>
    <w:rsid w:val="00F457F0"/>
    <w:rsid w:val="00F45FB7"/>
    <w:rsid w:val="00F465A7"/>
    <w:rsid w:val="00F50248"/>
    <w:rsid w:val="00F50B7C"/>
    <w:rsid w:val="00F52A3A"/>
    <w:rsid w:val="00F5336F"/>
    <w:rsid w:val="00F548E1"/>
    <w:rsid w:val="00F548E3"/>
    <w:rsid w:val="00F550E6"/>
    <w:rsid w:val="00F6364A"/>
    <w:rsid w:val="00F70C5A"/>
    <w:rsid w:val="00F73648"/>
    <w:rsid w:val="00F74345"/>
    <w:rsid w:val="00F74888"/>
    <w:rsid w:val="00F769AE"/>
    <w:rsid w:val="00F80056"/>
    <w:rsid w:val="00F8013A"/>
    <w:rsid w:val="00F80A0A"/>
    <w:rsid w:val="00F81114"/>
    <w:rsid w:val="00F82B19"/>
    <w:rsid w:val="00F83DBA"/>
    <w:rsid w:val="00F8583A"/>
    <w:rsid w:val="00F87FF5"/>
    <w:rsid w:val="00F9044B"/>
    <w:rsid w:val="00F9212D"/>
    <w:rsid w:val="00F93B7A"/>
    <w:rsid w:val="00F965DA"/>
    <w:rsid w:val="00F96616"/>
    <w:rsid w:val="00FA06CC"/>
    <w:rsid w:val="00FA0957"/>
    <w:rsid w:val="00FA13C9"/>
    <w:rsid w:val="00FA406A"/>
    <w:rsid w:val="00FA644E"/>
    <w:rsid w:val="00FA6ABA"/>
    <w:rsid w:val="00FB00ED"/>
    <w:rsid w:val="00FB29E7"/>
    <w:rsid w:val="00FB2D3A"/>
    <w:rsid w:val="00FB4216"/>
    <w:rsid w:val="00FB503A"/>
    <w:rsid w:val="00FB516C"/>
    <w:rsid w:val="00FB76B8"/>
    <w:rsid w:val="00FC3115"/>
    <w:rsid w:val="00FC38FB"/>
    <w:rsid w:val="00FD0236"/>
    <w:rsid w:val="00FD1304"/>
    <w:rsid w:val="00FD18F4"/>
    <w:rsid w:val="00FD1AB1"/>
    <w:rsid w:val="00FD4775"/>
    <w:rsid w:val="00FD5011"/>
    <w:rsid w:val="00FD5320"/>
    <w:rsid w:val="00FD54DB"/>
    <w:rsid w:val="00FD5B5A"/>
    <w:rsid w:val="00FD619F"/>
    <w:rsid w:val="00FD7958"/>
    <w:rsid w:val="00FD7991"/>
    <w:rsid w:val="00FE1918"/>
    <w:rsid w:val="00FE2F4A"/>
    <w:rsid w:val="00FE3053"/>
    <w:rsid w:val="00FE5C52"/>
    <w:rsid w:val="00FE6F1B"/>
    <w:rsid w:val="00FE7626"/>
    <w:rsid w:val="00FE7DC0"/>
    <w:rsid w:val="00FF7E54"/>
    <w:rsid w:val="01290F7E"/>
    <w:rsid w:val="013A45D1"/>
    <w:rsid w:val="015D1E09"/>
    <w:rsid w:val="01785B98"/>
    <w:rsid w:val="01CE503E"/>
    <w:rsid w:val="01D913D9"/>
    <w:rsid w:val="01EA77E4"/>
    <w:rsid w:val="02237610"/>
    <w:rsid w:val="02661E94"/>
    <w:rsid w:val="02697903"/>
    <w:rsid w:val="026D3223"/>
    <w:rsid w:val="029344EB"/>
    <w:rsid w:val="02AD701E"/>
    <w:rsid w:val="02BF116B"/>
    <w:rsid w:val="02D037B2"/>
    <w:rsid w:val="02F96569"/>
    <w:rsid w:val="031920A8"/>
    <w:rsid w:val="03411FB9"/>
    <w:rsid w:val="036003B8"/>
    <w:rsid w:val="036B669D"/>
    <w:rsid w:val="03A2793A"/>
    <w:rsid w:val="03A52548"/>
    <w:rsid w:val="03D251BA"/>
    <w:rsid w:val="03EA7B21"/>
    <w:rsid w:val="04092A4D"/>
    <w:rsid w:val="045D2E23"/>
    <w:rsid w:val="047042B5"/>
    <w:rsid w:val="04990460"/>
    <w:rsid w:val="04BE10F0"/>
    <w:rsid w:val="04E946B7"/>
    <w:rsid w:val="04FC43EA"/>
    <w:rsid w:val="053A4F12"/>
    <w:rsid w:val="05557F9E"/>
    <w:rsid w:val="05C80770"/>
    <w:rsid w:val="05F83EAE"/>
    <w:rsid w:val="060A6FDB"/>
    <w:rsid w:val="063E7D85"/>
    <w:rsid w:val="06954AF6"/>
    <w:rsid w:val="06CE3FCD"/>
    <w:rsid w:val="07293586"/>
    <w:rsid w:val="07295285"/>
    <w:rsid w:val="07636392"/>
    <w:rsid w:val="076E3F95"/>
    <w:rsid w:val="07750484"/>
    <w:rsid w:val="07770C56"/>
    <w:rsid w:val="07D116A9"/>
    <w:rsid w:val="07DD4147"/>
    <w:rsid w:val="07EA25F1"/>
    <w:rsid w:val="08762705"/>
    <w:rsid w:val="087F23B5"/>
    <w:rsid w:val="092217DD"/>
    <w:rsid w:val="093A7294"/>
    <w:rsid w:val="09581E0B"/>
    <w:rsid w:val="0992531D"/>
    <w:rsid w:val="09C851E3"/>
    <w:rsid w:val="0A263993"/>
    <w:rsid w:val="0A2D3AC2"/>
    <w:rsid w:val="0A537CE3"/>
    <w:rsid w:val="0AA755DF"/>
    <w:rsid w:val="0AB3379D"/>
    <w:rsid w:val="0AFD318D"/>
    <w:rsid w:val="0B0E1E7F"/>
    <w:rsid w:val="0B120D44"/>
    <w:rsid w:val="0B2D7D6F"/>
    <w:rsid w:val="0BD27BF6"/>
    <w:rsid w:val="0BE17243"/>
    <w:rsid w:val="0C1E10EA"/>
    <w:rsid w:val="0C3B3C7D"/>
    <w:rsid w:val="0C7D0506"/>
    <w:rsid w:val="0CAB2EAE"/>
    <w:rsid w:val="0CF07522"/>
    <w:rsid w:val="0D0A65DD"/>
    <w:rsid w:val="0D5648B3"/>
    <w:rsid w:val="0D621C7D"/>
    <w:rsid w:val="0DC22117"/>
    <w:rsid w:val="0E500DE3"/>
    <w:rsid w:val="0E73034D"/>
    <w:rsid w:val="0EB03C27"/>
    <w:rsid w:val="0EC00B7E"/>
    <w:rsid w:val="0ED174EF"/>
    <w:rsid w:val="0F13775A"/>
    <w:rsid w:val="0F287FE8"/>
    <w:rsid w:val="0F40581B"/>
    <w:rsid w:val="0F5F45FE"/>
    <w:rsid w:val="0F7D081D"/>
    <w:rsid w:val="0F9A112B"/>
    <w:rsid w:val="0FA90AB7"/>
    <w:rsid w:val="0FAC08BB"/>
    <w:rsid w:val="0FAF6039"/>
    <w:rsid w:val="0FB45E7F"/>
    <w:rsid w:val="106D2F64"/>
    <w:rsid w:val="106F52FA"/>
    <w:rsid w:val="10B63710"/>
    <w:rsid w:val="10C81F6C"/>
    <w:rsid w:val="10D5313E"/>
    <w:rsid w:val="10F10820"/>
    <w:rsid w:val="111C2F7A"/>
    <w:rsid w:val="114710E3"/>
    <w:rsid w:val="115C56BC"/>
    <w:rsid w:val="11665CA1"/>
    <w:rsid w:val="11802740"/>
    <w:rsid w:val="11AE6C87"/>
    <w:rsid w:val="11C718BB"/>
    <w:rsid w:val="11E9219A"/>
    <w:rsid w:val="11F528ED"/>
    <w:rsid w:val="1210431C"/>
    <w:rsid w:val="124D2729"/>
    <w:rsid w:val="127A7296"/>
    <w:rsid w:val="1292638E"/>
    <w:rsid w:val="12A73841"/>
    <w:rsid w:val="12CB2C56"/>
    <w:rsid w:val="13141622"/>
    <w:rsid w:val="13160D6D"/>
    <w:rsid w:val="135728AD"/>
    <w:rsid w:val="138959E3"/>
    <w:rsid w:val="138F1599"/>
    <w:rsid w:val="13951726"/>
    <w:rsid w:val="13981F92"/>
    <w:rsid w:val="13B649CB"/>
    <w:rsid w:val="13D8750D"/>
    <w:rsid w:val="13F05A62"/>
    <w:rsid w:val="14122756"/>
    <w:rsid w:val="14221993"/>
    <w:rsid w:val="14353475"/>
    <w:rsid w:val="14396509"/>
    <w:rsid w:val="14691B4B"/>
    <w:rsid w:val="14B71147"/>
    <w:rsid w:val="14DD2C3C"/>
    <w:rsid w:val="14F926F4"/>
    <w:rsid w:val="154D5B21"/>
    <w:rsid w:val="1573694A"/>
    <w:rsid w:val="15995C85"/>
    <w:rsid w:val="15A5462A"/>
    <w:rsid w:val="15A765F4"/>
    <w:rsid w:val="15BD5E17"/>
    <w:rsid w:val="16087E1D"/>
    <w:rsid w:val="16377978"/>
    <w:rsid w:val="16D10AC1"/>
    <w:rsid w:val="16F802D2"/>
    <w:rsid w:val="17701D14"/>
    <w:rsid w:val="17735226"/>
    <w:rsid w:val="17A80401"/>
    <w:rsid w:val="17D15787"/>
    <w:rsid w:val="18271E00"/>
    <w:rsid w:val="189F624C"/>
    <w:rsid w:val="198A4263"/>
    <w:rsid w:val="199D21E8"/>
    <w:rsid w:val="19DE1203"/>
    <w:rsid w:val="19E12244"/>
    <w:rsid w:val="1A1C66C0"/>
    <w:rsid w:val="1A42393B"/>
    <w:rsid w:val="1A8C5DB8"/>
    <w:rsid w:val="1A9D1449"/>
    <w:rsid w:val="1AA81F13"/>
    <w:rsid w:val="1AAD45DE"/>
    <w:rsid w:val="1B046F80"/>
    <w:rsid w:val="1B0D4E3F"/>
    <w:rsid w:val="1B132167"/>
    <w:rsid w:val="1B155DAE"/>
    <w:rsid w:val="1B171B26"/>
    <w:rsid w:val="1B3267B5"/>
    <w:rsid w:val="1B40161D"/>
    <w:rsid w:val="1B412BC7"/>
    <w:rsid w:val="1B441859"/>
    <w:rsid w:val="1B5A1A13"/>
    <w:rsid w:val="1B6606B1"/>
    <w:rsid w:val="1B854CE1"/>
    <w:rsid w:val="1BA62EAA"/>
    <w:rsid w:val="1BBE1FA1"/>
    <w:rsid w:val="1BC268D0"/>
    <w:rsid w:val="1BCD6688"/>
    <w:rsid w:val="1BD8246D"/>
    <w:rsid w:val="1BEA2D97"/>
    <w:rsid w:val="1C5031B2"/>
    <w:rsid w:val="1C5E3529"/>
    <w:rsid w:val="1C5E7925"/>
    <w:rsid w:val="1C9F0025"/>
    <w:rsid w:val="1CA71615"/>
    <w:rsid w:val="1CFD070F"/>
    <w:rsid w:val="1D0D39BF"/>
    <w:rsid w:val="1D161158"/>
    <w:rsid w:val="1D1C4C32"/>
    <w:rsid w:val="1D3F5364"/>
    <w:rsid w:val="1D5F6196"/>
    <w:rsid w:val="1D6132A5"/>
    <w:rsid w:val="1D8E56D5"/>
    <w:rsid w:val="1DAF4298"/>
    <w:rsid w:val="1DFE6FCD"/>
    <w:rsid w:val="1E114F52"/>
    <w:rsid w:val="1E7948A6"/>
    <w:rsid w:val="1E7A43DA"/>
    <w:rsid w:val="1E97413D"/>
    <w:rsid w:val="1EA00084"/>
    <w:rsid w:val="1EA5569B"/>
    <w:rsid w:val="1EFE1CA3"/>
    <w:rsid w:val="1F5F2E26"/>
    <w:rsid w:val="1FC3227C"/>
    <w:rsid w:val="1FCA53B9"/>
    <w:rsid w:val="1FE7539E"/>
    <w:rsid w:val="20254CE5"/>
    <w:rsid w:val="20565428"/>
    <w:rsid w:val="20671BE0"/>
    <w:rsid w:val="207B4905"/>
    <w:rsid w:val="20963CB8"/>
    <w:rsid w:val="20987265"/>
    <w:rsid w:val="20A81A1B"/>
    <w:rsid w:val="20B07FB6"/>
    <w:rsid w:val="20B646FB"/>
    <w:rsid w:val="213B74B1"/>
    <w:rsid w:val="215A2310"/>
    <w:rsid w:val="21635AC5"/>
    <w:rsid w:val="21AC55BA"/>
    <w:rsid w:val="21B46321"/>
    <w:rsid w:val="21CB18BC"/>
    <w:rsid w:val="21DE318A"/>
    <w:rsid w:val="21EF5B80"/>
    <w:rsid w:val="2228286B"/>
    <w:rsid w:val="22576990"/>
    <w:rsid w:val="225E29C0"/>
    <w:rsid w:val="226D64CF"/>
    <w:rsid w:val="22BD7457"/>
    <w:rsid w:val="22F103FA"/>
    <w:rsid w:val="22F47480"/>
    <w:rsid w:val="2346744C"/>
    <w:rsid w:val="23480274"/>
    <w:rsid w:val="23694FA1"/>
    <w:rsid w:val="236C6787"/>
    <w:rsid w:val="236E0751"/>
    <w:rsid w:val="23A423C5"/>
    <w:rsid w:val="23CB16FF"/>
    <w:rsid w:val="23D305B4"/>
    <w:rsid w:val="23DE1C48"/>
    <w:rsid w:val="23F549CE"/>
    <w:rsid w:val="240210CD"/>
    <w:rsid w:val="2423153B"/>
    <w:rsid w:val="242F7EE0"/>
    <w:rsid w:val="24303C58"/>
    <w:rsid w:val="248978B5"/>
    <w:rsid w:val="24BF09F7"/>
    <w:rsid w:val="24C06D8A"/>
    <w:rsid w:val="24D97816"/>
    <w:rsid w:val="24EF58C2"/>
    <w:rsid w:val="252D53FE"/>
    <w:rsid w:val="253357AE"/>
    <w:rsid w:val="258A1146"/>
    <w:rsid w:val="25EC2689"/>
    <w:rsid w:val="25EC2D81"/>
    <w:rsid w:val="26151358"/>
    <w:rsid w:val="262D66A1"/>
    <w:rsid w:val="26AD77E2"/>
    <w:rsid w:val="26C24CFC"/>
    <w:rsid w:val="26D60AE7"/>
    <w:rsid w:val="26F471BF"/>
    <w:rsid w:val="277057A2"/>
    <w:rsid w:val="27A4582A"/>
    <w:rsid w:val="27EB6814"/>
    <w:rsid w:val="2829733C"/>
    <w:rsid w:val="28A73E56"/>
    <w:rsid w:val="28AD242B"/>
    <w:rsid w:val="28D252DE"/>
    <w:rsid w:val="28E026ED"/>
    <w:rsid w:val="29206EB8"/>
    <w:rsid w:val="293E0BC6"/>
    <w:rsid w:val="29595666"/>
    <w:rsid w:val="29874881"/>
    <w:rsid w:val="299F78B6"/>
    <w:rsid w:val="29E325E0"/>
    <w:rsid w:val="2A452503"/>
    <w:rsid w:val="2B8054C5"/>
    <w:rsid w:val="2BA936A8"/>
    <w:rsid w:val="2BFB26FB"/>
    <w:rsid w:val="2C315A5A"/>
    <w:rsid w:val="2C4B1C25"/>
    <w:rsid w:val="2C573B16"/>
    <w:rsid w:val="2C8903AA"/>
    <w:rsid w:val="2CF63C91"/>
    <w:rsid w:val="2D8F7C42"/>
    <w:rsid w:val="2D984319"/>
    <w:rsid w:val="2D9E56F5"/>
    <w:rsid w:val="2E1B2F41"/>
    <w:rsid w:val="2E667F96"/>
    <w:rsid w:val="2E8226AB"/>
    <w:rsid w:val="2E894691"/>
    <w:rsid w:val="2EA4771D"/>
    <w:rsid w:val="2EA9509B"/>
    <w:rsid w:val="2ECE02F6"/>
    <w:rsid w:val="2F2A7C22"/>
    <w:rsid w:val="2F57478F"/>
    <w:rsid w:val="2F601896"/>
    <w:rsid w:val="2FA63021"/>
    <w:rsid w:val="2FD065E6"/>
    <w:rsid w:val="2FD96870"/>
    <w:rsid w:val="2FE940E6"/>
    <w:rsid w:val="2FF7387C"/>
    <w:rsid w:val="302F1268"/>
    <w:rsid w:val="30580BC9"/>
    <w:rsid w:val="308C195B"/>
    <w:rsid w:val="30EF0453"/>
    <w:rsid w:val="30FE1366"/>
    <w:rsid w:val="311E2ED7"/>
    <w:rsid w:val="31436F63"/>
    <w:rsid w:val="315619EE"/>
    <w:rsid w:val="315A3AF0"/>
    <w:rsid w:val="315C449C"/>
    <w:rsid w:val="319E66A5"/>
    <w:rsid w:val="31B82709"/>
    <w:rsid w:val="31D05482"/>
    <w:rsid w:val="32145772"/>
    <w:rsid w:val="32273537"/>
    <w:rsid w:val="32400B34"/>
    <w:rsid w:val="329E6876"/>
    <w:rsid w:val="32B53CA7"/>
    <w:rsid w:val="32C51A10"/>
    <w:rsid w:val="33260936"/>
    <w:rsid w:val="332A6DF3"/>
    <w:rsid w:val="333015F2"/>
    <w:rsid w:val="333718C7"/>
    <w:rsid w:val="334B6320"/>
    <w:rsid w:val="338A5133"/>
    <w:rsid w:val="33D934D4"/>
    <w:rsid w:val="33FE2F6A"/>
    <w:rsid w:val="340E07E5"/>
    <w:rsid w:val="34190D62"/>
    <w:rsid w:val="3421711A"/>
    <w:rsid w:val="34235BF7"/>
    <w:rsid w:val="342821F7"/>
    <w:rsid w:val="34D10B40"/>
    <w:rsid w:val="34D21907"/>
    <w:rsid w:val="3502519D"/>
    <w:rsid w:val="351D4A1F"/>
    <w:rsid w:val="35301D0A"/>
    <w:rsid w:val="35327830"/>
    <w:rsid w:val="355A01C1"/>
    <w:rsid w:val="358C5FA8"/>
    <w:rsid w:val="35B43C28"/>
    <w:rsid w:val="35C15DF1"/>
    <w:rsid w:val="35DE1766"/>
    <w:rsid w:val="36074A7F"/>
    <w:rsid w:val="362060A1"/>
    <w:rsid w:val="36345B1A"/>
    <w:rsid w:val="364041CF"/>
    <w:rsid w:val="36615A4D"/>
    <w:rsid w:val="368E7490"/>
    <w:rsid w:val="36923549"/>
    <w:rsid w:val="36B75FBF"/>
    <w:rsid w:val="36BD0C45"/>
    <w:rsid w:val="37081864"/>
    <w:rsid w:val="371F5B92"/>
    <w:rsid w:val="375F2433"/>
    <w:rsid w:val="376B0DD8"/>
    <w:rsid w:val="379135C1"/>
    <w:rsid w:val="37E00298"/>
    <w:rsid w:val="381E22EE"/>
    <w:rsid w:val="38651CCB"/>
    <w:rsid w:val="38691DB4"/>
    <w:rsid w:val="388D6759"/>
    <w:rsid w:val="3894435E"/>
    <w:rsid w:val="38B302F9"/>
    <w:rsid w:val="38F12CD3"/>
    <w:rsid w:val="38F94775"/>
    <w:rsid w:val="38FB262F"/>
    <w:rsid w:val="39186D3D"/>
    <w:rsid w:val="392971ED"/>
    <w:rsid w:val="39325651"/>
    <w:rsid w:val="396342B1"/>
    <w:rsid w:val="3969312A"/>
    <w:rsid w:val="399718B4"/>
    <w:rsid w:val="39B85264"/>
    <w:rsid w:val="3A872856"/>
    <w:rsid w:val="3AC50337"/>
    <w:rsid w:val="3AF15A98"/>
    <w:rsid w:val="3B1F2605"/>
    <w:rsid w:val="3B3763D1"/>
    <w:rsid w:val="3BC1190E"/>
    <w:rsid w:val="3C0B6827"/>
    <w:rsid w:val="3C2B322B"/>
    <w:rsid w:val="3C2F6E1E"/>
    <w:rsid w:val="3C4F3FDE"/>
    <w:rsid w:val="3C4F64BA"/>
    <w:rsid w:val="3C5E0698"/>
    <w:rsid w:val="3CDA245A"/>
    <w:rsid w:val="3CFC5F1D"/>
    <w:rsid w:val="3CFF7C86"/>
    <w:rsid w:val="3D1E06B7"/>
    <w:rsid w:val="3D380488"/>
    <w:rsid w:val="3D747560"/>
    <w:rsid w:val="3D7604D6"/>
    <w:rsid w:val="3D8175A7"/>
    <w:rsid w:val="3DFA2EB5"/>
    <w:rsid w:val="3E1C6E08"/>
    <w:rsid w:val="3EB57073"/>
    <w:rsid w:val="3EB75346"/>
    <w:rsid w:val="3EC139D3"/>
    <w:rsid w:val="3EC7548D"/>
    <w:rsid w:val="3EDA0523"/>
    <w:rsid w:val="3EF11FF8"/>
    <w:rsid w:val="3F105D17"/>
    <w:rsid w:val="3F1B30E3"/>
    <w:rsid w:val="3FC01EDD"/>
    <w:rsid w:val="3FD15E98"/>
    <w:rsid w:val="404623E2"/>
    <w:rsid w:val="407A6407"/>
    <w:rsid w:val="412C1258"/>
    <w:rsid w:val="41526B64"/>
    <w:rsid w:val="4200251D"/>
    <w:rsid w:val="4200449D"/>
    <w:rsid w:val="422601E3"/>
    <w:rsid w:val="42387677"/>
    <w:rsid w:val="423A3BCC"/>
    <w:rsid w:val="424E57D2"/>
    <w:rsid w:val="424F3F1B"/>
    <w:rsid w:val="42816DCC"/>
    <w:rsid w:val="429353BA"/>
    <w:rsid w:val="42B26C49"/>
    <w:rsid w:val="42C359AA"/>
    <w:rsid w:val="430976F7"/>
    <w:rsid w:val="433A6FE6"/>
    <w:rsid w:val="433C7ACC"/>
    <w:rsid w:val="43480868"/>
    <w:rsid w:val="4350713C"/>
    <w:rsid w:val="43650DD1"/>
    <w:rsid w:val="436653E0"/>
    <w:rsid w:val="43863C19"/>
    <w:rsid w:val="43C4431A"/>
    <w:rsid w:val="444D0155"/>
    <w:rsid w:val="4458170F"/>
    <w:rsid w:val="44641089"/>
    <w:rsid w:val="44B951CC"/>
    <w:rsid w:val="44C22253"/>
    <w:rsid w:val="44CD14E0"/>
    <w:rsid w:val="44F20B0B"/>
    <w:rsid w:val="450A11F5"/>
    <w:rsid w:val="452E5F4C"/>
    <w:rsid w:val="45612018"/>
    <w:rsid w:val="458946E9"/>
    <w:rsid w:val="459226AE"/>
    <w:rsid w:val="45943738"/>
    <w:rsid w:val="45A47C0E"/>
    <w:rsid w:val="45C10642"/>
    <w:rsid w:val="45D93A17"/>
    <w:rsid w:val="46577FD6"/>
    <w:rsid w:val="467C4DAF"/>
    <w:rsid w:val="46D955A7"/>
    <w:rsid w:val="46E22739"/>
    <w:rsid w:val="46E6047B"/>
    <w:rsid w:val="47084895"/>
    <w:rsid w:val="47133957"/>
    <w:rsid w:val="47211167"/>
    <w:rsid w:val="47797541"/>
    <w:rsid w:val="47887784"/>
    <w:rsid w:val="478F0DB2"/>
    <w:rsid w:val="47A07E0C"/>
    <w:rsid w:val="47A83982"/>
    <w:rsid w:val="47A92D3A"/>
    <w:rsid w:val="48164D90"/>
    <w:rsid w:val="4870272E"/>
    <w:rsid w:val="488303D8"/>
    <w:rsid w:val="488937B4"/>
    <w:rsid w:val="48914416"/>
    <w:rsid w:val="48CE7418"/>
    <w:rsid w:val="493E3373"/>
    <w:rsid w:val="497F0713"/>
    <w:rsid w:val="49B83ACA"/>
    <w:rsid w:val="49DC7715"/>
    <w:rsid w:val="4A023139"/>
    <w:rsid w:val="4A050034"/>
    <w:rsid w:val="4A235542"/>
    <w:rsid w:val="4A5B1180"/>
    <w:rsid w:val="4A6A13C3"/>
    <w:rsid w:val="4A7B576F"/>
    <w:rsid w:val="4A842484"/>
    <w:rsid w:val="4A855360"/>
    <w:rsid w:val="4AC009EA"/>
    <w:rsid w:val="4AF561A9"/>
    <w:rsid w:val="4BAC2722"/>
    <w:rsid w:val="4BBE3774"/>
    <w:rsid w:val="4C0E6D31"/>
    <w:rsid w:val="4C235CCD"/>
    <w:rsid w:val="4C455C43"/>
    <w:rsid w:val="4C4A0649"/>
    <w:rsid w:val="4C7E5ECA"/>
    <w:rsid w:val="4C804ECE"/>
    <w:rsid w:val="4C844E46"/>
    <w:rsid w:val="4C876AA5"/>
    <w:rsid w:val="4CBE6513"/>
    <w:rsid w:val="4CF041C5"/>
    <w:rsid w:val="4D0E00FB"/>
    <w:rsid w:val="4D176606"/>
    <w:rsid w:val="4D956757"/>
    <w:rsid w:val="4DA9119F"/>
    <w:rsid w:val="4DEC4FB0"/>
    <w:rsid w:val="4E075D8A"/>
    <w:rsid w:val="4E8B2F7D"/>
    <w:rsid w:val="4EA161DE"/>
    <w:rsid w:val="4EC00FAD"/>
    <w:rsid w:val="4EDD7F8B"/>
    <w:rsid w:val="4F0E056F"/>
    <w:rsid w:val="4F212601"/>
    <w:rsid w:val="4F7D7E99"/>
    <w:rsid w:val="4F8B0F17"/>
    <w:rsid w:val="4F9843DC"/>
    <w:rsid w:val="4F9F01F3"/>
    <w:rsid w:val="4FA27000"/>
    <w:rsid w:val="4FC62A8C"/>
    <w:rsid w:val="4FE20F0D"/>
    <w:rsid w:val="4FE51552"/>
    <w:rsid w:val="50504C4B"/>
    <w:rsid w:val="505446A7"/>
    <w:rsid w:val="505E72D4"/>
    <w:rsid w:val="5066262C"/>
    <w:rsid w:val="507C1900"/>
    <w:rsid w:val="509C6E7C"/>
    <w:rsid w:val="50CE02F4"/>
    <w:rsid w:val="50D2381E"/>
    <w:rsid w:val="511E595C"/>
    <w:rsid w:val="5162104E"/>
    <w:rsid w:val="52291B63"/>
    <w:rsid w:val="523276F5"/>
    <w:rsid w:val="52893AD2"/>
    <w:rsid w:val="52F61A46"/>
    <w:rsid w:val="539B520A"/>
    <w:rsid w:val="53A039CC"/>
    <w:rsid w:val="53A1505A"/>
    <w:rsid w:val="53DA3237"/>
    <w:rsid w:val="54063E08"/>
    <w:rsid w:val="54190D18"/>
    <w:rsid w:val="543437E8"/>
    <w:rsid w:val="54C87412"/>
    <w:rsid w:val="54D1040F"/>
    <w:rsid w:val="54D22756"/>
    <w:rsid w:val="54E50CFF"/>
    <w:rsid w:val="54F73313"/>
    <w:rsid w:val="54F80955"/>
    <w:rsid w:val="55277EE7"/>
    <w:rsid w:val="555170A7"/>
    <w:rsid w:val="5587536D"/>
    <w:rsid w:val="559317CE"/>
    <w:rsid w:val="559B174B"/>
    <w:rsid w:val="55CE0CF4"/>
    <w:rsid w:val="55CE6CAA"/>
    <w:rsid w:val="55DF2C65"/>
    <w:rsid w:val="56A7004F"/>
    <w:rsid w:val="56B22A9C"/>
    <w:rsid w:val="574F3E1A"/>
    <w:rsid w:val="57B72A76"/>
    <w:rsid w:val="57BB325E"/>
    <w:rsid w:val="57C3426C"/>
    <w:rsid w:val="57CE1F93"/>
    <w:rsid w:val="58047084"/>
    <w:rsid w:val="580545F7"/>
    <w:rsid w:val="588743D1"/>
    <w:rsid w:val="5887701A"/>
    <w:rsid w:val="58C47EF0"/>
    <w:rsid w:val="58CE6FC1"/>
    <w:rsid w:val="594B1686"/>
    <w:rsid w:val="596F60AE"/>
    <w:rsid w:val="59722042"/>
    <w:rsid w:val="598A738C"/>
    <w:rsid w:val="59C0439F"/>
    <w:rsid w:val="59C309C9"/>
    <w:rsid w:val="59D767F8"/>
    <w:rsid w:val="59F34F31"/>
    <w:rsid w:val="59F97FB8"/>
    <w:rsid w:val="5A1924BD"/>
    <w:rsid w:val="5A66658D"/>
    <w:rsid w:val="5A6B6BBC"/>
    <w:rsid w:val="5A8616C8"/>
    <w:rsid w:val="5A8D79BF"/>
    <w:rsid w:val="5AA4622B"/>
    <w:rsid w:val="5ABD109B"/>
    <w:rsid w:val="5ABE2233"/>
    <w:rsid w:val="5AD84127"/>
    <w:rsid w:val="5AEF58F8"/>
    <w:rsid w:val="5B401ADE"/>
    <w:rsid w:val="5B773940"/>
    <w:rsid w:val="5BB16D7E"/>
    <w:rsid w:val="5BDF5D95"/>
    <w:rsid w:val="5BFE7528"/>
    <w:rsid w:val="5C2238AB"/>
    <w:rsid w:val="5C2C0286"/>
    <w:rsid w:val="5C894962"/>
    <w:rsid w:val="5C8E2CEF"/>
    <w:rsid w:val="5CCB2D61"/>
    <w:rsid w:val="5CCD313C"/>
    <w:rsid w:val="5CDC6150"/>
    <w:rsid w:val="5D094A6B"/>
    <w:rsid w:val="5D11659A"/>
    <w:rsid w:val="5D6200A3"/>
    <w:rsid w:val="5D824ED5"/>
    <w:rsid w:val="5DB9023F"/>
    <w:rsid w:val="5DDE3AEE"/>
    <w:rsid w:val="5E2467F1"/>
    <w:rsid w:val="5E787253"/>
    <w:rsid w:val="5EC6516B"/>
    <w:rsid w:val="5F100333"/>
    <w:rsid w:val="5F1A2B43"/>
    <w:rsid w:val="5F296CFF"/>
    <w:rsid w:val="5F426012"/>
    <w:rsid w:val="5F5C5FB8"/>
    <w:rsid w:val="5FB837BB"/>
    <w:rsid w:val="5FD72BFF"/>
    <w:rsid w:val="5FFC4413"/>
    <w:rsid w:val="601E1FA3"/>
    <w:rsid w:val="60261490"/>
    <w:rsid w:val="60433DF0"/>
    <w:rsid w:val="60CC405A"/>
    <w:rsid w:val="60F577E0"/>
    <w:rsid w:val="60FE3222"/>
    <w:rsid w:val="611D1F05"/>
    <w:rsid w:val="616109D2"/>
    <w:rsid w:val="6180398E"/>
    <w:rsid w:val="618B3CA1"/>
    <w:rsid w:val="61AF3E33"/>
    <w:rsid w:val="61E215D8"/>
    <w:rsid w:val="621B3775"/>
    <w:rsid w:val="62364782"/>
    <w:rsid w:val="62744735"/>
    <w:rsid w:val="62CA07F9"/>
    <w:rsid w:val="62D36AD9"/>
    <w:rsid w:val="62F53D7E"/>
    <w:rsid w:val="62FD297C"/>
    <w:rsid w:val="6315416A"/>
    <w:rsid w:val="63312626"/>
    <w:rsid w:val="63512CC8"/>
    <w:rsid w:val="6381535B"/>
    <w:rsid w:val="638906B4"/>
    <w:rsid w:val="6394356A"/>
    <w:rsid w:val="63AF0128"/>
    <w:rsid w:val="63C61B2C"/>
    <w:rsid w:val="63D40BE9"/>
    <w:rsid w:val="63ED29F1"/>
    <w:rsid w:val="63FC2C34"/>
    <w:rsid w:val="64102431"/>
    <w:rsid w:val="6414529C"/>
    <w:rsid w:val="646802C9"/>
    <w:rsid w:val="64A5243A"/>
    <w:rsid w:val="64B0019A"/>
    <w:rsid w:val="64B82FFF"/>
    <w:rsid w:val="64ED7BF1"/>
    <w:rsid w:val="64F531DE"/>
    <w:rsid w:val="64FA267A"/>
    <w:rsid w:val="65373578"/>
    <w:rsid w:val="653E4426"/>
    <w:rsid w:val="654E5711"/>
    <w:rsid w:val="6556721A"/>
    <w:rsid w:val="65826067"/>
    <w:rsid w:val="65826BA0"/>
    <w:rsid w:val="65864EAB"/>
    <w:rsid w:val="65910C14"/>
    <w:rsid w:val="65A05841"/>
    <w:rsid w:val="65A20836"/>
    <w:rsid w:val="65C914B7"/>
    <w:rsid w:val="661A1A97"/>
    <w:rsid w:val="663A5C95"/>
    <w:rsid w:val="663E5786"/>
    <w:rsid w:val="666F593F"/>
    <w:rsid w:val="66A87463"/>
    <w:rsid w:val="66F127F8"/>
    <w:rsid w:val="670C096B"/>
    <w:rsid w:val="671B7875"/>
    <w:rsid w:val="671F124A"/>
    <w:rsid w:val="677A33C6"/>
    <w:rsid w:val="67C13ED3"/>
    <w:rsid w:val="67C779FD"/>
    <w:rsid w:val="67F70C76"/>
    <w:rsid w:val="681214D6"/>
    <w:rsid w:val="681F6961"/>
    <w:rsid w:val="68610A2F"/>
    <w:rsid w:val="68805514"/>
    <w:rsid w:val="68C12AE5"/>
    <w:rsid w:val="69316E2F"/>
    <w:rsid w:val="693966D8"/>
    <w:rsid w:val="694E2071"/>
    <w:rsid w:val="69766163"/>
    <w:rsid w:val="697A3B33"/>
    <w:rsid w:val="69800E0E"/>
    <w:rsid w:val="69992BDF"/>
    <w:rsid w:val="69A60F0C"/>
    <w:rsid w:val="69B0699A"/>
    <w:rsid w:val="69D44760"/>
    <w:rsid w:val="6A386990"/>
    <w:rsid w:val="6A3C6480"/>
    <w:rsid w:val="6A520EC7"/>
    <w:rsid w:val="6AB9187F"/>
    <w:rsid w:val="6AD75C19"/>
    <w:rsid w:val="6AF87E20"/>
    <w:rsid w:val="6B322639"/>
    <w:rsid w:val="6B464651"/>
    <w:rsid w:val="6B6643A9"/>
    <w:rsid w:val="6B99520C"/>
    <w:rsid w:val="6BA47B5E"/>
    <w:rsid w:val="6BF07AE8"/>
    <w:rsid w:val="6C046B2A"/>
    <w:rsid w:val="6C496E17"/>
    <w:rsid w:val="6C636C38"/>
    <w:rsid w:val="6C777A65"/>
    <w:rsid w:val="6C7812C6"/>
    <w:rsid w:val="6CAD71C1"/>
    <w:rsid w:val="6CBB70F7"/>
    <w:rsid w:val="6CBF380A"/>
    <w:rsid w:val="6CD94449"/>
    <w:rsid w:val="6DB34098"/>
    <w:rsid w:val="6DB545B6"/>
    <w:rsid w:val="6DE02FB4"/>
    <w:rsid w:val="6E1F7C4B"/>
    <w:rsid w:val="6E514CED"/>
    <w:rsid w:val="6E69536A"/>
    <w:rsid w:val="6E7B1C4F"/>
    <w:rsid w:val="6EA07583"/>
    <w:rsid w:val="6EB563D5"/>
    <w:rsid w:val="6ED92677"/>
    <w:rsid w:val="6F1C418A"/>
    <w:rsid w:val="6F225983"/>
    <w:rsid w:val="6F2A50A3"/>
    <w:rsid w:val="6F451933"/>
    <w:rsid w:val="6F484EBA"/>
    <w:rsid w:val="6F603357"/>
    <w:rsid w:val="6F6873CF"/>
    <w:rsid w:val="6FE77B51"/>
    <w:rsid w:val="6FEB21C3"/>
    <w:rsid w:val="6FF461FF"/>
    <w:rsid w:val="6FFC5590"/>
    <w:rsid w:val="700C06A3"/>
    <w:rsid w:val="706D1DD0"/>
    <w:rsid w:val="707A385E"/>
    <w:rsid w:val="70856B87"/>
    <w:rsid w:val="70D527EE"/>
    <w:rsid w:val="70F21646"/>
    <w:rsid w:val="7121017E"/>
    <w:rsid w:val="715B5300"/>
    <w:rsid w:val="718129CA"/>
    <w:rsid w:val="7197739B"/>
    <w:rsid w:val="719E2AB9"/>
    <w:rsid w:val="71B27028"/>
    <w:rsid w:val="71D27F8A"/>
    <w:rsid w:val="72403CC5"/>
    <w:rsid w:val="72553024"/>
    <w:rsid w:val="72750781"/>
    <w:rsid w:val="72895EDF"/>
    <w:rsid w:val="72AC2775"/>
    <w:rsid w:val="72B868C0"/>
    <w:rsid w:val="72C139C6"/>
    <w:rsid w:val="73005B71"/>
    <w:rsid w:val="73122968"/>
    <w:rsid w:val="731F5D5E"/>
    <w:rsid w:val="732C6966"/>
    <w:rsid w:val="73777539"/>
    <w:rsid w:val="738F7621"/>
    <w:rsid w:val="73B25D69"/>
    <w:rsid w:val="73C51AD5"/>
    <w:rsid w:val="73F91045"/>
    <w:rsid w:val="73F964FD"/>
    <w:rsid w:val="741E793C"/>
    <w:rsid w:val="7428388F"/>
    <w:rsid w:val="74381A37"/>
    <w:rsid w:val="745E3944"/>
    <w:rsid w:val="748A7EA3"/>
    <w:rsid w:val="74CE5F27"/>
    <w:rsid w:val="752C0E9F"/>
    <w:rsid w:val="7589009F"/>
    <w:rsid w:val="75BA3C3F"/>
    <w:rsid w:val="7635099D"/>
    <w:rsid w:val="76404C02"/>
    <w:rsid w:val="767945B8"/>
    <w:rsid w:val="76961423"/>
    <w:rsid w:val="76C010FB"/>
    <w:rsid w:val="77382905"/>
    <w:rsid w:val="77762421"/>
    <w:rsid w:val="77B56B1F"/>
    <w:rsid w:val="77DA4BE2"/>
    <w:rsid w:val="77FC1433"/>
    <w:rsid w:val="780F09F4"/>
    <w:rsid w:val="781F06FD"/>
    <w:rsid w:val="78941235"/>
    <w:rsid w:val="78A90480"/>
    <w:rsid w:val="78B96EEE"/>
    <w:rsid w:val="78FC5F85"/>
    <w:rsid w:val="79112886"/>
    <w:rsid w:val="791F31F5"/>
    <w:rsid w:val="797C0647"/>
    <w:rsid w:val="798017B9"/>
    <w:rsid w:val="79914F67"/>
    <w:rsid w:val="79BB33CA"/>
    <w:rsid w:val="79D53BC5"/>
    <w:rsid w:val="7A170370"/>
    <w:rsid w:val="7A364017"/>
    <w:rsid w:val="7A410F49"/>
    <w:rsid w:val="7A4715F5"/>
    <w:rsid w:val="7A571BCA"/>
    <w:rsid w:val="7A8265E1"/>
    <w:rsid w:val="7A8E5D00"/>
    <w:rsid w:val="7AC202DC"/>
    <w:rsid w:val="7AED2E7F"/>
    <w:rsid w:val="7B047FF2"/>
    <w:rsid w:val="7B073A97"/>
    <w:rsid w:val="7B096E60"/>
    <w:rsid w:val="7B502B85"/>
    <w:rsid w:val="7B686D42"/>
    <w:rsid w:val="7B841746"/>
    <w:rsid w:val="7B8A691F"/>
    <w:rsid w:val="7B90224C"/>
    <w:rsid w:val="7BAD0F8C"/>
    <w:rsid w:val="7BD1454E"/>
    <w:rsid w:val="7C0B3F04"/>
    <w:rsid w:val="7C6C5AC7"/>
    <w:rsid w:val="7CC6544B"/>
    <w:rsid w:val="7CE341BC"/>
    <w:rsid w:val="7D0239FF"/>
    <w:rsid w:val="7D100ACF"/>
    <w:rsid w:val="7D206F50"/>
    <w:rsid w:val="7D5E40CD"/>
    <w:rsid w:val="7D6A6A08"/>
    <w:rsid w:val="7D8509F5"/>
    <w:rsid w:val="7D871368"/>
    <w:rsid w:val="7D9A5540"/>
    <w:rsid w:val="7DC0487A"/>
    <w:rsid w:val="7DCD56F2"/>
    <w:rsid w:val="7E217E93"/>
    <w:rsid w:val="7E8E6B2B"/>
    <w:rsid w:val="7F001CE7"/>
    <w:rsid w:val="7F323556"/>
    <w:rsid w:val="7F4F235A"/>
    <w:rsid w:val="7FB64187"/>
    <w:rsid w:val="7FC521D0"/>
    <w:rsid w:val="7FE47E50"/>
    <w:rsid w:val="FFBD8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1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qFormat="1"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22"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1"/>
      <w:lang w:val="en-US" w:eastAsia="zh-CN" w:bidi="ar-SA"/>
    </w:rPr>
  </w:style>
  <w:style w:type="paragraph" w:styleId="3">
    <w:name w:val="heading 1"/>
    <w:basedOn w:val="1"/>
    <w:next w:val="1"/>
    <w:link w:val="8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39"/>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40"/>
    <w:qFormat/>
    <w:locked/>
    <w:uiPriority w:val="0"/>
    <w:pPr>
      <w:keepNext/>
      <w:keepLines/>
      <w:spacing w:before="260" w:after="260" w:line="416" w:lineRule="auto"/>
      <w:outlineLvl w:val="2"/>
    </w:pPr>
    <w:rPr>
      <w:b/>
      <w:bCs/>
      <w:sz w:val="32"/>
      <w:szCs w:val="32"/>
    </w:rPr>
  </w:style>
  <w:style w:type="paragraph" w:styleId="6">
    <w:name w:val="heading 4"/>
    <w:basedOn w:val="1"/>
    <w:next w:val="1"/>
    <w:qFormat/>
    <w:locked/>
    <w:uiPriority w:val="0"/>
    <w:pPr>
      <w:keepNext/>
      <w:keepLines/>
      <w:spacing w:before="280" w:after="290" w:line="374" w:lineRule="auto"/>
      <w:outlineLvl w:val="3"/>
    </w:pPr>
    <w:rPr>
      <w:rFonts w:ascii="Cambria" w:hAnsi="Cambria"/>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List"/>
    <w:basedOn w:val="1"/>
    <w:next w:val="1"/>
    <w:qFormat/>
    <w:locked/>
    <w:uiPriority w:val="0"/>
    <w:pPr>
      <w:ind w:left="200" w:hanging="200" w:hangingChars="200"/>
      <w:contextualSpacing/>
    </w:pPr>
  </w:style>
  <w:style w:type="paragraph" w:styleId="7">
    <w:name w:val="Normal Indent"/>
    <w:basedOn w:val="1"/>
    <w:link w:val="41"/>
    <w:qFormat/>
    <w:locked/>
    <w:uiPriority w:val="0"/>
    <w:pPr>
      <w:ind w:firstLine="420"/>
    </w:pPr>
  </w:style>
  <w:style w:type="paragraph" w:styleId="8">
    <w:name w:val="annotation text"/>
    <w:basedOn w:val="1"/>
    <w:link w:val="42"/>
    <w:semiHidden/>
    <w:qFormat/>
    <w:uiPriority w:val="0"/>
    <w:pPr>
      <w:jc w:val="left"/>
    </w:pPr>
    <w:rPr>
      <w:kern w:val="0"/>
      <w:szCs w:val="20"/>
    </w:rPr>
  </w:style>
  <w:style w:type="paragraph" w:styleId="9">
    <w:name w:val="Body Text"/>
    <w:basedOn w:val="1"/>
    <w:next w:val="10"/>
    <w:link w:val="43"/>
    <w:qFormat/>
    <w:uiPriority w:val="0"/>
    <w:pPr>
      <w:widowControl/>
      <w:snapToGrid w:val="0"/>
      <w:spacing w:before="60" w:after="160" w:line="259" w:lineRule="auto"/>
      <w:ind w:right="113"/>
    </w:pPr>
    <w:rPr>
      <w:kern w:val="0"/>
      <w:sz w:val="18"/>
      <w:szCs w:val="20"/>
    </w:rPr>
  </w:style>
  <w:style w:type="paragraph" w:styleId="10">
    <w:name w:val="List Bullet 5"/>
    <w:basedOn w:val="1"/>
    <w:qFormat/>
    <w:locked/>
    <w:uiPriority w:val="0"/>
    <w:pPr>
      <w:numPr>
        <w:ilvl w:val="0"/>
        <w:numId w:val="1"/>
      </w:numPr>
    </w:pPr>
  </w:style>
  <w:style w:type="paragraph" w:styleId="11">
    <w:name w:val="Body Text Indent"/>
    <w:basedOn w:val="1"/>
    <w:next w:val="12"/>
    <w:link w:val="37"/>
    <w:qFormat/>
    <w:uiPriority w:val="0"/>
    <w:pPr>
      <w:spacing w:after="120"/>
      <w:ind w:left="420" w:leftChars="200"/>
    </w:pPr>
    <w:rPr>
      <w:kern w:val="0"/>
      <w:szCs w:val="20"/>
    </w:rPr>
  </w:style>
  <w:style w:type="paragraph" w:customStyle="1" w:styleId="12">
    <w:name w:val="样式 正文文本缩进 + 行距: 1.5 倍行距"/>
    <w:basedOn w:val="11"/>
    <w:qFormat/>
    <w:uiPriority w:val="0"/>
    <w:pPr>
      <w:ind w:firstLine="560"/>
    </w:pPr>
    <w:rPr>
      <w:rFonts w:cs="宋体"/>
      <w:sz w:val="28"/>
    </w:rPr>
  </w:style>
  <w:style w:type="paragraph" w:styleId="13">
    <w:name w:val="Plain Text"/>
    <w:basedOn w:val="1"/>
    <w:link w:val="44"/>
    <w:qFormat/>
    <w:locked/>
    <w:uiPriority w:val="0"/>
    <w:rPr>
      <w:rFonts w:ascii="宋体" w:hAnsi="Courier New" w:cs="Courier New"/>
    </w:rPr>
  </w:style>
  <w:style w:type="paragraph" w:styleId="14">
    <w:name w:val="Date"/>
    <w:basedOn w:val="1"/>
    <w:next w:val="1"/>
    <w:link w:val="45"/>
    <w:qFormat/>
    <w:uiPriority w:val="0"/>
    <w:pPr>
      <w:ind w:left="100" w:leftChars="2500"/>
    </w:pPr>
    <w:rPr>
      <w:kern w:val="0"/>
      <w:szCs w:val="20"/>
    </w:rPr>
  </w:style>
  <w:style w:type="paragraph" w:styleId="15">
    <w:name w:val="Body Text Indent 2"/>
    <w:basedOn w:val="1"/>
    <w:link w:val="46"/>
    <w:qFormat/>
    <w:locked/>
    <w:uiPriority w:val="0"/>
    <w:pPr>
      <w:spacing w:after="120" w:line="480" w:lineRule="auto"/>
      <w:ind w:left="420" w:leftChars="200"/>
    </w:pPr>
  </w:style>
  <w:style w:type="paragraph" w:styleId="16">
    <w:name w:val="Balloon Text"/>
    <w:basedOn w:val="1"/>
    <w:link w:val="47"/>
    <w:semiHidden/>
    <w:qFormat/>
    <w:uiPriority w:val="0"/>
    <w:rPr>
      <w:kern w:val="0"/>
      <w:sz w:val="18"/>
      <w:szCs w:val="20"/>
    </w:rPr>
  </w:style>
  <w:style w:type="paragraph" w:styleId="17">
    <w:name w:val="footer"/>
    <w:basedOn w:val="1"/>
    <w:link w:val="48"/>
    <w:qFormat/>
    <w:uiPriority w:val="99"/>
    <w:pPr>
      <w:tabs>
        <w:tab w:val="center" w:pos="4153"/>
        <w:tab w:val="right" w:pos="8306"/>
      </w:tabs>
      <w:snapToGrid w:val="0"/>
      <w:jc w:val="left"/>
    </w:pPr>
    <w:rPr>
      <w:kern w:val="0"/>
      <w:sz w:val="18"/>
      <w:szCs w:val="20"/>
    </w:rPr>
  </w:style>
  <w:style w:type="paragraph" w:styleId="18">
    <w:name w:val="header"/>
    <w:basedOn w:val="1"/>
    <w:link w:val="49"/>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toc 1"/>
    <w:basedOn w:val="1"/>
    <w:next w:val="1"/>
    <w:qFormat/>
    <w:locked/>
    <w:uiPriority w:val="39"/>
  </w:style>
  <w:style w:type="paragraph" w:styleId="20">
    <w:name w:val="List Continue 4"/>
    <w:basedOn w:val="1"/>
    <w:next w:val="1"/>
    <w:qFormat/>
    <w:locked/>
    <w:uiPriority w:val="0"/>
    <w:pPr>
      <w:spacing w:after="120"/>
      <w:ind w:left="1680" w:firstLine="480"/>
    </w:pPr>
    <w:rPr>
      <w:rFonts w:ascii="宋体"/>
    </w:rPr>
  </w:style>
  <w:style w:type="paragraph" w:styleId="21">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Cs w:val="24"/>
    </w:rPr>
  </w:style>
  <w:style w:type="paragraph" w:styleId="22">
    <w:name w:val="Normal (Web)"/>
    <w:basedOn w:val="1"/>
    <w:link w:val="50"/>
    <w:qFormat/>
    <w:uiPriority w:val="0"/>
    <w:pPr>
      <w:widowControl/>
      <w:spacing w:before="100" w:beforeAutospacing="1" w:after="100" w:afterAutospacing="1"/>
      <w:jc w:val="left"/>
    </w:pPr>
    <w:rPr>
      <w:rFonts w:ascii="宋体" w:hAnsi="宋体"/>
      <w:kern w:val="0"/>
      <w:szCs w:val="20"/>
    </w:rPr>
  </w:style>
  <w:style w:type="paragraph" w:styleId="23">
    <w:name w:val="Title"/>
    <w:basedOn w:val="1"/>
    <w:next w:val="1"/>
    <w:link w:val="51"/>
    <w:qFormat/>
    <w:locked/>
    <w:uiPriority w:val="10"/>
    <w:pPr>
      <w:spacing w:line="240" w:lineRule="auto"/>
      <w:ind w:firstLine="0" w:firstLineChars="0"/>
      <w:jc w:val="center"/>
      <w:textAlignment w:val="center"/>
    </w:pPr>
    <w:rPr>
      <w:b/>
      <w:bCs/>
      <w:sz w:val="21"/>
      <w:szCs w:val="32"/>
    </w:rPr>
  </w:style>
  <w:style w:type="paragraph" w:styleId="24">
    <w:name w:val="annotation subject"/>
    <w:basedOn w:val="8"/>
    <w:next w:val="8"/>
    <w:link w:val="52"/>
    <w:qFormat/>
    <w:uiPriority w:val="0"/>
    <w:rPr>
      <w:b/>
    </w:rPr>
  </w:style>
  <w:style w:type="paragraph" w:styleId="25">
    <w:name w:val="Body Text First Indent"/>
    <w:basedOn w:val="9"/>
    <w:next w:val="1"/>
    <w:qFormat/>
    <w:locked/>
    <w:uiPriority w:val="0"/>
    <w:pPr>
      <w:spacing w:after="120" w:line="240" w:lineRule="auto"/>
      <w:ind w:firstLine="420"/>
    </w:pPr>
    <w:rPr>
      <w:sz w:val="21"/>
    </w:rPr>
  </w:style>
  <w:style w:type="paragraph" w:styleId="26">
    <w:name w:val="Body Text First Indent 2"/>
    <w:basedOn w:val="11"/>
    <w:next w:val="1"/>
    <w:link w:val="38"/>
    <w:unhideWhenUsed/>
    <w:qFormat/>
    <w:locked/>
    <w:uiPriority w:val="0"/>
    <w:pPr>
      <w:ind w:firstLine="420"/>
    </w:pPr>
    <w:rPr>
      <w:kern w:val="2"/>
      <w:sz w:val="21"/>
      <w:szCs w:val="24"/>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22"/>
    <w:rPr>
      <w:b/>
      <w:bCs/>
    </w:rPr>
  </w:style>
  <w:style w:type="character" w:styleId="31">
    <w:name w:val="page number"/>
    <w:qFormat/>
    <w:locked/>
    <w:uiPriority w:val="0"/>
  </w:style>
  <w:style w:type="character" w:styleId="32">
    <w:name w:val="Hyperlink"/>
    <w:basedOn w:val="29"/>
    <w:qFormat/>
    <w:locked/>
    <w:uiPriority w:val="0"/>
    <w:rPr>
      <w:color w:val="0000FF"/>
      <w:u w:val="single"/>
    </w:rPr>
  </w:style>
  <w:style w:type="character" w:styleId="33">
    <w:name w:val="HTML Code"/>
    <w:basedOn w:val="29"/>
    <w:qFormat/>
    <w:locked/>
    <w:uiPriority w:val="0"/>
    <w:rPr>
      <w:rFonts w:ascii="Courier New" w:hAnsi="Courier New"/>
      <w:sz w:val="20"/>
    </w:rPr>
  </w:style>
  <w:style w:type="character" w:styleId="34">
    <w:name w:val="annotation reference"/>
    <w:semiHidden/>
    <w:qFormat/>
    <w:uiPriority w:val="0"/>
    <w:rPr>
      <w:sz w:val="21"/>
    </w:rPr>
  </w:style>
  <w:style w:type="paragraph" w:customStyle="1" w:styleId="35">
    <w:name w:val="正文格式"/>
    <w:basedOn w:val="25"/>
    <w:next w:val="36"/>
    <w:qFormat/>
    <w:uiPriority w:val="0"/>
    <w:pPr>
      <w:adjustRightInd w:val="0"/>
      <w:spacing w:line="360" w:lineRule="auto"/>
      <w:ind w:firstLine="560"/>
    </w:pPr>
    <w:rPr>
      <w:color w:val="000000"/>
      <w:lang w:val="zh-CN"/>
    </w:rPr>
  </w:style>
  <w:style w:type="paragraph" w:customStyle="1" w:styleId="36">
    <w:name w:val="_Style 5"/>
    <w:basedOn w:val="1"/>
    <w:qFormat/>
    <w:uiPriority w:val="0"/>
    <w:pPr>
      <w:ind w:firstLine="420"/>
    </w:pPr>
    <w:rPr>
      <w:rFonts w:ascii="Calibri" w:hAnsi="Calibri"/>
      <w:szCs w:val="22"/>
    </w:rPr>
  </w:style>
  <w:style w:type="character" w:customStyle="1" w:styleId="37">
    <w:name w:val="正文文本缩进 字符"/>
    <w:link w:val="11"/>
    <w:semiHidden/>
    <w:qFormat/>
    <w:locked/>
    <w:uiPriority w:val="0"/>
    <w:rPr>
      <w:rFonts w:ascii="Times New Roman" w:hAnsi="Times New Roman" w:eastAsia="宋体"/>
      <w:sz w:val="24"/>
    </w:rPr>
  </w:style>
  <w:style w:type="character" w:customStyle="1" w:styleId="38">
    <w:name w:val="正文文本首行缩进 2 字符"/>
    <w:link w:val="26"/>
    <w:qFormat/>
    <w:uiPriority w:val="0"/>
    <w:rPr>
      <w:rFonts w:ascii="Times New Roman" w:hAnsi="Times New Roman" w:eastAsia="宋体"/>
      <w:kern w:val="2"/>
      <w:sz w:val="21"/>
      <w:szCs w:val="24"/>
    </w:rPr>
  </w:style>
  <w:style w:type="character" w:customStyle="1" w:styleId="39">
    <w:name w:val="标题 2 字符"/>
    <w:link w:val="4"/>
    <w:semiHidden/>
    <w:qFormat/>
    <w:uiPriority w:val="0"/>
    <w:rPr>
      <w:rFonts w:ascii="等线 Light" w:hAnsi="等线 Light" w:eastAsia="等线 Light" w:cs="Times New Roman"/>
      <w:b/>
      <w:bCs/>
      <w:kern w:val="2"/>
      <w:sz w:val="32"/>
      <w:szCs w:val="32"/>
    </w:rPr>
  </w:style>
  <w:style w:type="character" w:customStyle="1" w:styleId="40">
    <w:name w:val="标题 3 字符"/>
    <w:link w:val="5"/>
    <w:semiHidden/>
    <w:qFormat/>
    <w:uiPriority w:val="0"/>
    <w:rPr>
      <w:b/>
      <w:bCs/>
      <w:kern w:val="2"/>
      <w:sz w:val="32"/>
      <w:szCs w:val="32"/>
    </w:rPr>
  </w:style>
  <w:style w:type="character" w:customStyle="1" w:styleId="41">
    <w:name w:val="正文缩进 字符"/>
    <w:link w:val="7"/>
    <w:qFormat/>
    <w:uiPriority w:val="0"/>
    <w:rPr>
      <w:kern w:val="2"/>
      <w:sz w:val="21"/>
      <w:szCs w:val="24"/>
    </w:rPr>
  </w:style>
  <w:style w:type="character" w:customStyle="1" w:styleId="42">
    <w:name w:val="批注文字 字符"/>
    <w:link w:val="8"/>
    <w:qFormat/>
    <w:locked/>
    <w:uiPriority w:val="0"/>
    <w:rPr>
      <w:rFonts w:ascii="Times New Roman" w:hAnsi="Times New Roman" w:eastAsia="宋体"/>
      <w:sz w:val="24"/>
    </w:rPr>
  </w:style>
  <w:style w:type="character" w:customStyle="1" w:styleId="43">
    <w:name w:val="正文文本 字符"/>
    <w:link w:val="9"/>
    <w:qFormat/>
    <w:locked/>
    <w:uiPriority w:val="0"/>
    <w:rPr>
      <w:sz w:val="18"/>
    </w:rPr>
  </w:style>
  <w:style w:type="character" w:customStyle="1" w:styleId="44">
    <w:name w:val="纯文本 字符"/>
    <w:link w:val="13"/>
    <w:qFormat/>
    <w:uiPriority w:val="0"/>
    <w:rPr>
      <w:rFonts w:ascii="宋体" w:hAnsi="Courier New" w:cs="Courier New"/>
      <w:kern w:val="2"/>
      <w:sz w:val="21"/>
      <w:szCs w:val="21"/>
    </w:rPr>
  </w:style>
  <w:style w:type="character" w:customStyle="1" w:styleId="45">
    <w:name w:val="日期 字符1"/>
    <w:link w:val="14"/>
    <w:qFormat/>
    <w:locked/>
    <w:uiPriority w:val="0"/>
    <w:rPr>
      <w:rFonts w:ascii="Times New Roman" w:hAnsi="Times New Roman" w:eastAsia="宋体"/>
      <w:sz w:val="24"/>
    </w:rPr>
  </w:style>
  <w:style w:type="character" w:customStyle="1" w:styleId="46">
    <w:name w:val="正文文本缩进 2 字符"/>
    <w:link w:val="15"/>
    <w:qFormat/>
    <w:uiPriority w:val="0"/>
    <w:rPr>
      <w:kern w:val="2"/>
      <w:sz w:val="21"/>
      <w:szCs w:val="24"/>
    </w:rPr>
  </w:style>
  <w:style w:type="character" w:customStyle="1" w:styleId="47">
    <w:name w:val="批注框文本 字符"/>
    <w:link w:val="16"/>
    <w:semiHidden/>
    <w:qFormat/>
    <w:locked/>
    <w:uiPriority w:val="0"/>
    <w:rPr>
      <w:rFonts w:ascii="Times New Roman" w:hAnsi="Times New Roman" w:eastAsia="宋体"/>
      <w:sz w:val="18"/>
    </w:rPr>
  </w:style>
  <w:style w:type="character" w:customStyle="1" w:styleId="48">
    <w:name w:val="页脚 字符1"/>
    <w:link w:val="17"/>
    <w:qFormat/>
    <w:locked/>
    <w:uiPriority w:val="99"/>
    <w:rPr>
      <w:sz w:val="18"/>
    </w:rPr>
  </w:style>
  <w:style w:type="character" w:customStyle="1" w:styleId="49">
    <w:name w:val="页眉 字符"/>
    <w:link w:val="18"/>
    <w:qFormat/>
    <w:locked/>
    <w:uiPriority w:val="0"/>
    <w:rPr>
      <w:sz w:val="18"/>
    </w:rPr>
  </w:style>
  <w:style w:type="character" w:customStyle="1" w:styleId="50">
    <w:name w:val="普通(网站) 字符"/>
    <w:link w:val="22"/>
    <w:qFormat/>
    <w:locked/>
    <w:uiPriority w:val="0"/>
    <w:rPr>
      <w:rFonts w:ascii="宋体" w:hAnsi="宋体" w:eastAsia="宋体"/>
      <w:sz w:val="24"/>
    </w:rPr>
  </w:style>
  <w:style w:type="character" w:customStyle="1" w:styleId="51">
    <w:name w:val="标题 字符"/>
    <w:link w:val="23"/>
    <w:qFormat/>
    <w:uiPriority w:val="10"/>
    <w:rPr>
      <w:rFonts w:ascii="Times New Roman" w:hAnsi="Times New Roman" w:eastAsia="宋体"/>
      <w:b/>
      <w:bCs/>
      <w:kern w:val="2"/>
      <w:sz w:val="21"/>
      <w:szCs w:val="32"/>
    </w:rPr>
  </w:style>
  <w:style w:type="character" w:customStyle="1" w:styleId="52">
    <w:name w:val="批注主题 字符"/>
    <w:link w:val="24"/>
    <w:semiHidden/>
    <w:qFormat/>
    <w:locked/>
    <w:uiPriority w:val="0"/>
    <w:rPr>
      <w:rFonts w:ascii="Times New Roman" w:hAnsi="Times New Roman" w:eastAsia="宋体"/>
      <w:b/>
      <w:kern w:val="2"/>
      <w:sz w:val="24"/>
    </w:rPr>
  </w:style>
  <w:style w:type="character" w:customStyle="1" w:styleId="53">
    <w:name w:val="页脚 字符"/>
    <w:qFormat/>
    <w:uiPriority w:val="99"/>
  </w:style>
  <w:style w:type="character" w:customStyle="1" w:styleId="54">
    <w:name w:val="批注文字 字符1"/>
    <w:semiHidden/>
    <w:qFormat/>
    <w:uiPriority w:val="0"/>
    <w:rPr>
      <w:rFonts w:ascii="Times New Roman" w:hAnsi="Times New Roman" w:eastAsia="宋体"/>
      <w:sz w:val="24"/>
    </w:rPr>
  </w:style>
  <w:style w:type="character" w:customStyle="1" w:styleId="55">
    <w:name w:val="表格 Char"/>
    <w:link w:val="56"/>
    <w:qFormat/>
    <w:locked/>
    <w:uiPriority w:val="0"/>
    <w:rPr>
      <w:rFonts w:ascii="宋体" w:hAnsi="宋体" w:eastAsia="宋体"/>
      <w:sz w:val="21"/>
    </w:rPr>
  </w:style>
  <w:style w:type="paragraph" w:customStyle="1" w:styleId="56">
    <w:name w:val="表格"/>
    <w:basedOn w:val="1"/>
    <w:link w:val="55"/>
    <w:qFormat/>
    <w:uiPriority w:val="0"/>
    <w:pPr>
      <w:adjustRightInd w:val="0"/>
      <w:snapToGrid w:val="0"/>
      <w:ind w:firstLine="0" w:firstLineChars="0"/>
      <w:jc w:val="center"/>
    </w:pPr>
    <w:rPr>
      <w:rFonts w:ascii="宋体" w:hAnsi="宋体"/>
      <w:kern w:val="0"/>
      <w:szCs w:val="20"/>
    </w:rPr>
  </w:style>
  <w:style w:type="character" w:customStyle="1" w:styleId="57">
    <w:name w:val="日期 字符"/>
    <w:semiHidden/>
    <w:qFormat/>
    <w:uiPriority w:val="0"/>
    <w:rPr>
      <w:rFonts w:ascii="Times New Roman" w:hAnsi="Times New Roman" w:eastAsia="宋体"/>
      <w:sz w:val="24"/>
    </w:rPr>
  </w:style>
  <w:style w:type="character" w:customStyle="1" w:styleId="58">
    <w:name w:val="纯文本 字符1"/>
    <w:qFormat/>
    <w:uiPriority w:val="0"/>
    <w:rPr>
      <w:rFonts w:ascii="宋体" w:hAnsi="Courier New" w:cs="Courier New"/>
      <w:kern w:val="2"/>
      <w:sz w:val="21"/>
      <w:szCs w:val="21"/>
    </w:rPr>
  </w:style>
  <w:style w:type="character" w:customStyle="1" w:styleId="59">
    <w:name w:val="正文文本 字符1"/>
    <w:semiHidden/>
    <w:qFormat/>
    <w:uiPriority w:val="0"/>
    <w:rPr>
      <w:rFonts w:ascii="Times New Roman" w:hAnsi="Times New Roman" w:eastAsia="宋体"/>
      <w:sz w:val="24"/>
    </w:rPr>
  </w:style>
  <w:style w:type="character" w:customStyle="1" w:styleId="60">
    <w:name w:val="无间隔 字符"/>
    <w:link w:val="61"/>
    <w:qFormat/>
    <w:locked/>
    <w:uiPriority w:val="1"/>
    <w:rPr>
      <w:kern w:val="2"/>
      <w:sz w:val="21"/>
      <w:szCs w:val="22"/>
    </w:rPr>
  </w:style>
  <w:style w:type="paragraph" w:styleId="61">
    <w:name w:val="No Spacing"/>
    <w:basedOn w:val="2"/>
    <w:next w:val="1"/>
    <w:link w:val="60"/>
    <w:qFormat/>
    <w:uiPriority w:val="1"/>
    <w:pPr>
      <w:ind w:left="0" w:firstLine="0" w:firstLineChars="0"/>
      <w:jc w:val="center"/>
      <w:textAlignment w:val="center"/>
    </w:pPr>
    <w:rPr>
      <w:szCs w:val="22"/>
    </w:rPr>
  </w:style>
  <w:style w:type="paragraph" w:customStyle="1" w:styleId="62">
    <w:name w:val="表题"/>
    <w:basedOn w:val="1"/>
    <w:next w:val="1"/>
    <w:qFormat/>
    <w:uiPriority w:val="0"/>
    <w:pPr>
      <w:ind w:firstLine="0" w:firstLineChars="0"/>
      <w:jc w:val="center"/>
      <w:textAlignment w:val="center"/>
    </w:pPr>
    <w:rPr>
      <w:b/>
      <w:szCs w:val="22"/>
    </w:rPr>
  </w:style>
  <w:style w:type="paragraph" w:customStyle="1" w:styleId="63">
    <w:name w:val="_Style 53"/>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图名、表头"/>
    <w:next w:val="1"/>
    <w:link w:val="71"/>
    <w:qFormat/>
    <w:uiPriority w:val="0"/>
    <w:pPr>
      <w:widowControl w:val="0"/>
      <w:jc w:val="center"/>
    </w:pPr>
    <w:rPr>
      <w:rFonts w:ascii="Times New Roman" w:hAnsi="Times New Roman" w:eastAsia="宋体" w:cs="Times New Roman"/>
      <w:b/>
      <w:color w:val="000000" w:themeColor="text1"/>
      <w:kern w:val="2"/>
      <w:sz w:val="21"/>
      <w:lang w:val="en-US" w:eastAsia="zh-CN" w:bidi="ar-SA"/>
      <w14:textFill>
        <w14:solidFill>
          <w14:schemeClr w14:val="tx1"/>
        </w14:solidFill>
      </w14:textFill>
    </w:rPr>
  </w:style>
  <w:style w:type="paragraph" w:customStyle="1" w:styleId="66">
    <w:name w:val="李建军表格式"/>
    <w:basedOn w:val="2"/>
    <w:unhideWhenUsed/>
    <w:qFormat/>
    <w:uiPriority w:val="0"/>
    <w:pPr>
      <w:ind w:left="0" w:firstLine="0" w:firstLineChars="0"/>
      <w:jc w:val="center"/>
    </w:pPr>
    <w:rPr>
      <w:rFonts w:hint="eastAsia" w:ascii="宋体" w:hAnsi="宋体"/>
    </w:rPr>
  </w:style>
  <w:style w:type="paragraph" w:customStyle="1" w:styleId="67">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68">
    <w:name w:val="Default"/>
    <w:basedOn w:val="69"/>
    <w:next w:val="26"/>
    <w:qFormat/>
    <w:uiPriority w:val="0"/>
    <w:pPr>
      <w:autoSpaceDE w:val="0"/>
      <w:autoSpaceDN w:val="0"/>
    </w:pPr>
    <w:rPr>
      <w:rFonts w:hAnsi="Times New Roman"/>
      <w:color w:val="000000"/>
    </w:rPr>
  </w:style>
  <w:style w:type="paragraph" w:customStyle="1" w:styleId="69">
    <w:name w:val="纯文本1"/>
    <w:basedOn w:val="1"/>
    <w:qFormat/>
    <w:uiPriority w:val="0"/>
    <w:pPr>
      <w:adjustRightInd w:val="0"/>
    </w:pPr>
    <w:rPr>
      <w:rFonts w:ascii="宋体" w:hAnsi="Courier New"/>
    </w:rPr>
  </w:style>
  <w:style w:type="paragraph" w:customStyle="1" w:styleId="70">
    <w:name w:val="表中文字"/>
    <w:basedOn w:val="1"/>
    <w:link w:val="73"/>
    <w:qFormat/>
    <w:uiPriority w:val="0"/>
    <w:pPr>
      <w:autoSpaceDE w:val="0"/>
      <w:autoSpaceDN w:val="0"/>
      <w:spacing w:line="240" w:lineRule="auto"/>
      <w:ind w:firstLine="0" w:firstLineChars="0"/>
      <w:jc w:val="center"/>
      <w:textAlignment w:val="bottom"/>
    </w:pPr>
    <w:rPr>
      <w:bCs/>
      <w:color w:val="000000"/>
      <w:sz w:val="21"/>
    </w:rPr>
  </w:style>
  <w:style w:type="character" w:customStyle="1" w:styleId="71">
    <w:name w:val="图名、表头 Char"/>
    <w:link w:val="65"/>
    <w:qFormat/>
    <w:uiPriority w:val="0"/>
    <w:rPr>
      <w:rFonts w:ascii="Times New Roman" w:hAnsi="Times New Roman" w:eastAsia="宋体" w:cs="Times New Roman"/>
      <w:b/>
      <w:color w:val="000000" w:themeColor="text1"/>
      <w:kern w:val="2"/>
      <w:sz w:val="21"/>
      <w:lang w:val="en-US" w:eastAsia="zh-CN" w:bidi="ar-SA"/>
      <w14:textFill>
        <w14:solidFill>
          <w14:schemeClr w14:val="tx1"/>
        </w14:solidFill>
      </w14:textFill>
    </w:rPr>
  </w:style>
  <w:style w:type="paragraph" w:customStyle="1" w:styleId="72">
    <w:name w:val="表内两端"/>
    <w:qFormat/>
    <w:uiPriority w:val="0"/>
    <w:pPr>
      <w:adjustRightInd w:val="0"/>
      <w:snapToGrid w:val="0"/>
      <w:jc w:val="both"/>
    </w:pPr>
    <w:rPr>
      <w:rFonts w:ascii="宋体" w:hAnsi="Times New Roman" w:eastAsia="宋体" w:cs="Times New Roman"/>
      <w:sz w:val="21"/>
      <w:lang w:val="en-US" w:eastAsia="zh-CN" w:bidi="ar-SA"/>
    </w:rPr>
  </w:style>
  <w:style w:type="character" w:customStyle="1" w:styleId="73">
    <w:name w:val="表中文字 Char"/>
    <w:link w:val="70"/>
    <w:qFormat/>
    <w:uiPriority w:val="0"/>
    <w:rPr>
      <w:rFonts w:ascii="Times New Roman" w:hAnsi="Times New Roman" w:eastAsia="宋体"/>
      <w:bCs/>
      <w:color w:val="000000"/>
      <w:spacing w:val="0"/>
      <w:sz w:val="21"/>
      <w:szCs w:val="21"/>
    </w:rPr>
  </w:style>
  <w:style w:type="paragraph" w:customStyle="1" w:styleId="74">
    <w:name w:val="表头"/>
    <w:basedOn w:val="1"/>
    <w:next w:val="1"/>
    <w:qFormat/>
    <w:uiPriority w:val="0"/>
    <w:pPr>
      <w:adjustRightInd w:val="0"/>
      <w:spacing w:before="50" w:beforeLines="50" w:line="240" w:lineRule="auto"/>
      <w:ind w:firstLine="0" w:firstLineChars="0"/>
      <w:jc w:val="center"/>
      <w:textAlignment w:val="baseline"/>
    </w:pPr>
    <w:rPr>
      <w:b/>
      <w:kern w:val="0"/>
      <w:sz w:val="21"/>
      <w:szCs w:val="20"/>
    </w:rPr>
  </w:style>
  <w:style w:type="paragraph" w:customStyle="1" w:styleId="75">
    <w:name w:val="表格文字"/>
    <w:basedOn w:val="13"/>
    <w:qFormat/>
    <w:uiPriority w:val="0"/>
    <w:pPr>
      <w:spacing w:line="240" w:lineRule="auto"/>
      <w:ind w:firstLine="0" w:firstLineChars="0"/>
      <w:jc w:val="center"/>
    </w:pPr>
    <w:rPr>
      <w:rFonts w:hAnsi="宋体"/>
    </w:rPr>
  </w:style>
  <w:style w:type="paragraph" w:customStyle="1" w:styleId="76">
    <w:name w:val="Table Text"/>
    <w:basedOn w:val="1"/>
    <w:semiHidden/>
    <w:qFormat/>
    <w:uiPriority w:val="0"/>
    <w:rPr>
      <w:rFonts w:ascii="MS UI Gothic" w:hAnsi="MS UI Gothic" w:eastAsia="MS UI Gothic" w:cs="MS UI Gothic"/>
      <w:szCs w:val="24"/>
      <w:lang w:eastAsia="en-US"/>
    </w:rPr>
  </w:style>
  <w:style w:type="table" w:customStyle="1" w:styleId="77">
    <w:name w:val="Table Normal"/>
    <w:semiHidden/>
    <w:unhideWhenUsed/>
    <w:qFormat/>
    <w:uiPriority w:val="0"/>
    <w:tblPr>
      <w:tblCellMar>
        <w:top w:w="0" w:type="dxa"/>
        <w:left w:w="0" w:type="dxa"/>
        <w:bottom w:w="0" w:type="dxa"/>
        <w:right w:w="0" w:type="dxa"/>
      </w:tblCellMar>
    </w:tblPr>
  </w:style>
  <w:style w:type="paragraph" w:customStyle="1" w:styleId="78">
    <w:name w:val="修订1"/>
    <w:hidden/>
    <w:unhideWhenUsed/>
    <w:qFormat/>
    <w:uiPriority w:val="99"/>
    <w:rPr>
      <w:rFonts w:ascii="Times New Roman" w:hAnsi="Times New Roman" w:eastAsia="宋体" w:cs="Times New Roman"/>
      <w:kern w:val="2"/>
      <w:sz w:val="24"/>
      <w:szCs w:val="21"/>
      <w:lang w:val="en-US" w:eastAsia="zh-CN" w:bidi="ar-SA"/>
    </w:rPr>
  </w:style>
  <w:style w:type="paragraph" w:customStyle="1" w:styleId="79">
    <w:name w:val="修订2"/>
    <w:hidden/>
    <w:unhideWhenUsed/>
    <w:qFormat/>
    <w:uiPriority w:val="99"/>
    <w:rPr>
      <w:rFonts w:ascii="Times New Roman" w:hAnsi="Times New Roman" w:eastAsia="宋体" w:cs="Times New Roman"/>
      <w:kern w:val="2"/>
      <w:sz w:val="24"/>
      <w:szCs w:val="21"/>
      <w:lang w:val="en-US" w:eastAsia="zh-CN" w:bidi="ar-SA"/>
    </w:rPr>
  </w:style>
  <w:style w:type="paragraph" w:customStyle="1" w:styleId="80">
    <w:name w:val="图表名称"/>
    <w:qFormat/>
    <w:uiPriority w:val="0"/>
    <w:pPr>
      <w:adjustRightInd w:val="0"/>
      <w:snapToGrid w:val="0"/>
      <w:spacing w:line="360" w:lineRule="auto"/>
      <w:jc w:val="center"/>
    </w:pPr>
    <w:rPr>
      <w:rFonts w:ascii="宋体" w:hAnsi="宋体" w:eastAsia="Times New Roman" w:cs="Times New Roman"/>
      <w:b/>
      <w:bCs/>
      <w:kern w:val="2"/>
      <w:sz w:val="24"/>
      <w:szCs w:val="24"/>
      <w:lang w:val="en-US" w:eastAsia="zh-CN" w:bidi="ar-SA"/>
    </w:rPr>
  </w:style>
  <w:style w:type="character" w:customStyle="1" w:styleId="81">
    <w:name w:val="标题 1 字符"/>
    <w:link w:val="3"/>
    <w:qFormat/>
    <w:uiPriority w:val="99"/>
    <w:rPr>
      <w:rFonts w:eastAsia="黑体"/>
      <w:b/>
      <w:bCs/>
      <w:color w:val="000000"/>
      <w:kern w:val="44"/>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YxNDcxMjExNDI2IiwKCSJHcm91cElkIiA6ICIyMzk4MDEyNTYiLAoJIkltYWdlIiA6ICJpVkJPUncwS0dnb0FBQUFOU1VoRVVnQUFCUkVBQUFJcENBWUFBQUExakg5UkFBQUFBWE5TUjBJQXJzNGM2UUFBSUFCSlJFRlVlSnpzM1htWVhGV1pQL0R2ZTZxcXE5TkpPZ3NrSUdRMFlFdENKYW02NXhhZ29JeUFBdU1Bc295aUNBb2lvaXh1NEs0ak9vTUtLcU1JQ295TXlxSWlvcUNpS0p2NEExa2M2OTZxNnFSbGFUQkljQVJpZ0d5OVZkMzM5MGZmYW01WHFxcVhWSGVuMDkvUDgrUkozWHZQT2ZkVTBrdlZXK2U4TDB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I3WHorUDlkL3NlSENkVjVKQUFBQUFFbEZUa1N1UW1DQyIsCgkiVGhlbWUiIDogIiIsCgkiVHlwZSIgOiAiZmxvdyIsCgkiVXNlcklkIiA6ICIyOTc2NTg4NjQiLAoJIlZlcnNpb24iIDogIjMz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13097</Words>
  <Characters>13624</Characters>
  <Lines>388</Lines>
  <Paragraphs>109</Paragraphs>
  <TotalTime>196</TotalTime>
  <ScaleCrop>false</ScaleCrop>
  <LinksUpToDate>false</LinksUpToDate>
  <CharactersWithSpaces>13686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2020-12-24T09:29:00Z</dcterms:created>
  <dc:creator>lhj</dc:creator>
  <cp:lastModifiedBy>Administrator</cp:lastModifiedBy>
  <cp:lastPrinted>2020-12-29T10:43:00Z</cp:lastPrinted>
  <dcterms:modified xsi:type="dcterms:W3CDTF">2025-09-12T13:04:55Z</dcterms:modified>
  <dc:title>附件2</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BE0CB145CADA481BB55E92DBBC178628_13</vt:lpwstr>
  </property>
  <property fmtid="{D5CDD505-2E9C-101B-9397-08002B2CF9AE}" pid="4" name="KSOTemplateDocerSaveRecord">
    <vt:lpwstr>eyJoZGlkIjoiOGFiMGMxZmYwZTYyNDQzMzU3ZmUyOTY0YmRmYjFhMGMiLCJ1c2VySWQiOiI1OTI1MTY2NTcifQ==</vt:lpwstr>
  </property>
</Properties>
</file>